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50DF9EE" wp14:paraId="6065B4FA" wp14:textId="2C7D446C">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50DF9EE" w:rsidR="009E8F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SADIA OUSMAN</w:t>
      </w:r>
    </w:p>
    <w:p xmlns:wp14="http://schemas.microsoft.com/office/word/2010/wordml" w:rsidP="550DF9EE" wp14:paraId="237FF0F4" wp14:textId="78C1D87F">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550DF9EE" w:rsidR="009E8F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 ID: 2235624</w:t>
      </w:r>
    </w:p>
    <w:p xmlns:wp14="http://schemas.microsoft.com/office/word/2010/wordml" w:rsidP="550DF9EE" wp14:paraId="6D201F87" wp14:textId="1300C0D2">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550DF9EE" w:rsidR="009E8F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LECTURER: RIZWAN </w:t>
      </w:r>
      <w:r w:rsidRPr="550DF9EE" w:rsidR="63CD0C9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NADIM</w:t>
      </w:r>
    </w:p>
    <w:p xmlns:wp14="http://schemas.microsoft.com/office/word/2010/wordml" w:rsidP="550DF9EE" wp14:paraId="5295A69C" wp14:textId="29D5AA56">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50DF9EE" wp14:paraId="57D832DA" wp14:textId="5B7CDA74">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50DF9EE" w:rsidR="009E8FC3">
        <w:rPr>
          <w:rFonts w:ascii="Arial" w:hAnsi="Arial" w:eastAsia="Arial" w:cs="Arial"/>
          <w:b w:val="1"/>
          <w:bCs w:val="1"/>
          <w:i w:val="0"/>
          <w:iCs w:val="0"/>
          <w:caps w:val="0"/>
          <w:smallCaps w:val="0"/>
          <w:noProof w:val="0"/>
          <w:color w:val="000000" w:themeColor="text1" w:themeTint="FF" w:themeShade="FF"/>
          <w:sz w:val="22"/>
          <w:szCs w:val="22"/>
          <w:lang w:val="en-GB"/>
        </w:rPr>
        <w:t>PROGRAMME: BSC HEALTH AND SOCIAL CARE BMHP50</w:t>
      </w:r>
      <w:r w:rsidRPr="550DF9EE" w:rsidR="501F57A5">
        <w:rPr>
          <w:rFonts w:ascii="Arial" w:hAnsi="Arial" w:eastAsia="Arial" w:cs="Arial"/>
          <w:b w:val="1"/>
          <w:bCs w:val="1"/>
          <w:i w:val="0"/>
          <w:iCs w:val="0"/>
          <w:caps w:val="0"/>
          <w:smallCaps w:val="0"/>
          <w:noProof w:val="0"/>
          <w:color w:val="000000" w:themeColor="text1" w:themeTint="FF" w:themeShade="FF"/>
          <w:sz w:val="22"/>
          <w:szCs w:val="22"/>
          <w:lang w:val="en-GB"/>
        </w:rPr>
        <w:t>16</w:t>
      </w:r>
    </w:p>
    <w:p xmlns:wp14="http://schemas.microsoft.com/office/word/2010/wordml" w:rsidP="550DF9EE" wp14:paraId="2CB12A8D" wp14:textId="320137F2">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550DF9EE" w:rsidR="009E8F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MODULE: </w:t>
      </w:r>
      <w:r w:rsidRPr="550DF9EE" w:rsidR="020018C4">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PRINCIPLES OF HEALTH AND SOCIAL CARE PRACTICE</w:t>
      </w:r>
    </w:p>
    <w:p xmlns:wp14="http://schemas.microsoft.com/office/word/2010/wordml" w:rsidP="550DF9EE" wp14:paraId="6E911FEB" wp14:textId="5F688CF4">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br/>
      </w:r>
      <w:r w:rsidRPr="550DF9EE" w:rsidR="009E8F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ASSIGNMENT TITLE: COMPONENT 1: WRITTEN ASSIGNMENT (</w:t>
      </w:r>
      <w:r w:rsidRPr="550DF9EE" w:rsidR="3AFA02BE">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REFLECTIVE</w:t>
      </w:r>
      <w:r w:rsidRPr="550DF9EE" w:rsidR="009E8F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REPORT)</w:t>
      </w:r>
    </w:p>
    <w:p xmlns:wp14="http://schemas.microsoft.com/office/word/2010/wordml" w:rsidP="550DF9EE" wp14:paraId="5E5787A5" wp14:textId="6C9AD61E">
      <w:pPr>
        <w:jc w:val="left"/>
        <w:rPr>
          <w:rFonts w:ascii="Arial" w:hAnsi="Arial" w:eastAsia="Arial" w:cs="Arial" w:asciiTheme="minorAscii" w:hAnsiTheme="minorAscii" w:eastAsiaTheme="minorAscii" w:cstheme="minorAscii"/>
          <w:sz w:val="22"/>
          <w:szCs w:val="22"/>
        </w:rPr>
      </w:pPr>
    </w:p>
    <w:p w:rsidR="550DF9EE" w:rsidP="550DF9EE" w:rsidRDefault="550DF9EE" w14:paraId="1124826A" w14:textId="742818B9">
      <w:pPr>
        <w:jc w:val="left"/>
        <w:rPr>
          <w:rFonts w:ascii="Arial" w:hAnsi="Arial" w:eastAsia="Arial" w:cs="Arial" w:asciiTheme="minorAscii" w:hAnsiTheme="minorAscii" w:eastAsiaTheme="minorAscii" w:cstheme="minorAscii"/>
          <w:sz w:val="22"/>
          <w:szCs w:val="22"/>
        </w:rPr>
      </w:pPr>
    </w:p>
    <w:p w:rsidR="550DF9EE" w:rsidP="550DF9EE" w:rsidRDefault="550DF9EE" w14:paraId="78214F2B" w14:textId="2B984425">
      <w:pPr>
        <w:jc w:val="left"/>
        <w:rPr>
          <w:rFonts w:ascii="Arial" w:hAnsi="Arial" w:eastAsia="Arial" w:cs="Arial" w:asciiTheme="minorAscii" w:hAnsiTheme="minorAscii" w:eastAsiaTheme="minorAscii" w:cstheme="minorAscii"/>
          <w:sz w:val="22"/>
          <w:szCs w:val="22"/>
        </w:rPr>
      </w:pPr>
    </w:p>
    <w:p w:rsidR="550DF9EE" w:rsidP="550DF9EE" w:rsidRDefault="550DF9EE" w14:paraId="1CB35565" w14:textId="71A0F00D">
      <w:pPr>
        <w:jc w:val="left"/>
        <w:rPr>
          <w:rFonts w:ascii="Arial" w:hAnsi="Arial" w:eastAsia="Arial" w:cs="Arial" w:asciiTheme="minorAscii" w:hAnsiTheme="minorAscii" w:eastAsiaTheme="minorAscii" w:cstheme="minorAscii"/>
          <w:sz w:val="22"/>
          <w:szCs w:val="22"/>
        </w:rPr>
      </w:pPr>
    </w:p>
    <w:p w:rsidR="550DF9EE" w:rsidP="550DF9EE" w:rsidRDefault="550DF9EE" w14:paraId="7900E775" w14:textId="747FA3CA">
      <w:pPr>
        <w:jc w:val="left"/>
        <w:rPr>
          <w:rFonts w:ascii="Arial" w:hAnsi="Arial" w:eastAsia="Arial" w:cs="Arial" w:asciiTheme="minorAscii" w:hAnsiTheme="minorAscii" w:eastAsiaTheme="minorAscii" w:cstheme="minorAscii"/>
          <w:sz w:val="22"/>
          <w:szCs w:val="22"/>
        </w:rPr>
      </w:pPr>
    </w:p>
    <w:p w:rsidR="550DF9EE" w:rsidP="550DF9EE" w:rsidRDefault="550DF9EE" w14:paraId="11E8376B" w14:textId="69A6168B">
      <w:pPr>
        <w:jc w:val="left"/>
        <w:rPr>
          <w:rFonts w:ascii="Arial" w:hAnsi="Arial" w:eastAsia="Arial" w:cs="Arial" w:asciiTheme="minorAscii" w:hAnsiTheme="minorAscii" w:eastAsiaTheme="minorAscii" w:cstheme="minorAscii"/>
          <w:sz w:val="22"/>
          <w:szCs w:val="22"/>
        </w:rPr>
      </w:pPr>
    </w:p>
    <w:p w:rsidR="550DF9EE" w:rsidP="550DF9EE" w:rsidRDefault="550DF9EE" w14:paraId="549C18A8" w14:textId="4DDF601A">
      <w:pPr>
        <w:jc w:val="left"/>
        <w:rPr>
          <w:rFonts w:ascii="Arial" w:hAnsi="Arial" w:eastAsia="Arial" w:cs="Arial" w:asciiTheme="minorAscii" w:hAnsiTheme="minorAscii" w:eastAsiaTheme="minorAscii" w:cstheme="minorAscii"/>
          <w:sz w:val="22"/>
          <w:szCs w:val="22"/>
        </w:rPr>
      </w:pPr>
    </w:p>
    <w:p w:rsidR="550DF9EE" w:rsidP="550DF9EE" w:rsidRDefault="550DF9EE" w14:paraId="11401A8C" w14:textId="45D1FBBA">
      <w:pPr>
        <w:jc w:val="left"/>
        <w:rPr>
          <w:rFonts w:ascii="Arial" w:hAnsi="Arial" w:eastAsia="Arial" w:cs="Arial" w:asciiTheme="minorAscii" w:hAnsiTheme="minorAscii" w:eastAsiaTheme="minorAscii" w:cstheme="minorAscii"/>
          <w:sz w:val="22"/>
          <w:szCs w:val="22"/>
        </w:rPr>
      </w:pPr>
    </w:p>
    <w:p w:rsidR="550DF9EE" w:rsidP="550DF9EE" w:rsidRDefault="550DF9EE" w14:paraId="15EB36E2" w14:textId="168FACCA">
      <w:pPr>
        <w:jc w:val="left"/>
        <w:rPr>
          <w:rFonts w:ascii="Arial" w:hAnsi="Arial" w:eastAsia="Arial" w:cs="Arial" w:asciiTheme="minorAscii" w:hAnsiTheme="minorAscii" w:eastAsiaTheme="minorAscii" w:cstheme="minorAscii"/>
          <w:sz w:val="22"/>
          <w:szCs w:val="22"/>
        </w:rPr>
      </w:pPr>
    </w:p>
    <w:p w:rsidR="550DF9EE" w:rsidP="550DF9EE" w:rsidRDefault="550DF9EE" w14:paraId="099FC472" w14:textId="78425AFE">
      <w:pPr>
        <w:jc w:val="left"/>
        <w:rPr>
          <w:rFonts w:ascii="Arial" w:hAnsi="Arial" w:eastAsia="Arial" w:cs="Arial" w:asciiTheme="minorAscii" w:hAnsiTheme="minorAscii" w:eastAsiaTheme="minorAscii" w:cstheme="minorAscii"/>
          <w:sz w:val="22"/>
          <w:szCs w:val="22"/>
        </w:rPr>
      </w:pPr>
    </w:p>
    <w:p w:rsidR="550DF9EE" w:rsidP="550DF9EE" w:rsidRDefault="550DF9EE" w14:paraId="20A0DA07" w14:textId="5494272B">
      <w:pPr>
        <w:jc w:val="left"/>
        <w:rPr>
          <w:rFonts w:ascii="Arial" w:hAnsi="Arial" w:eastAsia="Arial" w:cs="Arial" w:asciiTheme="minorAscii" w:hAnsiTheme="minorAscii" w:eastAsiaTheme="minorAscii" w:cstheme="minorAscii"/>
          <w:sz w:val="22"/>
          <w:szCs w:val="22"/>
        </w:rPr>
      </w:pPr>
    </w:p>
    <w:p w:rsidR="550DF9EE" w:rsidP="550DF9EE" w:rsidRDefault="550DF9EE" w14:paraId="4A185B6B" w14:textId="4C200981">
      <w:pPr>
        <w:jc w:val="left"/>
        <w:rPr>
          <w:rFonts w:ascii="Arial" w:hAnsi="Arial" w:eastAsia="Arial" w:cs="Arial" w:asciiTheme="minorAscii" w:hAnsiTheme="minorAscii" w:eastAsiaTheme="minorAscii" w:cstheme="minorAscii"/>
          <w:sz w:val="22"/>
          <w:szCs w:val="22"/>
        </w:rPr>
      </w:pPr>
    </w:p>
    <w:p w:rsidR="550DF9EE" w:rsidP="550DF9EE" w:rsidRDefault="550DF9EE" w14:paraId="57098C32" w14:textId="6E66DFAD">
      <w:pPr>
        <w:jc w:val="left"/>
        <w:rPr>
          <w:rFonts w:ascii="Arial" w:hAnsi="Arial" w:eastAsia="Arial" w:cs="Arial" w:asciiTheme="minorAscii" w:hAnsiTheme="minorAscii" w:eastAsiaTheme="minorAscii" w:cstheme="minorAscii"/>
          <w:sz w:val="22"/>
          <w:szCs w:val="22"/>
        </w:rPr>
      </w:pPr>
    </w:p>
    <w:p w:rsidR="550DF9EE" w:rsidP="550DF9EE" w:rsidRDefault="550DF9EE" w14:paraId="08E6FC0D" w14:textId="192E68B4">
      <w:pPr>
        <w:jc w:val="left"/>
        <w:rPr>
          <w:rFonts w:ascii="Arial" w:hAnsi="Arial" w:eastAsia="Arial" w:cs="Arial" w:asciiTheme="minorAscii" w:hAnsiTheme="minorAscii" w:eastAsiaTheme="minorAscii" w:cstheme="minorAscii"/>
          <w:sz w:val="22"/>
          <w:szCs w:val="22"/>
        </w:rPr>
      </w:pPr>
    </w:p>
    <w:p w:rsidR="550DF9EE" w:rsidP="550DF9EE" w:rsidRDefault="550DF9EE" w14:paraId="6A773B6F" w14:textId="46EFB9F9">
      <w:pPr>
        <w:jc w:val="left"/>
        <w:rPr>
          <w:rFonts w:ascii="Arial" w:hAnsi="Arial" w:eastAsia="Arial" w:cs="Arial" w:asciiTheme="minorAscii" w:hAnsiTheme="minorAscii" w:eastAsiaTheme="minorAscii" w:cstheme="minorAscii"/>
          <w:sz w:val="22"/>
          <w:szCs w:val="22"/>
        </w:rPr>
      </w:pPr>
    </w:p>
    <w:p w:rsidR="550DF9EE" w:rsidP="550DF9EE" w:rsidRDefault="550DF9EE" w14:paraId="71A6F02A" w14:textId="56543940">
      <w:pPr>
        <w:jc w:val="left"/>
        <w:rPr>
          <w:rFonts w:ascii="Arial" w:hAnsi="Arial" w:eastAsia="Arial" w:cs="Arial" w:asciiTheme="minorAscii" w:hAnsiTheme="minorAscii" w:eastAsiaTheme="minorAscii" w:cstheme="minorAscii"/>
          <w:sz w:val="22"/>
          <w:szCs w:val="22"/>
        </w:rPr>
      </w:pPr>
    </w:p>
    <w:p w:rsidR="550DF9EE" w:rsidP="550DF9EE" w:rsidRDefault="550DF9EE" w14:paraId="060C8897" w14:textId="4F8083DF">
      <w:pPr>
        <w:jc w:val="left"/>
        <w:rPr>
          <w:rFonts w:ascii="Arial" w:hAnsi="Arial" w:eastAsia="Arial" w:cs="Arial" w:asciiTheme="minorAscii" w:hAnsiTheme="minorAscii" w:eastAsiaTheme="minorAscii" w:cstheme="minorAscii"/>
          <w:sz w:val="22"/>
          <w:szCs w:val="22"/>
        </w:rPr>
      </w:pPr>
    </w:p>
    <w:p w:rsidR="550DF9EE" w:rsidP="550DF9EE" w:rsidRDefault="550DF9EE" w14:paraId="37DE2CA2" w14:textId="6FB9557A">
      <w:pPr>
        <w:jc w:val="left"/>
        <w:rPr>
          <w:rFonts w:ascii="Arial" w:hAnsi="Arial" w:eastAsia="Arial" w:cs="Arial" w:asciiTheme="minorAscii" w:hAnsiTheme="minorAscii" w:eastAsiaTheme="minorAscii" w:cstheme="minorAscii"/>
          <w:sz w:val="22"/>
          <w:szCs w:val="22"/>
        </w:rPr>
      </w:pPr>
    </w:p>
    <w:p w:rsidR="550DF9EE" w:rsidP="550DF9EE" w:rsidRDefault="550DF9EE" w14:paraId="29412E35" w14:textId="48708176">
      <w:pPr>
        <w:jc w:val="left"/>
        <w:rPr>
          <w:rFonts w:ascii="Arial" w:hAnsi="Arial" w:eastAsia="Arial" w:cs="Arial" w:asciiTheme="minorAscii" w:hAnsiTheme="minorAscii" w:eastAsiaTheme="minorAscii" w:cstheme="minorAscii"/>
          <w:sz w:val="22"/>
          <w:szCs w:val="22"/>
        </w:rPr>
      </w:pPr>
    </w:p>
    <w:p w:rsidR="550DF9EE" w:rsidP="550DF9EE" w:rsidRDefault="550DF9EE" w14:paraId="489644A8" w14:textId="40688385">
      <w:pPr>
        <w:jc w:val="left"/>
        <w:rPr>
          <w:rFonts w:ascii="Arial" w:hAnsi="Arial" w:eastAsia="Arial" w:cs="Arial" w:asciiTheme="minorAscii" w:hAnsiTheme="minorAscii" w:eastAsiaTheme="minorAscii" w:cstheme="minorAscii"/>
          <w:b w:val="0"/>
          <w:bCs w:val="0"/>
          <w:sz w:val="22"/>
          <w:szCs w:val="22"/>
        </w:rPr>
      </w:pPr>
    </w:p>
    <w:p w:rsidR="17368F69" w:rsidP="550DF9EE" w:rsidRDefault="17368F69" w14:paraId="40F18B78" w14:textId="7F748E31">
      <w:pPr>
        <w:jc w:val="left"/>
        <w:rPr>
          <w:rFonts w:ascii="Arial" w:hAnsi="Arial" w:eastAsia="Arial" w:cs="Arial" w:asciiTheme="minorAscii" w:hAnsiTheme="minorAscii" w:eastAsiaTheme="minorAscii" w:cstheme="minorAscii"/>
          <w:b w:val="0"/>
          <w:bCs w:val="0"/>
          <w:sz w:val="22"/>
          <w:szCs w:val="22"/>
        </w:rPr>
      </w:pPr>
      <w:r w:rsidRPr="550DF9EE" w:rsidR="17368F69">
        <w:rPr>
          <w:rFonts w:ascii="Arial" w:hAnsi="Arial" w:eastAsia="Arial" w:cs="Arial" w:asciiTheme="minorAscii" w:hAnsiTheme="minorAscii" w:eastAsiaTheme="minorAscii" w:cstheme="minorAscii"/>
          <w:b w:val="0"/>
          <w:bCs w:val="0"/>
          <w:sz w:val="22"/>
          <w:szCs w:val="22"/>
        </w:rPr>
        <w:t>Context</w:t>
      </w:r>
    </w:p>
    <w:p w:rsidR="550DF9EE" w:rsidP="550DF9EE" w:rsidRDefault="550DF9EE" w14:paraId="00A985FF" w14:textId="30763599">
      <w:pPr>
        <w:jc w:val="left"/>
        <w:rPr>
          <w:rFonts w:ascii="Arial" w:hAnsi="Arial" w:eastAsia="Arial" w:cs="Arial" w:asciiTheme="minorAscii" w:hAnsiTheme="minorAscii" w:eastAsiaTheme="minorAscii" w:cstheme="minorAscii"/>
          <w:b w:val="0"/>
          <w:bCs w:val="0"/>
          <w:sz w:val="22"/>
          <w:szCs w:val="22"/>
        </w:rPr>
      </w:pPr>
    </w:p>
    <w:p w:rsidR="17368F69" w:rsidP="550DF9EE" w:rsidRDefault="17368F69" w14:paraId="532AD6E8" w14:textId="51DEB4B1">
      <w:pPr>
        <w:jc w:val="left"/>
        <w:rPr>
          <w:rFonts w:ascii="Arial" w:hAnsi="Arial" w:eastAsia="Arial" w:cs="Arial" w:asciiTheme="minorAscii" w:hAnsiTheme="minorAscii" w:eastAsiaTheme="minorAscii" w:cstheme="minorAscii"/>
          <w:b w:val="0"/>
          <w:bCs w:val="0"/>
          <w:sz w:val="22"/>
          <w:szCs w:val="22"/>
        </w:rPr>
      </w:pPr>
      <w:r w:rsidRPr="550DF9EE" w:rsidR="17368F69">
        <w:rPr>
          <w:rFonts w:ascii="Arial" w:hAnsi="Arial" w:eastAsia="Arial" w:cs="Arial" w:asciiTheme="minorAscii" w:hAnsiTheme="minorAscii" w:eastAsiaTheme="minorAscii" w:cstheme="minorAscii"/>
          <w:b w:val="0"/>
          <w:bCs w:val="0"/>
          <w:sz w:val="22"/>
          <w:szCs w:val="22"/>
        </w:rPr>
        <w:t>Reflecting on the Principles of Health and So</w:t>
      </w:r>
      <w:r w:rsidRPr="550DF9EE" w:rsidR="12982B3F">
        <w:rPr>
          <w:rFonts w:ascii="Arial" w:hAnsi="Arial" w:eastAsia="Arial" w:cs="Arial" w:asciiTheme="minorAscii" w:hAnsiTheme="minorAscii" w:eastAsiaTheme="minorAscii" w:cstheme="minorAscii"/>
          <w:b w:val="0"/>
          <w:bCs w:val="0"/>
          <w:sz w:val="22"/>
          <w:szCs w:val="22"/>
        </w:rPr>
        <w:t>cial Care in the UK</w:t>
      </w:r>
    </w:p>
    <w:p w:rsidR="550DF9EE" w:rsidP="550DF9EE" w:rsidRDefault="550DF9EE" w14:paraId="5D6BC7AD" w14:textId="5FC78C08">
      <w:pPr>
        <w:jc w:val="left"/>
        <w:rPr>
          <w:rFonts w:ascii="Arial" w:hAnsi="Arial" w:eastAsia="Arial" w:cs="Arial" w:asciiTheme="minorAscii" w:hAnsiTheme="minorAscii" w:eastAsiaTheme="minorAscii" w:cstheme="minorAscii"/>
          <w:b w:val="0"/>
          <w:bCs w:val="0"/>
          <w:sz w:val="22"/>
          <w:szCs w:val="22"/>
        </w:rPr>
      </w:pPr>
    </w:p>
    <w:p w:rsidR="12982B3F" w:rsidP="550DF9EE" w:rsidRDefault="12982B3F" w14:paraId="1D2C86C9" w14:textId="5EA8A6DF">
      <w:pPr>
        <w:jc w:val="left"/>
        <w:rPr>
          <w:rFonts w:ascii="Arial" w:hAnsi="Arial" w:eastAsia="Arial" w:cs="Arial" w:asciiTheme="minorAscii" w:hAnsiTheme="minorAscii" w:eastAsiaTheme="minorAscii" w:cstheme="minorAscii"/>
          <w:b w:val="0"/>
          <w:bCs w:val="0"/>
          <w:sz w:val="22"/>
          <w:szCs w:val="22"/>
        </w:rPr>
      </w:pPr>
      <w:r w:rsidRPr="550DF9EE" w:rsidR="12982B3F">
        <w:rPr>
          <w:rFonts w:ascii="Arial" w:hAnsi="Arial" w:eastAsia="Arial" w:cs="Arial" w:asciiTheme="minorAscii" w:hAnsiTheme="minorAscii" w:eastAsiaTheme="minorAscii" w:cstheme="minorAscii"/>
          <w:b w:val="0"/>
          <w:bCs w:val="0"/>
          <w:sz w:val="22"/>
          <w:szCs w:val="22"/>
        </w:rPr>
        <w:t>Introduction</w:t>
      </w:r>
    </w:p>
    <w:p w:rsidR="550DF9EE" w:rsidP="550DF9EE" w:rsidRDefault="550DF9EE" w14:paraId="26EB802A" w14:textId="37BA097B">
      <w:pPr>
        <w:jc w:val="left"/>
        <w:rPr>
          <w:rFonts w:ascii="Arial" w:hAnsi="Arial" w:eastAsia="Arial" w:cs="Arial" w:asciiTheme="minorAscii" w:hAnsiTheme="minorAscii" w:eastAsiaTheme="minorAscii" w:cstheme="minorAscii"/>
          <w:b w:val="0"/>
          <w:bCs w:val="0"/>
          <w:sz w:val="22"/>
          <w:szCs w:val="22"/>
        </w:rPr>
      </w:pPr>
    </w:p>
    <w:p w:rsidR="12982B3F" w:rsidP="550DF9EE" w:rsidRDefault="12982B3F" w14:paraId="711AC1FD" w14:textId="182191B0">
      <w:pPr>
        <w:jc w:val="left"/>
        <w:rPr>
          <w:rFonts w:ascii="Arial" w:hAnsi="Arial" w:eastAsia="Arial" w:cs="Arial" w:asciiTheme="minorAscii" w:hAnsiTheme="minorAscii" w:eastAsiaTheme="minorAscii" w:cstheme="minorAscii"/>
          <w:b w:val="0"/>
          <w:bCs w:val="0"/>
          <w:sz w:val="22"/>
          <w:szCs w:val="22"/>
        </w:rPr>
      </w:pPr>
      <w:r w:rsidRPr="550DF9EE" w:rsidR="12982B3F">
        <w:rPr>
          <w:rFonts w:ascii="Arial" w:hAnsi="Arial" w:eastAsia="Arial" w:cs="Arial" w:asciiTheme="minorAscii" w:hAnsiTheme="minorAscii" w:eastAsiaTheme="minorAscii" w:cstheme="minorAscii"/>
          <w:b w:val="0"/>
          <w:bCs w:val="0"/>
          <w:sz w:val="22"/>
          <w:szCs w:val="22"/>
        </w:rPr>
        <w:t>Task 1: Reflection on the Importance of Princ</w:t>
      </w:r>
      <w:r w:rsidRPr="550DF9EE" w:rsidR="703EB3D9">
        <w:rPr>
          <w:rFonts w:ascii="Arial" w:hAnsi="Arial" w:eastAsia="Arial" w:cs="Arial" w:asciiTheme="minorAscii" w:hAnsiTheme="minorAscii" w:eastAsiaTheme="minorAscii" w:cstheme="minorAscii"/>
          <w:b w:val="0"/>
          <w:bCs w:val="0"/>
          <w:sz w:val="22"/>
          <w:szCs w:val="22"/>
        </w:rPr>
        <w:t>iples of Health and Social Care</w:t>
      </w:r>
    </w:p>
    <w:p w:rsidR="550DF9EE" w:rsidP="550DF9EE" w:rsidRDefault="550DF9EE" w14:paraId="6AE55583" w14:textId="2A424223">
      <w:pPr>
        <w:jc w:val="left"/>
        <w:rPr>
          <w:rFonts w:ascii="Arial" w:hAnsi="Arial" w:eastAsia="Arial" w:cs="Arial" w:asciiTheme="minorAscii" w:hAnsiTheme="minorAscii" w:eastAsiaTheme="minorAscii" w:cstheme="minorAscii"/>
          <w:b w:val="0"/>
          <w:bCs w:val="0"/>
          <w:sz w:val="22"/>
          <w:szCs w:val="22"/>
        </w:rPr>
      </w:pPr>
    </w:p>
    <w:p w:rsidR="703EB3D9" w:rsidP="550DF9EE" w:rsidRDefault="703EB3D9" w14:paraId="4C673B38" w14:textId="5877FBDB">
      <w:pPr>
        <w:jc w:val="left"/>
        <w:rPr>
          <w:rFonts w:ascii="Arial" w:hAnsi="Arial" w:eastAsia="Arial" w:cs="Arial" w:asciiTheme="minorAscii" w:hAnsiTheme="minorAscii" w:eastAsiaTheme="minorAscii" w:cstheme="minorAscii"/>
          <w:b w:val="0"/>
          <w:bCs w:val="0"/>
          <w:sz w:val="22"/>
          <w:szCs w:val="22"/>
        </w:rPr>
      </w:pPr>
      <w:r w:rsidRPr="550DF9EE" w:rsidR="703EB3D9">
        <w:rPr>
          <w:rFonts w:ascii="Arial" w:hAnsi="Arial" w:eastAsia="Arial" w:cs="Arial" w:asciiTheme="minorAscii" w:hAnsiTheme="minorAscii" w:eastAsiaTheme="minorAscii" w:cstheme="minorAscii"/>
          <w:b w:val="0"/>
          <w:bCs w:val="0"/>
          <w:sz w:val="22"/>
          <w:szCs w:val="22"/>
        </w:rPr>
        <w:t>Task 2: Practical Examples of Concepts in Practice</w:t>
      </w:r>
    </w:p>
    <w:p w:rsidR="550DF9EE" w:rsidP="550DF9EE" w:rsidRDefault="550DF9EE" w14:paraId="50435674" w14:textId="1ADB9FFD">
      <w:pPr>
        <w:jc w:val="left"/>
        <w:rPr>
          <w:rFonts w:ascii="Arial" w:hAnsi="Arial" w:eastAsia="Arial" w:cs="Arial" w:asciiTheme="minorAscii" w:hAnsiTheme="minorAscii" w:eastAsiaTheme="minorAscii" w:cstheme="minorAscii"/>
          <w:b w:val="0"/>
          <w:bCs w:val="0"/>
          <w:sz w:val="22"/>
          <w:szCs w:val="22"/>
        </w:rPr>
      </w:pPr>
    </w:p>
    <w:p w:rsidR="25111D11" w:rsidP="550DF9EE" w:rsidRDefault="25111D11" w14:paraId="7CE51619" w14:textId="032C867B">
      <w:pPr>
        <w:jc w:val="left"/>
        <w:rPr>
          <w:rFonts w:ascii="Arial" w:hAnsi="Arial" w:eastAsia="Arial" w:cs="Arial" w:asciiTheme="minorAscii" w:hAnsiTheme="minorAscii" w:eastAsiaTheme="minorAscii" w:cstheme="minorAscii"/>
          <w:b w:val="0"/>
          <w:bCs w:val="0"/>
          <w:sz w:val="22"/>
          <w:szCs w:val="22"/>
        </w:rPr>
      </w:pPr>
      <w:r w:rsidRPr="550DF9EE" w:rsidR="25111D11">
        <w:rPr>
          <w:rFonts w:ascii="Arial" w:hAnsi="Arial" w:eastAsia="Arial" w:cs="Arial" w:asciiTheme="minorAscii" w:hAnsiTheme="minorAscii" w:eastAsiaTheme="minorAscii" w:cstheme="minorAscii"/>
          <w:b w:val="0"/>
          <w:bCs w:val="0"/>
          <w:sz w:val="22"/>
          <w:szCs w:val="22"/>
        </w:rPr>
        <w:t>Task 3: Self-Reflection as a Health and Social Care Professional</w:t>
      </w:r>
    </w:p>
    <w:p w:rsidR="550DF9EE" w:rsidP="550DF9EE" w:rsidRDefault="550DF9EE" w14:paraId="1F028299" w14:textId="51C6295E">
      <w:pPr>
        <w:jc w:val="left"/>
        <w:rPr>
          <w:rFonts w:ascii="Arial" w:hAnsi="Arial" w:eastAsia="Arial" w:cs="Arial" w:asciiTheme="minorAscii" w:hAnsiTheme="minorAscii" w:eastAsiaTheme="minorAscii" w:cstheme="minorAscii"/>
          <w:b w:val="0"/>
          <w:bCs w:val="0"/>
          <w:sz w:val="22"/>
          <w:szCs w:val="22"/>
        </w:rPr>
      </w:pPr>
    </w:p>
    <w:p w:rsidR="496229F0" w:rsidP="550DF9EE" w:rsidRDefault="496229F0" w14:paraId="18C8496A" w14:textId="6E064461">
      <w:pPr>
        <w:jc w:val="left"/>
        <w:rPr>
          <w:rFonts w:ascii="Arial" w:hAnsi="Arial" w:eastAsia="Arial" w:cs="Arial" w:asciiTheme="minorAscii" w:hAnsiTheme="minorAscii" w:eastAsiaTheme="minorAscii" w:cstheme="minorAscii"/>
          <w:b w:val="0"/>
          <w:bCs w:val="0"/>
          <w:sz w:val="22"/>
          <w:szCs w:val="22"/>
        </w:rPr>
      </w:pPr>
      <w:r w:rsidRPr="550DF9EE" w:rsidR="496229F0">
        <w:rPr>
          <w:rFonts w:ascii="Arial" w:hAnsi="Arial" w:eastAsia="Arial" w:cs="Arial" w:asciiTheme="minorAscii" w:hAnsiTheme="minorAscii" w:eastAsiaTheme="minorAscii" w:cstheme="minorAscii"/>
          <w:b w:val="0"/>
          <w:bCs w:val="0"/>
          <w:sz w:val="22"/>
          <w:szCs w:val="22"/>
        </w:rPr>
        <w:t xml:space="preserve">Conclusion </w:t>
      </w:r>
    </w:p>
    <w:p w:rsidR="550DF9EE" w:rsidP="550DF9EE" w:rsidRDefault="550DF9EE" w14:paraId="17A39ADD" w14:textId="1F8068A9">
      <w:pPr>
        <w:jc w:val="left"/>
        <w:rPr>
          <w:rFonts w:ascii="Arial" w:hAnsi="Arial" w:eastAsia="Arial" w:cs="Arial" w:asciiTheme="minorAscii" w:hAnsiTheme="minorAscii" w:eastAsiaTheme="minorAscii" w:cstheme="minorAscii"/>
          <w:b w:val="0"/>
          <w:bCs w:val="0"/>
          <w:sz w:val="22"/>
          <w:szCs w:val="22"/>
        </w:rPr>
      </w:pPr>
    </w:p>
    <w:p w:rsidR="496229F0" w:rsidP="550DF9EE" w:rsidRDefault="496229F0" w14:paraId="5D58BEEE" w14:textId="32D965D2">
      <w:pPr>
        <w:jc w:val="left"/>
        <w:rPr>
          <w:rFonts w:ascii="Arial" w:hAnsi="Arial" w:eastAsia="Arial" w:cs="Arial" w:asciiTheme="minorAscii" w:hAnsiTheme="minorAscii" w:eastAsiaTheme="minorAscii" w:cstheme="minorAscii"/>
          <w:b w:val="0"/>
          <w:bCs w:val="0"/>
          <w:sz w:val="22"/>
          <w:szCs w:val="22"/>
        </w:rPr>
      </w:pPr>
      <w:r w:rsidRPr="550DF9EE" w:rsidR="496229F0">
        <w:rPr>
          <w:rFonts w:ascii="Arial" w:hAnsi="Arial" w:eastAsia="Arial" w:cs="Arial" w:asciiTheme="minorAscii" w:hAnsiTheme="minorAscii" w:eastAsiaTheme="minorAscii" w:cstheme="minorAscii"/>
          <w:b w:val="0"/>
          <w:bCs w:val="0"/>
          <w:sz w:val="22"/>
          <w:szCs w:val="22"/>
        </w:rPr>
        <w:t xml:space="preserve">References </w:t>
      </w:r>
    </w:p>
    <w:p w:rsidR="550DF9EE" w:rsidP="550DF9EE" w:rsidRDefault="550DF9EE" w14:paraId="1376C0C5" w14:textId="7ECC9733">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1B3F6B43" w14:textId="70EB1BB8">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4E5B1D1E" w14:textId="1C6BD7C9">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03EFA2E6" w14:textId="42F0C6FE">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6FC288FC" w14:textId="40F8D02E">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4440B48E" w14:textId="307D6E3D">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4F58159A" w14:textId="704C741A">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4FAD765E" w14:textId="3881B81D">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540C63EC" w14:textId="3E617C49">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7210D8B7" w14:textId="56456FEE">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0B08BC55" w14:textId="27BD25B1">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4D46C068" w14:textId="1C7F0314">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6C63FECC" w14:textId="6070B56C">
      <w:pPr>
        <w:jc w:val="left"/>
        <w:rPr>
          <w:rFonts w:ascii="Arial" w:hAnsi="Arial" w:eastAsia="Arial" w:cs="Arial" w:asciiTheme="minorAscii" w:hAnsiTheme="minorAscii" w:eastAsiaTheme="minorAscii" w:cstheme="minorAscii"/>
          <w:b w:val="0"/>
          <w:bCs w:val="0"/>
          <w:sz w:val="22"/>
          <w:szCs w:val="22"/>
        </w:rPr>
      </w:pPr>
    </w:p>
    <w:p w:rsidR="550DF9EE" w:rsidP="550DF9EE" w:rsidRDefault="550DF9EE" w14:paraId="2A6AE2A3" w14:textId="6EFB9ED0">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550DF9EE" w:rsidP="550DF9EE" w:rsidRDefault="550DF9EE" w14:paraId="076F9D50" w14:textId="6737AC21">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6D3CAD57" w:rsidP="550DF9EE" w:rsidRDefault="6D3CAD57" w14:paraId="77EE2A89" w14:textId="0BCEBE7F">
      <w:pPr>
        <w:pStyle w:val="Normal"/>
        <w:jc w:val="left"/>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550DF9EE" w:rsidR="6D3CAD5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Reflecting on the Principles of Health and Social Care in the UK</w:t>
      </w:r>
      <w:r>
        <w:br/>
      </w:r>
      <w:r>
        <w:br/>
      </w:r>
      <w:r>
        <w:br/>
      </w:r>
      <w:r w:rsidRPr="550DF9EE" w:rsidR="6D3CAD57">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Introduction</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UK health and social care system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operates</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within a complex framework of legislation, ethical guidelines, and professional standards designed to ensure high-quality, compassionate care. At the heart of this framework lie three interconnected principles: person-centred care, partnership working, and ethics. This assignment critically reflects on these principles, exploring their theoretical foundations, practical application, and influence on professional practice. Drawing on key legislation including the Care Act 2014 (Care Act, 2014) and Health and Care Act 2022 (Health and Care Act, 2022), alongside established theories such as Maslow's Hierarchy of Needs (Maslow, 1943), this analysis demonstrates how these principles shape care delivery and professional development within UK health and social care settings.</w:t>
      </w:r>
      <w:r>
        <w:br/>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Task 1: Reflection on the Importance of Principles of Health and Social Care</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significance of person-centred care, partnership working, and ethics in health and social care cannot be overstated. These principles form the bedrock of quality care provision in the UK, shaping how services are designed, delivered, and evaluated.</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Person-centred care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represents</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fundamental shift from traditional biomedical models towards approaches that recognise the whole person. Maslow's Hierarchy of Needs (Maslow, 1943) provides a valuable theoretical framework,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that human needs are prioritised hierarchically, with physiological needs forming the foundation, followed by safety, love and belonging, self-esteem, and self-actualisation (Giuffrida and Davila, 2024). In practice, effective person-centred care must address foundational needs before individuals can engage meaningfully with higher-level goals. Healthcare professionals who apply Maslow's framework can systematically assess needs holistically, recognising that unmet lower-level needs may present as barriers to engagement with care plans (Giuffrida and Davila, 2024).</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significance of person-centred care is reinforced by legislative frameworks. The Care Act 2014 (Care Act, 2014)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establishes</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 statutory duty to promote individual wellbeing, requiring that care considers the person's views and feelings (Skills for Care, 2026). The Health and Care Act 2022 (Health and Care Act, 2022) builds upon this by promoting integration between health and social care services,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focus on individual needs (Skills for Care,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Partnership working recognises that effective care requires collaboration across professional boundaries. The National Occupational Standards (Skills for Care and Development, 2026) emphasise that partnership working involves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identifying</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roles, empowering individuals, and working collaboratively to assess, plan, and implement care. This reflects recognition that complex needs cannot be addressed by any single professional acting in isolation.</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Health and Care Act 2022 (Health and Care Act, 2022) encourages joint commissioning and collaboration between NHS bodies, local authorities, and care providers (Skills for Care, 2026). Effective partnership working enables holistic assessment, seamless transitions, and coordinated responses. As the Open University's curriculum highlights, working across professional boundaries is essential for effective contemporary practice (Open University, 2026a).</w:t>
      </w:r>
      <w:r>
        <w:br/>
      </w:r>
      <w:r>
        <w:br/>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Ethical practice provides the moral compass guiding health and social care professionals in their decision-making. Ethical principles including respect for autonomy, beneficence, non-maleficence, and justice inform professional conduct and shape responses to complex situations. The </w:t>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(Recommended Summary Plan for Emergency Care and Treatment) process illustrates how ethical values are operationalised in practice. This framework </w:t>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facilitates</w:t>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meaningful discussions between healthcare professionals, patients, and families about treatment preferences, embedding values of patient autonomy and person-centred care (National Institute for Health and Care Research, 2024).</w:t>
      </w:r>
      <w:r>
        <w:br/>
      </w:r>
      <w:r>
        <w:br/>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However, ethical practice often involves navigating tensions between competing values. The </w:t>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research identified ethical dilemmas arising when </w:t>
      </w:r>
      <w:bookmarkStart w:name="_Int_tpNrFg8D" w:id="74949418"/>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patients'</w:t>
      </w:r>
      <w:bookmarkEnd w:id="74949418"/>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expressed wishes conflict with clinical judgement, when professionals weigh the risk of physical harm against potential emotional harm from difficult conversations, and when family involvement must be balanced against patient autonomy (National Institute for Health and Care Research, 2024). These tensions require professionals to exercise skilled judgement, drawing on ethical frameworks and professional codes of conduct to determine </w:t>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appropriate courses</w:t>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of action.</w:t>
      </w:r>
      <w:r>
        <w:br/>
      </w:r>
      <w:r>
        <w:br/>
      </w:r>
      <w:r w:rsidRPr="550DF9EE" w:rsidR="2AAE3DA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The interdependence of these principles is crucial to recognise. Person-centred care requires partnership working to coordinate holistic responses to individual needs. Partnership working relies on ethical foundations to navigate professional boundaries and manage conflicts of interest. Ethics guides person-centred decision-making and ensures that collaborative working serves the individual's best interests. Together, these principles support quality care by ensuring that services are responsive, coordinated, and morally grounded.</w:t>
      </w:r>
      <w:r>
        <w:br/>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Task 2: Practical Examples of Concepts in Practice</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These principles are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demonstrated</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through various initiatives within UK health and social care settings, revealing how theoretical concepts translate into improved outcomes.</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Person-centred care in practice is exemplified by Community Health and Wellbeing Workers (CHWWs), who proactively support households facing complex social, mental, and physical health barriers (Marshall, 2025). These workers address wider determinants of health including housing, social connection, and economic circumstances. By building trust and helping people navigate services, CHWWs reduce escalation to costly acute care. This reflects proportional universalism, where support is tailored according to individual need (Marshall, 2025).</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Partnership working in practice is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demonstrated</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through Martha's Rule, implemented in 100 NHS sites from April 2024. Developed following the death of 13-year-old Martha Mills from sepsis, whose family's concerns were unheeded, this policy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provides a mechanism for patients and families</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to call for urgent review (Patients Association, 2024). The initiative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facilitates</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coordination between staff, critical care teams, patients, and families, embodying genuine patient partnership (Patients Association, 2024). This addresses institutional hierarchies where professional voices have historically been prioritised.</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Martha's Rule also illustrates how ethical principles inform responses to systemic failures. The rule recognises health inequalities, acknowledges barriers for patients with lower health literacy, and emphasises genuine two-way communication through diverse approaches (Patients Association, 2024).</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Ethical practice in action is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evident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forms within primary care. Research found these conversations empower patients, respect their wishes, and engage them in decision-making (National Institute for Health and Care Research, 2024). However, professionals must weigh physical harm risk against emotional harm from premature conversations. The research found professionals prioritise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maintaining</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trust, introducing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gently (National Institute for Health and Care Research, 2024),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demonstrating</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how beneficence and non-maleficence guide professional judgement.</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Addressing challenges is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evident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in health inequalities. The NHS faces persistent disparities, with the Inverse Care Law meaning those most in need are least likely to receive care (Marshall, 2025). Person-centred and partnership approaches address these inequalities by adapting support to meet diverse needs. Equity-focused approaches recognise that treating everyone the same perpetuates disadvantage (Marshall, 2025).</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Improving patient care is well-documented. Partnership working improves adherence, earlier deterioration identification, and patient satisfaction. The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research found patients value having their wishes recorded, reducing family caregiving responsibilities (National Institute for Health and Care Research, 2024). The Care Act 2014's (Care Act, 2014) emphasis on coproduction recognises sustainable care is developed collaboratively (Skills for Care, 2026).</w:t>
      </w:r>
      <w:r>
        <w:br/>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Task 3: Self-Reflection as a Health and Social Care Professional</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As a health and social care professional, I recognise these principles must be actively cultivated in day-to-day practice. Reflecting on my development, I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identify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strengths, areas for improvement, and actions to enhance practice.</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Influence on day-to-day work: Person-centred care shapes every interaction, requiring me to see </w:t>
      </w:r>
      <w:bookmarkStart w:name="_Int_yyC3KArt" w:id="1987586855"/>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each individual</w:t>
      </w:r>
      <w:bookmarkEnd w:id="1987586855"/>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holistically. Maslow's Hierarchy (Maslow, 1943) helps me recognise when basic needs block engagement with higher-level goals (Giuffrida and Davila, 2024). For instance, housing insecurity may prevent focus on medication management until safety needs are addressed.</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Partnership working influences interactions with colleagues. The National Occupational Standards (Skills for Care and Development, 2026) require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identifying</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roles, empowering individuals, and working collaboratively. The Health and Care Act 2022's (Health and Care Act, 2022) integration emphasis reinforces this approach (Skills for Care,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Ethical practice guides complex decision-making. The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research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demonstrates</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ethical challenges arise regularly, requiring balance of competing values (National Institute for Health and Care Research, 2024). I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encounter</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tensions between autonomy and best interests, family involvement and confidentiality, and efficiency versus meaningful conversations.</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Current skills and strengths: I have developed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strong communication</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skills including active listening, empathy, and clear explanation. I am skilled at building rapport and trust, essential for sensitive conversations (National Institute for Health and Care Research, 2024). My commitment to reflective practice enables continuous improvement (Open University, 2026a; Open University, 2026b). My understanding of the Care Act 2014's (Care Act, 2014) wellbeing principle and Health and Care Act 2022's (Health and Care Act, 2022) integration requirements </w:t>
      </w:r>
      <w:bookmarkStart w:name="_Int_KW76XnOZ" w:id="914759361"/>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informs</w:t>
      </w:r>
      <w:bookmarkEnd w:id="914759361"/>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my practice.</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Areas for improvement: My understanding of how unconscious bias impacts partnership working needs enhancement. The National Occupational Standards acknowledge personal </w:t>
      </w:r>
      <w:bookmarkStart w:name="_Int_AOwdCab0" w:id="2133196149"/>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experiences</w:t>
      </w:r>
      <w:bookmarkEnd w:id="2133196149"/>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unconscious bias can affect practice, requiring addressing through supervision (Skills for Care and Development, 2026). I need greater self-awareness and feedback to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identify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mitigate biases.</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 need to improve navigating ethical tensions, particularly when patients' wishes conflict with clinical recommendations. The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research illustrates professionals struggle to balance autonomy with protection from harm (National Institute for Health and Care Research, 2024). Developing confidence and skill in these conversations is essential.</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My capacity to advocate across professional boundaries needs strengthening. I sometimes defer to senior professionals rather than robustly advocating for service user perspectives. Developing assertiveness and negotiation skills would enhance partnership working.</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Plan for enhancing knowledge and skills: I will seek supervision focused on ethical dilemmas, bringing real cases to discuss. Supervision is recognised as valuable for professional learning (NHS Education for Scotland,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 will engage with CPD opportunities, particularly modules on ethics and partnership working. The University of Essex (2026) offers flexible CPD pathways enabling practitioners to build knowledge while working (University of Essex,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 will use reflective practice more systematically through reflective journals and formal supervision (NHS Education for Scotland, 2026). The Four Pillars framework—Clinical Practice,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Facilitating</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Learning, Leadership and Service Improvement, Evidence, Research and Development—provides structure for development planning (NHS Education for Scotland,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I will strengthen knowledge of legislation through targeted reading of the Care Act 2014 (Care Act, 2014),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Health</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and Care Act 2022 (Health and Care Act, 2022), and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research (National Institute for Health and Care Research, 2024).</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Longer-term development: I aim to develop leadership capabilities to champion these principles within teams and organisations, contributing to service improvement and advocating for person-centred approaches. The NMAHP Development Framework supports career development and lifelong learning (NHS Education for Scotland,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Ultimately, professional growth depends on sustained commitment to these principles, recognising they evolve with changing contexts. The NHS's founding principles must be renewed through person-centred,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equitable</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approaches (Marshall, 2025). My role is to embody these principles, continuously reflect, and actively pursue development enhancing my ability to support individuals, families, and communities.</w:t>
      </w:r>
      <w:r>
        <w:br/>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Conclusion</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The principles of person-centred care, partnership working, and ethics are essential foundations of UK health and social care practice. Grounded in legislative frameworks including the Care Act 2014 (Care Act, 2014) and Health and Care Act 2022 (Health and Care Act, 2022), and supported by Maslow's Hierarchy of Needs (Maslow, 1943), these principles guide quality care delivery. Practical initiatives including Martha's Rule (Patients Association, 2024), Community Health and Wellbeing Workers (Marshall, 2025), and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processes (National Institute for Health and Care Research, 2024)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demonstrate</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how these principles translate into improved outcomes. For professionals, conscious cultivation through reflective practice, professional development, and ethical engagement is essential for individual growth and service improvement.</w:t>
      </w:r>
      <w:r>
        <w:br/>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References</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Care Act 2014 (c.23). London: HMSO.</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Giuffrida, P. and Davila, S. (2024) 'Addressing nursing shortages and patient safety using Maslow's hierarchy of needs', Nursing, 54(1), pp.35-40.</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Health and Care Act 2022 (c.31). London: HMSO.</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Marshall, J. (2025) 'Towards a More Equitable NHS: Moving Beyond Equality to Real Equity', National Association of Primary Care. Available at: </w:t>
      </w:r>
      <w:hyperlink r:id="R188e7841fab14bea">
        <w:r w:rsidRPr="550DF9EE" w:rsidR="0FEA1E9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https://napc.co.uk</w:t>
        </w:r>
      </w:hyperlink>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w:t>
      </w:r>
      <w:r w:rsidRPr="550DF9EE" w:rsidR="3F2AA11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01</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w:t>
      </w:r>
      <w:r w:rsidRPr="550DF9EE" w:rsidR="1D013710">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uly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Maslow, A.H. (1943) 'A theory of human motivation', Psychological Review, 50(4), pp.370-396.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National Institute for Health and Care Research (2024) 'Ethical values and dilemmas in the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ReSPECT</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process', in Using the Recommended Summary Plan for Emergency Care and Treatment in Primary Care. Southampton: NIHR.</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NHS Education for Scotland (2026) 'NMAHP personal development planning hub', Turas Learn. Available at: </w:t>
      </w:r>
      <w:hyperlink r:id="R164586047c8c49c0">
        <w:r w:rsidRPr="550DF9EE" w:rsidR="0FEA1E9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https://learn.nes.nhs.scot</w:t>
        </w:r>
      </w:hyperlink>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w:t>
      </w:r>
      <w:r w:rsidRPr="550DF9EE" w:rsidR="51A777D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01</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w:t>
      </w:r>
      <w:r w:rsidRPr="550DF9EE" w:rsidR="6A36DE1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Open University (2026a) 'Diploma of Higher Education in Health and Social Care - Learning outcomes'. Available at: </w:t>
      </w:r>
      <w:hyperlink r:id="R5e3cf4dc0e0d4cbb">
        <w:r w:rsidRPr="550DF9EE" w:rsidR="0FEA1E9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https://www.open.ac.uk</w:t>
        </w:r>
      </w:hyperlink>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w:t>
      </w:r>
      <w:r w:rsidRPr="550DF9EE" w:rsidR="354CF524">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02</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Ju</w:t>
      </w:r>
      <w:r w:rsidRPr="550DF9EE" w:rsidR="048D2CC2">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Open University (2026b) 'BA (Honours) Health and Social Care - Learning outcomes'. Available at: </w:t>
      </w:r>
      <w:hyperlink r:id="R85da0da422ce4d7a">
        <w:r w:rsidRPr="550DF9EE" w:rsidR="0FEA1E9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https://www.open.ac.uk</w:t>
        </w:r>
      </w:hyperlink>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w:t>
      </w:r>
      <w:r w:rsidRPr="550DF9EE" w:rsidR="48AD028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02</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w:t>
      </w:r>
      <w:r w:rsidRPr="550DF9EE" w:rsidR="2DB8D9BA">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Patients Association (2024) 'Martha's Rule - a major step for patient partnership'. Available at: </w:t>
      </w:r>
      <w:hyperlink r:id="R4eefb747fe21490f">
        <w:r w:rsidRPr="550DF9EE" w:rsidR="0FEA1E9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https://thepatientsassociation.eu.rit.org.uk</w:t>
        </w:r>
      </w:hyperlink>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w:t>
      </w:r>
      <w:r w:rsidRPr="550DF9EE" w:rsidR="1851C54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01</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w:t>
      </w:r>
      <w:r w:rsidRPr="550DF9EE" w:rsidR="4A9770E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Skills for Care (2026) 'Commissioning legislation, statutory duties and regulatory frameworks'. Available at: </w:t>
      </w:r>
      <w:hyperlink r:id="Re4c4943dbad6474c">
        <w:r w:rsidRPr="550DF9EE" w:rsidR="0FEA1E9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https://www.skillsforcare.org.uk</w:t>
        </w:r>
      </w:hyperlink>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w:t>
      </w:r>
      <w:r w:rsidRPr="550DF9EE" w:rsidR="26DCEEC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03</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w:t>
      </w:r>
      <w:r w:rsidRPr="550DF9EE" w:rsidR="2EC528C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Skills for Care and Development (2026) 'Promote care or support packages through partnership working', National Occupational Standards. Available at: </w:t>
      </w:r>
      <w:hyperlink r:id="R246212933f9f4c24">
        <w:r w:rsidRPr="550DF9EE" w:rsidR="0FEA1E9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https://www.ukstandards.org.uk</w:t>
        </w:r>
      </w:hyperlink>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w:t>
      </w:r>
      <w:r w:rsidRPr="550DF9EE" w:rsidR="79AB4B49">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02</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w:t>
      </w:r>
      <w:r w:rsidRPr="550DF9EE" w:rsidR="2F82C648">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2026).</w:t>
      </w:r>
      <w:r>
        <w:br/>
      </w:r>
      <w:r>
        <w:br/>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University of Essex (2026) 'Continuing Personal and Professional Development in the School of Health and Social Care'. Available at: </w:t>
      </w:r>
      <w:hyperlink r:id="Raf68ade87ae24148">
        <w:r w:rsidRPr="550DF9EE" w:rsidR="0FEA1E9D">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https://www.essex.ac.uk</w:t>
        </w:r>
      </w:hyperlink>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(Accessed: </w:t>
      </w:r>
      <w:r w:rsidRPr="550DF9EE" w:rsidR="2D247553">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01</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Ju</w:t>
      </w:r>
      <w:r w:rsidRPr="550DF9EE" w:rsidR="1C175D5B">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ly</w:t>
      </w:r>
      <w:r w:rsidRPr="550DF9EE" w:rsidR="0FEA1E9D">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2026).</w:t>
      </w:r>
    </w:p>
    <w:sectPr>
      <w:pgSz w:w="11906" w:h="16838" w:orient="portrait"/>
      <w:pgMar w:top="1440" w:right="1440" w:bottom="1440" w:left="1440" w:header="720" w:footer="720" w:gutter="0"/>
      <w:cols w:space="720"/>
      <w:docGrid w:linePitch="360"/>
      <w:headerReference w:type="default" r:id="R592e9cf2e25e4c03"/>
      <w:footerReference w:type="default" r:id="Rca108a09dc324b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0DF9EE" w:rsidTr="550DF9EE" w14:paraId="1BC7D8D1">
      <w:trPr>
        <w:trHeight w:val="300"/>
      </w:trPr>
      <w:tc>
        <w:tcPr>
          <w:tcW w:w="3005" w:type="dxa"/>
          <w:tcMar/>
        </w:tcPr>
        <w:p w:rsidR="550DF9EE" w:rsidP="550DF9EE" w:rsidRDefault="550DF9EE" w14:paraId="5755395B" w14:textId="3C47D5FD">
          <w:pPr>
            <w:pStyle w:val="Header"/>
            <w:bidi w:val="0"/>
            <w:ind w:left="-115"/>
            <w:jc w:val="left"/>
          </w:pPr>
        </w:p>
      </w:tc>
      <w:tc>
        <w:tcPr>
          <w:tcW w:w="3005" w:type="dxa"/>
          <w:tcMar/>
        </w:tcPr>
        <w:p w:rsidR="550DF9EE" w:rsidP="550DF9EE" w:rsidRDefault="550DF9EE" w14:paraId="7634158B" w14:textId="35D73571">
          <w:pPr>
            <w:pStyle w:val="Header"/>
            <w:bidi w:val="0"/>
            <w:jc w:val="center"/>
          </w:pPr>
        </w:p>
      </w:tc>
      <w:tc>
        <w:tcPr>
          <w:tcW w:w="3005" w:type="dxa"/>
          <w:tcMar/>
        </w:tcPr>
        <w:p w:rsidR="550DF9EE" w:rsidP="550DF9EE" w:rsidRDefault="550DF9EE" w14:paraId="79819716" w14:textId="0A5FBE83">
          <w:pPr>
            <w:pStyle w:val="Header"/>
            <w:bidi w:val="0"/>
            <w:ind w:right="-115"/>
            <w:jc w:val="right"/>
          </w:pPr>
          <w:r>
            <w:fldChar w:fldCharType="begin"/>
          </w:r>
          <w:r>
            <w:instrText xml:space="preserve">PAGE</w:instrText>
          </w:r>
          <w:r>
            <w:fldChar w:fldCharType="separate"/>
          </w:r>
          <w:r>
            <w:fldChar w:fldCharType="end"/>
          </w:r>
        </w:p>
      </w:tc>
    </w:tr>
  </w:tbl>
  <w:p w:rsidR="550DF9EE" w:rsidP="550DF9EE" w:rsidRDefault="550DF9EE" w14:paraId="1C201700" w14:textId="0452CD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50DF9EE" w:rsidTr="550DF9EE" w14:paraId="4BE01C7C">
      <w:trPr>
        <w:trHeight w:val="300"/>
      </w:trPr>
      <w:tc>
        <w:tcPr>
          <w:tcW w:w="3005" w:type="dxa"/>
          <w:tcMar/>
        </w:tcPr>
        <w:p w:rsidR="550DF9EE" w:rsidP="550DF9EE" w:rsidRDefault="550DF9EE" w14:paraId="4EB90460" w14:textId="1F649CBA">
          <w:pPr>
            <w:pStyle w:val="Header"/>
            <w:bidi w:val="0"/>
            <w:ind w:left="-115"/>
            <w:jc w:val="left"/>
          </w:pPr>
        </w:p>
      </w:tc>
      <w:tc>
        <w:tcPr>
          <w:tcW w:w="3005" w:type="dxa"/>
          <w:tcMar/>
        </w:tcPr>
        <w:p w:rsidR="550DF9EE" w:rsidP="550DF9EE" w:rsidRDefault="550DF9EE" w14:paraId="647C9707" w14:textId="6057D399">
          <w:pPr>
            <w:pStyle w:val="Header"/>
            <w:bidi w:val="0"/>
            <w:jc w:val="center"/>
          </w:pPr>
        </w:p>
      </w:tc>
      <w:tc>
        <w:tcPr>
          <w:tcW w:w="3005" w:type="dxa"/>
          <w:tcMar/>
        </w:tcPr>
        <w:p w:rsidR="550DF9EE" w:rsidP="550DF9EE" w:rsidRDefault="550DF9EE" w14:paraId="2BF44325" w14:textId="64B156B0">
          <w:pPr>
            <w:pStyle w:val="Header"/>
            <w:bidi w:val="0"/>
            <w:ind w:right="-115"/>
            <w:jc w:val="right"/>
          </w:pPr>
        </w:p>
      </w:tc>
    </w:tr>
  </w:tbl>
  <w:p w:rsidR="550DF9EE" w:rsidP="550DF9EE" w:rsidRDefault="550DF9EE" w14:paraId="5EDDD35C" w14:textId="14C0D77D">
    <w:pPr>
      <w:pStyle w:val="Header"/>
      <w:bidi w:val="0"/>
    </w:pPr>
  </w:p>
</w:hdr>
</file>

<file path=word/intelligence2.xml><?xml version="1.0" encoding="utf-8"?>
<int2:intelligence xmlns:int2="http://schemas.microsoft.com/office/intelligence/2020/intelligence">
  <int2:observations>
    <int2:bookmark int2:bookmarkName="_Int_tpNrFg8D" int2:invalidationBookmarkName="" int2:hashCode="z1GJJyyxip8LQ+" int2:id="P7EFDli7">
      <int2:state int2:type="gram" int2:value="Rejected"/>
    </int2:bookmark>
    <int2:bookmark int2:bookmarkName="_Int_KW76XnOZ" int2:invalidationBookmarkName="" int2:hashCode="FxYNK93fzk1cx5" int2:id="YqlUhu7V">
      <int2:state int2:type="gram" int2:value="Rejected"/>
    </int2:bookmark>
    <int2:bookmark int2:bookmarkName="_Int_AOwdCab0" int2:invalidationBookmarkName="" int2:hashCode="r2bNWePkU63yOF" int2:id="eIEnTdFM">
      <int2:state int2:type="gram" int2:value="Rejected"/>
    </int2:bookmark>
    <int2:bookmark int2:bookmarkName="_Int_yyC3KArt" int2:invalidationBookmarkName="" int2:hashCode="ZdGjZKcdQXLN1H" int2:id="EjPX5ms4">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73752B"/>
    <w:rsid w:val="009E8FC3"/>
    <w:rsid w:val="020018C4"/>
    <w:rsid w:val="02BA3F4C"/>
    <w:rsid w:val="034DE7C1"/>
    <w:rsid w:val="048D2CC2"/>
    <w:rsid w:val="06A5ED38"/>
    <w:rsid w:val="0ADEEABA"/>
    <w:rsid w:val="0C26FC51"/>
    <w:rsid w:val="0FEA1E9D"/>
    <w:rsid w:val="12982B3F"/>
    <w:rsid w:val="14747655"/>
    <w:rsid w:val="1507F5E5"/>
    <w:rsid w:val="17157561"/>
    <w:rsid w:val="17368F69"/>
    <w:rsid w:val="1851C548"/>
    <w:rsid w:val="18E7526D"/>
    <w:rsid w:val="1C175D5B"/>
    <w:rsid w:val="1D013710"/>
    <w:rsid w:val="236DDAFE"/>
    <w:rsid w:val="23C3270E"/>
    <w:rsid w:val="25111D11"/>
    <w:rsid w:val="264A6C7C"/>
    <w:rsid w:val="26DCEEC8"/>
    <w:rsid w:val="27834ADB"/>
    <w:rsid w:val="2A64002D"/>
    <w:rsid w:val="2AAE3DAD"/>
    <w:rsid w:val="2D247553"/>
    <w:rsid w:val="2DB8D9BA"/>
    <w:rsid w:val="2E9B68AF"/>
    <w:rsid w:val="2EC528C5"/>
    <w:rsid w:val="2F2FAF32"/>
    <w:rsid w:val="2F82C648"/>
    <w:rsid w:val="30202330"/>
    <w:rsid w:val="31E87C10"/>
    <w:rsid w:val="3275719D"/>
    <w:rsid w:val="32A7E319"/>
    <w:rsid w:val="34E58633"/>
    <w:rsid w:val="354CF524"/>
    <w:rsid w:val="3AFA02BE"/>
    <w:rsid w:val="3BBFA45D"/>
    <w:rsid w:val="3CE2296B"/>
    <w:rsid w:val="3D73752B"/>
    <w:rsid w:val="3DC20101"/>
    <w:rsid w:val="3ECA369E"/>
    <w:rsid w:val="3F2AA118"/>
    <w:rsid w:val="3F2C6C9B"/>
    <w:rsid w:val="4087569E"/>
    <w:rsid w:val="40AF045E"/>
    <w:rsid w:val="41EEA88A"/>
    <w:rsid w:val="42EED040"/>
    <w:rsid w:val="4351B9BA"/>
    <w:rsid w:val="4717FE68"/>
    <w:rsid w:val="48AD0285"/>
    <w:rsid w:val="496229F0"/>
    <w:rsid w:val="496F6526"/>
    <w:rsid w:val="4A9770EB"/>
    <w:rsid w:val="4D09F7B1"/>
    <w:rsid w:val="501F57A5"/>
    <w:rsid w:val="50989AD8"/>
    <w:rsid w:val="50C0A9A3"/>
    <w:rsid w:val="51A777D2"/>
    <w:rsid w:val="5218E267"/>
    <w:rsid w:val="550DF9EE"/>
    <w:rsid w:val="56F1B6CA"/>
    <w:rsid w:val="59CE1B84"/>
    <w:rsid w:val="5BC53461"/>
    <w:rsid w:val="5C812464"/>
    <w:rsid w:val="5CE2CB95"/>
    <w:rsid w:val="5D545928"/>
    <w:rsid w:val="5DFD79FB"/>
    <w:rsid w:val="5F218677"/>
    <w:rsid w:val="63CD0C94"/>
    <w:rsid w:val="667532E2"/>
    <w:rsid w:val="6A36DE14"/>
    <w:rsid w:val="6D3CAD57"/>
    <w:rsid w:val="6D972EB3"/>
    <w:rsid w:val="6E7DB2B7"/>
    <w:rsid w:val="703EB3D9"/>
    <w:rsid w:val="72E2541A"/>
    <w:rsid w:val="7359D058"/>
    <w:rsid w:val="7682FDD7"/>
    <w:rsid w:val="79AB4B49"/>
    <w:rsid w:val="7B4FE267"/>
    <w:rsid w:val="7B6D1995"/>
    <w:rsid w:val="7B74E837"/>
    <w:rsid w:val="7F5D6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9CF74"/>
  <w15:chartTrackingRefBased/>
  <w15:docId w15:val="{7967C227-2617-448C-AC6A-D2CB4A5CC9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50DF9EE"/>
    <w:rPr>
      <w:color w:val="467886"/>
      <w:u w:val="single"/>
    </w:rPr>
  </w:style>
  <w:style w:type="paragraph" w:styleId="Header">
    <w:uiPriority w:val="99"/>
    <w:name w:val="header"/>
    <w:basedOn w:val="Normal"/>
    <w:unhideWhenUsed/>
    <w:rsid w:val="550DF9EE"/>
    <w:pPr>
      <w:tabs>
        <w:tab w:val="center" w:leader="none" w:pos="4680"/>
        <w:tab w:val="right" w:leader="none" w:pos="9360"/>
      </w:tabs>
      <w:spacing w:after="0" w:line="240" w:lineRule="auto"/>
    </w:pPr>
  </w:style>
  <w:style w:type="paragraph" w:styleId="Footer">
    <w:uiPriority w:val="99"/>
    <w:name w:val="footer"/>
    <w:basedOn w:val="Normal"/>
    <w:unhideWhenUsed/>
    <w:rsid w:val="550DF9E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napc.co.uk/" TargetMode="External" Id="R188e7841fab14bea" /><Relationship Type="http://schemas.openxmlformats.org/officeDocument/2006/relationships/hyperlink" Target="https://learn.nes.nhs.scot/" TargetMode="External" Id="R164586047c8c49c0" /><Relationship Type="http://schemas.openxmlformats.org/officeDocument/2006/relationships/hyperlink" Target="https://www.open.ac.uk/" TargetMode="External" Id="R5e3cf4dc0e0d4cbb" /><Relationship Type="http://schemas.openxmlformats.org/officeDocument/2006/relationships/hyperlink" Target="https://www.open.ac.uk/" TargetMode="External" Id="R85da0da422ce4d7a" /><Relationship Type="http://schemas.openxmlformats.org/officeDocument/2006/relationships/hyperlink" Target="https://thepatientsassociation.eu.rit.org.uk/" TargetMode="External" Id="R4eefb747fe21490f" /><Relationship Type="http://schemas.openxmlformats.org/officeDocument/2006/relationships/hyperlink" Target="https://www.skillsforcare.org.uk/" TargetMode="External" Id="Re4c4943dbad6474c" /><Relationship Type="http://schemas.openxmlformats.org/officeDocument/2006/relationships/hyperlink" Target="https://www.ukstandards.org.uk/" TargetMode="External" Id="R246212933f9f4c24" /><Relationship Type="http://schemas.openxmlformats.org/officeDocument/2006/relationships/hyperlink" Target="https://www.essex.ac.uk/" TargetMode="External" Id="Raf68ade87ae24148" /><Relationship Type="http://schemas.openxmlformats.org/officeDocument/2006/relationships/header" Target="/word/header.xml" Id="R592e9cf2e25e4c03" /><Relationship Type="http://schemas.openxmlformats.org/officeDocument/2006/relationships/footer" Target="/word/footer.xml" Id="Rca108a09dc324bd4" /><Relationship Type="http://schemas.microsoft.com/office/2020/10/relationships/intelligence" Target="/word/intelligence2.xml" Id="R360b4f0bc3f94ad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Sadia Ousman (2235624)</dc:creator>
  <keywords/>
  <dc:description/>
  <lastModifiedBy>Sadia Ousman (2235624)</lastModifiedBy>
  <revision>2</revision>
  <dcterms:created xsi:type="dcterms:W3CDTF">2026-07-02T22:37:48.4900071Z</dcterms:created>
  <dcterms:modified xsi:type="dcterms:W3CDTF">2026-07-03T00:16:36.2538248Z</dcterms:modified>
</coreProperties>
</file>