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9EB58" w14:textId="77777777" w:rsidR="00DC7243" w:rsidRDefault="00DC7243">
      <w:pPr>
        <w:spacing w:line="480" w:lineRule="auto"/>
        <w:jc w:val="both"/>
        <w:rPr>
          <w:rFonts w:ascii="Arial" w:hAnsi="Arial" w:cs="Arial"/>
        </w:rPr>
      </w:pPr>
    </w:p>
    <w:p w14:paraId="7EA68F05" w14:textId="77777777" w:rsidR="00DC7243" w:rsidRDefault="00DC7243">
      <w:pPr>
        <w:spacing w:line="480" w:lineRule="auto"/>
        <w:jc w:val="both"/>
        <w:rPr>
          <w:rFonts w:ascii="Arial" w:hAnsi="Arial" w:cs="Arial"/>
        </w:rPr>
      </w:pPr>
    </w:p>
    <w:p w14:paraId="56C99CFD" w14:textId="77777777" w:rsidR="00DC7243" w:rsidRDefault="00DC7243">
      <w:pPr>
        <w:spacing w:line="480" w:lineRule="auto"/>
        <w:jc w:val="both"/>
        <w:rPr>
          <w:rFonts w:ascii="Arial" w:hAnsi="Arial" w:cs="Arial"/>
        </w:rPr>
      </w:pPr>
    </w:p>
    <w:p w14:paraId="0F987E97" w14:textId="77777777" w:rsidR="00DC7243" w:rsidRDefault="00DC7243">
      <w:pPr>
        <w:spacing w:line="480" w:lineRule="auto"/>
        <w:jc w:val="both"/>
        <w:rPr>
          <w:rFonts w:ascii="Arial" w:hAnsi="Arial" w:cs="Arial"/>
        </w:rPr>
      </w:pPr>
    </w:p>
    <w:p w14:paraId="683D10D0" w14:textId="77777777" w:rsidR="00DC7243" w:rsidRDefault="00DC7243">
      <w:pPr>
        <w:spacing w:line="480" w:lineRule="auto"/>
        <w:jc w:val="both"/>
        <w:rPr>
          <w:rFonts w:ascii="Arial" w:hAnsi="Arial" w:cs="Arial"/>
        </w:rPr>
      </w:pPr>
    </w:p>
    <w:p w14:paraId="09BAF0FB" w14:textId="77777777" w:rsidR="00DC7243" w:rsidRDefault="00DC7243">
      <w:pPr>
        <w:spacing w:line="480" w:lineRule="auto"/>
        <w:jc w:val="both"/>
        <w:rPr>
          <w:rFonts w:ascii="Arial" w:hAnsi="Arial" w:cs="Arial"/>
        </w:rPr>
      </w:pPr>
    </w:p>
    <w:p w14:paraId="63BB727F" w14:textId="77777777" w:rsidR="00DC7243" w:rsidRDefault="00DC7243">
      <w:pPr>
        <w:spacing w:line="480" w:lineRule="auto"/>
        <w:jc w:val="both"/>
        <w:rPr>
          <w:rFonts w:ascii="Arial" w:hAnsi="Arial" w:cs="Arial"/>
        </w:rPr>
      </w:pPr>
    </w:p>
    <w:p w14:paraId="29245D83" w14:textId="77777777" w:rsidR="00DC7243" w:rsidRDefault="00EA50A8">
      <w:pPr>
        <w:spacing w:line="480" w:lineRule="auto"/>
        <w:jc w:val="center"/>
        <w:rPr>
          <w:rFonts w:ascii="Arial" w:hAnsi="Arial" w:cs="Arial"/>
          <w:b/>
          <w:bCs/>
          <w:sz w:val="32"/>
          <w:szCs w:val="32"/>
        </w:rPr>
      </w:pPr>
      <w:r>
        <w:rPr>
          <w:rFonts w:ascii="Arial" w:hAnsi="Arial" w:cs="Arial"/>
          <w:b/>
          <w:bCs/>
          <w:sz w:val="32"/>
          <w:szCs w:val="32"/>
        </w:rPr>
        <w:t>Critical evaluation of the competitive and development strategies of Tesla</w:t>
      </w:r>
    </w:p>
    <w:p w14:paraId="7324293A" w14:textId="77777777" w:rsidR="00DC7243" w:rsidRDefault="00DC7243">
      <w:pPr>
        <w:spacing w:line="480" w:lineRule="auto"/>
        <w:jc w:val="center"/>
        <w:rPr>
          <w:rFonts w:ascii="Arial" w:hAnsi="Arial" w:cs="Arial"/>
        </w:rPr>
      </w:pPr>
    </w:p>
    <w:p w14:paraId="4D4E9094" w14:textId="77777777" w:rsidR="00DC7243" w:rsidRDefault="00DC7243">
      <w:pPr>
        <w:spacing w:line="480" w:lineRule="auto"/>
        <w:jc w:val="both"/>
        <w:rPr>
          <w:rFonts w:ascii="Arial" w:hAnsi="Arial" w:cs="Arial"/>
        </w:rPr>
      </w:pPr>
    </w:p>
    <w:p w14:paraId="5A0D5701" w14:textId="77777777" w:rsidR="00DC7243" w:rsidRDefault="00EA50A8">
      <w:pPr>
        <w:spacing w:line="480" w:lineRule="auto"/>
        <w:jc w:val="both"/>
        <w:rPr>
          <w:rFonts w:ascii="Arial" w:hAnsi="Arial" w:cs="Arial"/>
          <w:lang w:val="en-US" w:eastAsia="zh-CN"/>
        </w:rPr>
      </w:pPr>
      <w:r>
        <w:rPr>
          <w:rFonts w:ascii="Arial" w:hAnsi="Arial" w:cs="Arial" w:hint="eastAsia"/>
          <w:lang w:val="en-US" w:eastAsia="zh-CN"/>
        </w:rPr>
        <w:t xml:space="preserve">             </w:t>
      </w:r>
    </w:p>
    <w:p w14:paraId="4CCFA804" w14:textId="77777777" w:rsidR="00DC7243" w:rsidRDefault="00DC7243">
      <w:pPr>
        <w:spacing w:line="480" w:lineRule="auto"/>
        <w:jc w:val="both"/>
        <w:rPr>
          <w:rFonts w:ascii="Arial" w:hAnsi="Arial" w:cs="Arial"/>
          <w:lang w:val="en-US" w:eastAsia="zh-CN"/>
        </w:rPr>
      </w:pPr>
    </w:p>
    <w:p w14:paraId="556D7572" w14:textId="77777777" w:rsidR="00DC7243" w:rsidRDefault="00DC7243">
      <w:pPr>
        <w:spacing w:line="480" w:lineRule="auto"/>
        <w:jc w:val="both"/>
        <w:rPr>
          <w:rFonts w:ascii="Arial" w:hAnsi="Arial" w:cs="Arial"/>
          <w:lang w:val="en-US" w:eastAsia="zh-CN"/>
        </w:rPr>
      </w:pPr>
    </w:p>
    <w:p w14:paraId="633F8801" w14:textId="77777777" w:rsidR="00DC7243" w:rsidRDefault="00DC7243">
      <w:pPr>
        <w:spacing w:line="480" w:lineRule="auto"/>
        <w:jc w:val="both"/>
        <w:rPr>
          <w:rFonts w:ascii="Arial" w:hAnsi="Arial" w:cs="Arial"/>
          <w:lang w:val="en-US" w:eastAsia="zh-CN"/>
        </w:rPr>
      </w:pPr>
    </w:p>
    <w:p w14:paraId="1751764B" w14:textId="77777777" w:rsidR="00DC7243" w:rsidRDefault="00DC7243">
      <w:pPr>
        <w:spacing w:line="480" w:lineRule="auto"/>
        <w:jc w:val="both"/>
        <w:rPr>
          <w:rFonts w:ascii="Arial" w:hAnsi="Arial" w:cs="Arial"/>
          <w:lang w:val="en-US" w:eastAsia="zh-CN"/>
        </w:rPr>
      </w:pPr>
    </w:p>
    <w:p w14:paraId="2B33CC40" w14:textId="77777777" w:rsidR="00DC7243" w:rsidRDefault="00DC7243">
      <w:pPr>
        <w:spacing w:line="480" w:lineRule="auto"/>
        <w:jc w:val="both"/>
        <w:rPr>
          <w:rFonts w:ascii="Arial" w:hAnsi="Arial" w:cs="Arial"/>
          <w:lang w:val="en-US" w:eastAsia="zh-CN"/>
        </w:rPr>
      </w:pPr>
    </w:p>
    <w:p w14:paraId="7D2F8525" w14:textId="77777777" w:rsidR="00DC7243" w:rsidRDefault="00DC7243">
      <w:pPr>
        <w:spacing w:line="480" w:lineRule="auto"/>
        <w:jc w:val="both"/>
        <w:rPr>
          <w:rFonts w:ascii="Arial" w:hAnsi="Arial" w:cs="Arial"/>
          <w:lang w:val="en-US" w:eastAsia="zh-CN"/>
        </w:rPr>
      </w:pPr>
    </w:p>
    <w:p w14:paraId="2313CABD" w14:textId="77777777" w:rsidR="00DC7243" w:rsidRDefault="00DC7243">
      <w:pPr>
        <w:spacing w:line="480" w:lineRule="auto"/>
        <w:jc w:val="both"/>
        <w:rPr>
          <w:rFonts w:ascii="Arial" w:hAnsi="Arial" w:cs="Arial"/>
          <w:lang w:val="en-US" w:eastAsia="zh-CN"/>
        </w:rPr>
      </w:pPr>
    </w:p>
    <w:p w14:paraId="49557686" w14:textId="77777777" w:rsidR="00DC7243" w:rsidRDefault="00EA50A8">
      <w:pPr>
        <w:spacing w:line="480" w:lineRule="auto"/>
        <w:jc w:val="both"/>
        <w:rPr>
          <w:rFonts w:ascii="Arial" w:hAnsi="Arial" w:cs="Arial"/>
          <w:lang w:val="en-US" w:eastAsia="zh-CN"/>
        </w:rPr>
      </w:pPr>
      <w:r>
        <w:rPr>
          <w:rFonts w:ascii="Arial" w:hAnsi="Arial" w:cs="Arial" w:hint="eastAsia"/>
          <w:lang w:val="en-US" w:eastAsia="zh-CN"/>
        </w:rPr>
        <w:t xml:space="preserve"> </w:t>
      </w:r>
    </w:p>
    <w:p w14:paraId="6EB0BF8E" w14:textId="77777777" w:rsidR="00DC7243" w:rsidRDefault="00EA50A8">
      <w:pPr>
        <w:spacing w:line="480" w:lineRule="auto"/>
        <w:jc w:val="center"/>
        <w:rPr>
          <w:rFonts w:ascii="Arial" w:hAnsi="Arial" w:cs="Arial"/>
          <w:b/>
          <w:bCs/>
          <w:lang w:val="en-US" w:eastAsia="zh-CN"/>
        </w:rPr>
      </w:pPr>
      <w:r>
        <w:rPr>
          <w:rFonts w:ascii="Arial" w:hAnsi="Arial" w:cs="Arial" w:hint="eastAsia"/>
          <w:b/>
          <w:bCs/>
          <w:lang w:val="en-US" w:eastAsia="zh-CN"/>
        </w:rPr>
        <w:t xml:space="preserve">                                                                                       Tongxin Tang   2107042</w:t>
      </w:r>
    </w:p>
    <w:p w14:paraId="0DB1925D" w14:textId="77777777" w:rsidR="00DC7243" w:rsidRDefault="00EA50A8">
      <w:pPr>
        <w:spacing w:line="480" w:lineRule="auto"/>
        <w:jc w:val="center"/>
        <w:rPr>
          <w:rFonts w:ascii="Arial" w:hAnsi="Arial" w:cs="Arial"/>
          <w:b/>
          <w:bCs/>
          <w:lang w:val="en-US" w:eastAsia="zh-CN"/>
        </w:rPr>
      </w:pPr>
      <w:r>
        <w:rPr>
          <w:rFonts w:ascii="Arial" w:hAnsi="Arial" w:cs="Arial" w:hint="eastAsia"/>
          <w:b/>
          <w:bCs/>
          <w:lang w:val="en-US" w:eastAsia="zh-CN"/>
        </w:rPr>
        <w:t xml:space="preserve">                                      BMBM6015 Strategic Management and Sustainability</w:t>
      </w:r>
    </w:p>
    <w:p w14:paraId="7048C34A" w14:textId="77777777" w:rsidR="00DC7243" w:rsidRDefault="00EA50A8">
      <w:pPr>
        <w:spacing w:line="480" w:lineRule="auto"/>
        <w:jc w:val="both"/>
        <w:rPr>
          <w:rFonts w:ascii="Arial" w:hAnsi="Arial" w:cs="Arial"/>
          <w:b/>
          <w:bCs/>
          <w:lang w:val="en-US" w:eastAsia="zh-CN"/>
        </w:rPr>
        <w:sectPr w:rsidR="00DC7243">
          <w:footerReference w:type="even" r:id="rId7"/>
          <w:footerReference w:type="default" r:id="rId8"/>
          <w:pgSz w:w="11900" w:h="16840"/>
          <w:pgMar w:top="1440" w:right="1440" w:bottom="1440" w:left="1440" w:header="708" w:footer="708" w:gutter="0"/>
          <w:pgNumType w:fmt="lowerRoman"/>
          <w:cols w:space="708"/>
          <w:docGrid w:linePitch="360"/>
        </w:sectPr>
      </w:pPr>
      <w:r>
        <w:rPr>
          <w:rFonts w:ascii="Arial" w:hAnsi="Arial" w:cs="Arial" w:hint="eastAsia"/>
          <w:b/>
          <w:bCs/>
          <w:lang w:val="en-US" w:eastAsia="zh-CN"/>
        </w:rPr>
        <w:t xml:space="preserve">  </w:t>
      </w:r>
    </w:p>
    <w:p w14:paraId="3278CEFE" w14:textId="77777777" w:rsidR="00DC7243" w:rsidRDefault="00EA50A8">
      <w:pPr>
        <w:spacing w:line="480" w:lineRule="auto"/>
        <w:jc w:val="center"/>
        <w:rPr>
          <w:rFonts w:ascii="Arial" w:hAnsi="Arial" w:cs="Arial"/>
          <w:b/>
          <w:bCs/>
        </w:rPr>
      </w:pPr>
      <w:r>
        <w:rPr>
          <w:rFonts w:ascii="Arial" w:hAnsi="Arial" w:cs="Arial"/>
          <w:b/>
          <w:bCs/>
        </w:rPr>
        <w:lastRenderedPageBreak/>
        <w:t>Executive summary</w:t>
      </w:r>
    </w:p>
    <w:p w14:paraId="5FA9A955" w14:textId="77777777" w:rsidR="00DC7243" w:rsidRDefault="00EA50A8">
      <w:pPr>
        <w:autoSpaceDE w:val="0"/>
        <w:autoSpaceDN w:val="0"/>
        <w:adjustRightInd w:val="0"/>
        <w:spacing w:line="480" w:lineRule="auto"/>
        <w:jc w:val="both"/>
        <w:rPr>
          <w:rFonts w:ascii="Arial" w:hAnsi="Arial" w:cs="Arial"/>
        </w:rPr>
      </w:pPr>
      <w:r>
        <w:rPr>
          <w:rFonts w:ascii="Arial" w:hAnsi="Arial" w:cs="Arial"/>
        </w:rPr>
        <w:t xml:space="preserve">This report set out to critically evaluate the competitive and development strategies of Tesla. On account of Porter’s generic strategies, the findings demonstrated that the competitive strategy utilized by </w:t>
      </w:r>
      <w:r>
        <w:rPr>
          <w:rFonts w:ascii="Arial" w:hAnsi="Arial" w:cs="Arial"/>
        </w:rPr>
        <w:t>Tesla in developing its current position was the differentiation competitive strategy. Resultantly, this enabled Tesla to offer high-quality products at premium pricing. It also enabled Tesla to become the most valuable automotive brand globally. The criti</w:t>
      </w:r>
      <w:r>
        <w:rPr>
          <w:rFonts w:ascii="Arial" w:hAnsi="Arial" w:cs="Arial"/>
        </w:rPr>
        <w:t>cal evaluation of the competitive strategy of Tesla within its competitive position, revealed that the benefits included distancing Tesla from the rest of the competition, creation of a significant competitive advantage for Tesla and increasing flexibility</w:t>
      </w:r>
      <w:r>
        <w:rPr>
          <w:rFonts w:ascii="Arial" w:hAnsi="Arial" w:cs="Arial"/>
        </w:rPr>
        <w:t xml:space="preserve"> for Tesla. However, in using the differentiation competitive strategy, Tesla faced challenges of sustaining the basis for differentiation, was likely to incur higher costs of manufacturing and product development. At the same time, it was also established</w:t>
      </w:r>
      <w:r>
        <w:rPr>
          <w:rFonts w:ascii="Arial" w:hAnsi="Arial" w:cs="Arial"/>
        </w:rPr>
        <w:t xml:space="preserve"> that Tesla faced difficulty in realizing true and meaningful differentiation. Hence, it was suggested that Tesla should focus on improving its cost structure to reduce competitive disadvantages faced as a result of differentiation competitive strategy. Mo</w:t>
      </w:r>
      <w:r>
        <w:rPr>
          <w:rFonts w:ascii="Arial" w:hAnsi="Arial" w:cs="Arial"/>
        </w:rPr>
        <w:t>reover, Tesla should increase electric car production capacity to meet growing demand. Other suggestions for improving its competitive disadvantage included diversifying its supplier base to include more suppliers to its roaster and enhancing its different</w:t>
      </w:r>
      <w:r>
        <w:rPr>
          <w:rFonts w:ascii="Arial" w:hAnsi="Arial" w:cs="Arial"/>
        </w:rPr>
        <w:t>iation strategy by expanding its product portfolio to spread risk of business failure.</w:t>
      </w:r>
    </w:p>
    <w:p w14:paraId="0AD21187" w14:textId="77777777" w:rsidR="00DC7243" w:rsidRDefault="00DC7243">
      <w:pPr>
        <w:spacing w:line="480" w:lineRule="auto"/>
        <w:jc w:val="both"/>
        <w:rPr>
          <w:rFonts w:ascii="Arial" w:hAnsi="Arial" w:cs="Arial"/>
        </w:rPr>
      </w:pPr>
    </w:p>
    <w:p w14:paraId="37F70DE2" w14:textId="77777777" w:rsidR="00DC7243" w:rsidRDefault="00DC7243">
      <w:pPr>
        <w:spacing w:line="480" w:lineRule="auto"/>
        <w:jc w:val="both"/>
        <w:rPr>
          <w:rFonts w:ascii="Arial" w:hAnsi="Arial" w:cs="Arial"/>
        </w:rPr>
        <w:sectPr w:rsidR="00DC7243">
          <w:pgSz w:w="11900" w:h="16840"/>
          <w:pgMar w:top="1440" w:right="1440" w:bottom="1440" w:left="1440" w:header="708" w:footer="708" w:gutter="0"/>
          <w:pgNumType w:fmt="lowerRoman"/>
          <w:cols w:space="708"/>
          <w:docGrid w:linePitch="360"/>
        </w:sectPr>
      </w:pPr>
    </w:p>
    <w:sdt>
      <w:sdtPr>
        <w:rPr>
          <w:rFonts w:ascii="Arial" w:eastAsiaTheme="minorHAnsi" w:hAnsi="Arial" w:cs="Arial"/>
          <w:b w:val="0"/>
          <w:bCs w:val="0"/>
          <w:color w:val="auto"/>
          <w:sz w:val="24"/>
          <w:szCs w:val="24"/>
          <w:lang w:val="en-GB"/>
        </w:rPr>
        <w:id w:val="1767653049"/>
        <w:docPartObj>
          <w:docPartGallery w:val="Table of Contents"/>
          <w:docPartUnique/>
        </w:docPartObj>
      </w:sdtPr>
      <w:sdtEndPr>
        <w:rPr>
          <w:rFonts w:eastAsiaTheme="minorEastAsia"/>
        </w:rPr>
      </w:sdtEndPr>
      <w:sdtContent>
        <w:p w14:paraId="1BDC6687" w14:textId="77777777" w:rsidR="00DC7243" w:rsidRDefault="00EA50A8">
          <w:pPr>
            <w:pStyle w:val="TOC10"/>
            <w:spacing w:line="480" w:lineRule="auto"/>
            <w:jc w:val="center"/>
            <w:rPr>
              <w:rFonts w:ascii="Arial" w:hAnsi="Arial" w:cs="Arial"/>
              <w:color w:val="auto"/>
              <w:sz w:val="24"/>
              <w:szCs w:val="24"/>
            </w:rPr>
          </w:pPr>
          <w:r>
            <w:rPr>
              <w:rFonts w:ascii="Arial" w:hAnsi="Arial" w:cs="Arial"/>
              <w:color w:val="auto"/>
              <w:sz w:val="24"/>
              <w:szCs w:val="24"/>
            </w:rPr>
            <w:t>Table of Contents</w:t>
          </w:r>
        </w:p>
        <w:p w14:paraId="71561132" w14:textId="77777777" w:rsidR="00DC7243" w:rsidRDefault="00EA50A8">
          <w:pPr>
            <w:pStyle w:val="TOC1"/>
            <w:tabs>
              <w:tab w:val="right" w:leader="dot" w:pos="9010"/>
            </w:tabs>
            <w:rPr>
              <w:rFonts w:ascii="Arial" w:hAnsi="Arial" w:cs="Arial"/>
              <w:b w:val="0"/>
              <w:bCs w:val="0"/>
              <w:i w:val="0"/>
              <w:iCs w:val="0"/>
              <w:kern w:val="2"/>
              <w:sz w:val="21"/>
              <w:szCs w:val="22"/>
              <w:lang w:val="en-US" w:eastAsia="zh-CN"/>
            </w:rPr>
          </w:pPr>
          <w:r>
            <w:rPr>
              <w:rFonts w:ascii="Arial" w:hAnsi="Arial" w:cs="Arial"/>
              <w:b w:val="0"/>
              <w:bCs w:val="0"/>
              <w:i w:val="0"/>
              <w:iCs w:val="0"/>
            </w:rPr>
            <w:fldChar w:fldCharType="begin"/>
          </w:r>
          <w:r>
            <w:rPr>
              <w:rFonts w:ascii="Arial" w:hAnsi="Arial" w:cs="Arial"/>
              <w:b w:val="0"/>
              <w:bCs w:val="0"/>
              <w:i w:val="0"/>
              <w:iCs w:val="0"/>
            </w:rPr>
            <w:instrText xml:space="preserve"> TOC \o "1-3" \h \z \u </w:instrText>
          </w:r>
          <w:r>
            <w:rPr>
              <w:rFonts w:ascii="Arial" w:hAnsi="Arial" w:cs="Arial"/>
              <w:b w:val="0"/>
              <w:bCs w:val="0"/>
              <w:i w:val="0"/>
              <w:iCs w:val="0"/>
            </w:rPr>
            <w:fldChar w:fldCharType="separate"/>
          </w:r>
          <w:hyperlink w:anchor="_Toc129298036" w:history="1">
            <w:r>
              <w:rPr>
                <w:rStyle w:val="ac"/>
                <w:rFonts w:ascii="Arial" w:hAnsi="Arial" w:cs="Arial"/>
                <w:b w:val="0"/>
                <w:bCs w:val="0"/>
                <w:i w:val="0"/>
                <w:iCs w:val="0"/>
                <w:color w:val="auto"/>
              </w:rPr>
              <w:t>1.0 Introduction</w:t>
            </w:r>
            <w:r>
              <w:rPr>
                <w:rFonts w:ascii="Arial" w:hAnsi="Arial" w:cs="Arial"/>
                <w:b w:val="0"/>
                <w:bCs w:val="0"/>
                <w:i w:val="0"/>
                <w:iCs w:val="0"/>
              </w:rPr>
              <w:tab/>
            </w:r>
            <w:r>
              <w:rPr>
                <w:rFonts w:ascii="Arial" w:hAnsi="Arial" w:cs="Arial"/>
                <w:b w:val="0"/>
                <w:bCs w:val="0"/>
                <w:i w:val="0"/>
                <w:iCs w:val="0"/>
              </w:rPr>
              <w:fldChar w:fldCharType="begin"/>
            </w:r>
            <w:r>
              <w:rPr>
                <w:rFonts w:ascii="Arial" w:hAnsi="Arial" w:cs="Arial"/>
                <w:b w:val="0"/>
                <w:bCs w:val="0"/>
                <w:i w:val="0"/>
                <w:iCs w:val="0"/>
              </w:rPr>
              <w:instrText xml:space="preserve"> PAGEREF _Toc129298036 \h </w:instrText>
            </w:r>
            <w:r>
              <w:rPr>
                <w:rFonts w:ascii="Arial" w:hAnsi="Arial" w:cs="Arial"/>
                <w:b w:val="0"/>
                <w:bCs w:val="0"/>
                <w:i w:val="0"/>
                <w:iCs w:val="0"/>
              </w:rPr>
            </w:r>
            <w:r>
              <w:rPr>
                <w:rFonts w:ascii="Arial" w:hAnsi="Arial" w:cs="Arial"/>
                <w:b w:val="0"/>
                <w:bCs w:val="0"/>
                <w:i w:val="0"/>
                <w:iCs w:val="0"/>
              </w:rPr>
              <w:fldChar w:fldCharType="separate"/>
            </w:r>
            <w:r>
              <w:rPr>
                <w:rFonts w:ascii="Arial" w:hAnsi="Arial" w:cs="Arial"/>
                <w:b w:val="0"/>
                <w:bCs w:val="0"/>
                <w:i w:val="0"/>
                <w:iCs w:val="0"/>
              </w:rPr>
              <w:t>1</w:t>
            </w:r>
            <w:r>
              <w:rPr>
                <w:rFonts w:ascii="Arial" w:hAnsi="Arial" w:cs="Arial"/>
                <w:b w:val="0"/>
                <w:bCs w:val="0"/>
                <w:i w:val="0"/>
                <w:iCs w:val="0"/>
              </w:rPr>
              <w:fldChar w:fldCharType="end"/>
            </w:r>
          </w:hyperlink>
        </w:p>
        <w:p w14:paraId="0DDEA84C" w14:textId="77777777" w:rsidR="00DC7243" w:rsidRDefault="00EA50A8">
          <w:pPr>
            <w:pStyle w:val="TOC1"/>
            <w:tabs>
              <w:tab w:val="right" w:leader="dot" w:pos="9010"/>
            </w:tabs>
            <w:rPr>
              <w:rFonts w:ascii="Arial" w:hAnsi="Arial" w:cs="Arial"/>
              <w:b w:val="0"/>
              <w:bCs w:val="0"/>
              <w:i w:val="0"/>
              <w:iCs w:val="0"/>
              <w:kern w:val="2"/>
              <w:sz w:val="21"/>
              <w:szCs w:val="22"/>
              <w:lang w:val="en-US" w:eastAsia="zh-CN"/>
            </w:rPr>
          </w:pPr>
          <w:hyperlink w:anchor="_Toc129298037" w:history="1">
            <w:r>
              <w:rPr>
                <w:rStyle w:val="ac"/>
                <w:rFonts w:ascii="Arial" w:hAnsi="Arial" w:cs="Arial"/>
                <w:b w:val="0"/>
                <w:bCs w:val="0"/>
                <w:i w:val="0"/>
                <w:iCs w:val="0"/>
                <w:color w:val="auto"/>
              </w:rPr>
              <w:t>2.0 Competitive strategy that Tesla utilises in developing its current position</w:t>
            </w:r>
            <w:r>
              <w:rPr>
                <w:rFonts w:ascii="Arial" w:hAnsi="Arial" w:cs="Arial"/>
                <w:b w:val="0"/>
                <w:bCs w:val="0"/>
                <w:i w:val="0"/>
                <w:iCs w:val="0"/>
              </w:rPr>
              <w:tab/>
            </w:r>
            <w:r>
              <w:rPr>
                <w:rFonts w:ascii="Arial" w:hAnsi="Arial" w:cs="Arial"/>
                <w:b w:val="0"/>
                <w:bCs w:val="0"/>
                <w:i w:val="0"/>
                <w:iCs w:val="0"/>
              </w:rPr>
              <w:fldChar w:fldCharType="begin"/>
            </w:r>
            <w:r>
              <w:rPr>
                <w:rFonts w:ascii="Arial" w:hAnsi="Arial" w:cs="Arial"/>
                <w:b w:val="0"/>
                <w:bCs w:val="0"/>
                <w:i w:val="0"/>
                <w:iCs w:val="0"/>
              </w:rPr>
              <w:instrText xml:space="preserve"> PAGEREF _Toc129298037 \h </w:instrText>
            </w:r>
            <w:r>
              <w:rPr>
                <w:rFonts w:ascii="Arial" w:hAnsi="Arial" w:cs="Arial"/>
                <w:b w:val="0"/>
                <w:bCs w:val="0"/>
                <w:i w:val="0"/>
                <w:iCs w:val="0"/>
              </w:rPr>
            </w:r>
            <w:r>
              <w:rPr>
                <w:rFonts w:ascii="Arial" w:hAnsi="Arial" w:cs="Arial"/>
                <w:b w:val="0"/>
                <w:bCs w:val="0"/>
                <w:i w:val="0"/>
                <w:iCs w:val="0"/>
              </w:rPr>
              <w:fldChar w:fldCharType="separate"/>
            </w:r>
            <w:r>
              <w:rPr>
                <w:rFonts w:ascii="Arial" w:hAnsi="Arial" w:cs="Arial"/>
                <w:b w:val="0"/>
                <w:bCs w:val="0"/>
                <w:i w:val="0"/>
                <w:iCs w:val="0"/>
              </w:rPr>
              <w:t>1</w:t>
            </w:r>
            <w:r>
              <w:rPr>
                <w:rFonts w:ascii="Arial" w:hAnsi="Arial" w:cs="Arial"/>
                <w:b w:val="0"/>
                <w:bCs w:val="0"/>
                <w:i w:val="0"/>
                <w:iCs w:val="0"/>
              </w:rPr>
              <w:fldChar w:fldCharType="end"/>
            </w:r>
          </w:hyperlink>
        </w:p>
        <w:p w14:paraId="31EB2C46" w14:textId="77777777" w:rsidR="00DC7243" w:rsidRDefault="00EA50A8">
          <w:pPr>
            <w:pStyle w:val="TOC1"/>
            <w:tabs>
              <w:tab w:val="right" w:leader="dot" w:pos="9010"/>
            </w:tabs>
            <w:rPr>
              <w:rFonts w:ascii="Arial" w:hAnsi="Arial" w:cs="Arial"/>
              <w:b w:val="0"/>
              <w:bCs w:val="0"/>
              <w:i w:val="0"/>
              <w:iCs w:val="0"/>
              <w:kern w:val="2"/>
              <w:sz w:val="21"/>
              <w:szCs w:val="22"/>
              <w:lang w:val="en-US" w:eastAsia="zh-CN"/>
            </w:rPr>
          </w:pPr>
          <w:hyperlink w:anchor="_Toc129298038" w:history="1">
            <w:r>
              <w:rPr>
                <w:rStyle w:val="ac"/>
                <w:rFonts w:ascii="Arial" w:hAnsi="Arial" w:cs="Arial"/>
                <w:b w:val="0"/>
                <w:bCs w:val="0"/>
                <w:i w:val="0"/>
                <w:iCs w:val="0"/>
                <w:color w:val="auto"/>
              </w:rPr>
              <w:t>3.0 Critical evaluation of the competitive strategy of Tesla for its competitive position</w:t>
            </w:r>
            <w:r>
              <w:rPr>
                <w:rFonts w:ascii="Arial" w:hAnsi="Arial" w:cs="Arial"/>
                <w:b w:val="0"/>
                <w:bCs w:val="0"/>
                <w:i w:val="0"/>
                <w:iCs w:val="0"/>
              </w:rPr>
              <w:tab/>
            </w:r>
            <w:r>
              <w:rPr>
                <w:rFonts w:ascii="Arial" w:hAnsi="Arial" w:cs="Arial"/>
                <w:b w:val="0"/>
                <w:bCs w:val="0"/>
                <w:i w:val="0"/>
                <w:iCs w:val="0"/>
              </w:rPr>
              <w:fldChar w:fldCharType="begin"/>
            </w:r>
            <w:r>
              <w:rPr>
                <w:rFonts w:ascii="Arial" w:hAnsi="Arial" w:cs="Arial"/>
                <w:b w:val="0"/>
                <w:bCs w:val="0"/>
                <w:i w:val="0"/>
                <w:iCs w:val="0"/>
              </w:rPr>
              <w:instrText xml:space="preserve"> PAGEREF _Toc129298038 \h </w:instrText>
            </w:r>
            <w:r>
              <w:rPr>
                <w:rFonts w:ascii="Arial" w:hAnsi="Arial" w:cs="Arial"/>
                <w:b w:val="0"/>
                <w:bCs w:val="0"/>
                <w:i w:val="0"/>
                <w:iCs w:val="0"/>
              </w:rPr>
            </w:r>
            <w:r>
              <w:rPr>
                <w:rFonts w:ascii="Arial" w:hAnsi="Arial" w:cs="Arial"/>
                <w:b w:val="0"/>
                <w:bCs w:val="0"/>
                <w:i w:val="0"/>
                <w:iCs w:val="0"/>
              </w:rPr>
              <w:fldChar w:fldCharType="separate"/>
            </w:r>
            <w:r>
              <w:rPr>
                <w:rFonts w:ascii="Arial" w:hAnsi="Arial" w:cs="Arial"/>
                <w:b w:val="0"/>
                <w:bCs w:val="0"/>
                <w:i w:val="0"/>
                <w:iCs w:val="0"/>
              </w:rPr>
              <w:t>4</w:t>
            </w:r>
            <w:r>
              <w:rPr>
                <w:rFonts w:ascii="Arial" w:hAnsi="Arial" w:cs="Arial"/>
                <w:b w:val="0"/>
                <w:bCs w:val="0"/>
                <w:i w:val="0"/>
                <w:iCs w:val="0"/>
              </w:rPr>
              <w:fldChar w:fldCharType="end"/>
            </w:r>
          </w:hyperlink>
        </w:p>
        <w:p w14:paraId="260E49E8" w14:textId="77777777" w:rsidR="00DC7243" w:rsidRDefault="00EA50A8">
          <w:pPr>
            <w:pStyle w:val="TOC1"/>
            <w:tabs>
              <w:tab w:val="right" w:leader="dot" w:pos="9010"/>
            </w:tabs>
            <w:rPr>
              <w:rFonts w:ascii="Arial" w:hAnsi="Arial" w:cs="Arial"/>
              <w:b w:val="0"/>
              <w:bCs w:val="0"/>
              <w:i w:val="0"/>
              <w:iCs w:val="0"/>
              <w:kern w:val="2"/>
              <w:sz w:val="21"/>
              <w:szCs w:val="22"/>
              <w:lang w:val="en-US" w:eastAsia="zh-CN"/>
            </w:rPr>
          </w:pPr>
          <w:hyperlink w:anchor="_Toc129298039" w:history="1">
            <w:r>
              <w:rPr>
                <w:rStyle w:val="ac"/>
                <w:rFonts w:ascii="Arial" w:hAnsi="Arial" w:cs="Arial"/>
                <w:b w:val="0"/>
                <w:bCs w:val="0"/>
                <w:i w:val="0"/>
                <w:iCs w:val="0"/>
                <w:color w:val="auto"/>
              </w:rPr>
              <w:t>4.0 Recommendations</w:t>
            </w:r>
            <w:r>
              <w:rPr>
                <w:rFonts w:ascii="Arial" w:hAnsi="Arial" w:cs="Arial"/>
                <w:b w:val="0"/>
                <w:bCs w:val="0"/>
                <w:i w:val="0"/>
                <w:iCs w:val="0"/>
              </w:rPr>
              <w:tab/>
            </w:r>
            <w:r>
              <w:rPr>
                <w:rFonts w:ascii="Arial" w:hAnsi="Arial" w:cs="Arial"/>
                <w:b w:val="0"/>
                <w:bCs w:val="0"/>
                <w:i w:val="0"/>
                <w:iCs w:val="0"/>
              </w:rPr>
              <w:fldChar w:fldCharType="begin"/>
            </w:r>
            <w:r>
              <w:rPr>
                <w:rFonts w:ascii="Arial" w:hAnsi="Arial" w:cs="Arial"/>
                <w:b w:val="0"/>
                <w:bCs w:val="0"/>
                <w:i w:val="0"/>
                <w:iCs w:val="0"/>
              </w:rPr>
              <w:instrText xml:space="preserve"> PAGEREF _Toc129298039 \h </w:instrText>
            </w:r>
            <w:r>
              <w:rPr>
                <w:rFonts w:ascii="Arial" w:hAnsi="Arial" w:cs="Arial"/>
                <w:b w:val="0"/>
                <w:bCs w:val="0"/>
                <w:i w:val="0"/>
                <w:iCs w:val="0"/>
              </w:rPr>
            </w:r>
            <w:r>
              <w:rPr>
                <w:rFonts w:ascii="Arial" w:hAnsi="Arial" w:cs="Arial"/>
                <w:b w:val="0"/>
                <w:bCs w:val="0"/>
                <w:i w:val="0"/>
                <w:iCs w:val="0"/>
              </w:rPr>
              <w:fldChar w:fldCharType="separate"/>
            </w:r>
            <w:r>
              <w:rPr>
                <w:rFonts w:ascii="Arial" w:hAnsi="Arial" w:cs="Arial"/>
                <w:b w:val="0"/>
                <w:bCs w:val="0"/>
                <w:i w:val="0"/>
                <w:iCs w:val="0"/>
              </w:rPr>
              <w:t>7</w:t>
            </w:r>
            <w:r>
              <w:rPr>
                <w:rFonts w:ascii="Arial" w:hAnsi="Arial" w:cs="Arial"/>
                <w:b w:val="0"/>
                <w:bCs w:val="0"/>
                <w:i w:val="0"/>
                <w:iCs w:val="0"/>
              </w:rPr>
              <w:fldChar w:fldCharType="end"/>
            </w:r>
          </w:hyperlink>
        </w:p>
        <w:p w14:paraId="0D35FFE8" w14:textId="77777777" w:rsidR="00DC7243" w:rsidRDefault="00EA50A8">
          <w:pPr>
            <w:pStyle w:val="TOC1"/>
            <w:tabs>
              <w:tab w:val="right" w:leader="dot" w:pos="9010"/>
            </w:tabs>
            <w:rPr>
              <w:rFonts w:ascii="Arial" w:hAnsi="Arial" w:cs="Arial"/>
              <w:b w:val="0"/>
              <w:bCs w:val="0"/>
              <w:i w:val="0"/>
              <w:iCs w:val="0"/>
              <w:kern w:val="2"/>
              <w:sz w:val="21"/>
              <w:szCs w:val="22"/>
              <w:lang w:val="en-US" w:eastAsia="zh-CN"/>
            </w:rPr>
          </w:pPr>
          <w:hyperlink w:anchor="_Toc129298040" w:history="1">
            <w:r>
              <w:rPr>
                <w:rStyle w:val="ac"/>
                <w:rFonts w:ascii="Arial" w:hAnsi="Arial" w:cs="Arial"/>
                <w:b w:val="0"/>
                <w:bCs w:val="0"/>
                <w:i w:val="0"/>
                <w:iCs w:val="0"/>
                <w:color w:val="auto"/>
              </w:rPr>
              <w:t>5.0 Conclusion</w:t>
            </w:r>
            <w:r>
              <w:rPr>
                <w:rFonts w:ascii="Arial" w:hAnsi="Arial" w:cs="Arial"/>
                <w:b w:val="0"/>
                <w:bCs w:val="0"/>
                <w:i w:val="0"/>
                <w:iCs w:val="0"/>
              </w:rPr>
              <w:tab/>
            </w:r>
            <w:r>
              <w:rPr>
                <w:rFonts w:ascii="Arial" w:hAnsi="Arial" w:cs="Arial"/>
                <w:b w:val="0"/>
                <w:bCs w:val="0"/>
                <w:i w:val="0"/>
                <w:iCs w:val="0"/>
              </w:rPr>
              <w:fldChar w:fldCharType="begin"/>
            </w:r>
            <w:r>
              <w:rPr>
                <w:rFonts w:ascii="Arial" w:hAnsi="Arial" w:cs="Arial"/>
                <w:b w:val="0"/>
                <w:bCs w:val="0"/>
                <w:i w:val="0"/>
                <w:iCs w:val="0"/>
              </w:rPr>
              <w:instrText xml:space="preserve"> PAGEREF _Toc129298</w:instrText>
            </w:r>
            <w:r>
              <w:rPr>
                <w:rFonts w:ascii="Arial" w:hAnsi="Arial" w:cs="Arial"/>
                <w:b w:val="0"/>
                <w:bCs w:val="0"/>
                <w:i w:val="0"/>
                <w:iCs w:val="0"/>
              </w:rPr>
              <w:instrText xml:space="preserve">040 \h </w:instrText>
            </w:r>
            <w:r>
              <w:rPr>
                <w:rFonts w:ascii="Arial" w:hAnsi="Arial" w:cs="Arial"/>
                <w:b w:val="0"/>
                <w:bCs w:val="0"/>
                <w:i w:val="0"/>
                <w:iCs w:val="0"/>
              </w:rPr>
            </w:r>
            <w:r>
              <w:rPr>
                <w:rFonts w:ascii="Arial" w:hAnsi="Arial" w:cs="Arial"/>
                <w:b w:val="0"/>
                <w:bCs w:val="0"/>
                <w:i w:val="0"/>
                <w:iCs w:val="0"/>
              </w:rPr>
              <w:fldChar w:fldCharType="separate"/>
            </w:r>
            <w:r>
              <w:rPr>
                <w:rFonts w:ascii="Arial" w:hAnsi="Arial" w:cs="Arial"/>
                <w:b w:val="0"/>
                <w:bCs w:val="0"/>
                <w:i w:val="0"/>
                <w:iCs w:val="0"/>
              </w:rPr>
              <w:t>8</w:t>
            </w:r>
            <w:r>
              <w:rPr>
                <w:rFonts w:ascii="Arial" w:hAnsi="Arial" w:cs="Arial"/>
                <w:b w:val="0"/>
                <w:bCs w:val="0"/>
                <w:i w:val="0"/>
                <w:iCs w:val="0"/>
              </w:rPr>
              <w:fldChar w:fldCharType="end"/>
            </w:r>
          </w:hyperlink>
        </w:p>
        <w:p w14:paraId="6BA72AB7" w14:textId="77777777" w:rsidR="00DC7243" w:rsidRDefault="00EA50A8">
          <w:pPr>
            <w:pStyle w:val="TOC1"/>
            <w:tabs>
              <w:tab w:val="right" w:leader="dot" w:pos="9010"/>
            </w:tabs>
            <w:rPr>
              <w:rFonts w:ascii="Arial" w:hAnsi="Arial" w:cs="Arial"/>
              <w:b w:val="0"/>
              <w:bCs w:val="0"/>
              <w:i w:val="0"/>
              <w:iCs w:val="0"/>
              <w:kern w:val="2"/>
              <w:sz w:val="21"/>
              <w:szCs w:val="22"/>
              <w:lang w:val="en-US" w:eastAsia="zh-CN"/>
            </w:rPr>
          </w:pPr>
          <w:hyperlink w:anchor="_Toc129298041" w:history="1">
            <w:r>
              <w:rPr>
                <w:rStyle w:val="ac"/>
                <w:rFonts w:ascii="Arial" w:hAnsi="Arial" w:cs="Arial"/>
                <w:b w:val="0"/>
                <w:bCs w:val="0"/>
                <w:i w:val="0"/>
                <w:iCs w:val="0"/>
                <w:color w:val="auto"/>
              </w:rPr>
              <w:t>References</w:t>
            </w:r>
            <w:r>
              <w:rPr>
                <w:rFonts w:ascii="Arial" w:hAnsi="Arial" w:cs="Arial"/>
                <w:b w:val="0"/>
                <w:bCs w:val="0"/>
                <w:i w:val="0"/>
                <w:iCs w:val="0"/>
              </w:rPr>
              <w:tab/>
            </w:r>
            <w:r>
              <w:rPr>
                <w:rFonts w:ascii="Arial" w:hAnsi="Arial" w:cs="Arial"/>
                <w:b w:val="0"/>
                <w:bCs w:val="0"/>
                <w:i w:val="0"/>
                <w:iCs w:val="0"/>
              </w:rPr>
              <w:fldChar w:fldCharType="begin"/>
            </w:r>
            <w:r>
              <w:rPr>
                <w:rFonts w:ascii="Arial" w:hAnsi="Arial" w:cs="Arial"/>
                <w:b w:val="0"/>
                <w:bCs w:val="0"/>
                <w:i w:val="0"/>
                <w:iCs w:val="0"/>
              </w:rPr>
              <w:instrText xml:space="preserve"> PAGEREF _Toc129298041 \h </w:instrText>
            </w:r>
            <w:r>
              <w:rPr>
                <w:rFonts w:ascii="Arial" w:hAnsi="Arial" w:cs="Arial"/>
                <w:b w:val="0"/>
                <w:bCs w:val="0"/>
                <w:i w:val="0"/>
                <w:iCs w:val="0"/>
              </w:rPr>
            </w:r>
            <w:r>
              <w:rPr>
                <w:rFonts w:ascii="Arial" w:hAnsi="Arial" w:cs="Arial"/>
                <w:b w:val="0"/>
                <w:bCs w:val="0"/>
                <w:i w:val="0"/>
                <w:iCs w:val="0"/>
              </w:rPr>
              <w:fldChar w:fldCharType="separate"/>
            </w:r>
            <w:r>
              <w:rPr>
                <w:rFonts w:ascii="Arial" w:hAnsi="Arial" w:cs="Arial"/>
                <w:b w:val="0"/>
                <w:bCs w:val="0"/>
                <w:i w:val="0"/>
                <w:iCs w:val="0"/>
              </w:rPr>
              <w:t>10</w:t>
            </w:r>
            <w:r>
              <w:rPr>
                <w:rFonts w:ascii="Arial" w:hAnsi="Arial" w:cs="Arial"/>
                <w:b w:val="0"/>
                <w:bCs w:val="0"/>
                <w:i w:val="0"/>
                <w:iCs w:val="0"/>
              </w:rPr>
              <w:fldChar w:fldCharType="end"/>
            </w:r>
          </w:hyperlink>
        </w:p>
        <w:p w14:paraId="071E9A9B" w14:textId="77777777" w:rsidR="00DC7243" w:rsidRDefault="00EA50A8">
          <w:pPr>
            <w:spacing w:line="480" w:lineRule="auto"/>
            <w:jc w:val="both"/>
            <w:rPr>
              <w:rFonts w:ascii="Arial" w:hAnsi="Arial" w:cs="Arial"/>
            </w:rPr>
          </w:pPr>
          <w:r>
            <w:rPr>
              <w:rFonts w:ascii="Arial" w:hAnsi="Arial" w:cs="Arial"/>
            </w:rPr>
            <w:fldChar w:fldCharType="end"/>
          </w:r>
        </w:p>
      </w:sdtContent>
    </w:sdt>
    <w:p w14:paraId="3C1DE3FB" w14:textId="77777777" w:rsidR="00DC7243" w:rsidRDefault="00DC7243">
      <w:pPr>
        <w:spacing w:line="480" w:lineRule="auto"/>
        <w:jc w:val="both"/>
        <w:rPr>
          <w:rFonts w:ascii="Arial" w:hAnsi="Arial" w:cs="Arial"/>
        </w:rPr>
      </w:pPr>
    </w:p>
    <w:p w14:paraId="61BFEC73" w14:textId="77777777" w:rsidR="00DC7243" w:rsidRDefault="00DC7243">
      <w:pPr>
        <w:spacing w:line="480" w:lineRule="auto"/>
        <w:jc w:val="both"/>
        <w:rPr>
          <w:rFonts w:ascii="Arial" w:hAnsi="Arial" w:cs="Arial"/>
        </w:rPr>
      </w:pPr>
    </w:p>
    <w:p w14:paraId="1ADED092" w14:textId="77777777" w:rsidR="00DC7243" w:rsidRDefault="00DC7243">
      <w:pPr>
        <w:spacing w:line="480" w:lineRule="auto"/>
        <w:jc w:val="both"/>
        <w:rPr>
          <w:rFonts w:ascii="Arial" w:hAnsi="Arial" w:cs="Arial"/>
        </w:rPr>
      </w:pPr>
    </w:p>
    <w:p w14:paraId="70F42DE1" w14:textId="77777777" w:rsidR="00DC7243" w:rsidRDefault="00DC7243">
      <w:pPr>
        <w:spacing w:line="480" w:lineRule="auto"/>
        <w:jc w:val="both"/>
        <w:rPr>
          <w:rFonts w:ascii="Arial" w:hAnsi="Arial" w:cs="Arial"/>
        </w:rPr>
      </w:pPr>
    </w:p>
    <w:p w14:paraId="6290FD75" w14:textId="77777777" w:rsidR="00DC7243" w:rsidRDefault="00DC7243">
      <w:pPr>
        <w:spacing w:line="480" w:lineRule="auto"/>
        <w:jc w:val="both"/>
        <w:rPr>
          <w:rFonts w:ascii="Arial" w:hAnsi="Arial" w:cs="Arial"/>
        </w:rPr>
      </w:pPr>
    </w:p>
    <w:p w14:paraId="6F5860EB" w14:textId="77777777" w:rsidR="00DC7243" w:rsidRDefault="00DC7243">
      <w:pPr>
        <w:spacing w:line="480" w:lineRule="auto"/>
        <w:jc w:val="both"/>
        <w:rPr>
          <w:rFonts w:ascii="Arial" w:hAnsi="Arial" w:cs="Arial"/>
        </w:rPr>
        <w:sectPr w:rsidR="00DC7243">
          <w:pgSz w:w="11900" w:h="16840"/>
          <w:pgMar w:top="1440" w:right="1440" w:bottom="1440" w:left="1440" w:header="708" w:footer="708" w:gutter="0"/>
          <w:pgNumType w:fmt="lowerRoman"/>
          <w:cols w:space="708"/>
          <w:docGrid w:linePitch="360"/>
        </w:sectPr>
      </w:pPr>
    </w:p>
    <w:p w14:paraId="2C8B1B65" w14:textId="77777777" w:rsidR="00DC7243" w:rsidRDefault="00EA50A8">
      <w:pPr>
        <w:pStyle w:val="1"/>
        <w:spacing w:line="480" w:lineRule="auto"/>
        <w:jc w:val="both"/>
        <w:rPr>
          <w:rFonts w:ascii="Arial" w:hAnsi="Arial" w:cs="Arial"/>
          <w:b/>
          <w:bCs/>
          <w:color w:val="auto"/>
          <w:sz w:val="24"/>
          <w:szCs w:val="24"/>
        </w:rPr>
      </w:pPr>
      <w:bookmarkStart w:id="0" w:name="_Toc129298036"/>
      <w:r>
        <w:rPr>
          <w:rFonts w:ascii="Arial" w:hAnsi="Arial" w:cs="Arial"/>
          <w:b/>
          <w:bCs/>
          <w:color w:val="auto"/>
          <w:sz w:val="24"/>
          <w:szCs w:val="24"/>
        </w:rPr>
        <w:lastRenderedPageBreak/>
        <w:t>1.0 Introduction</w:t>
      </w:r>
      <w:bookmarkEnd w:id="0"/>
    </w:p>
    <w:p w14:paraId="6FA6CDA0" w14:textId="77777777" w:rsidR="00DC7243" w:rsidRDefault="00EA50A8">
      <w:pPr>
        <w:spacing w:line="480" w:lineRule="auto"/>
        <w:jc w:val="both"/>
        <w:rPr>
          <w:rFonts w:ascii="Arial" w:hAnsi="Arial" w:cs="Arial"/>
        </w:rPr>
      </w:pPr>
      <w:r>
        <w:rPr>
          <w:rFonts w:ascii="Arial" w:hAnsi="Arial" w:cs="Arial"/>
        </w:rPr>
        <w:t>The concept of strategy denotes an organisation’s planned and realised set of actions that can be used to realise certain goals (Lynch, 2012). Given that strategy over the long term enables an organisation achieve an advantage in a changing environment, Jo</w:t>
      </w:r>
      <w:r>
        <w:rPr>
          <w:rFonts w:ascii="Arial" w:hAnsi="Arial" w:cs="Arial"/>
        </w:rPr>
        <w:t>hnson et al., (2020) believes that an organisation with a unique competitive strategy can outperform its competition. This is because it can set up a difference that it can preserve over the long term. Hence, the essence of a competitive strategy is in cho</w:t>
      </w:r>
      <w:r>
        <w:rPr>
          <w:rFonts w:ascii="Arial" w:hAnsi="Arial" w:cs="Arial"/>
        </w:rPr>
        <w:t>osing to conduct activities differently than rivals do (Morrison, 2011). Subsequently, strategy gives rise to strategic positions that are underpinned by customer needs, customer accessibility, and the variety of company products and services. To this exte</w:t>
      </w:r>
      <w:r>
        <w:rPr>
          <w:rFonts w:ascii="Arial" w:hAnsi="Arial" w:cs="Arial"/>
        </w:rPr>
        <w:t xml:space="preserve">nt, the sum total of strategy is encompassed by Michael Porter’s argument of their being four fundamental strategic options available to all organizations. These include differentiation strategy, overall cost leadership strategy, focus differentiation and </w:t>
      </w:r>
      <w:r>
        <w:rPr>
          <w:rFonts w:ascii="Arial" w:hAnsi="Arial" w:cs="Arial"/>
        </w:rPr>
        <w:t>focus cost leadership (Porter, 2011). Although Porter’s generic strategies have received significant challenges, they still provide value in the development of market-based opportunities. This is the case manifested for Tesla that operates in a highly comp</w:t>
      </w:r>
      <w:r>
        <w:rPr>
          <w:rFonts w:ascii="Arial" w:hAnsi="Arial" w:cs="Arial"/>
        </w:rPr>
        <w:t>etitive electric car market. Nevertheless, it remains unclear what the competitive strategy for the Tesla brand is. On this basis, the aim of this report is to critically evaluate the competitive and development strategies of Tesla, by synthesizing the the</w:t>
      </w:r>
      <w:r>
        <w:rPr>
          <w:rFonts w:ascii="Arial" w:hAnsi="Arial" w:cs="Arial"/>
        </w:rPr>
        <w:t>oretical material, and the practical application within the Tesla organization. The structure of this report is as follows: competitive strategy that Tesla uses in its current competitive positioning; critical evaluation of the competitive strategy of Tesl</w:t>
      </w:r>
      <w:r>
        <w:rPr>
          <w:rFonts w:ascii="Arial" w:hAnsi="Arial" w:cs="Arial"/>
        </w:rPr>
        <w:t xml:space="preserve">a for its current competitive strategy; recommendations; conclusions. </w:t>
      </w:r>
    </w:p>
    <w:p w14:paraId="6D2B6E74" w14:textId="77777777" w:rsidR="00DC7243" w:rsidRDefault="00EA50A8">
      <w:pPr>
        <w:pStyle w:val="1"/>
        <w:spacing w:line="480" w:lineRule="auto"/>
        <w:jc w:val="both"/>
        <w:rPr>
          <w:rFonts w:ascii="Arial" w:hAnsi="Arial" w:cs="Arial"/>
          <w:b/>
          <w:bCs/>
          <w:color w:val="auto"/>
          <w:sz w:val="24"/>
          <w:szCs w:val="24"/>
        </w:rPr>
      </w:pPr>
      <w:bookmarkStart w:id="1" w:name="_Toc129298037"/>
      <w:r>
        <w:rPr>
          <w:rFonts w:ascii="Arial" w:hAnsi="Arial" w:cs="Arial"/>
          <w:b/>
          <w:bCs/>
          <w:color w:val="auto"/>
          <w:sz w:val="24"/>
          <w:szCs w:val="24"/>
        </w:rPr>
        <w:lastRenderedPageBreak/>
        <w:t>2.0 Competitive strategy that Tesla utilises in developing its current position</w:t>
      </w:r>
      <w:bookmarkEnd w:id="1"/>
      <w:r>
        <w:rPr>
          <w:rFonts w:ascii="Arial" w:hAnsi="Arial" w:cs="Arial"/>
          <w:b/>
          <w:bCs/>
          <w:color w:val="auto"/>
          <w:sz w:val="24"/>
          <w:szCs w:val="24"/>
        </w:rPr>
        <w:t xml:space="preserve"> </w:t>
      </w:r>
    </w:p>
    <w:p w14:paraId="363957BF" w14:textId="77777777" w:rsidR="00DC7243" w:rsidRDefault="00EA50A8">
      <w:pPr>
        <w:autoSpaceDE w:val="0"/>
        <w:autoSpaceDN w:val="0"/>
        <w:adjustRightInd w:val="0"/>
        <w:spacing w:line="480" w:lineRule="auto"/>
        <w:jc w:val="both"/>
        <w:rPr>
          <w:rFonts w:ascii="Arial" w:hAnsi="Arial" w:cs="Arial"/>
        </w:rPr>
      </w:pPr>
      <w:r>
        <w:rPr>
          <w:rFonts w:ascii="Arial" w:hAnsi="Arial" w:cs="Arial"/>
        </w:rPr>
        <w:t>Quality and price, as captured by the views of David (2011), are fundamental in determining the competit</w:t>
      </w:r>
      <w:r>
        <w:rPr>
          <w:rFonts w:ascii="Arial" w:hAnsi="Arial" w:cs="Arial"/>
        </w:rPr>
        <w:t xml:space="preserve">ive strategy adopted by an organisation in a given market. Hence, as demonstrated in the perceptual positioning map shown in the figure one below, the current positioning of Tesla is high on the basis of price and quality. Its closest challengers, Toyota, </w:t>
      </w:r>
      <w:r>
        <w:rPr>
          <w:rFonts w:ascii="Arial" w:hAnsi="Arial" w:cs="Arial"/>
        </w:rPr>
        <w:t>Volkswagen, and Neo have a weaker positioning on account of lower price points and lower quality of automotive products.</w:t>
      </w:r>
    </w:p>
    <w:p w14:paraId="50E7FAC0" w14:textId="77777777" w:rsidR="00DC7243" w:rsidRDefault="00EA50A8">
      <w:pPr>
        <w:spacing w:line="480" w:lineRule="auto"/>
        <w:jc w:val="both"/>
        <w:rPr>
          <w:rFonts w:ascii="Arial" w:hAnsi="Arial" w:cs="Arial"/>
        </w:rPr>
      </w:pPr>
      <w:r>
        <w:rPr>
          <w:rFonts w:ascii="Arial" w:hAnsi="Arial" w:cs="Arial"/>
          <w:noProof/>
        </w:rPr>
        <w:drawing>
          <wp:inline distT="0" distB="0" distL="0" distR="0" wp14:anchorId="770A9AD9" wp14:editId="6CE37156">
            <wp:extent cx="5651500" cy="401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651500" cy="4013200"/>
                    </a:xfrm>
                    <a:prstGeom prst="rect">
                      <a:avLst/>
                    </a:prstGeom>
                  </pic:spPr>
                </pic:pic>
              </a:graphicData>
            </a:graphic>
          </wp:inline>
        </w:drawing>
      </w:r>
    </w:p>
    <w:p w14:paraId="6E8B72B6" w14:textId="77777777" w:rsidR="00DC7243" w:rsidRDefault="00EA50A8">
      <w:pPr>
        <w:spacing w:line="480" w:lineRule="auto"/>
        <w:jc w:val="both"/>
        <w:rPr>
          <w:rFonts w:ascii="Arial" w:hAnsi="Arial" w:cs="Arial"/>
        </w:rPr>
      </w:pPr>
      <w:r>
        <w:rPr>
          <w:rFonts w:ascii="Arial" w:hAnsi="Arial" w:cs="Arial"/>
        </w:rPr>
        <w:t xml:space="preserve">Figure 1: Perceptual positioning map for Tesla in the automotive industry </w:t>
      </w:r>
    </w:p>
    <w:p w14:paraId="76BC9D96" w14:textId="77777777" w:rsidR="00DC7243" w:rsidRDefault="00EA50A8">
      <w:pPr>
        <w:spacing w:line="480" w:lineRule="auto"/>
        <w:jc w:val="both"/>
        <w:rPr>
          <w:rFonts w:ascii="Arial" w:hAnsi="Arial" w:cs="Arial"/>
        </w:rPr>
      </w:pPr>
      <w:r>
        <w:rPr>
          <w:rFonts w:ascii="Arial" w:hAnsi="Arial" w:cs="Arial"/>
        </w:rPr>
        <w:t xml:space="preserve">Source: Summarised by this report </w:t>
      </w:r>
    </w:p>
    <w:p w14:paraId="3CF66BDE" w14:textId="77777777" w:rsidR="00DC7243" w:rsidRDefault="00EA50A8">
      <w:pPr>
        <w:autoSpaceDE w:val="0"/>
        <w:autoSpaceDN w:val="0"/>
        <w:adjustRightInd w:val="0"/>
        <w:spacing w:line="480" w:lineRule="auto"/>
        <w:jc w:val="both"/>
        <w:rPr>
          <w:rFonts w:ascii="Arial" w:hAnsi="Arial" w:cs="Arial"/>
        </w:rPr>
      </w:pPr>
      <w:r>
        <w:rPr>
          <w:rFonts w:ascii="Arial" w:hAnsi="Arial" w:cs="Arial"/>
        </w:rPr>
        <w:t>At the same time, the f</w:t>
      </w:r>
      <w:r>
        <w:rPr>
          <w:rFonts w:ascii="Arial" w:hAnsi="Arial" w:cs="Arial"/>
        </w:rPr>
        <w:t xml:space="preserve">igure 2 below demonstrates the most valuable brands within the automotive sector globally as of 2022. As demonstrated, Tesla is ranked as the most valuable automotive brand globally based on a brand valuation of US$75.93 </w:t>
      </w:r>
      <w:r>
        <w:rPr>
          <w:rFonts w:ascii="Arial" w:hAnsi="Arial" w:cs="Arial"/>
        </w:rPr>
        <w:lastRenderedPageBreak/>
        <w:t>billion (Statista, 2023). The close</w:t>
      </w:r>
      <w:r>
        <w:rPr>
          <w:rFonts w:ascii="Arial" w:hAnsi="Arial" w:cs="Arial"/>
        </w:rPr>
        <w:t xml:space="preserve">st challenger Toyota, is valued at US$33.11 billion. At the bottom of the graph is Porsche whose value is estimated at US$8.61 billion. </w:t>
      </w:r>
    </w:p>
    <w:p w14:paraId="5494FE89" w14:textId="77777777" w:rsidR="00DC7243" w:rsidRDefault="00EA50A8">
      <w:pPr>
        <w:spacing w:line="480" w:lineRule="auto"/>
        <w:jc w:val="both"/>
        <w:rPr>
          <w:rFonts w:ascii="Arial" w:hAnsi="Arial" w:cs="Arial"/>
        </w:rPr>
      </w:pPr>
      <w:r>
        <w:rPr>
          <w:rFonts w:ascii="Arial" w:hAnsi="Arial" w:cs="Arial"/>
          <w:noProof/>
        </w:rPr>
        <w:drawing>
          <wp:inline distT="0" distB="0" distL="0" distR="0" wp14:anchorId="6C7FEFD8" wp14:editId="03211833">
            <wp:extent cx="5727700" cy="36087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608705"/>
                    </a:xfrm>
                    <a:prstGeom prst="rect">
                      <a:avLst/>
                    </a:prstGeom>
                  </pic:spPr>
                </pic:pic>
              </a:graphicData>
            </a:graphic>
          </wp:inline>
        </w:drawing>
      </w:r>
    </w:p>
    <w:p w14:paraId="72F5B445" w14:textId="77777777" w:rsidR="00DC7243" w:rsidRDefault="00EA50A8">
      <w:pPr>
        <w:spacing w:line="480" w:lineRule="auto"/>
        <w:jc w:val="both"/>
        <w:rPr>
          <w:rFonts w:ascii="Arial" w:hAnsi="Arial" w:cs="Arial"/>
        </w:rPr>
      </w:pPr>
      <w:r>
        <w:rPr>
          <w:rFonts w:ascii="Arial" w:hAnsi="Arial" w:cs="Arial"/>
        </w:rPr>
        <w:t>Figure 2: Most valuable brands within the automotive sector worldwide as of 2022</w:t>
      </w:r>
    </w:p>
    <w:p w14:paraId="5711A77D" w14:textId="77777777" w:rsidR="00DC7243" w:rsidRDefault="00EA50A8">
      <w:pPr>
        <w:spacing w:line="480" w:lineRule="auto"/>
        <w:jc w:val="both"/>
        <w:rPr>
          <w:rFonts w:ascii="Arial" w:hAnsi="Arial" w:cs="Arial"/>
        </w:rPr>
      </w:pPr>
      <w:r>
        <w:rPr>
          <w:rFonts w:ascii="Arial" w:hAnsi="Arial" w:cs="Arial"/>
        </w:rPr>
        <w:t>Source: Statista (2023)</w:t>
      </w:r>
    </w:p>
    <w:p w14:paraId="5B5339F4" w14:textId="77777777" w:rsidR="00DC7243" w:rsidRDefault="00EA50A8">
      <w:pPr>
        <w:autoSpaceDE w:val="0"/>
        <w:autoSpaceDN w:val="0"/>
        <w:adjustRightInd w:val="0"/>
        <w:spacing w:line="480" w:lineRule="auto"/>
        <w:jc w:val="both"/>
        <w:rPr>
          <w:rFonts w:ascii="Arial" w:hAnsi="Arial" w:cs="Arial"/>
        </w:rPr>
      </w:pPr>
      <w:r>
        <w:rPr>
          <w:rFonts w:ascii="Arial" w:hAnsi="Arial" w:cs="Arial"/>
        </w:rPr>
        <w:t xml:space="preserve">On accounts </w:t>
      </w:r>
      <w:r>
        <w:rPr>
          <w:rFonts w:ascii="Arial" w:hAnsi="Arial" w:cs="Arial"/>
        </w:rPr>
        <w:t>of the figure 1, it is clear that the current positioning of the Tesla brand is high in the mindset of the target audience. In addition, the figure 1 demonstrates that Tesla products have a current high positioning on the basis of a high price point and hi</w:t>
      </w:r>
      <w:r>
        <w:rPr>
          <w:rFonts w:ascii="Arial" w:hAnsi="Arial" w:cs="Arial"/>
        </w:rPr>
        <w:t xml:space="preserve">gh-quality product. This is substantiated by the superior market valuation of the Tesla brand in the figure 2. </w:t>
      </w:r>
    </w:p>
    <w:p w14:paraId="22E333CA" w14:textId="77777777" w:rsidR="00DC7243" w:rsidRDefault="00EA50A8">
      <w:pPr>
        <w:autoSpaceDE w:val="0"/>
        <w:autoSpaceDN w:val="0"/>
        <w:adjustRightInd w:val="0"/>
        <w:spacing w:line="480" w:lineRule="auto"/>
        <w:jc w:val="both"/>
        <w:rPr>
          <w:rFonts w:ascii="Arial" w:hAnsi="Arial" w:cs="Arial"/>
        </w:rPr>
      </w:pPr>
      <w:r>
        <w:rPr>
          <w:rFonts w:ascii="Arial" w:hAnsi="Arial" w:cs="Arial"/>
        </w:rPr>
        <w:t xml:space="preserve">Drawing on Porter’s genetic strategies that demonstrate price as what the customer is willing to pay and cost as what is the product or service </w:t>
      </w:r>
      <w:r>
        <w:rPr>
          <w:rFonts w:ascii="Arial" w:hAnsi="Arial" w:cs="Arial"/>
        </w:rPr>
        <w:t xml:space="preserve">costs the organization Tanwar (2013), it appears that the current competitive strategy utilized by Tesla is more indicative of the differentiation strategy. Views of Islami, Mustafa and Topuzovska Latkovikj (2020) indicate that differentiation strategy is </w:t>
      </w:r>
      <w:r>
        <w:rPr>
          <w:rFonts w:ascii="Arial" w:hAnsi="Arial" w:cs="Arial"/>
        </w:rPr>
        <w:t xml:space="preserve">characterized by offering </w:t>
      </w:r>
      <w:r>
        <w:rPr>
          <w:rFonts w:ascii="Arial" w:hAnsi="Arial" w:cs="Arial"/>
        </w:rPr>
        <w:lastRenderedPageBreak/>
        <w:t>something that is considered as unique or better. In addition, differentiation strategy can come in many forms ranging from service to quality (Ansoff et al., 2018). In exchange, premium prices can be charged for high-quality prod</w:t>
      </w:r>
      <w:r>
        <w:rPr>
          <w:rFonts w:ascii="Arial" w:hAnsi="Arial" w:cs="Arial"/>
        </w:rPr>
        <w:t>ucts or services offered by a brand. Furthermore, Johnson et al., (2020) indicate that an offer is considered to be differentiated when it delivers augmented benefits beyond the customers augmented and actual benefits.</w:t>
      </w:r>
    </w:p>
    <w:p w14:paraId="01468050" w14:textId="77777777" w:rsidR="00DC7243" w:rsidRDefault="00EA50A8">
      <w:pPr>
        <w:spacing w:line="480" w:lineRule="auto"/>
        <w:jc w:val="both"/>
        <w:rPr>
          <w:rFonts w:ascii="Arial" w:hAnsi="Arial" w:cs="Arial"/>
        </w:rPr>
      </w:pPr>
      <w:r>
        <w:rPr>
          <w:rFonts w:ascii="Arial" w:hAnsi="Arial" w:cs="Arial"/>
        </w:rPr>
        <w:t xml:space="preserve">The first evidence of the </w:t>
      </w:r>
      <w:bookmarkStart w:id="2" w:name="_Hlk129209078"/>
      <w:r>
        <w:rPr>
          <w:rFonts w:ascii="Arial" w:hAnsi="Arial" w:cs="Arial"/>
        </w:rPr>
        <w:t>differentia</w:t>
      </w:r>
      <w:r>
        <w:rPr>
          <w:rFonts w:ascii="Arial" w:hAnsi="Arial" w:cs="Arial"/>
        </w:rPr>
        <w:t>tion</w:t>
      </w:r>
      <w:bookmarkEnd w:id="2"/>
      <w:r>
        <w:rPr>
          <w:rFonts w:ascii="Arial" w:hAnsi="Arial" w:cs="Arial"/>
        </w:rPr>
        <w:t xml:space="preserve"> strategy at Tesla is provided by its premium pricing. According to Acclaim Ideas (2023), Tesla has positioned itself as a premium brand. This is demonstrated by pricing its electric vehicles significantly higher than the prices charged by the competit</w:t>
      </w:r>
      <w:r>
        <w:rPr>
          <w:rFonts w:ascii="Arial" w:hAnsi="Arial" w:cs="Arial"/>
        </w:rPr>
        <w:t>ion of either other electric vehicles or fossil fuel-powered vehicles. Hence, this enables Tesla to create the perception of exclusivity and luxury that is appealing to customers looking for high-quality and innovative electric car products. Further eviden</w:t>
      </w:r>
      <w:r>
        <w:rPr>
          <w:rFonts w:ascii="Arial" w:hAnsi="Arial" w:cs="Arial"/>
        </w:rPr>
        <w:t>ce is provided by continuous innovation at Tesla. Views of Voigt et al., (2017) indicate that Tesla has a robust focus on research and development for the purpose of continuous innovation and product improvement. This has enabled Tesla to introduce several</w:t>
      </w:r>
      <w:r>
        <w:rPr>
          <w:rFonts w:ascii="Arial" w:hAnsi="Arial" w:cs="Arial"/>
        </w:rPr>
        <w:t xml:space="preserve"> industry-first features such as a large touchscreen display, over the air software updates, and autonomous driving capabilities (Crane, 2016). </w:t>
      </w:r>
    </w:p>
    <w:p w14:paraId="08B52BD2" w14:textId="77777777" w:rsidR="00DC7243" w:rsidRDefault="00EA50A8">
      <w:pPr>
        <w:spacing w:line="480" w:lineRule="auto"/>
        <w:jc w:val="both"/>
        <w:rPr>
          <w:rFonts w:ascii="Arial" w:hAnsi="Arial" w:cs="Arial"/>
        </w:rPr>
      </w:pPr>
      <w:r>
        <w:rPr>
          <w:rFonts w:ascii="Arial" w:hAnsi="Arial" w:cs="Arial"/>
        </w:rPr>
        <w:t>Further evidence of the differentiation strategy at Tesla is provided by the brand image cultivated by the orga</w:t>
      </w:r>
      <w:r>
        <w:rPr>
          <w:rFonts w:ascii="Arial" w:hAnsi="Arial" w:cs="Arial"/>
        </w:rPr>
        <w:t>nisation. According to Hensmans (2022), Tesla has developed a brand image that is consistent with innovation, sustainability and luxury. This has positioned Tesla to entice customers who are looking for something unique from that provided by traditional au</w:t>
      </w:r>
      <w:r>
        <w:rPr>
          <w:rFonts w:ascii="Arial" w:hAnsi="Arial" w:cs="Arial"/>
        </w:rPr>
        <w:t xml:space="preserve">to makers. Hence, this plays a critical role in setting Tesla apart from the rest of the competition. Lastly, Tesla has developed a robust charging infrastructure to further differentiate itself through its value addition to customers. </w:t>
      </w:r>
      <w:r>
        <w:rPr>
          <w:rFonts w:ascii="Arial" w:hAnsi="Arial" w:cs="Arial"/>
        </w:rPr>
        <w:lastRenderedPageBreak/>
        <w:t>Based on heavy inves</w:t>
      </w:r>
      <w:r>
        <w:rPr>
          <w:rFonts w:ascii="Arial" w:hAnsi="Arial" w:cs="Arial"/>
        </w:rPr>
        <w:t>tment in the supercharger network, Tesla enables its customers to enjoy a network of high-speed charging stations that facilitate Tesla owners to travel long distances with ease (Aratami, 2023). This sets Tesla apart from the competition given that the cha</w:t>
      </w:r>
      <w:r>
        <w:rPr>
          <w:rFonts w:ascii="Arial" w:hAnsi="Arial" w:cs="Arial"/>
        </w:rPr>
        <w:t>rging infrastructure is not available to owners of other electric vehicles. Therefore, this provides Tesla with a unique advantage in the electric car market.</w:t>
      </w:r>
    </w:p>
    <w:p w14:paraId="295ED7F4" w14:textId="77777777" w:rsidR="00DC7243" w:rsidRDefault="00EA50A8">
      <w:pPr>
        <w:pStyle w:val="1"/>
        <w:spacing w:line="480" w:lineRule="auto"/>
        <w:jc w:val="both"/>
        <w:rPr>
          <w:rFonts w:ascii="Arial" w:hAnsi="Arial" w:cs="Arial"/>
          <w:b/>
          <w:bCs/>
          <w:color w:val="auto"/>
          <w:sz w:val="24"/>
          <w:szCs w:val="24"/>
        </w:rPr>
      </w:pPr>
      <w:bookmarkStart w:id="3" w:name="_Toc129298038"/>
      <w:r>
        <w:rPr>
          <w:rFonts w:ascii="Arial" w:hAnsi="Arial" w:cs="Arial"/>
          <w:b/>
          <w:bCs/>
          <w:color w:val="auto"/>
          <w:sz w:val="24"/>
          <w:szCs w:val="24"/>
        </w:rPr>
        <w:t>3.0 Critical evaluation of the competitive strategy of Tesla for its competitive position</w:t>
      </w:r>
      <w:bookmarkEnd w:id="3"/>
    </w:p>
    <w:p w14:paraId="368F879E" w14:textId="77777777" w:rsidR="00DC7243" w:rsidRDefault="00EA50A8">
      <w:pPr>
        <w:autoSpaceDE w:val="0"/>
        <w:autoSpaceDN w:val="0"/>
        <w:adjustRightInd w:val="0"/>
        <w:spacing w:line="480" w:lineRule="auto"/>
        <w:jc w:val="both"/>
        <w:rPr>
          <w:rFonts w:ascii="Arial" w:hAnsi="Arial" w:cs="Arial"/>
        </w:rPr>
      </w:pPr>
      <w:r>
        <w:rPr>
          <w:rFonts w:ascii="Arial" w:hAnsi="Arial" w:cs="Arial"/>
        </w:rPr>
        <w:t>In usin</w:t>
      </w:r>
      <w:r>
        <w:rPr>
          <w:rFonts w:ascii="Arial" w:hAnsi="Arial" w:cs="Arial"/>
        </w:rPr>
        <w:t xml:space="preserve">g the differentiation competitive strategy, Tesla has managed to create a top leadership position for its automotive brand in the global automotive industry based on the evidence provided by figure 2 above. This indicates that the differentiation strategy </w:t>
      </w:r>
      <w:r>
        <w:rPr>
          <w:rFonts w:ascii="Arial" w:hAnsi="Arial" w:cs="Arial"/>
        </w:rPr>
        <w:t>provides a number of advantages to Tesla.</w:t>
      </w:r>
    </w:p>
    <w:p w14:paraId="3B527DAC" w14:textId="77777777" w:rsidR="00DC7243" w:rsidRDefault="00EA50A8">
      <w:pPr>
        <w:autoSpaceDE w:val="0"/>
        <w:autoSpaceDN w:val="0"/>
        <w:adjustRightInd w:val="0"/>
        <w:spacing w:line="480" w:lineRule="auto"/>
        <w:jc w:val="both"/>
        <w:rPr>
          <w:rFonts w:ascii="Arial" w:hAnsi="Arial" w:cs="Arial"/>
        </w:rPr>
      </w:pPr>
      <w:r>
        <w:rPr>
          <w:rFonts w:ascii="Arial" w:hAnsi="Arial" w:cs="Arial"/>
        </w:rPr>
        <w:t xml:space="preserve">One of the benefits of the differentiation competitive strategy is providing a mechanism for distancing a brand from the rest of the competition in the marketplace (Wheelen et al., 2017). This is </w:t>
      </w:r>
      <w:r>
        <w:rPr>
          <w:rFonts w:ascii="Arial" w:hAnsi="Arial" w:cs="Arial"/>
        </w:rPr>
        <w:t>demonstrated by Tesla’s differentiation strategy that enables the company to create unique electric car products and services that set the company apart from the competition (Mangram, 2012). By developing innovative and technologically advanced electric ve</w:t>
      </w:r>
      <w:r>
        <w:rPr>
          <w:rFonts w:ascii="Arial" w:hAnsi="Arial" w:cs="Arial"/>
        </w:rPr>
        <w:t>hicles, Tesla, offers superior performance, longer range and faster charging times in comparison to the competition (Hensmans, 2022). Hence, the differentiation competitive strategy provides a distancing benefit for Tesla from others rivals in the electric</w:t>
      </w:r>
      <w:r>
        <w:rPr>
          <w:rFonts w:ascii="Arial" w:hAnsi="Arial" w:cs="Arial"/>
        </w:rPr>
        <w:t xml:space="preserve"> car marketplace.</w:t>
      </w:r>
    </w:p>
    <w:p w14:paraId="66ABF35E" w14:textId="77777777" w:rsidR="00DC7243" w:rsidRDefault="00EA50A8">
      <w:pPr>
        <w:autoSpaceDE w:val="0"/>
        <w:autoSpaceDN w:val="0"/>
        <w:adjustRightInd w:val="0"/>
        <w:spacing w:line="480" w:lineRule="auto"/>
        <w:jc w:val="both"/>
        <w:rPr>
          <w:rFonts w:ascii="Arial" w:hAnsi="Arial" w:cs="Arial"/>
        </w:rPr>
      </w:pPr>
      <w:r>
        <w:rPr>
          <w:rFonts w:ascii="Arial" w:hAnsi="Arial" w:cs="Arial"/>
        </w:rPr>
        <w:t>Another benefit of the differentiation competitive strategy is the creation of a significant competitive advantage for a brand that leverages on the strategy (Tanwar, 2023). In the context of Tesla, the superior competitive advantage is p</w:t>
      </w:r>
      <w:r>
        <w:rPr>
          <w:rFonts w:ascii="Arial" w:hAnsi="Arial" w:cs="Arial"/>
        </w:rPr>
        <w:t xml:space="preserve">rovided through vertical integration. According to Voigt et al., (2017), Tesla’s vertical integration strategy is </w:t>
      </w:r>
      <w:r>
        <w:rPr>
          <w:rFonts w:ascii="Arial" w:hAnsi="Arial" w:cs="Arial"/>
        </w:rPr>
        <w:lastRenderedPageBreak/>
        <w:t>characterised by enabling the company control the entirety of its value chain from battery production vehicle assembly, to distribution and ch</w:t>
      </w:r>
      <w:r>
        <w:rPr>
          <w:rFonts w:ascii="Arial" w:hAnsi="Arial" w:cs="Arial"/>
        </w:rPr>
        <w:t>arging system through the giga charger infrastructure (Crane, 2016). Subsequently, this has emboldened Tesla to create a major competitive advantage characterized by an improved ability to control its electric car product quality, reduce its cost and accel</w:t>
      </w:r>
      <w:r>
        <w:rPr>
          <w:rFonts w:ascii="Arial" w:hAnsi="Arial" w:cs="Arial"/>
        </w:rPr>
        <w:t>erate product development.</w:t>
      </w:r>
    </w:p>
    <w:p w14:paraId="6DA44CB7" w14:textId="77777777" w:rsidR="00DC7243" w:rsidRDefault="00EA50A8">
      <w:pPr>
        <w:autoSpaceDE w:val="0"/>
        <w:autoSpaceDN w:val="0"/>
        <w:adjustRightInd w:val="0"/>
        <w:spacing w:line="480" w:lineRule="auto"/>
        <w:jc w:val="both"/>
        <w:rPr>
          <w:rFonts w:ascii="Arial" w:hAnsi="Arial" w:cs="Arial"/>
        </w:rPr>
      </w:pPr>
      <w:r>
        <w:rPr>
          <w:rFonts w:ascii="Arial" w:hAnsi="Arial" w:cs="Arial"/>
        </w:rPr>
        <w:t>Furthermore, the differentiation competitive strategy provides an additional benefit of increased flexibility to brands (</w:t>
      </w:r>
      <w:r>
        <w:rPr>
          <w:rFonts w:ascii="Arial" w:hAnsi="Arial" w:cs="Arial"/>
          <w:shd w:val="clear" w:color="auto" w:fill="FFFFFF"/>
        </w:rPr>
        <w:t>Islami, Mustafa and Topuzovska Latkovikj, 2020</w:t>
      </w:r>
      <w:r>
        <w:rPr>
          <w:rFonts w:ascii="Arial" w:hAnsi="Arial" w:cs="Arial"/>
        </w:rPr>
        <w:t>). This is reflected at Tesla through growing flexibility as b</w:t>
      </w:r>
      <w:r>
        <w:rPr>
          <w:rFonts w:ascii="Arial" w:hAnsi="Arial" w:cs="Arial"/>
        </w:rPr>
        <w:t>oth an electric car company and technology company. Views of Tesla (2023) indicate that Tesla has built a robust brand that is recognized across the world. This has provided significant flexibility to Tesla in terms of focusing on innovation, sustainabilit</w:t>
      </w:r>
      <w:r>
        <w:rPr>
          <w:rFonts w:ascii="Arial" w:hAnsi="Arial" w:cs="Arial"/>
        </w:rPr>
        <w:t>y and environmental protection that resonates positively with consumers. Hence, it has provided Tesla with significant leeway given that it has an improved ability of creating a loyal customer base (Hensmans, 2022). This offers Tesla with the flexibility o</w:t>
      </w:r>
      <w:r>
        <w:rPr>
          <w:rFonts w:ascii="Arial" w:hAnsi="Arial" w:cs="Arial"/>
        </w:rPr>
        <w:t>f focusing on further product and service innovation without being concerned with attracting customers to its brand.</w:t>
      </w:r>
    </w:p>
    <w:p w14:paraId="531FF414" w14:textId="77777777" w:rsidR="00DC7243" w:rsidRDefault="00EA50A8">
      <w:pPr>
        <w:autoSpaceDE w:val="0"/>
        <w:autoSpaceDN w:val="0"/>
        <w:adjustRightInd w:val="0"/>
        <w:spacing w:line="480" w:lineRule="auto"/>
        <w:jc w:val="both"/>
        <w:rPr>
          <w:rFonts w:ascii="Arial" w:hAnsi="Arial" w:cs="Arial"/>
        </w:rPr>
      </w:pPr>
      <w:r>
        <w:rPr>
          <w:rFonts w:ascii="Arial" w:hAnsi="Arial" w:cs="Arial"/>
        </w:rPr>
        <w:t>However, in using the differentiation competitive strategy to realize its current strong competitive position, there are some problems that</w:t>
      </w:r>
      <w:r>
        <w:rPr>
          <w:rFonts w:ascii="Arial" w:hAnsi="Arial" w:cs="Arial"/>
        </w:rPr>
        <w:t xml:space="preserve"> Tesla is likely to face as a result (Freeman, 2010). </w:t>
      </w:r>
    </w:p>
    <w:p w14:paraId="0BE376D0" w14:textId="77777777" w:rsidR="00DC7243" w:rsidRDefault="00EA50A8">
      <w:pPr>
        <w:autoSpaceDE w:val="0"/>
        <w:autoSpaceDN w:val="0"/>
        <w:adjustRightInd w:val="0"/>
        <w:spacing w:line="480" w:lineRule="auto"/>
        <w:jc w:val="both"/>
        <w:rPr>
          <w:rFonts w:ascii="Arial" w:hAnsi="Arial" w:cs="Arial"/>
        </w:rPr>
      </w:pPr>
      <w:r>
        <w:rPr>
          <w:rFonts w:ascii="Arial" w:hAnsi="Arial" w:cs="Arial"/>
        </w:rPr>
        <w:t>According to Porter (2011), organizations that utilize the differentiation strategy are faced difficulties of sustaining the basis for differentiation. This is demonstrated by the growing competition t</w:t>
      </w:r>
      <w:r>
        <w:rPr>
          <w:rFonts w:ascii="Arial" w:hAnsi="Arial" w:cs="Arial"/>
        </w:rPr>
        <w:t>hat Tesla faces from Chinese electric car brands. Increasing competitiveness by the Chinese electric car industry coupled with the declining market share of Tesla in China, has managed to erode the competitive gains established by Tesla through quality ele</w:t>
      </w:r>
      <w:r>
        <w:rPr>
          <w:rFonts w:ascii="Arial" w:hAnsi="Arial" w:cs="Arial"/>
        </w:rPr>
        <w:t xml:space="preserve">ctric car products (Shipley, 2020). With the technology of electric car manufacturing becoming mainstream, the basis of differentiation that has </w:t>
      </w:r>
      <w:r>
        <w:rPr>
          <w:rFonts w:ascii="Arial" w:hAnsi="Arial" w:cs="Arial"/>
        </w:rPr>
        <w:lastRenderedPageBreak/>
        <w:t xml:space="preserve">long been a mainstay of Tesla is eroded (Hensmans, 2022). At the same time, Chinese electric car manufacturers </w:t>
      </w:r>
      <w:r>
        <w:rPr>
          <w:rFonts w:ascii="Arial" w:hAnsi="Arial" w:cs="Arial"/>
        </w:rPr>
        <w:t>are now able to produce quality and affordable electric vehicles that appeal to the Chinese and European markets. Hence, these factors have made it increasingly difficult for Tesla to sustain its basis for differentiation.</w:t>
      </w:r>
    </w:p>
    <w:p w14:paraId="3051D158" w14:textId="77777777" w:rsidR="00DC7243" w:rsidRDefault="00EA50A8">
      <w:pPr>
        <w:autoSpaceDE w:val="0"/>
        <w:autoSpaceDN w:val="0"/>
        <w:adjustRightInd w:val="0"/>
        <w:spacing w:line="480" w:lineRule="auto"/>
        <w:jc w:val="both"/>
        <w:rPr>
          <w:rFonts w:ascii="Arial" w:hAnsi="Arial" w:cs="Arial"/>
        </w:rPr>
      </w:pPr>
      <w:r>
        <w:rPr>
          <w:rFonts w:ascii="Arial" w:hAnsi="Arial" w:cs="Arial"/>
        </w:rPr>
        <w:t xml:space="preserve">Another problem characterized by </w:t>
      </w:r>
      <w:r>
        <w:rPr>
          <w:rFonts w:ascii="Arial" w:hAnsi="Arial" w:cs="Arial"/>
        </w:rPr>
        <w:t>the differentiation competitive strategy is the probability of higher costs of manufacturing or product development (Johnson et al., 2020). Demonstration of higher costs of operation at Tesla is provided by Tesla (2023) who indicates that Tesla’s cost stru</w:t>
      </w:r>
      <w:r>
        <w:rPr>
          <w:rFonts w:ascii="Arial" w:hAnsi="Arial" w:cs="Arial"/>
        </w:rPr>
        <w:t>cture is high in comparison to traditional car makers. This is because Tesla incurs higher costs in manufacturing its electric vehicle batteries. On this basis, it increases the difficulty Tesla faces in competing with traditional automakers on the basis o</w:t>
      </w:r>
      <w:r>
        <w:rPr>
          <w:rFonts w:ascii="Arial" w:hAnsi="Arial" w:cs="Arial"/>
        </w:rPr>
        <w:t>f price. In the same vein, traditional automakers such as Toyota and Volkswagen, have higher economies of scale in both manufacturing and procurement that increase their competitiveness on the basis of price (Voigt et al., 2017).</w:t>
      </w:r>
    </w:p>
    <w:p w14:paraId="4DD8F742" w14:textId="77777777" w:rsidR="00DC7243" w:rsidRDefault="00EA50A8">
      <w:pPr>
        <w:spacing w:line="480" w:lineRule="auto"/>
        <w:jc w:val="both"/>
        <w:rPr>
          <w:rFonts w:ascii="Arial" w:hAnsi="Arial" w:cs="Arial"/>
        </w:rPr>
      </w:pPr>
      <w:r>
        <w:rPr>
          <w:rFonts w:ascii="Arial" w:hAnsi="Arial" w:cs="Arial"/>
        </w:rPr>
        <w:t>Other scholars believe tha</w:t>
      </w:r>
      <w:r>
        <w:rPr>
          <w:rFonts w:ascii="Arial" w:hAnsi="Arial" w:cs="Arial"/>
        </w:rPr>
        <w:t>t another challenge faced by the differentiation strategy is the difficulty to realize true and meaningful differentiation (Hill, Jones and Shilling, 2017). This is indicated in the context of Tesla given its high dependence on key suppliers. With true and</w:t>
      </w:r>
      <w:r>
        <w:rPr>
          <w:rFonts w:ascii="Arial" w:hAnsi="Arial" w:cs="Arial"/>
        </w:rPr>
        <w:t xml:space="preserve"> meaningful differentiation characterized by high levels of vertical integration for the purpose of being self-dependent and determining, Tesla’s dependence on a small number of key suppliers for its battery production indicates that it faces a challenge o</w:t>
      </w:r>
      <w:r>
        <w:rPr>
          <w:rFonts w:ascii="Arial" w:hAnsi="Arial" w:cs="Arial"/>
        </w:rPr>
        <w:t xml:space="preserve">f realizing true and meaningful differentiation (Tesla, 2023). This is because any disruption within the supply chain, is likely to have a significant impact on the operations of Tesla. Hence, in so doing, the disruption to Tesla’s supply chain on account </w:t>
      </w:r>
      <w:r>
        <w:rPr>
          <w:rFonts w:ascii="Arial" w:hAnsi="Arial" w:cs="Arial"/>
        </w:rPr>
        <w:t xml:space="preserve">of its dependence on a small number of key suppliers, reduces its vertical integration benefits, and makes the brand vulnerable to external shocks </w:t>
      </w:r>
      <w:r>
        <w:rPr>
          <w:rFonts w:ascii="Arial" w:hAnsi="Arial" w:cs="Arial"/>
        </w:rPr>
        <w:lastRenderedPageBreak/>
        <w:t>(Hensmans, 2022). For example, Tesla operates in a highly regulated industry and any alterations to regulatio</w:t>
      </w:r>
      <w:r>
        <w:rPr>
          <w:rFonts w:ascii="Arial" w:hAnsi="Arial" w:cs="Arial"/>
        </w:rPr>
        <w:t>ns could have potentially impactful consequences on the operations and ability of Tesla to sustain its differentiation strategy.</w:t>
      </w:r>
    </w:p>
    <w:p w14:paraId="17927419" w14:textId="77777777" w:rsidR="00DC7243" w:rsidRDefault="00EA50A8">
      <w:pPr>
        <w:pStyle w:val="1"/>
        <w:spacing w:line="480" w:lineRule="auto"/>
        <w:jc w:val="both"/>
        <w:rPr>
          <w:rFonts w:ascii="Arial" w:hAnsi="Arial" w:cs="Arial"/>
          <w:b/>
          <w:bCs/>
          <w:color w:val="auto"/>
          <w:sz w:val="24"/>
          <w:szCs w:val="24"/>
        </w:rPr>
      </w:pPr>
      <w:bookmarkStart w:id="4" w:name="_Toc129298039"/>
      <w:r>
        <w:rPr>
          <w:rFonts w:ascii="Arial" w:hAnsi="Arial" w:cs="Arial"/>
          <w:b/>
          <w:bCs/>
          <w:color w:val="auto"/>
          <w:sz w:val="24"/>
          <w:szCs w:val="24"/>
        </w:rPr>
        <w:t>4.0 Recommendations</w:t>
      </w:r>
      <w:bookmarkEnd w:id="4"/>
    </w:p>
    <w:p w14:paraId="687CA3BE" w14:textId="77777777" w:rsidR="00DC7243" w:rsidRDefault="00EA50A8">
      <w:pPr>
        <w:autoSpaceDE w:val="0"/>
        <w:autoSpaceDN w:val="0"/>
        <w:adjustRightInd w:val="0"/>
        <w:spacing w:line="480" w:lineRule="auto"/>
        <w:jc w:val="both"/>
        <w:rPr>
          <w:rFonts w:ascii="Arial" w:hAnsi="Arial" w:cs="Arial"/>
        </w:rPr>
      </w:pPr>
      <w:r>
        <w:rPr>
          <w:rFonts w:ascii="Arial" w:hAnsi="Arial" w:cs="Arial"/>
        </w:rPr>
        <w:t>On account of the limitations of Tesla’s differentiation competitive strategy, the following suggestions ca</w:t>
      </w:r>
      <w:r>
        <w:rPr>
          <w:rFonts w:ascii="Arial" w:hAnsi="Arial" w:cs="Arial"/>
        </w:rPr>
        <w:t xml:space="preserve">n be used to improve the differentiation competitive strategy. </w:t>
      </w:r>
    </w:p>
    <w:p w14:paraId="10A2A6DD" w14:textId="77777777" w:rsidR="00DC7243" w:rsidRDefault="00EA50A8">
      <w:pPr>
        <w:autoSpaceDE w:val="0"/>
        <w:autoSpaceDN w:val="0"/>
        <w:adjustRightInd w:val="0"/>
        <w:spacing w:line="480" w:lineRule="auto"/>
        <w:jc w:val="both"/>
        <w:rPr>
          <w:rFonts w:ascii="Arial" w:hAnsi="Arial" w:cs="Arial"/>
        </w:rPr>
      </w:pPr>
      <w:r>
        <w:rPr>
          <w:rFonts w:ascii="Arial" w:hAnsi="Arial" w:cs="Arial"/>
        </w:rPr>
        <w:t>Firstly, Tesla should focus on improving its cost structure in order to reduce its competitive disadvantages in using the differentiation strategy. This can be achieved by focusing on improvin</w:t>
      </w:r>
      <w:r>
        <w:rPr>
          <w:rFonts w:ascii="Arial" w:hAnsi="Arial" w:cs="Arial"/>
        </w:rPr>
        <w:t xml:space="preserve">g its cost structure through increasing economies of scale, and reducing the costs incurred in manufacturing electric vehicle batteries. Some of the ways that Tesla can achieve an improvement in cost structure is by increasing its production and investing </w:t>
      </w:r>
      <w:r>
        <w:rPr>
          <w:rFonts w:ascii="Arial" w:hAnsi="Arial" w:cs="Arial"/>
        </w:rPr>
        <w:t>in battery technology through research and development. This activity would empower Tesla to increase competitiveness on the basis of price when competing with traditional automakers such as Toyota and Volkswagen that experience lower manufacturing costs.</w:t>
      </w:r>
    </w:p>
    <w:p w14:paraId="4AE822E8" w14:textId="77777777" w:rsidR="00DC7243" w:rsidRDefault="00EA50A8">
      <w:pPr>
        <w:autoSpaceDE w:val="0"/>
        <w:autoSpaceDN w:val="0"/>
        <w:adjustRightInd w:val="0"/>
        <w:spacing w:line="480" w:lineRule="auto"/>
        <w:jc w:val="both"/>
        <w:rPr>
          <w:rFonts w:ascii="Arial" w:hAnsi="Arial" w:cs="Arial"/>
        </w:rPr>
      </w:pPr>
      <w:r>
        <w:rPr>
          <w:rFonts w:ascii="Arial" w:hAnsi="Arial" w:cs="Arial"/>
        </w:rPr>
        <w:t>Tesla should also increase production capacity by increasing its electric car production capacity to meet growing demand for its vehicles. This would help Tesla reduce its competitive disadvantage associated with the differentiation strategy given that low</w:t>
      </w:r>
      <w:r>
        <w:rPr>
          <w:rFonts w:ascii="Arial" w:hAnsi="Arial" w:cs="Arial"/>
        </w:rPr>
        <w:t xml:space="preserve"> volumes are a strong feature of the differentiation strategy. As a result, Tesla should expand its production facilities through increased investment in automation and supply chain management. The value of this initiative is to enable Tesla reduce custome</w:t>
      </w:r>
      <w:r>
        <w:rPr>
          <w:rFonts w:ascii="Arial" w:hAnsi="Arial" w:cs="Arial"/>
        </w:rPr>
        <w:t xml:space="preserve">r wait times and, in the process, reduce customer wait times. </w:t>
      </w:r>
    </w:p>
    <w:p w14:paraId="46900814" w14:textId="77777777" w:rsidR="00DC7243" w:rsidRDefault="00EA50A8">
      <w:pPr>
        <w:autoSpaceDE w:val="0"/>
        <w:autoSpaceDN w:val="0"/>
        <w:adjustRightInd w:val="0"/>
        <w:spacing w:line="480" w:lineRule="auto"/>
        <w:jc w:val="both"/>
        <w:rPr>
          <w:rFonts w:ascii="Arial" w:hAnsi="Arial" w:cs="Arial"/>
        </w:rPr>
      </w:pPr>
      <w:r>
        <w:rPr>
          <w:rFonts w:ascii="Arial" w:hAnsi="Arial" w:cs="Arial"/>
        </w:rPr>
        <w:t>Furthermore, Tesla should diversify its supplier portfolio. Presently, Tesla relies on a few small suppliers for the supply of its electric vehicle batteries. This has been proven to be a compe</w:t>
      </w:r>
      <w:r>
        <w:rPr>
          <w:rFonts w:ascii="Arial" w:hAnsi="Arial" w:cs="Arial"/>
        </w:rPr>
        <w:t xml:space="preserve">titive disadvantage given that it is highly dependent on the efficiency of </w:t>
      </w:r>
      <w:r>
        <w:rPr>
          <w:rFonts w:ascii="Arial" w:hAnsi="Arial" w:cs="Arial"/>
        </w:rPr>
        <w:lastRenderedPageBreak/>
        <w:t>its supply chain partners. Therefore, in order to overcome this competitive disadvantage, Tesla should diversify its supplier base to reduce dependence on key supplies for battery p</w:t>
      </w:r>
      <w:r>
        <w:rPr>
          <w:rFonts w:ascii="Arial" w:hAnsi="Arial" w:cs="Arial"/>
        </w:rPr>
        <w:t>roduction. By bringing in more suppliers on board, or alternatively increasing its own capacity for electric vehicle battery production, Tesla would increase its ability to mitigate against supply chain, disruption risk, and in the process, guarantee a sta</w:t>
      </w:r>
      <w:r>
        <w:rPr>
          <w:rFonts w:ascii="Arial" w:hAnsi="Arial" w:cs="Arial"/>
        </w:rPr>
        <w:t>ble supply of batteries for its electric vehicles.</w:t>
      </w:r>
    </w:p>
    <w:p w14:paraId="1E92D364" w14:textId="77777777" w:rsidR="00DC7243" w:rsidRDefault="00EA50A8">
      <w:pPr>
        <w:spacing w:line="480" w:lineRule="auto"/>
        <w:jc w:val="both"/>
        <w:rPr>
          <w:rFonts w:ascii="Arial" w:hAnsi="Arial" w:cs="Arial"/>
        </w:rPr>
      </w:pPr>
      <w:r>
        <w:rPr>
          <w:rFonts w:ascii="Arial" w:hAnsi="Arial" w:cs="Arial"/>
        </w:rPr>
        <w:t>Other additional strategies that Tesla can use to further enhance its differentiation strategy include expanding its product portfolio. This implies expanding its product portfolio beyond electric vehicles</w:t>
      </w:r>
      <w:r>
        <w:rPr>
          <w:rFonts w:ascii="Arial" w:hAnsi="Arial" w:cs="Arial"/>
        </w:rPr>
        <w:t xml:space="preserve"> to include other sustainable energy solutions. For example, Tesla could consider solar panels, energy storage systems and other renewable energy technologies that would play an important role in diversifying its revenue streams for the company. These woul</w:t>
      </w:r>
      <w:r>
        <w:rPr>
          <w:rFonts w:ascii="Arial" w:hAnsi="Arial" w:cs="Arial"/>
        </w:rPr>
        <w:t>d be instrumental in reducing Tesla’s dependence on the electric vehicle market and further, creating points of differentiation to further create a sustainable competitive advantage.</w:t>
      </w:r>
    </w:p>
    <w:p w14:paraId="01C45AEE" w14:textId="77777777" w:rsidR="00DC7243" w:rsidRDefault="00EA50A8">
      <w:pPr>
        <w:pStyle w:val="1"/>
        <w:spacing w:line="480" w:lineRule="auto"/>
        <w:jc w:val="both"/>
        <w:rPr>
          <w:rFonts w:ascii="Arial" w:hAnsi="Arial" w:cs="Arial"/>
          <w:b/>
          <w:bCs/>
          <w:color w:val="auto"/>
          <w:sz w:val="24"/>
          <w:szCs w:val="24"/>
        </w:rPr>
      </w:pPr>
      <w:bookmarkStart w:id="5" w:name="_Toc129298040"/>
      <w:r>
        <w:rPr>
          <w:rFonts w:ascii="Arial" w:hAnsi="Arial" w:cs="Arial"/>
          <w:b/>
          <w:bCs/>
          <w:color w:val="auto"/>
          <w:sz w:val="24"/>
          <w:szCs w:val="24"/>
        </w:rPr>
        <w:t>5.0 Conclusion</w:t>
      </w:r>
      <w:bookmarkEnd w:id="5"/>
    </w:p>
    <w:p w14:paraId="64E10765" w14:textId="77777777" w:rsidR="00DC7243" w:rsidRDefault="00EA50A8">
      <w:pPr>
        <w:autoSpaceDE w:val="0"/>
        <w:autoSpaceDN w:val="0"/>
        <w:adjustRightInd w:val="0"/>
        <w:spacing w:line="480" w:lineRule="auto"/>
        <w:jc w:val="both"/>
        <w:rPr>
          <w:rFonts w:ascii="Arial" w:hAnsi="Arial" w:cs="Arial"/>
        </w:rPr>
      </w:pPr>
      <w:r>
        <w:rPr>
          <w:rFonts w:ascii="Arial" w:hAnsi="Arial" w:cs="Arial"/>
        </w:rPr>
        <w:t>The aim of this report is the critically evaluate the comp</w:t>
      </w:r>
      <w:r>
        <w:rPr>
          <w:rFonts w:ascii="Arial" w:hAnsi="Arial" w:cs="Arial"/>
        </w:rPr>
        <w:t>etitive and development strategies of Tesla. Based on the quality and price combinations that are espoused by theory on strategic management, the findings demonstrated that the competitive strategy utilized by Tesla in developing its current position was t</w:t>
      </w:r>
      <w:r>
        <w:rPr>
          <w:rFonts w:ascii="Arial" w:hAnsi="Arial" w:cs="Arial"/>
        </w:rPr>
        <w:t>he differentiation competitive strategy. This enabled Tesla to offer high-quality products at premium pricing. It also enabled Tesla to become the most valuable automotive brand globally. Moreover, based on the critical evaluation of the competitive strate</w:t>
      </w:r>
      <w:r>
        <w:rPr>
          <w:rFonts w:ascii="Arial" w:hAnsi="Arial" w:cs="Arial"/>
        </w:rPr>
        <w:t>gy of Tesla within its competitive position, it was established that the benefits included distancing the brand from the rest of the competition, creation of a significant competitive advantage for the brand and increasing flexibility to the brand. However</w:t>
      </w:r>
      <w:r>
        <w:rPr>
          <w:rFonts w:ascii="Arial" w:hAnsi="Arial" w:cs="Arial"/>
        </w:rPr>
        <w:t xml:space="preserve">, in using the </w:t>
      </w:r>
      <w:r>
        <w:rPr>
          <w:rFonts w:ascii="Arial" w:hAnsi="Arial" w:cs="Arial"/>
        </w:rPr>
        <w:lastRenderedPageBreak/>
        <w:t>differentiation competitive strategy, Tesla faced challenges of sustaining the basis for differentiation, and had a higher probability of higher costs of manufacturing and product development. At the same time, it was also established that T</w:t>
      </w:r>
      <w:r>
        <w:rPr>
          <w:rFonts w:ascii="Arial" w:hAnsi="Arial" w:cs="Arial"/>
        </w:rPr>
        <w:t>esla faced difficulty in realizing true and meaningful differentiation. As a consequence, it was suggested that Tesla should focus on improving its cost structure to reduce competitive disadvantages faced as a result of differentiation competitive strategy</w:t>
      </w:r>
      <w:r>
        <w:rPr>
          <w:rFonts w:ascii="Arial" w:hAnsi="Arial" w:cs="Arial"/>
        </w:rPr>
        <w:t>. Moreover, the findings also indicated that Tesla faced issues of increasing electric car production capacity to meet growing demand. Other suggestions for improving its competitive disadvantage included diversifying its supplier base to include more supp</w:t>
      </w:r>
      <w:r>
        <w:rPr>
          <w:rFonts w:ascii="Arial" w:hAnsi="Arial" w:cs="Arial"/>
        </w:rPr>
        <w:t>liers to its roaster. Finally, it was also suggested that Tesla should enhance its differentiation strategy by expanding its product portfolio to spread risk of business failure.</w:t>
      </w:r>
    </w:p>
    <w:p w14:paraId="27E58A9B" w14:textId="77777777" w:rsidR="00DC7243" w:rsidRDefault="00DC7243">
      <w:pPr>
        <w:autoSpaceDE w:val="0"/>
        <w:autoSpaceDN w:val="0"/>
        <w:adjustRightInd w:val="0"/>
        <w:spacing w:line="480" w:lineRule="auto"/>
        <w:jc w:val="both"/>
        <w:rPr>
          <w:rFonts w:ascii="Arial" w:hAnsi="Arial" w:cs="Arial"/>
        </w:rPr>
      </w:pPr>
    </w:p>
    <w:p w14:paraId="2C032FC8" w14:textId="77777777" w:rsidR="00DC7243" w:rsidRDefault="00DC7243">
      <w:pPr>
        <w:autoSpaceDE w:val="0"/>
        <w:autoSpaceDN w:val="0"/>
        <w:adjustRightInd w:val="0"/>
        <w:spacing w:line="480" w:lineRule="auto"/>
        <w:jc w:val="both"/>
        <w:rPr>
          <w:rFonts w:ascii="Arial" w:hAnsi="Arial" w:cs="Arial"/>
        </w:rPr>
      </w:pPr>
    </w:p>
    <w:p w14:paraId="114CCC79" w14:textId="77777777" w:rsidR="00DC7243" w:rsidRDefault="00DC7243">
      <w:pPr>
        <w:spacing w:line="480" w:lineRule="auto"/>
        <w:jc w:val="both"/>
        <w:rPr>
          <w:rFonts w:ascii="Arial" w:hAnsi="Arial" w:cs="Arial"/>
        </w:rPr>
      </w:pPr>
    </w:p>
    <w:p w14:paraId="4A4CF601" w14:textId="77777777" w:rsidR="00DC7243" w:rsidRDefault="00DC7243">
      <w:pPr>
        <w:spacing w:line="480" w:lineRule="auto"/>
        <w:jc w:val="both"/>
        <w:rPr>
          <w:rFonts w:ascii="Arial" w:hAnsi="Arial" w:cs="Arial"/>
        </w:rPr>
      </w:pPr>
    </w:p>
    <w:p w14:paraId="0586591C" w14:textId="77777777" w:rsidR="00DC7243" w:rsidRDefault="00DC7243">
      <w:pPr>
        <w:spacing w:line="480" w:lineRule="auto"/>
        <w:jc w:val="both"/>
        <w:rPr>
          <w:rFonts w:ascii="Arial" w:hAnsi="Arial" w:cs="Arial"/>
        </w:rPr>
      </w:pPr>
    </w:p>
    <w:p w14:paraId="0E154B5C" w14:textId="77777777" w:rsidR="00DC7243" w:rsidRDefault="00DC7243">
      <w:pPr>
        <w:spacing w:line="480" w:lineRule="auto"/>
        <w:jc w:val="both"/>
        <w:rPr>
          <w:rFonts w:ascii="Arial" w:hAnsi="Arial" w:cs="Arial"/>
        </w:rPr>
      </w:pPr>
    </w:p>
    <w:p w14:paraId="61F8C723" w14:textId="77777777" w:rsidR="00DC7243" w:rsidRDefault="00DC7243">
      <w:pPr>
        <w:spacing w:line="480" w:lineRule="auto"/>
        <w:jc w:val="both"/>
        <w:rPr>
          <w:rFonts w:ascii="Arial" w:hAnsi="Arial" w:cs="Arial"/>
        </w:rPr>
      </w:pPr>
    </w:p>
    <w:p w14:paraId="1FFC64D4" w14:textId="77777777" w:rsidR="00DC7243" w:rsidRDefault="00DC7243">
      <w:pPr>
        <w:spacing w:line="480" w:lineRule="auto"/>
        <w:jc w:val="both"/>
        <w:rPr>
          <w:rFonts w:ascii="Arial" w:hAnsi="Arial" w:cs="Arial"/>
        </w:rPr>
      </w:pPr>
    </w:p>
    <w:p w14:paraId="30B4EE0F" w14:textId="77777777" w:rsidR="00DC7243" w:rsidRDefault="00DC7243">
      <w:pPr>
        <w:spacing w:line="480" w:lineRule="auto"/>
        <w:jc w:val="both"/>
        <w:rPr>
          <w:rFonts w:ascii="Arial" w:hAnsi="Arial" w:cs="Arial"/>
        </w:rPr>
      </w:pPr>
    </w:p>
    <w:p w14:paraId="281D9582" w14:textId="77777777" w:rsidR="00DC7243" w:rsidRDefault="00DC7243">
      <w:pPr>
        <w:spacing w:line="480" w:lineRule="auto"/>
        <w:jc w:val="both"/>
        <w:rPr>
          <w:rFonts w:ascii="Arial" w:hAnsi="Arial" w:cs="Arial"/>
        </w:rPr>
      </w:pPr>
    </w:p>
    <w:p w14:paraId="11FD70D3" w14:textId="77777777" w:rsidR="00DC7243" w:rsidRDefault="00DC7243">
      <w:pPr>
        <w:spacing w:line="480" w:lineRule="auto"/>
        <w:jc w:val="both"/>
        <w:rPr>
          <w:rFonts w:ascii="Arial" w:hAnsi="Arial" w:cs="Arial"/>
        </w:rPr>
      </w:pPr>
    </w:p>
    <w:p w14:paraId="42DE04E7" w14:textId="77777777" w:rsidR="00DC7243" w:rsidRDefault="00DC7243">
      <w:pPr>
        <w:spacing w:line="480" w:lineRule="auto"/>
        <w:jc w:val="both"/>
        <w:rPr>
          <w:rFonts w:ascii="Arial" w:hAnsi="Arial" w:cs="Arial"/>
        </w:rPr>
      </w:pPr>
    </w:p>
    <w:p w14:paraId="5A6ED8E0" w14:textId="77777777" w:rsidR="00DC7243" w:rsidRDefault="00DC7243">
      <w:pPr>
        <w:spacing w:line="480" w:lineRule="auto"/>
        <w:jc w:val="both"/>
        <w:rPr>
          <w:rFonts w:ascii="Arial" w:hAnsi="Arial" w:cs="Arial"/>
        </w:rPr>
      </w:pPr>
    </w:p>
    <w:p w14:paraId="6982E3BC" w14:textId="77777777" w:rsidR="00DC7243" w:rsidRDefault="00DC7243">
      <w:pPr>
        <w:spacing w:line="480" w:lineRule="auto"/>
        <w:jc w:val="both"/>
        <w:rPr>
          <w:rFonts w:ascii="Arial" w:hAnsi="Arial" w:cs="Arial"/>
        </w:rPr>
      </w:pPr>
    </w:p>
    <w:p w14:paraId="5D67A5BF" w14:textId="77777777" w:rsidR="00DC7243" w:rsidRDefault="00DC7243">
      <w:pPr>
        <w:spacing w:line="480" w:lineRule="auto"/>
        <w:jc w:val="both"/>
        <w:rPr>
          <w:rFonts w:ascii="Arial" w:hAnsi="Arial" w:cs="Arial"/>
        </w:rPr>
      </w:pPr>
    </w:p>
    <w:p w14:paraId="6C4E734A" w14:textId="77777777" w:rsidR="00DC7243" w:rsidRDefault="00DC7243">
      <w:pPr>
        <w:spacing w:line="480" w:lineRule="auto"/>
        <w:jc w:val="both"/>
        <w:rPr>
          <w:rFonts w:ascii="Arial" w:hAnsi="Arial" w:cs="Arial"/>
        </w:rPr>
      </w:pPr>
    </w:p>
    <w:p w14:paraId="18A9D519" w14:textId="77777777" w:rsidR="00DC7243" w:rsidRDefault="00DC7243">
      <w:pPr>
        <w:spacing w:line="480" w:lineRule="auto"/>
        <w:jc w:val="both"/>
        <w:rPr>
          <w:rFonts w:ascii="Arial" w:hAnsi="Arial" w:cs="Arial"/>
        </w:rPr>
      </w:pPr>
    </w:p>
    <w:p w14:paraId="4660D342" w14:textId="77777777" w:rsidR="00DC7243" w:rsidRDefault="00DC7243">
      <w:pPr>
        <w:spacing w:line="480" w:lineRule="auto"/>
        <w:jc w:val="both"/>
        <w:rPr>
          <w:rFonts w:ascii="Arial" w:hAnsi="Arial" w:cs="Arial"/>
        </w:rPr>
      </w:pPr>
    </w:p>
    <w:p w14:paraId="0B956724" w14:textId="77777777" w:rsidR="00DC7243" w:rsidRDefault="00DC7243">
      <w:pPr>
        <w:spacing w:line="480" w:lineRule="auto"/>
        <w:jc w:val="both"/>
        <w:rPr>
          <w:rFonts w:ascii="Arial" w:hAnsi="Arial" w:cs="Arial"/>
        </w:rPr>
      </w:pPr>
    </w:p>
    <w:p w14:paraId="7DA29396" w14:textId="77777777" w:rsidR="00DC7243" w:rsidRDefault="00DC7243">
      <w:pPr>
        <w:spacing w:line="480" w:lineRule="auto"/>
        <w:jc w:val="both"/>
        <w:rPr>
          <w:rFonts w:ascii="Arial" w:hAnsi="Arial" w:cs="Arial"/>
        </w:rPr>
      </w:pPr>
    </w:p>
    <w:p w14:paraId="6104D495" w14:textId="77777777" w:rsidR="00DC7243" w:rsidRDefault="00EA50A8">
      <w:pPr>
        <w:pStyle w:val="1"/>
        <w:spacing w:line="480" w:lineRule="auto"/>
        <w:jc w:val="both"/>
        <w:rPr>
          <w:rFonts w:ascii="Arial" w:hAnsi="Arial" w:cs="Arial"/>
          <w:b/>
          <w:bCs/>
          <w:color w:val="auto"/>
          <w:sz w:val="24"/>
          <w:szCs w:val="24"/>
        </w:rPr>
      </w:pPr>
      <w:bookmarkStart w:id="6" w:name="_Toc129298041"/>
      <w:r>
        <w:rPr>
          <w:rFonts w:ascii="Arial" w:hAnsi="Arial" w:cs="Arial"/>
          <w:b/>
          <w:bCs/>
          <w:color w:val="auto"/>
          <w:sz w:val="24"/>
          <w:szCs w:val="24"/>
        </w:rPr>
        <w:t>References</w:t>
      </w:r>
      <w:bookmarkEnd w:id="6"/>
    </w:p>
    <w:p w14:paraId="115C31F9" w14:textId="77777777" w:rsidR="00DC7243" w:rsidRDefault="00EA50A8">
      <w:pPr>
        <w:autoSpaceDE w:val="0"/>
        <w:autoSpaceDN w:val="0"/>
        <w:adjustRightInd w:val="0"/>
        <w:spacing w:line="480" w:lineRule="auto"/>
        <w:jc w:val="both"/>
        <w:rPr>
          <w:rFonts w:ascii="Arial" w:hAnsi="Arial" w:cs="Arial"/>
        </w:rPr>
      </w:pPr>
      <w:r>
        <w:rPr>
          <w:rFonts w:ascii="Arial" w:hAnsi="Arial" w:cs="Arial"/>
        </w:rPr>
        <w:t xml:space="preserve">Acclaim Ideas (2023) </w:t>
      </w:r>
      <w:r>
        <w:rPr>
          <w:rFonts w:ascii="Arial" w:hAnsi="Arial" w:cs="Arial"/>
          <w:i/>
          <w:iCs/>
        </w:rPr>
        <w:t xml:space="preserve">Can Tesla turn its </w:t>
      </w:r>
      <w:r>
        <w:rPr>
          <w:rFonts w:ascii="Arial" w:hAnsi="Arial" w:cs="Arial"/>
          <w:i/>
          <w:iCs/>
        </w:rPr>
        <w:t>comparative advantage into competitive advantage?</w:t>
      </w:r>
      <w:r>
        <w:rPr>
          <w:rFonts w:ascii="Arial" w:hAnsi="Arial" w:cs="Arial"/>
        </w:rPr>
        <w:t xml:space="preserve"> [Online]. Available at: https://www.sopheon.com/products/acclaimideas/insights/can-tesla-develop-comparative-advantage-competitive-advantage-guest-post [Accessed: 8</w:t>
      </w:r>
      <w:r>
        <w:rPr>
          <w:rFonts w:ascii="Arial" w:hAnsi="Arial" w:cs="Arial"/>
          <w:vertAlign w:val="superscript"/>
        </w:rPr>
        <w:t>th</w:t>
      </w:r>
      <w:r>
        <w:rPr>
          <w:rFonts w:ascii="Arial" w:hAnsi="Arial" w:cs="Arial"/>
        </w:rPr>
        <w:t xml:space="preserve"> March 2023]</w:t>
      </w:r>
    </w:p>
    <w:p w14:paraId="18F5C8C5" w14:textId="77777777" w:rsidR="00DC7243" w:rsidRDefault="00EA50A8">
      <w:pPr>
        <w:autoSpaceDE w:val="0"/>
        <w:autoSpaceDN w:val="0"/>
        <w:adjustRightInd w:val="0"/>
        <w:spacing w:line="480" w:lineRule="auto"/>
        <w:jc w:val="both"/>
        <w:rPr>
          <w:rFonts w:ascii="Arial" w:hAnsi="Arial" w:cs="Arial"/>
          <w:shd w:val="clear" w:color="auto" w:fill="FFFFFF"/>
        </w:rPr>
      </w:pPr>
      <w:r>
        <w:rPr>
          <w:rFonts w:ascii="Arial" w:hAnsi="Arial" w:cs="Arial"/>
          <w:shd w:val="clear" w:color="auto" w:fill="FFFFFF"/>
        </w:rPr>
        <w:t xml:space="preserve">Ansoff, H. I., Kipley, D., </w:t>
      </w:r>
      <w:r>
        <w:rPr>
          <w:rFonts w:ascii="Arial" w:hAnsi="Arial" w:cs="Arial"/>
          <w:shd w:val="clear" w:color="auto" w:fill="FFFFFF"/>
        </w:rPr>
        <w:t xml:space="preserve">Lewis, A. O., Helm-Stevens, R., &amp; Ansoff, R. (2018) </w:t>
      </w:r>
      <w:r>
        <w:rPr>
          <w:rFonts w:ascii="Arial" w:hAnsi="Arial" w:cs="Arial"/>
          <w:i/>
          <w:iCs/>
          <w:shd w:val="clear" w:color="auto" w:fill="FFFFFF"/>
        </w:rPr>
        <w:t>Implanting strategic management. S</w:t>
      </w:r>
      <w:r>
        <w:rPr>
          <w:rFonts w:ascii="Arial" w:hAnsi="Arial" w:cs="Arial"/>
          <w:shd w:val="clear" w:color="auto" w:fill="FFFFFF"/>
        </w:rPr>
        <w:t>pringer.</w:t>
      </w:r>
    </w:p>
    <w:p w14:paraId="2823E098" w14:textId="77777777" w:rsidR="00DC7243" w:rsidRDefault="00EA50A8">
      <w:pPr>
        <w:autoSpaceDE w:val="0"/>
        <w:autoSpaceDN w:val="0"/>
        <w:adjustRightInd w:val="0"/>
        <w:spacing w:line="480" w:lineRule="auto"/>
        <w:jc w:val="both"/>
        <w:rPr>
          <w:rFonts w:ascii="Arial" w:hAnsi="Arial" w:cs="Arial"/>
        </w:rPr>
      </w:pPr>
      <w:r>
        <w:rPr>
          <w:rFonts w:ascii="Arial" w:hAnsi="Arial" w:cs="Arial"/>
        </w:rPr>
        <w:t xml:space="preserve">Aratami, L. (2023) </w:t>
      </w:r>
      <w:r>
        <w:rPr>
          <w:rFonts w:ascii="Arial" w:hAnsi="Arial" w:cs="Arial"/>
          <w:i/>
          <w:iCs/>
        </w:rPr>
        <w:t>Tesla to expand supercharger stations to all electric vehicles, White House says</w:t>
      </w:r>
      <w:r>
        <w:rPr>
          <w:rFonts w:ascii="Arial" w:hAnsi="Arial" w:cs="Arial"/>
        </w:rPr>
        <w:t xml:space="preserve"> [Online]. Available at: https://www.theguardian.com/environme</w:t>
      </w:r>
      <w:r>
        <w:rPr>
          <w:rFonts w:ascii="Arial" w:hAnsi="Arial" w:cs="Arial"/>
        </w:rPr>
        <w:t>nt/2023/feb/15/tesla-supercharger-stations-electric-vehicles-white-house [Accessed: 9</w:t>
      </w:r>
      <w:r>
        <w:rPr>
          <w:rFonts w:ascii="Arial" w:hAnsi="Arial" w:cs="Arial"/>
          <w:vertAlign w:val="superscript"/>
        </w:rPr>
        <w:t>th</w:t>
      </w:r>
      <w:r>
        <w:rPr>
          <w:rFonts w:ascii="Arial" w:hAnsi="Arial" w:cs="Arial"/>
        </w:rPr>
        <w:t xml:space="preserve"> March 2023]</w:t>
      </w:r>
    </w:p>
    <w:p w14:paraId="036BF573" w14:textId="77777777" w:rsidR="00DC7243" w:rsidRDefault="00EA50A8">
      <w:pPr>
        <w:autoSpaceDE w:val="0"/>
        <w:autoSpaceDN w:val="0"/>
        <w:adjustRightInd w:val="0"/>
        <w:spacing w:line="480" w:lineRule="auto"/>
        <w:jc w:val="both"/>
        <w:rPr>
          <w:rFonts w:ascii="Arial" w:hAnsi="Arial" w:cs="Arial"/>
          <w:shd w:val="clear" w:color="auto" w:fill="FFFFFF"/>
        </w:rPr>
      </w:pPr>
      <w:r>
        <w:rPr>
          <w:rFonts w:ascii="Arial" w:hAnsi="Arial" w:cs="Arial"/>
          <w:shd w:val="clear" w:color="auto" w:fill="FFFFFF"/>
        </w:rPr>
        <w:t xml:space="preserve">Crane, D. A. (2016) ‘Why Intra-Brand Dealer Competition is Irrelevant to the Price Effects of Tesla's Vertical Integration’, </w:t>
      </w:r>
      <w:r>
        <w:rPr>
          <w:rFonts w:ascii="Arial" w:hAnsi="Arial" w:cs="Arial"/>
          <w:i/>
          <w:iCs/>
          <w:shd w:val="clear" w:color="auto" w:fill="FFFFFF"/>
        </w:rPr>
        <w:t>U. Pa. L. Rev</w:t>
      </w:r>
      <w:r>
        <w:rPr>
          <w:rFonts w:ascii="Arial" w:hAnsi="Arial" w:cs="Arial"/>
          <w:shd w:val="clear" w:color="auto" w:fill="FFFFFF"/>
        </w:rPr>
        <w:t xml:space="preserve">, 165, pp. </w:t>
      </w:r>
      <w:r>
        <w:rPr>
          <w:rFonts w:ascii="Arial" w:hAnsi="Arial" w:cs="Arial"/>
          <w:shd w:val="clear" w:color="auto" w:fill="FFFFFF"/>
        </w:rPr>
        <w:t>179.</w:t>
      </w:r>
    </w:p>
    <w:p w14:paraId="5FB3E22A" w14:textId="77777777" w:rsidR="00DC7243" w:rsidRDefault="00EA50A8">
      <w:pPr>
        <w:spacing w:line="480" w:lineRule="auto"/>
        <w:jc w:val="both"/>
        <w:rPr>
          <w:rFonts w:ascii="Arial" w:hAnsi="Arial" w:cs="Arial"/>
        </w:rPr>
      </w:pPr>
      <w:r>
        <w:rPr>
          <w:rFonts w:ascii="Arial" w:hAnsi="Arial" w:cs="Arial"/>
        </w:rPr>
        <w:t xml:space="preserve">David, F. R. (2011) </w:t>
      </w:r>
      <w:r>
        <w:rPr>
          <w:rFonts w:ascii="Arial" w:hAnsi="Arial" w:cs="Arial"/>
          <w:i/>
          <w:iCs/>
        </w:rPr>
        <w:t>Strategic management concepts and cases</w:t>
      </w:r>
      <w:r>
        <w:rPr>
          <w:rFonts w:ascii="Arial" w:hAnsi="Arial" w:cs="Arial"/>
        </w:rPr>
        <w:t>. Prentice hall.</w:t>
      </w:r>
    </w:p>
    <w:p w14:paraId="12F8579A" w14:textId="77777777" w:rsidR="00DC7243" w:rsidRDefault="00EA50A8">
      <w:pPr>
        <w:autoSpaceDE w:val="0"/>
        <w:autoSpaceDN w:val="0"/>
        <w:adjustRightInd w:val="0"/>
        <w:spacing w:line="480" w:lineRule="auto"/>
        <w:jc w:val="both"/>
        <w:rPr>
          <w:rFonts w:ascii="Arial" w:hAnsi="Arial" w:cs="Arial"/>
        </w:rPr>
      </w:pPr>
      <w:r>
        <w:rPr>
          <w:rFonts w:ascii="Arial" w:hAnsi="Arial" w:cs="Arial"/>
          <w:shd w:val="clear" w:color="auto" w:fill="FFFFFF"/>
        </w:rPr>
        <w:t xml:space="preserve">Freeman, R. E. (2010) </w:t>
      </w:r>
      <w:r>
        <w:rPr>
          <w:rFonts w:ascii="Arial" w:hAnsi="Arial" w:cs="Arial"/>
          <w:i/>
          <w:iCs/>
          <w:shd w:val="clear" w:color="auto" w:fill="FFFFFF"/>
        </w:rPr>
        <w:t>Strategic management: A stakeholder approach</w:t>
      </w:r>
      <w:r>
        <w:rPr>
          <w:rFonts w:ascii="Arial" w:hAnsi="Arial" w:cs="Arial"/>
          <w:shd w:val="clear" w:color="auto" w:fill="FFFFFF"/>
        </w:rPr>
        <w:t>. Cambridge university press.</w:t>
      </w:r>
    </w:p>
    <w:p w14:paraId="5C456977" w14:textId="77777777" w:rsidR="00DC7243" w:rsidRDefault="00EA50A8">
      <w:pPr>
        <w:spacing w:line="480" w:lineRule="auto"/>
        <w:jc w:val="both"/>
        <w:rPr>
          <w:rFonts w:ascii="Arial" w:hAnsi="Arial" w:cs="Arial"/>
        </w:rPr>
      </w:pPr>
      <w:r>
        <w:rPr>
          <w:rFonts w:ascii="Arial" w:hAnsi="Arial" w:cs="Arial"/>
          <w:shd w:val="clear" w:color="auto" w:fill="FFFFFF"/>
        </w:rPr>
        <w:lastRenderedPageBreak/>
        <w:t>Hensmans, M. (2022) ‘The innovation pyramid: five approaches to strategic decis</w:t>
      </w:r>
      <w:r>
        <w:rPr>
          <w:rFonts w:ascii="Arial" w:hAnsi="Arial" w:cs="Arial"/>
          <w:shd w:val="clear" w:color="auto" w:fill="FFFFFF"/>
        </w:rPr>
        <w:t xml:space="preserve">ion-making’, </w:t>
      </w:r>
      <w:r>
        <w:rPr>
          <w:rFonts w:ascii="Arial" w:hAnsi="Arial" w:cs="Arial"/>
          <w:i/>
          <w:iCs/>
          <w:shd w:val="clear" w:color="auto" w:fill="FFFFFF"/>
        </w:rPr>
        <w:t>Journal of Business Strategy</w:t>
      </w:r>
      <w:r>
        <w:rPr>
          <w:rFonts w:ascii="Arial" w:hAnsi="Arial" w:cs="Arial"/>
          <w:shd w:val="clear" w:color="auto" w:fill="FFFFFF"/>
        </w:rPr>
        <w:t>, 43(4), pp. 229-238.</w:t>
      </w:r>
    </w:p>
    <w:p w14:paraId="6DEBCEBF" w14:textId="77777777" w:rsidR="00DC7243" w:rsidRDefault="00EA50A8">
      <w:pPr>
        <w:autoSpaceDE w:val="0"/>
        <w:autoSpaceDN w:val="0"/>
        <w:adjustRightInd w:val="0"/>
        <w:spacing w:line="480" w:lineRule="auto"/>
        <w:jc w:val="both"/>
        <w:rPr>
          <w:rFonts w:ascii="Arial" w:hAnsi="Arial" w:cs="Arial"/>
        </w:rPr>
      </w:pPr>
      <w:r>
        <w:rPr>
          <w:rFonts w:ascii="Arial" w:hAnsi="Arial" w:cs="Arial"/>
          <w:shd w:val="clear" w:color="auto" w:fill="FFFFFF"/>
        </w:rPr>
        <w:t xml:space="preserve">Hill, C. W., Jones, G. R., &amp; Schilling, M. A. (2014) </w:t>
      </w:r>
      <w:r>
        <w:rPr>
          <w:rFonts w:ascii="Arial" w:hAnsi="Arial" w:cs="Arial"/>
          <w:i/>
          <w:iCs/>
          <w:shd w:val="clear" w:color="auto" w:fill="FFFFFF"/>
        </w:rPr>
        <w:t xml:space="preserve">Strategic management: Theory &amp; cases: An integrated approach. </w:t>
      </w:r>
      <w:r>
        <w:rPr>
          <w:rFonts w:ascii="Arial" w:hAnsi="Arial" w:cs="Arial"/>
          <w:shd w:val="clear" w:color="auto" w:fill="FFFFFF"/>
        </w:rPr>
        <w:t>Cengage Learning.</w:t>
      </w:r>
    </w:p>
    <w:p w14:paraId="0A677166" w14:textId="77777777" w:rsidR="00DC7243" w:rsidRDefault="00EA50A8">
      <w:pPr>
        <w:autoSpaceDE w:val="0"/>
        <w:autoSpaceDN w:val="0"/>
        <w:adjustRightInd w:val="0"/>
        <w:spacing w:line="480" w:lineRule="auto"/>
        <w:jc w:val="both"/>
        <w:rPr>
          <w:rFonts w:ascii="Arial" w:hAnsi="Arial" w:cs="Arial"/>
        </w:rPr>
      </w:pPr>
      <w:r>
        <w:rPr>
          <w:rFonts w:ascii="Arial" w:hAnsi="Arial" w:cs="Arial"/>
          <w:shd w:val="clear" w:color="auto" w:fill="FFFFFF"/>
        </w:rPr>
        <w:t>Islami, X., Mustafa, N., &amp; Topuzovska Latkovikj, M. (2020) ‘</w:t>
      </w:r>
      <w:r>
        <w:rPr>
          <w:rFonts w:ascii="Arial" w:hAnsi="Arial" w:cs="Arial"/>
          <w:shd w:val="clear" w:color="auto" w:fill="FFFFFF"/>
        </w:rPr>
        <w:t xml:space="preserve">Linking Porter’s generic strategies to firm performance’, </w:t>
      </w:r>
      <w:r>
        <w:rPr>
          <w:rFonts w:ascii="Arial" w:hAnsi="Arial" w:cs="Arial"/>
          <w:i/>
          <w:iCs/>
          <w:shd w:val="clear" w:color="auto" w:fill="FFFFFF"/>
        </w:rPr>
        <w:t>Future Business Journal</w:t>
      </w:r>
      <w:r>
        <w:rPr>
          <w:rFonts w:ascii="Arial" w:hAnsi="Arial" w:cs="Arial"/>
          <w:shd w:val="clear" w:color="auto" w:fill="FFFFFF"/>
        </w:rPr>
        <w:t>, 6, pp. 1-15.</w:t>
      </w:r>
    </w:p>
    <w:p w14:paraId="3D75FAD8" w14:textId="77777777" w:rsidR="00DC7243" w:rsidRDefault="00EA50A8">
      <w:pPr>
        <w:spacing w:line="480" w:lineRule="auto"/>
        <w:jc w:val="both"/>
        <w:rPr>
          <w:rFonts w:ascii="Arial" w:hAnsi="Arial" w:cs="Arial"/>
        </w:rPr>
      </w:pPr>
      <w:r>
        <w:rPr>
          <w:rFonts w:ascii="Arial" w:hAnsi="Arial" w:cs="Arial"/>
        </w:rPr>
        <w:t xml:space="preserve">Johnson, G., Whittington, R., Regnér, P., Angwin, D., &amp; Scholes, K. (2020) </w:t>
      </w:r>
      <w:r>
        <w:rPr>
          <w:rFonts w:ascii="Arial" w:hAnsi="Arial" w:cs="Arial"/>
          <w:i/>
          <w:iCs/>
        </w:rPr>
        <w:t>Exploring strategy</w:t>
      </w:r>
      <w:r>
        <w:rPr>
          <w:rFonts w:ascii="Arial" w:hAnsi="Arial" w:cs="Arial"/>
        </w:rPr>
        <w:t>. Pearson UK.</w:t>
      </w:r>
    </w:p>
    <w:p w14:paraId="7225116C" w14:textId="77777777" w:rsidR="00DC7243" w:rsidRDefault="00EA50A8">
      <w:pPr>
        <w:spacing w:line="480" w:lineRule="auto"/>
        <w:jc w:val="both"/>
        <w:rPr>
          <w:rFonts w:ascii="Arial" w:hAnsi="Arial" w:cs="Arial"/>
          <w:lang w:val="en-US"/>
        </w:rPr>
      </w:pPr>
      <w:r>
        <w:rPr>
          <w:rFonts w:ascii="Arial" w:hAnsi="Arial" w:cs="Arial"/>
          <w:lang w:val="en-US"/>
        </w:rPr>
        <w:t xml:space="preserve">Lynch, R.L. (2012) </w:t>
      </w:r>
      <w:r>
        <w:rPr>
          <w:rFonts w:ascii="Arial" w:hAnsi="Arial" w:cs="Arial"/>
          <w:i/>
          <w:iCs/>
          <w:lang w:val="en-US"/>
        </w:rPr>
        <w:t>Strategic Management</w:t>
      </w:r>
      <w:r>
        <w:rPr>
          <w:rFonts w:ascii="Arial" w:hAnsi="Arial" w:cs="Arial"/>
          <w:lang w:val="en-US"/>
        </w:rPr>
        <w:t>. 6th edition.</w:t>
      </w:r>
      <w:r>
        <w:rPr>
          <w:rFonts w:ascii="Arial" w:hAnsi="Arial" w:cs="Arial"/>
          <w:lang w:val="en-US"/>
        </w:rPr>
        <w:t xml:space="preserve"> Harlow: Pearson </w:t>
      </w:r>
    </w:p>
    <w:p w14:paraId="131A5E17" w14:textId="77777777" w:rsidR="00DC7243" w:rsidRDefault="00EA50A8">
      <w:pPr>
        <w:spacing w:line="480" w:lineRule="auto"/>
        <w:jc w:val="both"/>
        <w:rPr>
          <w:rFonts w:ascii="Arial" w:hAnsi="Arial" w:cs="Arial"/>
          <w:shd w:val="clear" w:color="auto" w:fill="FFFFFF"/>
        </w:rPr>
      </w:pPr>
      <w:r>
        <w:rPr>
          <w:rFonts w:ascii="Arial" w:hAnsi="Arial" w:cs="Arial"/>
          <w:shd w:val="clear" w:color="auto" w:fill="FFFFFF"/>
        </w:rPr>
        <w:t xml:space="preserve">Mangram, M. E. (2012) ‘The globalization of Tesla Motors: a strategic marketing plan analysis’, </w:t>
      </w:r>
      <w:r>
        <w:rPr>
          <w:rFonts w:ascii="Arial" w:hAnsi="Arial" w:cs="Arial"/>
          <w:i/>
          <w:iCs/>
          <w:shd w:val="clear" w:color="auto" w:fill="FFFFFF"/>
        </w:rPr>
        <w:t>Journal of Strategic Marketing</w:t>
      </w:r>
      <w:r>
        <w:rPr>
          <w:rFonts w:ascii="Arial" w:hAnsi="Arial" w:cs="Arial"/>
          <w:shd w:val="clear" w:color="auto" w:fill="FFFFFF"/>
        </w:rPr>
        <w:t>, 20(4), pp. 289-312.</w:t>
      </w:r>
    </w:p>
    <w:p w14:paraId="75984396" w14:textId="77777777" w:rsidR="00DC7243" w:rsidRDefault="00EA50A8">
      <w:pPr>
        <w:spacing w:line="480" w:lineRule="auto"/>
        <w:jc w:val="both"/>
        <w:rPr>
          <w:rFonts w:ascii="Arial" w:hAnsi="Arial" w:cs="Arial"/>
        </w:rPr>
      </w:pPr>
      <w:r>
        <w:rPr>
          <w:rFonts w:ascii="Arial" w:hAnsi="Arial" w:cs="Arial"/>
        </w:rPr>
        <w:t xml:space="preserve">Morrison, J. (2011) </w:t>
      </w:r>
      <w:r>
        <w:rPr>
          <w:rFonts w:ascii="Arial" w:hAnsi="Arial" w:cs="Arial"/>
          <w:i/>
          <w:iCs/>
        </w:rPr>
        <w:t>Global Business Environment</w:t>
      </w:r>
      <w:r>
        <w:rPr>
          <w:rFonts w:ascii="Arial" w:hAnsi="Arial" w:cs="Arial"/>
        </w:rPr>
        <w:t>. Palgrave Macmillan.</w:t>
      </w:r>
    </w:p>
    <w:p w14:paraId="6D65CA46" w14:textId="77777777" w:rsidR="00DC7243" w:rsidRDefault="00EA50A8">
      <w:pPr>
        <w:spacing w:line="480" w:lineRule="auto"/>
        <w:jc w:val="both"/>
        <w:rPr>
          <w:rFonts w:ascii="Arial" w:hAnsi="Arial" w:cs="Arial"/>
        </w:rPr>
      </w:pPr>
      <w:r>
        <w:rPr>
          <w:rFonts w:ascii="Arial" w:hAnsi="Arial" w:cs="Arial"/>
        </w:rPr>
        <w:t xml:space="preserve">Porter, M. E. (2011) </w:t>
      </w:r>
      <w:r>
        <w:rPr>
          <w:rFonts w:ascii="Arial" w:hAnsi="Arial" w:cs="Arial"/>
          <w:i/>
          <w:iCs/>
        </w:rPr>
        <w:t>Competitive advantage of nations: creating and sustaining superior performance</w:t>
      </w:r>
      <w:r>
        <w:rPr>
          <w:rFonts w:ascii="Arial" w:hAnsi="Arial" w:cs="Arial"/>
        </w:rPr>
        <w:t>. Simon and Schuster.</w:t>
      </w:r>
    </w:p>
    <w:p w14:paraId="750DD823" w14:textId="77777777" w:rsidR="00DC7243" w:rsidRDefault="00EA50A8">
      <w:pPr>
        <w:autoSpaceDE w:val="0"/>
        <w:autoSpaceDN w:val="0"/>
        <w:adjustRightInd w:val="0"/>
        <w:spacing w:line="480" w:lineRule="auto"/>
        <w:jc w:val="both"/>
        <w:rPr>
          <w:rFonts w:ascii="Arial" w:hAnsi="Arial" w:cs="Arial"/>
        </w:rPr>
      </w:pPr>
      <w:r>
        <w:rPr>
          <w:rFonts w:ascii="Arial" w:hAnsi="Arial" w:cs="Arial"/>
        </w:rPr>
        <w:t xml:space="preserve">Shipley, L. (2020) </w:t>
      </w:r>
      <w:r>
        <w:rPr>
          <w:rFonts w:ascii="Arial" w:hAnsi="Arial" w:cs="Arial"/>
          <w:i/>
          <w:iCs/>
        </w:rPr>
        <w:t>How Tesla sets itself apart</w:t>
      </w:r>
      <w:r>
        <w:rPr>
          <w:rFonts w:ascii="Arial" w:hAnsi="Arial" w:cs="Arial"/>
        </w:rPr>
        <w:t xml:space="preserve"> [Online]. Available at: https://hbr.org/2020/02/how-tesla-sets-itself-apart [Accessed: 5</w:t>
      </w:r>
      <w:r>
        <w:rPr>
          <w:rFonts w:ascii="Arial" w:hAnsi="Arial" w:cs="Arial"/>
          <w:vertAlign w:val="superscript"/>
        </w:rPr>
        <w:t>th</w:t>
      </w:r>
      <w:r>
        <w:rPr>
          <w:rFonts w:ascii="Arial" w:hAnsi="Arial" w:cs="Arial"/>
        </w:rPr>
        <w:t xml:space="preserve"> March 2023]</w:t>
      </w:r>
    </w:p>
    <w:p w14:paraId="2F29A888" w14:textId="77777777" w:rsidR="00DC7243" w:rsidRDefault="00EA50A8">
      <w:pPr>
        <w:spacing w:line="480" w:lineRule="auto"/>
        <w:jc w:val="both"/>
        <w:rPr>
          <w:rFonts w:ascii="Arial" w:hAnsi="Arial" w:cs="Arial"/>
          <w:lang w:val="en-US"/>
        </w:rPr>
      </w:pPr>
      <w:r>
        <w:rPr>
          <w:rFonts w:ascii="Arial" w:hAnsi="Arial" w:cs="Arial"/>
          <w:lang w:val="en-US"/>
        </w:rPr>
        <w:t>Statis</w:t>
      </w:r>
      <w:r>
        <w:rPr>
          <w:rFonts w:ascii="Arial" w:hAnsi="Arial" w:cs="Arial"/>
          <w:lang w:val="en-US"/>
        </w:rPr>
        <w:t xml:space="preserve">ta (2023) </w:t>
      </w:r>
      <w:r>
        <w:rPr>
          <w:rFonts w:ascii="Arial" w:hAnsi="Arial" w:cs="Arial"/>
          <w:i/>
          <w:iCs/>
        </w:rPr>
        <w:t>Most valuable brands within the automotive sector worldwide as of 2022</w:t>
      </w:r>
      <w:r>
        <w:rPr>
          <w:rFonts w:ascii="Arial" w:hAnsi="Arial" w:cs="Arial"/>
          <w:lang w:val="en-US"/>
        </w:rPr>
        <w:t xml:space="preserve"> [Online]. Available at:</w:t>
      </w:r>
      <w:r>
        <w:rPr>
          <w:rFonts w:ascii="Arial" w:hAnsi="Arial" w:cs="Arial"/>
        </w:rPr>
        <w:t xml:space="preserve"> </w:t>
      </w:r>
      <w:r>
        <w:rPr>
          <w:rFonts w:ascii="Arial" w:hAnsi="Arial" w:cs="Arial"/>
          <w:lang w:val="en-US"/>
        </w:rPr>
        <w:t>https://www.statista.com/statistics/267830/brand-values-of-the-top-10-most-valuable-car-brands/ [Accessed: 8</w:t>
      </w:r>
      <w:r>
        <w:rPr>
          <w:rFonts w:ascii="Arial" w:hAnsi="Arial" w:cs="Arial"/>
          <w:vertAlign w:val="superscript"/>
          <w:lang w:val="en-US"/>
        </w:rPr>
        <w:t>th</w:t>
      </w:r>
      <w:r>
        <w:rPr>
          <w:rFonts w:ascii="Arial" w:hAnsi="Arial" w:cs="Arial"/>
          <w:lang w:val="en-US"/>
        </w:rPr>
        <w:t xml:space="preserve"> March 2023]</w:t>
      </w:r>
    </w:p>
    <w:p w14:paraId="6C333FF2" w14:textId="77777777" w:rsidR="00DC7243" w:rsidRDefault="00EA50A8">
      <w:pPr>
        <w:autoSpaceDE w:val="0"/>
        <w:autoSpaceDN w:val="0"/>
        <w:adjustRightInd w:val="0"/>
        <w:spacing w:line="480" w:lineRule="auto"/>
        <w:jc w:val="both"/>
        <w:rPr>
          <w:rFonts w:ascii="Arial" w:hAnsi="Arial" w:cs="Arial"/>
          <w:shd w:val="clear" w:color="auto" w:fill="FFFFFF"/>
        </w:rPr>
      </w:pPr>
      <w:r>
        <w:rPr>
          <w:rFonts w:ascii="Arial" w:hAnsi="Arial" w:cs="Arial"/>
          <w:shd w:val="clear" w:color="auto" w:fill="FFFFFF"/>
        </w:rPr>
        <w:t xml:space="preserve">Tanwar, R. (2013) ‘Porter’s generic competitive strategies’, </w:t>
      </w:r>
      <w:r>
        <w:rPr>
          <w:rFonts w:ascii="Arial" w:hAnsi="Arial" w:cs="Arial"/>
          <w:i/>
          <w:iCs/>
          <w:shd w:val="clear" w:color="auto" w:fill="FFFFFF"/>
        </w:rPr>
        <w:t>Journal of business and management</w:t>
      </w:r>
      <w:r>
        <w:rPr>
          <w:rFonts w:ascii="Arial" w:hAnsi="Arial" w:cs="Arial"/>
          <w:shd w:val="clear" w:color="auto" w:fill="FFFFFF"/>
        </w:rPr>
        <w:t>, 15(1), pp. 11-17.</w:t>
      </w:r>
    </w:p>
    <w:p w14:paraId="05291F41" w14:textId="77777777" w:rsidR="00DC7243" w:rsidRDefault="00EA50A8">
      <w:pPr>
        <w:autoSpaceDE w:val="0"/>
        <w:autoSpaceDN w:val="0"/>
        <w:adjustRightInd w:val="0"/>
        <w:spacing w:line="480" w:lineRule="auto"/>
        <w:jc w:val="both"/>
        <w:rPr>
          <w:rFonts w:ascii="Arial" w:hAnsi="Arial" w:cs="Arial"/>
          <w:shd w:val="clear" w:color="auto" w:fill="FFFFFF"/>
        </w:rPr>
      </w:pPr>
      <w:r>
        <w:rPr>
          <w:rFonts w:ascii="Arial" w:hAnsi="Arial" w:cs="Arial"/>
          <w:shd w:val="clear" w:color="auto" w:fill="FFFFFF"/>
        </w:rPr>
        <w:t xml:space="preserve">Tesla (2023) </w:t>
      </w:r>
      <w:r>
        <w:rPr>
          <w:rFonts w:ascii="Arial" w:hAnsi="Arial" w:cs="Arial"/>
          <w:i/>
          <w:iCs/>
          <w:shd w:val="clear" w:color="auto" w:fill="FFFFFF"/>
        </w:rPr>
        <w:t>Tesla</w:t>
      </w:r>
      <w:r>
        <w:rPr>
          <w:rFonts w:ascii="Arial" w:hAnsi="Arial" w:cs="Arial"/>
          <w:shd w:val="clear" w:color="auto" w:fill="FFFFFF"/>
        </w:rPr>
        <w:t>. Available at:</w:t>
      </w:r>
      <w:r>
        <w:rPr>
          <w:rFonts w:ascii="Arial" w:hAnsi="Arial" w:cs="Arial"/>
        </w:rPr>
        <w:t xml:space="preserve"> </w:t>
      </w:r>
      <w:r>
        <w:rPr>
          <w:rFonts w:ascii="Arial" w:hAnsi="Arial" w:cs="Arial"/>
          <w:shd w:val="clear" w:color="auto" w:fill="FFFFFF"/>
        </w:rPr>
        <w:t>https://www.tesla.com/ [Accessed: 8</w:t>
      </w:r>
      <w:r>
        <w:rPr>
          <w:rFonts w:ascii="Arial" w:hAnsi="Arial" w:cs="Arial"/>
          <w:shd w:val="clear" w:color="auto" w:fill="FFFFFF"/>
          <w:vertAlign w:val="superscript"/>
        </w:rPr>
        <w:t>th</w:t>
      </w:r>
      <w:r>
        <w:rPr>
          <w:rFonts w:ascii="Arial" w:hAnsi="Arial" w:cs="Arial"/>
          <w:shd w:val="clear" w:color="auto" w:fill="FFFFFF"/>
        </w:rPr>
        <w:t xml:space="preserve"> March 2023]</w:t>
      </w:r>
    </w:p>
    <w:p w14:paraId="15A0A94D" w14:textId="77777777" w:rsidR="00DC7243" w:rsidRDefault="00EA50A8">
      <w:pPr>
        <w:autoSpaceDE w:val="0"/>
        <w:autoSpaceDN w:val="0"/>
        <w:adjustRightInd w:val="0"/>
        <w:spacing w:line="480" w:lineRule="auto"/>
        <w:jc w:val="both"/>
        <w:rPr>
          <w:rFonts w:ascii="Arial" w:hAnsi="Arial" w:cs="Arial"/>
          <w:shd w:val="clear" w:color="auto" w:fill="FFFFFF"/>
        </w:rPr>
      </w:pPr>
      <w:r>
        <w:rPr>
          <w:rFonts w:ascii="Arial" w:hAnsi="Arial" w:cs="Arial"/>
          <w:shd w:val="clear" w:color="auto" w:fill="FFFFFF"/>
        </w:rPr>
        <w:t>Voigt, K. I., Buliga, O., Michl, K., Voigt, K. I., Buliga</w:t>
      </w:r>
      <w:r>
        <w:rPr>
          <w:rFonts w:ascii="Arial" w:hAnsi="Arial" w:cs="Arial"/>
          <w:shd w:val="clear" w:color="auto" w:fill="FFFFFF"/>
        </w:rPr>
        <w:t xml:space="preserve">, O., &amp; Michl, K. (2017) ‘Driving against the tide: The case of Tesla Motors’, </w:t>
      </w:r>
      <w:r>
        <w:rPr>
          <w:rFonts w:ascii="Arial" w:hAnsi="Arial" w:cs="Arial"/>
          <w:i/>
          <w:iCs/>
          <w:shd w:val="clear" w:color="auto" w:fill="FFFFFF"/>
        </w:rPr>
        <w:t>Business Model Pioneers: How Innovators Successfully Implement New Business Models</w:t>
      </w:r>
      <w:r>
        <w:rPr>
          <w:rFonts w:ascii="Arial" w:hAnsi="Arial" w:cs="Arial"/>
          <w:shd w:val="clear" w:color="auto" w:fill="FFFFFF"/>
        </w:rPr>
        <w:t>, pp. 187-198.</w:t>
      </w:r>
    </w:p>
    <w:p w14:paraId="4F8BBAA6" w14:textId="77777777" w:rsidR="00DC7243" w:rsidRDefault="00EA50A8">
      <w:pPr>
        <w:autoSpaceDE w:val="0"/>
        <w:autoSpaceDN w:val="0"/>
        <w:adjustRightInd w:val="0"/>
        <w:spacing w:line="480" w:lineRule="auto"/>
        <w:jc w:val="both"/>
        <w:rPr>
          <w:rFonts w:ascii="Arial" w:hAnsi="Arial" w:cs="Arial"/>
          <w:shd w:val="clear" w:color="auto" w:fill="FFFFFF"/>
        </w:rPr>
      </w:pPr>
      <w:r>
        <w:rPr>
          <w:rFonts w:ascii="Arial" w:hAnsi="Arial" w:cs="Arial"/>
          <w:shd w:val="clear" w:color="auto" w:fill="FFFFFF"/>
        </w:rPr>
        <w:lastRenderedPageBreak/>
        <w:t xml:space="preserve">Wheelen, T. L., Hunger, J. D., Hoffman, A. N., &amp; Bamford, C. E. (2017) </w:t>
      </w:r>
      <w:r>
        <w:rPr>
          <w:rFonts w:ascii="Arial" w:hAnsi="Arial" w:cs="Arial"/>
          <w:i/>
          <w:iCs/>
          <w:shd w:val="clear" w:color="auto" w:fill="FFFFFF"/>
        </w:rPr>
        <w:t>Strategic</w:t>
      </w:r>
      <w:r>
        <w:rPr>
          <w:rFonts w:ascii="Arial" w:hAnsi="Arial" w:cs="Arial"/>
          <w:i/>
          <w:iCs/>
          <w:shd w:val="clear" w:color="auto" w:fill="FFFFFF"/>
        </w:rPr>
        <w:t xml:space="preserve"> management and business polic</w:t>
      </w:r>
      <w:r>
        <w:rPr>
          <w:rFonts w:ascii="Arial" w:hAnsi="Arial" w:cs="Arial"/>
          <w:shd w:val="clear" w:color="auto" w:fill="FFFFFF"/>
        </w:rPr>
        <w:t>y. Boston: Pearson.</w:t>
      </w:r>
    </w:p>
    <w:p w14:paraId="3E845DAD" w14:textId="77777777" w:rsidR="00DC7243" w:rsidRDefault="00DC7243">
      <w:pPr>
        <w:autoSpaceDE w:val="0"/>
        <w:autoSpaceDN w:val="0"/>
        <w:adjustRightInd w:val="0"/>
        <w:spacing w:line="480" w:lineRule="auto"/>
        <w:jc w:val="both"/>
        <w:rPr>
          <w:rFonts w:ascii="Arial" w:hAnsi="Arial" w:cs="Arial"/>
          <w:shd w:val="clear" w:color="auto" w:fill="FFFFFF"/>
        </w:rPr>
      </w:pPr>
    </w:p>
    <w:sectPr w:rsidR="00DC7243">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3DED6" w14:textId="77777777" w:rsidR="00000000" w:rsidRDefault="00EA50A8">
      <w:r>
        <w:separator/>
      </w:r>
    </w:p>
  </w:endnote>
  <w:endnote w:type="continuationSeparator" w:id="0">
    <w:p w14:paraId="1F7DAB52" w14:textId="77777777" w:rsidR="00000000" w:rsidRDefault="00EA50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b"/>
      </w:rPr>
      <w:id w:val="-389961172"/>
      <w:docPartObj>
        <w:docPartGallery w:val="AutoText"/>
      </w:docPartObj>
    </w:sdtPr>
    <w:sdtEndPr>
      <w:rPr>
        <w:rStyle w:val="ab"/>
      </w:rPr>
    </w:sdtEndPr>
    <w:sdtContent>
      <w:p w14:paraId="3E4172C6" w14:textId="77777777" w:rsidR="00DC7243" w:rsidRDefault="00EA50A8">
        <w:pPr>
          <w:pStyle w:val="a5"/>
          <w:framePr w:wrap="auto" w:vAnchor="text" w:hAnchor="margin" w:xAlign="right" w:y="1"/>
          <w:rPr>
            <w:rStyle w:val="ab"/>
          </w:rPr>
        </w:pPr>
        <w:r>
          <w:rPr>
            <w:rStyle w:val="ab"/>
          </w:rPr>
          <w:fldChar w:fldCharType="begin"/>
        </w:r>
        <w:r>
          <w:rPr>
            <w:rStyle w:val="ab"/>
          </w:rPr>
          <w:instrText xml:space="preserve"> PAGE </w:instrText>
        </w:r>
        <w:r>
          <w:rPr>
            <w:rStyle w:val="ab"/>
          </w:rPr>
          <w:fldChar w:fldCharType="end"/>
        </w:r>
      </w:p>
    </w:sdtContent>
  </w:sdt>
  <w:p w14:paraId="6FDCE1FB" w14:textId="77777777" w:rsidR="00DC7243" w:rsidRDefault="00DC7243">
    <w:pPr>
      <w:pStyle w:val="a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b"/>
      </w:rPr>
      <w:id w:val="-1029633685"/>
      <w:docPartObj>
        <w:docPartGallery w:val="AutoText"/>
      </w:docPartObj>
    </w:sdtPr>
    <w:sdtEndPr>
      <w:rPr>
        <w:rStyle w:val="ab"/>
      </w:rPr>
    </w:sdtEndPr>
    <w:sdtContent>
      <w:p w14:paraId="41B023D1" w14:textId="77777777" w:rsidR="00DC7243" w:rsidRDefault="00EA50A8">
        <w:pPr>
          <w:pStyle w:val="a5"/>
          <w:framePr w:wrap="auto" w:vAnchor="text" w:hAnchor="margin" w:xAlign="right" w:y="1"/>
          <w:rPr>
            <w:rStyle w:val="ab"/>
          </w:rPr>
        </w:pPr>
        <w:r>
          <w:rPr>
            <w:rStyle w:val="ab"/>
          </w:rPr>
          <w:fldChar w:fldCharType="begin"/>
        </w:r>
        <w:r>
          <w:rPr>
            <w:rStyle w:val="ab"/>
          </w:rPr>
          <w:instrText xml:space="preserve"> PAGE </w:instrText>
        </w:r>
        <w:r>
          <w:rPr>
            <w:rStyle w:val="ab"/>
          </w:rPr>
          <w:fldChar w:fldCharType="separate"/>
        </w:r>
        <w:r>
          <w:rPr>
            <w:rStyle w:val="ab"/>
          </w:rPr>
          <w:t>1</w:t>
        </w:r>
        <w:r>
          <w:rPr>
            <w:rStyle w:val="ab"/>
          </w:rPr>
          <w:fldChar w:fldCharType="end"/>
        </w:r>
      </w:p>
    </w:sdtContent>
  </w:sdt>
  <w:p w14:paraId="1D5AECE2" w14:textId="77777777" w:rsidR="00DC7243" w:rsidRDefault="00DC7243">
    <w:pPr>
      <w:pStyle w:val="a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2C5F8" w14:textId="77777777" w:rsidR="00000000" w:rsidRDefault="00EA50A8">
      <w:r>
        <w:separator/>
      </w:r>
    </w:p>
  </w:footnote>
  <w:footnote w:type="continuationSeparator" w:id="0">
    <w:p w14:paraId="6E0ACF29" w14:textId="77777777" w:rsidR="00000000" w:rsidRDefault="00EA50A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MTE2MWQ0ODhhYWViNmMwZTIzYjg4ZDRlMjQ5NjZiMTIifQ=="/>
  </w:docVars>
  <w:rsids>
    <w:rsidRoot w:val="007E7487"/>
    <w:rsid w:val="00052A9E"/>
    <w:rsid w:val="00056CBD"/>
    <w:rsid w:val="000B4F63"/>
    <w:rsid w:val="00190C1F"/>
    <w:rsid w:val="00195AFC"/>
    <w:rsid w:val="001A6710"/>
    <w:rsid w:val="001F35A8"/>
    <w:rsid w:val="00225D53"/>
    <w:rsid w:val="002434B9"/>
    <w:rsid w:val="00255623"/>
    <w:rsid w:val="002573FE"/>
    <w:rsid w:val="00391AE3"/>
    <w:rsid w:val="003A7AC2"/>
    <w:rsid w:val="003B3DC6"/>
    <w:rsid w:val="003B5502"/>
    <w:rsid w:val="003C07A0"/>
    <w:rsid w:val="003D69E7"/>
    <w:rsid w:val="003F1807"/>
    <w:rsid w:val="004030AC"/>
    <w:rsid w:val="00417C74"/>
    <w:rsid w:val="00434C0D"/>
    <w:rsid w:val="00444A70"/>
    <w:rsid w:val="004A26AD"/>
    <w:rsid w:val="004B706E"/>
    <w:rsid w:val="004F759D"/>
    <w:rsid w:val="00543BE6"/>
    <w:rsid w:val="00552610"/>
    <w:rsid w:val="00561F73"/>
    <w:rsid w:val="005740FC"/>
    <w:rsid w:val="005B4C11"/>
    <w:rsid w:val="0060731F"/>
    <w:rsid w:val="00607EC7"/>
    <w:rsid w:val="00624C82"/>
    <w:rsid w:val="006D2899"/>
    <w:rsid w:val="006E7850"/>
    <w:rsid w:val="00737C07"/>
    <w:rsid w:val="00766CD6"/>
    <w:rsid w:val="00773030"/>
    <w:rsid w:val="00790C45"/>
    <w:rsid w:val="007E7487"/>
    <w:rsid w:val="0082178F"/>
    <w:rsid w:val="00852EE2"/>
    <w:rsid w:val="0085578E"/>
    <w:rsid w:val="008821BB"/>
    <w:rsid w:val="00883F7F"/>
    <w:rsid w:val="008F394D"/>
    <w:rsid w:val="0094729F"/>
    <w:rsid w:val="009A2445"/>
    <w:rsid w:val="009B0396"/>
    <w:rsid w:val="009B0E63"/>
    <w:rsid w:val="009E2F99"/>
    <w:rsid w:val="00A30EB3"/>
    <w:rsid w:val="00A605D5"/>
    <w:rsid w:val="00AA7D01"/>
    <w:rsid w:val="00AF3F54"/>
    <w:rsid w:val="00B07BEE"/>
    <w:rsid w:val="00B25EC2"/>
    <w:rsid w:val="00B47C68"/>
    <w:rsid w:val="00B92078"/>
    <w:rsid w:val="00BA53B4"/>
    <w:rsid w:val="00BB1F4F"/>
    <w:rsid w:val="00BF3C07"/>
    <w:rsid w:val="00C71796"/>
    <w:rsid w:val="00CA33AD"/>
    <w:rsid w:val="00CF086C"/>
    <w:rsid w:val="00CF487B"/>
    <w:rsid w:val="00D93C7D"/>
    <w:rsid w:val="00DC23BB"/>
    <w:rsid w:val="00DC7243"/>
    <w:rsid w:val="00E10006"/>
    <w:rsid w:val="00E653F6"/>
    <w:rsid w:val="00EA50A8"/>
    <w:rsid w:val="00EB2B3B"/>
    <w:rsid w:val="00ED4FE6"/>
    <w:rsid w:val="00F12334"/>
    <w:rsid w:val="00F25279"/>
    <w:rsid w:val="00F33509"/>
    <w:rsid w:val="00F4656C"/>
    <w:rsid w:val="00F73AE8"/>
    <w:rsid w:val="00FB4473"/>
    <w:rsid w:val="44144754"/>
    <w:rsid w:val="7E4E13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215DF87"/>
  <w15:docId w15:val="{4DA6FD18-50D0-AB4A-A8B1-FDF41A037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qFormat="1"/>
    <w:lsdException w:name="toc 9" w:semiHidden="1" w:uiPriority="39" w:unhideWhenUsed="1"/>
    <w:lsdException w:name="Normal Indent" w:semiHidden="1" w:unhideWhenUsed="1"/>
    <w:lsdException w:name="footnote text" w:semiHidden="1" w:unhideWhenUsed="1"/>
    <w:lsdException w:name="annotation text"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sz w:val="24"/>
      <w:szCs w:val="24"/>
      <w:lang w:val="en-GB" w:eastAsia="en-US"/>
    </w:rPr>
  </w:style>
  <w:style w:type="paragraph" w:styleId="1">
    <w:name w:val="heading 1"/>
    <w:basedOn w:val="a"/>
    <w:next w:val="a"/>
    <w:link w:val="10"/>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7">
    <w:name w:val="toc 7"/>
    <w:basedOn w:val="a"/>
    <w:next w:val="a"/>
    <w:uiPriority w:val="39"/>
    <w:semiHidden/>
    <w:unhideWhenUsed/>
    <w:pPr>
      <w:ind w:left="1440"/>
    </w:pPr>
    <w:rPr>
      <w:rFonts w:cstheme="minorHAnsi"/>
      <w:sz w:val="20"/>
      <w:szCs w:val="20"/>
    </w:rPr>
  </w:style>
  <w:style w:type="paragraph" w:styleId="a3">
    <w:name w:val="annotation text"/>
    <w:basedOn w:val="a"/>
    <w:link w:val="a4"/>
    <w:uiPriority w:val="99"/>
    <w:unhideWhenUsed/>
  </w:style>
  <w:style w:type="paragraph" w:styleId="TOC5">
    <w:name w:val="toc 5"/>
    <w:basedOn w:val="a"/>
    <w:next w:val="a"/>
    <w:uiPriority w:val="39"/>
    <w:semiHidden/>
    <w:unhideWhenUsed/>
    <w:pPr>
      <w:ind w:left="960"/>
    </w:pPr>
    <w:rPr>
      <w:rFonts w:cstheme="minorHAnsi"/>
      <w:sz w:val="20"/>
      <w:szCs w:val="20"/>
    </w:rPr>
  </w:style>
  <w:style w:type="paragraph" w:styleId="TOC3">
    <w:name w:val="toc 3"/>
    <w:basedOn w:val="a"/>
    <w:next w:val="a"/>
    <w:uiPriority w:val="39"/>
    <w:semiHidden/>
    <w:unhideWhenUsed/>
    <w:qFormat/>
    <w:pPr>
      <w:ind w:left="480"/>
    </w:pPr>
    <w:rPr>
      <w:rFonts w:cstheme="minorHAnsi"/>
      <w:sz w:val="20"/>
      <w:szCs w:val="20"/>
    </w:rPr>
  </w:style>
  <w:style w:type="paragraph" w:styleId="TOC8">
    <w:name w:val="toc 8"/>
    <w:basedOn w:val="a"/>
    <w:next w:val="a"/>
    <w:uiPriority w:val="39"/>
    <w:semiHidden/>
    <w:unhideWhenUsed/>
    <w:qFormat/>
    <w:pPr>
      <w:ind w:left="1680"/>
    </w:pPr>
    <w:rPr>
      <w:rFonts w:cstheme="minorHAnsi"/>
      <w:sz w:val="20"/>
      <w:szCs w:val="20"/>
    </w:rPr>
  </w:style>
  <w:style w:type="paragraph" w:styleId="a5">
    <w:name w:val="footer"/>
    <w:basedOn w:val="a"/>
    <w:link w:val="a6"/>
    <w:uiPriority w:val="99"/>
    <w:unhideWhenUsed/>
    <w:pPr>
      <w:tabs>
        <w:tab w:val="center" w:pos="4513"/>
        <w:tab w:val="right" w:pos="9026"/>
      </w:tabs>
    </w:pPr>
  </w:style>
  <w:style w:type="paragraph" w:styleId="TOC1">
    <w:name w:val="toc 1"/>
    <w:basedOn w:val="a"/>
    <w:next w:val="a"/>
    <w:uiPriority w:val="39"/>
    <w:unhideWhenUsed/>
    <w:pPr>
      <w:spacing w:before="120"/>
    </w:pPr>
    <w:rPr>
      <w:rFonts w:cstheme="minorHAnsi"/>
      <w:b/>
      <w:bCs/>
      <w:i/>
      <w:iCs/>
    </w:rPr>
  </w:style>
  <w:style w:type="paragraph" w:styleId="TOC4">
    <w:name w:val="toc 4"/>
    <w:basedOn w:val="a"/>
    <w:next w:val="a"/>
    <w:uiPriority w:val="39"/>
    <w:semiHidden/>
    <w:unhideWhenUsed/>
    <w:pPr>
      <w:ind w:left="720"/>
    </w:pPr>
    <w:rPr>
      <w:rFonts w:cstheme="minorHAnsi"/>
      <w:sz w:val="20"/>
      <w:szCs w:val="20"/>
    </w:rPr>
  </w:style>
  <w:style w:type="paragraph" w:styleId="TOC6">
    <w:name w:val="toc 6"/>
    <w:basedOn w:val="a"/>
    <w:next w:val="a"/>
    <w:uiPriority w:val="39"/>
    <w:semiHidden/>
    <w:unhideWhenUsed/>
    <w:pPr>
      <w:ind w:left="1200"/>
    </w:pPr>
    <w:rPr>
      <w:rFonts w:cstheme="minorHAnsi"/>
      <w:sz w:val="20"/>
      <w:szCs w:val="20"/>
    </w:rPr>
  </w:style>
  <w:style w:type="paragraph" w:styleId="TOC2">
    <w:name w:val="toc 2"/>
    <w:basedOn w:val="a"/>
    <w:next w:val="a"/>
    <w:uiPriority w:val="39"/>
    <w:semiHidden/>
    <w:unhideWhenUsed/>
    <w:pPr>
      <w:spacing w:before="120"/>
      <w:ind w:left="240"/>
    </w:pPr>
    <w:rPr>
      <w:rFonts w:cstheme="minorHAnsi"/>
      <w:b/>
      <w:bCs/>
      <w:sz w:val="22"/>
      <w:szCs w:val="22"/>
    </w:rPr>
  </w:style>
  <w:style w:type="paragraph" w:styleId="TOC9">
    <w:name w:val="toc 9"/>
    <w:basedOn w:val="a"/>
    <w:next w:val="a"/>
    <w:uiPriority w:val="39"/>
    <w:semiHidden/>
    <w:unhideWhenUsed/>
    <w:pPr>
      <w:ind w:left="1920"/>
    </w:pPr>
    <w:rPr>
      <w:rFonts w:cstheme="minorHAnsi"/>
      <w:sz w:val="20"/>
      <w:szCs w:val="20"/>
    </w:rPr>
  </w:style>
  <w:style w:type="paragraph" w:styleId="a7">
    <w:name w:val="Normal (Web)"/>
    <w:basedOn w:val="a"/>
    <w:uiPriority w:val="99"/>
    <w:semiHidden/>
    <w:unhideWhenUsed/>
    <w:pPr>
      <w:spacing w:before="100" w:beforeAutospacing="1" w:after="100" w:afterAutospacing="1"/>
    </w:pPr>
    <w:rPr>
      <w:rFonts w:ascii="Times New Roman" w:eastAsia="Times New Roman" w:hAnsi="Times New Roman" w:cs="Times New Roman"/>
      <w:lang w:eastAsia="en-GB"/>
    </w:rPr>
  </w:style>
  <w:style w:type="paragraph" w:styleId="a8">
    <w:name w:val="annotation subject"/>
    <w:basedOn w:val="a3"/>
    <w:next w:val="a3"/>
    <w:link w:val="a9"/>
    <w:uiPriority w:val="99"/>
    <w:semiHidden/>
    <w:unhideWhenUsed/>
    <w:rPr>
      <w:b/>
      <w:bCs/>
    </w:rPr>
  </w:style>
  <w:style w:type="table" w:styleId="aa">
    <w:name w:val="Table Grid"/>
    <w:basedOn w:val="a1"/>
    <w:uiPriority w:val="39"/>
    <w:rPr>
      <w:rFonts w:ascii="Times New Roman" w:eastAsia="宋体"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page number"/>
    <w:basedOn w:val="a0"/>
    <w:uiPriority w:val="99"/>
    <w:semiHidden/>
    <w:unhideWhenUsed/>
  </w:style>
  <w:style w:type="character" w:styleId="ac">
    <w:name w:val="Hyperlink"/>
    <w:basedOn w:val="a0"/>
    <w:uiPriority w:val="99"/>
    <w:unhideWhenUsed/>
    <w:rPr>
      <w:color w:val="0563C1" w:themeColor="hyperlink"/>
      <w:u w:val="single"/>
    </w:rPr>
  </w:style>
  <w:style w:type="character" w:styleId="ad">
    <w:name w:val="annotation reference"/>
    <w:basedOn w:val="a0"/>
    <w:uiPriority w:val="99"/>
    <w:semiHidden/>
    <w:unhideWhenUsed/>
    <w:rPr>
      <w:sz w:val="21"/>
      <w:szCs w:val="21"/>
    </w:rPr>
  </w:style>
  <w:style w:type="character" w:customStyle="1" w:styleId="10">
    <w:name w:val="标题 1 字符"/>
    <w:basedOn w:val="a0"/>
    <w:link w:val="1"/>
    <w:uiPriority w:val="9"/>
    <w:rPr>
      <w:rFonts w:asciiTheme="majorHAnsi" w:eastAsiaTheme="majorEastAsia" w:hAnsiTheme="majorHAnsi" w:cstheme="majorBidi"/>
      <w:color w:val="2F5496" w:themeColor="accent1" w:themeShade="BF"/>
      <w:sz w:val="32"/>
      <w:szCs w:val="32"/>
    </w:rPr>
  </w:style>
  <w:style w:type="character" w:customStyle="1" w:styleId="a6">
    <w:name w:val="页脚 字符"/>
    <w:basedOn w:val="a0"/>
    <w:link w:val="a5"/>
    <w:uiPriority w:val="99"/>
  </w:style>
  <w:style w:type="paragraph" w:customStyle="1" w:styleId="TOC10">
    <w:name w:val="TOC 标题1"/>
    <w:basedOn w:val="1"/>
    <w:next w:val="a"/>
    <w:uiPriority w:val="39"/>
    <w:unhideWhenUsed/>
    <w:qFormat/>
    <w:pPr>
      <w:spacing w:before="480" w:line="276" w:lineRule="auto"/>
      <w:outlineLvl w:val="9"/>
    </w:pPr>
    <w:rPr>
      <w:b/>
      <w:bCs/>
      <w:sz w:val="28"/>
      <w:szCs w:val="28"/>
      <w:lang w:val="en-US"/>
    </w:rPr>
  </w:style>
  <w:style w:type="character" w:customStyle="1" w:styleId="a4">
    <w:name w:val="批注文字 字符"/>
    <w:basedOn w:val="a0"/>
    <w:link w:val="a3"/>
    <w:uiPriority w:val="99"/>
  </w:style>
  <w:style w:type="character" w:customStyle="1" w:styleId="a9">
    <w:name w:val="批注主题 字符"/>
    <w:basedOn w:val="a4"/>
    <w:link w:val="a8"/>
    <w:uiPriority w:val="99"/>
    <w:semiHidden/>
    <w:rPr>
      <w:b/>
      <w:bCs/>
    </w:rPr>
  </w:style>
  <w:style w:type="paragraph" w:customStyle="1" w:styleId="z-1">
    <w:name w:val="z-窗体顶端1"/>
    <w:basedOn w:val="a"/>
    <w:next w:val="a"/>
    <w:link w:val="z-"/>
    <w:uiPriority w:val="99"/>
    <w:semiHidden/>
    <w:unhideWhenUsed/>
    <w:pPr>
      <w:pBdr>
        <w:bottom w:val="single" w:sz="6" w:space="1" w:color="auto"/>
      </w:pBdr>
      <w:jc w:val="center"/>
    </w:pPr>
    <w:rPr>
      <w:rFonts w:ascii="Arial" w:eastAsia="Times New Roman" w:hAnsi="Arial" w:cs="Arial"/>
      <w:vanish/>
      <w:sz w:val="16"/>
      <w:szCs w:val="16"/>
      <w:lang w:eastAsia="en-GB"/>
    </w:rPr>
  </w:style>
  <w:style w:type="character" w:customStyle="1" w:styleId="z-">
    <w:name w:val="z-窗体顶端 字符"/>
    <w:basedOn w:val="a0"/>
    <w:link w:val="z-1"/>
    <w:uiPriority w:val="99"/>
    <w:semiHidden/>
    <w:rPr>
      <w:rFonts w:ascii="Arial" w:eastAsia="Times New Roman" w:hAnsi="Arial" w:cs="Arial"/>
      <w:vanish/>
      <w:sz w:val="16"/>
      <w:szCs w:val="16"/>
      <w:lang w:eastAsia="en-GB"/>
    </w:rPr>
  </w:style>
  <w:style w:type="paragraph" w:customStyle="1" w:styleId="z-10">
    <w:name w:val="z-窗体底端1"/>
    <w:basedOn w:val="a"/>
    <w:next w:val="a"/>
    <w:link w:val="z-0"/>
    <w:uiPriority w:val="99"/>
    <w:semiHidden/>
    <w:unhideWhenUsed/>
    <w:pPr>
      <w:pBdr>
        <w:top w:val="single" w:sz="6" w:space="1" w:color="auto"/>
      </w:pBdr>
      <w:jc w:val="center"/>
    </w:pPr>
    <w:rPr>
      <w:rFonts w:ascii="Arial" w:eastAsia="Times New Roman" w:hAnsi="Arial" w:cs="Arial"/>
      <w:vanish/>
      <w:sz w:val="16"/>
      <w:szCs w:val="16"/>
      <w:lang w:eastAsia="en-GB"/>
    </w:rPr>
  </w:style>
  <w:style w:type="character" w:customStyle="1" w:styleId="z-0">
    <w:name w:val="z-窗体底端 字符"/>
    <w:basedOn w:val="a0"/>
    <w:link w:val="z-10"/>
    <w:uiPriority w:val="99"/>
    <w:semiHidden/>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85CD6-F30B-A041-93ED-5D17B7B0E0B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3329</Words>
  <Characters>18976</Characters>
  <Application>Microsoft Office Word</Application>
  <DocSecurity>0</DocSecurity>
  <Lines>158</Lines>
  <Paragraphs>44</Paragraphs>
  <ScaleCrop>false</ScaleCrop>
  <Company/>
  <LinksUpToDate>false</LinksUpToDate>
  <CharactersWithSpaces>22261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79001</dc:creator>
  <cp:lastModifiedBy>Tongxin Tang (2107042)</cp:lastModifiedBy>
  <cp:revision>2</cp:revision>
  <dcterms:created xsi:type="dcterms:W3CDTF">2023-03-10T14:33:00Z</dcterms:created>
  <dcterms:modified xsi:type="dcterms:W3CDTF">2023-03-10T14:33:00Z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78A801A158424B4ABB5639F748E872BA</vt:lpwstr>
  </property>
</Properties>
</file>