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E6E6B" w:rsidRDefault="000E6E6B" w:rsidP="00D35FAE">
      <w:pPr>
        <w:pStyle w:val="awTB00chTitle"/>
        <w:keepNext/>
        <w:spacing w:before="720" w:after="0"/>
      </w:pPr>
      <w:r>
        <w:rPr>
          <w:sz w:val="44"/>
        </w:rPr>
        <w:t xml:space="preserve">Chapter </w:t>
      </w:r>
      <w:r w:rsidR="00911FCD">
        <w:rPr>
          <w:sz w:val="44"/>
        </w:rPr>
        <w:t>9</w:t>
      </w:r>
      <w:r>
        <w:rPr>
          <w:sz w:val="32"/>
        </w:rPr>
        <w:br/>
      </w:r>
      <w:r>
        <w:t>Transaction Exposure</w:t>
      </w:r>
      <w:r w:rsidR="00991046">
        <w:br/>
      </w:r>
    </w:p>
    <w:p w:rsidR="00991046" w:rsidRPr="0090254E" w:rsidRDefault="00991046" w:rsidP="00991046">
      <w:pPr>
        <w:rPr>
          <w:rFonts w:ascii="Helvetica" w:eastAsia="Calibri" w:hAnsi="Helvetica"/>
          <w:b/>
          <w:sz w:val="28"/>
          <w:szCs w:val="28"/>
        </w:rPr>
      </w:pPr>
      <w:r w:rsidRPr="0090254E">
        <w:rPr>
          <w:rFonts w:ascii="Helvetica" w:eastAsia="Calibri" w:hAnsi="Helvetica"/>
          <w:sz w:val="28"/>
          <w:szCs w:val="28"/>
        </w:rPr>
        <w:sym w:font="Wingdings" w:char="F06E"/>
      </w:r>
      <w:r w:rsidRPr="0090254E">
        <w:rPr>
          <w:rFonts w:ascii="Helvetica" w:eastAsia="Calibri" w:hAnsi="Helvetica"/>
          <w:sz w:val="28"/>
          <w:szCs w:val="28"/>
        </w:rPr>
        <w:t xml:space="preserve"> </w:t>
      </w:r>
      <w:r w:rsidRPr="0090254E">
        <w:rPr>
          <w:rFonts w:ascii="Helvetica" w:eastAsia="Calibri" w:hAnsi="Helvetica"/>
          <w:b/>
          <w:sz w:val="28"/>
          <w:szCs w:val="28"/>
        </w:rPr>
        <w:t>Learning Objectives</w:t>
      </w:r>
    </w:p>
    <w:p w:rsidR="00991046" w:rsidRPr="00991046" w:rsidRDefault="00991046" w:rsidP="00991046">
      <w:pPr>
        <w:numPr>
          <w:ilvl w:val="0"/>
          <w:numId w:val="30"/>
        </w:numPr>
        <w:spacing w:after="160" w:line="259" w:lineRule="auto"/>
        <w:contextualSpacing/>
        <w:rPr>
          <w:rFonts w:ascii="Times" w:eastAsia="Calibri" w:hAnsi="Times" w:cs="Times"/>
          <w:sz w:val="24"/>
          <w:szCs w:val="24"/>
        </w:rPr>
      </w:pPr>
      <w:r w:rsidRPr="00991046">
        <w:rPr>
          <w:rFonts w:ascii="Times" w:eastAsia="Calibri" w:hAnsi="Times" w:cs="Times"/>
          <w:sz w:val="24"/>
          <w:szCs w:val="24"/>
        </w:rPr>
        <w:t>Distinguish between the three major foreign exchange exposures experienced by firms</w:t>
      </w:r>
    </w:p>
    <w:p w:rsidR="00991046" w:rsidRPr="00991046" w:rsidRDefault="00991046" w:rsidP="00991046">
      <w:pPr>
        <w:numPr>
          <w:ilvl w:val="0"/>
          <w:numId w:val="30"/>
        </w:numPr>
        <w:spacing w:after="160" w:line="259" w:lineRule="auto"/>
        <w:contextualSpacing/>
        <w:rPr>
          <w:rFonts w:ascii="Times" w:eastAsia="Calibri" w:hAnsi="Times" w:cs="Times"/>
          <w:sz w:val="24"/>
          <w:szCs w:val="24"/>
        </w:rPr>
      </w:pPr>
      <w:r w:rsidRPr="00991046">
        <w:rPr>
          <w:rFonts w:ascii="Times" w:eastAsia="Calibri" w:hAnsi="Times" w:cs="Times"/>
          <w:sz w:val="24"/>
          <w:szCs w:val="24"/>
        </w:rPr>
        <w:t>Analyze the pros and cons of hedging foreign exchange transaction exposure</w:t>
      </w:r>
    </w:p>
    <w:p w:rsidR="00991046" w:rsidRPr="00991046" w:rsidRDefault="00991046" w:rsidP="00737AFC">
      <w:pPr>
        <w:numPr>
          <w:ilvl w:val="0"/>
          <w:numId w:val="30"/>
        </w:numPr>
        <w:spacing w:after="160" w:line="259" w:lineRule="auto"/>
        <w:contextualSpacing/>
        <w:rPr>
          <w:rFonts w:ascii="Times" w:eastAsia="Calibri" w:hAnsi="Times" w:cs="Times"/>
          <w:sz w:val="24"/>
          <w:szCs w:val="24"/>
        </w:rPr>
      </w:pPr>
      <w:r w:rsidRPr="00991046">
        <w:rPr>
          <w:rFonts w:ascii="Times" w:eastAsia="Calibri" w:hAnsi="Times" w:cs="Times"/>
          <w:sz w:val="24"/>
          <w:szCs w:val="24"/>
        </w:rPr>
        <w:t>Examine the alternatives available to a firm for managing a large and significant transaction</w:t>
      </w:r>
      <w:r>
        <w:rPr>
          <w:rFonts w:ascii="Times" w:eastAsia="Calibri" w:hAnsi="Times" w:cs="Times"/>
          <w:sz w:val="24"/>
          <w:szCs w:val="24"/>
        </w:rPr>
        <w:t xml:space="preserve"> </w:t>
      </w:r>
      <w:r w:rsidRPr="00991046">
        <w:rPr>
          <w:rFonts w:ascii="Times" w:eastAsia="Calibri" w:hAnsi="Times" w:cs="Times"/>
          <w:sz w:val="24"/>
          <w:szCs w:val="24"/>
        </w:rPr>
        <w:t>exposure</w:t>
      </w:r>
    </w:p>
    <w:p w:rsidR="00991046" w:rsidRPr="00991046" w:rsidRDefault="00991046" w:rsidP="00991046">
      <w:pPr>
        <w:numPr>
          <w:ilvl w:val="0"/>
          <w:numId w:val="30"/>
        </w:numPr>
        <w:spacing w:after="160" w:line="259" w:lineRule="auto"/>
        <w:contextualSpacing/>
        <w:rPr>
          <w:rFonts w:ascii="Times" w:eastAsia="Calibri" w:hAnsi="Times" w:cs="Times"/>
          <w:sz w:val="24"/>
          <w:szCs w:val="24"/>
        </w:rPr>
      </w:pPr>
      <w:r w:rsidRPr="00991046">
        <w:rPr>
          <w:rFonts w:ascii="Times" w:eastAsia="Calibri" w:hAnsi="Times" w:cs="Times"/>
          <w:sz w:val="24"/>
          <w:szCs w:val="24"/>
        </w:rPr>
        <w:t>Evaluate the institutional practices and concerns of conducting foreign exchange risk</w:t>
      </w:r>
      <w:r>
        <w:rPr>
          <w:rFonts w:ascii="Times" w:eastAsia="Calibri" w:hAnsi="Times" w:cs="Times"/>
          <w:sz w:val="24"/>
          <w:szCs w:val="24"/>
        </w:rPr>
        <w:t xml:space="preserve"> </w:t>
      </w:r>
      <w:r w:rsidRPr="00991046">
        <w:rPr>
          <w:rFonts w:ascii="Times" w:eastAsia="Calibri" w:hAnsi="Times" w:cs="Times"/>
          <w:sz w:val="24"/>
          <w:szCs w:val="24"/>
        </w:rPr>
        <w:t>management</w:t>
      </w:r>
    </w:p>
    <w:p w:rsidR="00991046" w:rsidRPr="0090254E" w:rsidRDefault="00991046" w:rsidP="00991046">
      <w:pPr>
        <w:spacing w:after="160" w:line="259" w:lineRule="auto"/>
        <w:ind w:left="720"/>
        <w:contextualSpacing/>
        <w:rPr>
          <w:rFonts w:ascii="Times" w:eastAsia="Calibri" w:hAnsi="Times" w:cs="Times"/>
          <w:sz w:val="24"/>
          <w:szCs w:val="24"/>
        </w:rPr>
      </w:pPr>
    </w:p>
    <w:p w:rsidR="00991046" w:rsidRPr="0090254E" w:rsidRDefault="00991046" w:rsidP="00991046">
      <w:pPr>
        <w:spacing w:after="160" w:line="259" w:lineRule="auto"/>
        <w:rPr>
          <w:rFonts w:ascii="Calibri" w:eastAsia="Calibri" w:hAnsi="Calibri"/>
          <w:sz w:val="22"/>
          <w:szCs w:val="22"/>
        </w:rPr>
      </w:pPr>
      <w:r w:rsidRPr="0090254E">
        <w:rPr>
          <w:rFonts w:ascii="Helvetica" w:eastAsia="Calibri" w:hAnsi="Helvetica"/>
          <w:sz w:val="28"/>
          <w:szCs w:val="28"/>
        </w:rPr>
        <w:sym w:font="Wingdings" w:char="F06E"/>
      </w:r>
      <w:r w:rsidRPr="0090254E">
        <w:rPr>
          <w:rFonts w:ascii="Helvetica" w:eastAsia="Calibri" w:hAnsi="Helvetica"/>
          <w:sz w:val="28"/>
          <w:szCs w:val="28"/>
        </w:rPr>
        <w:t xml:space="preserve">  </w:t>
      </w:r>
      <w:r w:rsidRPr="0090254E">
        <w:rPr>
          <w:rFonts w:ascii="Helvetica" w:eastAsia="Calibri" w:hAnsi="Helvetica"/>
          <w:b/>
          <w:sz w:val="28"/>
          <w:szCs w:val="28"/>
        </w:rPr>
        <w:t>Chapter Outline</w:t>
      </w:r>
      <w:r w:rsidRPr="0090254E">
        <w:rPr>
          <w:rFonts w:ascii="Calibri" w:eastAsia="Calibri" w:hAnsi="Calibri"/>
          <w:sz w:val="22"/>
          <w:szCs w:val="22"/>
        </w:rPr>
        <w:t xml:space="preserve"> </w:t>
      </w:r>
    </w:p>
    <w:p w:rsidR="00991046" w:rsidRDefault="00991046" w:rsidP="00EB4FEE">
      <w:pPr>
        <w:pStyle w:val="OutlineI"/>
      </w:pPr>
      <w:r>
        <w:t>Types of Foreign Exchange Exposure</w:t>
      </w:r>
    </w:p>
    <w:p w:rsidR="00991046" w:rsidRDefault="00991046" w:rsidP="00EB4FEE">
      <w:pPr>
        <w:pStyle w:val="OutlineI"/>
      </w:pPr>
      <w:r>
        <w:t>Why Hedge?</w:t>
      </w:r>
    </w:p>
    <w:p w:rsidR="00991046" w:rsidRDefault="00991046" w:rsidP="00EB4FEE">
      <w:pPr>
        <w:pStyle w:val="OutlineA"/>
      </w:pPr>
      <w:r>
        <w:t>Hedging Defined</w:t>
      </w:r>
    </w:p>
    <w:p w:rsidR="00991046" w:rsidRDefault="00991046" w:rsidP="00EB4FEE">
      <w:pPr>
        <w:pStyle w:val="OutlineA"/>
      </w:pPr>
      <w:r>
        <w:t>The Pros and Cons of Hedging</w:t>
      </w:r>
    </w:p>
    <w:p w:rsidR="00991046" w:rsidRDefault="00991046" w:rsidP="00EB4FEE">
      <w:pPr>
        <w:pStyle w:val="Outlline1"/>
      </w:pPr>
      <w:r>
        <w:t>Pros</w:t>
      </w:r>
    </w:p>
    <w:p w:rsidR="00991046" w:rsidRDefault="00991046" w:rsidP="00EB4FEE">
      <w:pPr>
        <w:pStyle w:val="Outlline1"/>
      </w:pPr>
      <w:r>
        <w:t>Cons</w:t>
      </w:r>
    </w:p>
    <w:p w:rsidR="00991046" w:rsidRDefault="00991046" w:rsidP="00EB4FEE">
      <w:pPr>
        <w:pStyle w:val="OutlineA"/>
      </w:pPr>
      <w:r>
        <w:t>Measurement of Transaction Exposure</w:t>
      </w:r>
    </w:p>
    <w:p w:rsidR="00991046" w:rsidRDefault="00991046" w:rsidP="00EB4FEE">
      <w:pPr>
        <w:pStyle w:val="Outlline1"/>
        <w:numPr>
          <w:ilvl w:val="0"/>
          <w:numId w:val="35"/>
        </w:numPr>
      </w:pPr>
      <w:r>
        <w:t>Purchasing or Selling on Open Account</w:t>
      </w:r>
    </w:p>
    <w:p w:rsidR="00991046" w:rsidRDefault="00991046" w:rsidP="00EB4FEE">
      <w:pPr>
        <w:pStyle w:val="Outlline1"/>
      </w:pPr>
      <w:r>
        <w:t>Borrowing or Lending</w:t>
      </w:r>
    </w:p>
    <w:p w:rsidR="00991046" w:rsidRDefault="00991046" w:rsidP="00EB4FEE">
      <w:pPr>
        <w:pStyle w:val="Outlline1"/>
      </w:pPr>
      <w:r>
        <w:t>Unperformed Foreign Exchange Contracts</w:t>
      </w:r>
    </w:p>
    <w:p w:rsidR="00991046" w:rsidRDefault="00991046" w:rsidP="00EB4FEE">
      <w:pPr>
        <w:pStyle w:val="Outlline1"/>
      </w:pPr>
      <w:r>
        <w:t>Contractual Hedges</w:t>
      </w:r>
    </w:p>
    <w:p w:rsidR="00991046" w:rsidRDefault="00991046" w:rsidP="00EB4FEE">
      <w:pPr>
        <w:pStyle w:val="OutlineI"/>
      </w:pPr>
      <w:r>
        <w:t>Transaction Exposure Management: The Case of Trident</w:t>
      </w:r>
    </w:p>
    <w:p w:rsidR="00991046" w:rsidRDefault="00991046" w:rsidP="00EB4FEE">
      <w:pPr>
        <w:pStyle w:val="OutlineA"/>
        <w:numPr>
          <w:ilvl w:val="0"/>
          <w:numId w:val="36"/>
        </w:numPr>
      </w:pPr>
      <w:r>
        <w:t>Unhedged Position</w:t>
      </w:r>
    </w:p>
    <w:p w:rsidR="00991046" w:rsidRDefault="00991046" w:rsidP="00EB4FEE">
      <w:pPr>
        <w:pStyle w:val="OutlineA"/>
      </w:pPr>
      <w:r>
        <w:t>Forward Market Hedge</w:t>
      </w:r>
    </w:p>
    <w:p w:rsidR="00991046" w:rsidRDefault="00991046" w:rsidP="00EB4FEE">
      <w:pPr>
        <w:pStyle w:val="OutlineA"/>
      </w:pPr>
      <w:r>
        <w:t>Money Market Hedge</w:t>
      </w:r>
    </w:p>
    <w:p w:rsidR="00991046" w:rsidRDefault="00991046" w:rsidP="00EB4FEE">
      <w:pPr>
        <w:pStyle w:val="OutlineA"/>
      </w:pPr>
      <w:r>
        <w:t>Options Market Hedge</w:t>
      </w:r>
    </w:p>
    <w:p w:rsidR="00991046" w:rsidRDefault="00991046" w:rsidP="00EB4FEE">
      <w:pPr>
        <w:pStyle w:val="OutlineA"/>
      </w:pPr>
      <w:r>
        <w:t>Comparison of Alternatives</w:t>
      </w:r>
    </w:p>
    <w:p w:rsidR="00991046" w:rsidRDefault="00991046" w:rsidP="00EB4FEE">
      <w:pPr>
        <w:pStyle w:val="OutlineA"/>
      </w:pPr>
      <w:r>
        <w:t>Strategy Choice and Outcome</w:t>
      </w:r>
    </w:p>
    <w:p w:rsidR="00991046" w:rsidRDefault="00991046" w:rsidP="00EB4FEE">
      <w:pPr>
        <w:pStyle w:val="OutlineA"/>
      </w:pPr>
      <w:r>
        <w:t>Management of an Account Payable</w:t>
      </w:r>
    </w:p>
    <w:p w:rsidR="00991046" w:rsidRDefault="00991046" w:rsidP="00EB4FEE">
      <w:pPr>
        <w:pStyle w:val="Outlline1"/>
        <w:numPr>
          <w:ilvl w:val="0"/>
          <w:numId w:val="37"/>
        </w:numPr>
      </w:pPr>
      <w:r>
        <w:t>Remain Unhedged</w:t>
      </w:r>
    </w:p>
    <w:p w:rsidR="00991046" w:rsidRDefault="00991046" w:rsidP="00EB4FEE">
      <w:pPr>
        <w:pStyle w:val="Outlline1"/>
      </w:pPr>
      <w:r>
        <w:t>Forward Market Hedge</w:t>
      </w:r>
    </w:p>
    <w:p w:rsidR="00991046" w:rsidRDefault="00991046" w:rsidP="00EB4FEE">
      <w:pPr>
        <w:pStyle w:val="Outlline1"/>
      </w:pPr>
      <w:r>
        <w:t>Money Market Hedge</w:t>
      </w:r>
    </w:p>
    <w:p w:rsidR="00991046" w:rsidRDefault="00991046" w:rsidP="00EB4FEE">
      <w:pPr>
        <w:pStyle w:val="Outlline1"/>
      </w:pPr>
      <w:r>
        <w:t>Option Hedge</w:t>
      </w:r>
    </w:p>
    <w:p w:rsidR="00991046" w:rsidRDefault="00991046" w:rsidP="00EB4FEE">
      <w:pPr>
        <w:pStyle w:val="Outlline1"/>
      </w:pPr>
      <w:r>
        <w:t>Payable Hedging Strategy Choice</w:t>
      </w:r>
    </w:p>
    <w:p w:rsidR="00991046" w:rsidRDefault="00991046" w:rsidP="00D35FAE">
      <w:pPr>
        <w:pStyle w:val="OutlineI"/>
        <w:keepNext/>
      </w:pPr>
      <w:r>
        <w:lastRenderedPageBreak/>
        <w:t>Risk Management in Practice</w:t>
      </w:r>
    </w:p>
    <w:p w:rsidR="00991046" w:rsidRDefault="00991046" w:rsidP="00D35FAE">
      <w:pPr>
        <w:pStyle w:val="OutlineA"/>
        <w:keepNext/>
        <w:numPr>
          <w:ilvl w:val="0"/>
          <w:numId w:val="38"/>
        </w:numPr>
      </w:pPr>
      <w:proofErr w:type="gramStart"/>
      <w:r>
        <w:t>Which Goals?</w:t>
      </w:r>
      <w:proofErr w:type="gramEnd"/>
    </w:p>
    <w:p w:rsidR="00991046" w:rsidRDefault="00991046" w:rsidP="00EB4FEE">
      <w:pPr>
        <w:pStyle w:val="OutlineA"/>
      </w:pPr>
      <w:proofErr w:type="gramStart"/>
      <w:r>
        <w:t>Which Exposures?</w:t>
      </w:r>
      <w:proofErr w:type="gramEnd"/>
    </w:p>
    <w:p w:rsidR="00991046" w:rsidRPr="00991046" w:rsidRDefault="00991046" w:rsidP="00EB4FEE">
      <w:pPr>
        <w:pStyle w:val="OutlineA"/>
      </w:pPr>
      <w:proofErr w:type="gramStart"/>
      <w:r>
        <w:t>Which Contractual Hedges?</w:t>
      </w:r>
      <w:proofErr w:type="gramEnd"/>
    </w:p>
    <w:p w:rsidR="000E6E6B" w:rsidRDefault="000E6E6B" w:rsidP="009E1A6F">
      <w:pPr>
        <w:pStyle w:val="awTB01questionHead"/>
        <w:numPr>
          <w:ilvl w:val="0"/>
          <w:numId w:val="23"/>
        </w:numPr>
        <w:tabs>
          <w:tab w:val="num" w:pos="360"/>
        </w:tabs>
        <w:spacing w:before="480"/>
      </w:pPr>
      <w:r>
        <w:rPr>
          <w:szCs w:val="28"/>
        </w:rPr>
        <w:sym w:font="Wingdings" w:char="F06E"/>
      </w:r>
      <w:r>
        <w:t> </w:t>
      </w:r>
      <w:r>
        <w:t>Questions</w:t>
      </w:r>
    </w:p>
    <w:p w:rsidR="000E6E6B" w:rsidRDefault="000E6E6B">
      <w:pPr>
        <w:pStyle w:val="MCQList1"/>
        <w:ind w:left="446" w:hanging="446"/>
      </w:pPr>
      <w:r>
        <w:tab/>
        <w:t>1.</w:t>
      </w:r>
      <w:r>
        <w:tab/>
      </w:r>
      <w:r>
        <w:rPr>
          <w:b/>
        </w:rPr>
        <w:t>Foreign Exchange.</w:t>
      </w:r>
      <w:r>
        <w:t xml:space="preserve"> Define the following terms:</w:t>
      </w:r>
    </w:p>
    <w:p w:rsidR="000E6E6B" w:rsidRDefault="000E6E6B" w:rsidP="0069249C">
      <w:pPr>
        <w:pStyle w:val="MCQList2"/>
      </w:pPr>
      <w:r>
        <w:t>a.</w:t>
      </w:r>
      <w:r>
        <w:tab/>
        <w:t xml:space="preserve">Foreign exchange exposure </w:t>
      </w:r>
    </w:p>
    <w:p w:rsidR="000E6E6B" w:rsidRDefault="000E6E6B" w:rsidP="009E1A6F">
      <w:pPr>
        <w:pStyle w:val="MCQAnswerBL"/>
      </w:pPr>
      <w:r>
        <w:rPr>
          <w:i/>
        </w:rPr>
        <w:tab/>
        <w:t>Foreign exchange exposure</w:t>
      </w:r>
      <w:r>
        <w:t xml:space="preserve"> is a measure of the potential for a firm’s profitability, net cash flow, and market value to change because of a change in exchange rates. An important task of the financial manager is to measure foreign exchange exposure and to manage it </w:t>
      </w:r>
      <w:proofErr w:type="gramStart"/>
      <w:r>
        <w:t>so as to</w:t>
      </w:r>
      <w:proofErr w:type="gramEnd"/>
      <w:r>
        <w:t xml:space="preserve"> maximize the profitability, net cash flow, and market value of the firm.</w:t>
      </w:r>
    </w:p>
    <w:p w:rsidR="000E6E6B" w:rsidRDefault="000E6E6B" w:rsidP="0069249C">
      <w:pPr>
        <w:pStyle w:val="MCQList2"/>
      </w:pPr>
      <w:r>
        <w:t>b.</w:t>
      </w:r>
      <w:r>
        <w:tab/>
        <w:t xml:space="preserve">The three types of foreign exchange exposure </w:t>
      </w:r>
    </w:p>
    <w:p w:rsidR="000E6E6B" w:rsidRDefault="000E6E6B" w:rsidP="0069249C">
      <w:pPr>
        <w:pStyle w:val="MCQAnswerBL"/>
        <w:ind w:left="990"/>
      </w:pPr>
      <w:r>
        <w:rPr>
          <w:rFonts w:ascii="Symbol" w:hAnsi="Symbol"/>
        </w:rPr>
        <w:sym w:font="Symbol" w:char="F0B7"/>
      </w:r>
      <w:r>
        <w:tab/>
        <w:t xml:space="preserve">Transaction Exposure: </w:t>
      </w:r>
      <w:r>
        <w:rPr>
          <w:i/>
        </w:rPr>
        <w:t>Transaction exposure</w:t>
      </w:r>
      <w:r>
        <w:t xml:space="preserve"> measures changes in the value of outstanding financial obligations incurred prior to a change in exchange rates but not due to be settled until after the exchange rates change. Thus, it deals with changes in cash flows that result from existing contractual obligations.</w:t>
      </w:r>
    </w:p>
    <w:p w:rsidR="000E6E6B" w:rsidRDefault="000E6E6B" w:rsidP="0069249C">
      <w:pPr>
        <w:pStyle w:val="MCQAnswerBL"/>
        <w:ind w:left="990"/>
      </w:pPr>
      <w:r>
        <w:rPr>
          <w:rFonts w:ascii="Symbol" w:hAnsi="Symbol"/>
        </w:rPr>
        <w:sym w:font="Symbol" w:char="F0B7"/>
      </w:r>
      <w:r>
        <w:tab/>
        <w:t xml:space="preserve">Translation Exposure: </w:t>
      </w:r>
      <w:r>
        <w:rPr>
          <w:i/>
        </w:rPr>
        <w:t>Translation exposure</w:t>
      </w:r>
      <w:r>
        <w:t xml:space="preserve"> is the potential for accounting-derived changes </w:t>
      </w:r>
      <w:r>
        <w:br/>
        <w:t xml:space="preserve">in owner’s equity to occur because of the need to “translate” foreign currency financial statements of foreign subsidiaries into a single reporting currency to prepare </w:t>
      </w:r>
      <w:proofErr w:type="gramStart"/>
      <w:r>
        <w:t>worldwide consolidated</w:t>
      </w:r>
      <w:proofErr w:type="gramEnd"/>
      <w:r>
        <w:t xml:space="preserve"> financial statements.</w:t>
      </w:r>
    </w:p>
    <w:p w:rsidR="000E6E6B" w:rsidRDefault="000E6E6B" w:rsidP="0069249C">
      <w:pPr>
        <w:pStyle w:val="MCQAnswerBL"/>
        <w:ind w:left="990"/>
      </w:pPr>
      <w:r>
        <w:rPr>
          <w:rFonts w:ascii="Symbol" w:hAnsi="Symbol"/>
        </w:rPr>
        <w:sym w:font="Symbol" w:char="F0B7"/>
      </w:r>
      <w:r>
        <w:tab/>
        <w:t xml:space="preserve">Operating Exposure: </w:t>
      </w:r>
      <w:r>
        <w:rPr>
          <w:i/>
        </w:rPr>
        <w:t>Operating exposure</w:t>
      </w:r>
      <w:r>
        <w:t xml:space="preserve">, also called </w:t>
      </w:r>
      <w:r>
        <w:rPr>
          <w:i/>
        </w:rPr>
        <w:t>economic exposure</w:t>
      </w:r>
      <w:r>
        <w:t xml:space="preserve">, </w:t>
      </w:r>
      <w:r>
        <w:rPr>
          <w:i/>
        </w:rPr>
        <w:t>competitive exposure</w:t>
      </w:r>
      <w:r>
        <w:t xml:space="preserve">, or </w:t>
      </w:r>
      <w:r>
        <w:rPr>
          <w:i/>
        </w:rPr>
        <w:t>strategic exposure</w:t>
      </w:r>
      <w:r>
        <w:t>, measures the change in the present value of the firm resulting from any change in future operating cash flows of the firm caused by an unexpected change in exchange rates. The change in value depends on the effect of the exchange rate change on future sales volume, prices, and costs.</w:t>
      </w:r>
    </w:p>
    <w:p w:rsidR="000E6E6B" w:rsidRDefault="000E6E6B">
      <w:pPr>
        <w:pStyle w:val="MCQList1"/>
      </w:pPr>
      <w:r>
        <w:tab/>
        <w:t>2.</w:t>
      </w:r>
      <w:r>
        <w:tab/>
      </w:r>
      <w:r>
        <w:rPr>
          <w:b/>
        </w:rPr>
        <w:t xml:space="preserve">Hedging and Currency Risk. </w:t>
      </w:r>
      <w:r>
        <w:t>Define the following terms:</w:t>
      </w:r>
    </w:p>
    <w:p w:rsidR="000E6E6B" w:rsidRDefault="000E6E6B" w:rsidP="009E1A6F">
      <w:pPr>
        <w:pStyle w:val="MCQAnswerBL"/>
      </w:pPr>
      <w:r>
        <w:t>a.</w:t>
      </w:r>
      <w:r>
        <w:tab/>
      </w:r>
      <w:r>
        <w:rPr>
          <w:i/>
        </w:rPr>
        <w:t>Hedging</w:t>
      </w:r>
      <w:r>
        <w:t>:</w:t>
      </w:r>
      <w:r>
        <w:rPr>
          <w:iCs/>
        </w:rPr>
        <w:t xml:space="preserve"> Hedging </w:t>
      </w:r>
      <w:r>
        <w:t xml:space="preserve">is the taking of a position, either acquiring a cash flow, an asset, or a contract that will rise (fall) in value and offset a fall (rise) in the value of an existing position. Hedging protects the owner of the existing asset from loss. However, it also eliminates any gain from an increase in the value of the asset hedged </w:t>
      </w:r>
      <w:proofErr w:type="gramStart"/>
      <w:r>
        <w:t>against</w:t>
      </w:r>
      <w:proofErr w:type="gramEnd"/>
      <w:r>
        <w:t>.</w:t>
      </w:r>
    </w:p>
    <w:p w:rsidR="000E6E6B" w:rsidRDefault="000E6E6B" w:rsidP="009E1A6F">
      <w:pPr>
        <w:pStyle w:val="MCQAnswerBL"/>
      </w:pPr>
      <w:r>
        <w:t>b.</w:t>
      </w:r>
      <w:r>
        <w:tab/>
      </w:r>
      <w:r>
        <w:rPr>
          <w:i/>
        </w:rPr>
        <w:t>Currency risk</w:t>
      </w:r>
      <w:r>
        <w:t xml:space="preserve">: </w:t>
      </w:r>
      <w:r>
        <w:rPr>
          <w:iCs/>
        </w:rPr>
        <w:t xml:space="preserve">Currency risk </w:t>
      </w:r>
      <w:proofErr w:type="gramStart"/>
      <w:r>
        <w:t>can be defined</w:t>
      </w:r>
      <w:proofErr w:type="gramEnd"/>
      <w:r>
        <w:t xml:space="preserve"> as the variance in expected cash flows arising from unexpected exchange rate changes.</w:t>
      </w:r>
    </w:p>
    <w:p w:rsidR="000E6E6B" w:rsidRDefault="000E6E6B">
      <w:pPr>
        <w:pStyle w:val="MCQList1"/>
        <w:keepNext w:val="0"/>
        <w:keepLines w:val="0"/>
      </w:pPr>
      <w:r>
        <w:tab/>
      </w:r>
      <w:proofErr w:type="gramStart"/>
      <w:r>
        <w:t>3.</w:t>
      </w:r>
      <w:r>
        <w:tab/>
      </w:r>
      <w:r>
        <w:rPr>
          <w:b/>
        </w:rPr>
        <w:t>Arguments against Currency Risk Management.</w:t>
      </w:r>
      <w:proofErr w:type="gramEnd"/>
      <w:r>
        <w:t xml:space="preserve"> Describe six arguments against a firm pursuing an active currency risk management program?</w:t>
      </w:r>
    </w:p>
    <w:p w:rsidR="000E6E6B" w:rsidRDefault="00F4293C" w:rsidP="009E1A6F">
      <w:pPr>
        <w:pStyle w:val="MCQAnswerBL"/>
      </w:pPr>
      <w:r>
        <w:t>1</w:t>
      </w:r>
      <w:r w:rsidR="000E6E6B">
        <w:t>.</w:t>
      </w:r>
      <w:r w:rsidR="000E6E6B">
        <w:tab/>
        <w:t>Shareholders are more capable of diversifying currency risk than is the management of the firm. If stockholders do not wish to accept the currency risk of any specific firm, they can diversify their portfolios to manage the risk in a way that satisfies their individual preferences and risk tolerance.</w:t>
      </w:r>
    </w:p>
    <w:p w:rsidR="000E6E6B" w:rsidRDefault="00F4293C" w:rsidP="009E1A6F">
      <w:pPr>
        <w:pStyle w:val="MCQAnswerBL"/>
      </w:pPr>
      <w:r>
        <w:t>2</w:t>
      </w:r>
      <w:r w:rsidR="000E6E6B">
        <w:t>.</w:t>
      </w:r>
      <w:r w:rsidR="000E6E6B">
        <w:tab/>
        <w:t xml:space="preserve">Currency risk management does not increase the expected cash flows of the firm. Currency risk management </w:t>
      </w:r>
      <w:proofErr w:type="gramStart"/>
      <w:r w:rsidR="000E6E6B">
        <w:t>does, however, consume</w:t>
      </w:r>
      <w:proofErr w:type="gramEnd"/>
      <w:r w:rsidR="000E6E6B">
        <w:t xml:space="preserve"> firm resources and so reduces cash flow. The impact on value is a combination of the reduction of cash flow (which lowers value) and the reduction in variance (which increases value).</w:t>
      </w:r>
    </w:p>
    <w:p w:rsidR="000E6E6B" w:rsidRDefault="00F4293C" w:rsidP="00D35FAE">
      <w:pPr>
        <w:pStyle w:val="MCQAnswerBL"/>
        <w:keepNext/>
      </w:pPr>
      <w:r>
        <w:lastRenderedPageBreak/>
        <w:t>3</w:t>
      </w:r>
      <w:r w:rsidR="000E6E6B">
        <w:t>.</w:t>
      </w:r>
      <w:r w:rsidR="000E6E6B">
        <w:tab/>
        <w:t>Management often conducts hedging activities that benefit management at the expense of the shareholders. The field of finance called agency theory frequently argues that management is generally more risk-averse than are shareholders.</w:t>
      </w:r>
    </w:p>
    <w:p w:rsidR="000E6E6B" w:rsidRDefault="00F4293C" w:rsidP="009E1A6F">
      <w:pPr>
        <w:pStyle w:val="MCQAnswerBL"/>
      </w:pPr>
      <w:r>
        <w:t>4</w:t>
      </w:r>
      <w:r w:rsidR="000E6E6B">
        <w:t>.</w:t>
      </w:r>
      <w:r w:rsidR="000E6E6B">
        <w:tab/>
        <w:t xml:space="preserve">Managers cannot outguess the market. </w:t>
      </w:r>
      <w:proofErr w:type="gramStart"/>
      <w:r w:rsidR="000E6E6B">
        <w:t>If and when</w:t>
      </w:r>
      <w:proofErr w:type="gramEnd"/>
      <w:r w:rsidR="000E6E6B">
        <w:t xml:space="preserve"> markets are in equilibrium with respect to parity conditions, the expected net present value of hedging should be zero.</w:t>
      </w:r>
    </w:p>
    <w:p w:rsidR="000E6E6B" w:rsidRDefault="00F4293C" w:rsidP="009E1A6F">
      <w:pPr>
        <w:pStyle w:val="MCQAnswerBL"/>
      </w:pPr>
      <w:r>
        <w:t>5</w:t>
      </w:r>
      <w:r w:rsidR="000E6E6B">
        <w:t>.</w:t>
      </w:r>
      <w:r w:rsidR="000E6E6B">
        <w:tab/>
        <w:t xml:space="preserve">Management’s motivation to reduce variability </w:t>
      </w:r>
      <w:proofErr w:type="gramStart"/>
      <w:r w:rsidR="000E6E6B">
        <w:t>is sometimes driven</w:t>
      </w:r>
      <w:proofErr w:type="gramEnd"/>
      <w:r w:rsidR="000E6E6B">
        <w:t xml:space="preserve"> by accounting reasons. Management may believe that it </w:t>
      </w:r>
      <w:proofErr w:type="gramStart"/>
      <w:r w:rsidR="000E6E6B">
        <w:t>will be criticized</w:t>
      </w:r>
      <w:proofErr w:type="gramEnd"/>
      <w:r w:rsidR="000E6E6B">
        <w:t xml:space="preserve"> more severely for incurring foreign exchange losses than for incurring similar or even higher cash costs in avoiding the foreign exchange loss. Foreign exchange losses appear in the income statement as a highly visible separate line item or as a footnote, but the higher costs of protection </w:t>
      </w:r>
      <w:proofErr w:type="gramStart"/>
      <w:r w:rsidR="000E6E6B">
        <w:t>are buried</w:t>
      </w:r>
      <w:proofErr w:type="gramEnd"/>
      <w:r w:rsidR="000E6E6B">
        <w:t xml:space="preserve"> in operating or interest expenses.</w:t>
      </w:r>
    </w:p>
    <w:p w:rsidR="000E6E6B" w:rsidRDefault="00F4293C" w:rsidP="009E1A6F">
      <w:pPr>
        <w:pStyle w:val="MCQAnswerBL"/>
      </w:pPr>
      <w:r>
        <w:t>6</w:t>
      </w:r>
      <w:r w:rsidR="000E6E6B">
        <w:t>.</w:t>
      </w:r>
      <w:r w:rsidR="000E6E6B">
        <w:tab/>
        <w:t>Efficient market theorists believe that investors can see through the “accounting veil” and therefore have already factored the foreign exchange effect into a firm’s market valuation. Hedging would only add cost.</w:t>
      </w:r>
    </w:p>
    <w:p w:rsidR="000E6E6B" w:rsidRDefault="000E6E6B">
      <w:pPr>
        <w:pStyle w:val="MCQList1"/>
      </w:pPr>
      <w:r>
        <w:tab/>
      </w:r>
      <w:proofErr w:type="gramStart"/>
      <w:r>
        <w:t>4.</w:t>
      </w:r>
      <w:r>
        <w:tab/>
      </w:r>
      <w:r>
        <w:rPr>
          <w:b/>
        </w:rPr>
        <w:t>Arguments for Currency Risk Management.</w:t>
      </w:r>
      <w:proofErr w:type="gramEnd"/>
      <w:r>
        <w:t xml:space="preserve"> Describe four arguments in favor of a firm pursuing an active currency risk management program?</w:t>
      </w:r>
    </w:p>
    <w:p w:rsidR="000E6E6B" w:rsidRDefault="00F4293C" w:rsidP="009E1A6F">
      <w:pPr>
        <w:pStyle w:val="MCQAnswerBL"/>
      </w:pPr>
      <w:r>
        <w:t>1</w:t>
      </w:r>
      <w:r w:rsidR="000E6E6B">
        <w:t>.</w:t>
      </w:r>
      <w:r w:rsidR="000E6E6B">
        <w:tab/>
        <w:t>Reduction in risk of future cash flows improves the planning capability of the firm. If the firm can more accurately predict future cash flows, it may be able to undertake specific investments or activities that it might otherwise not consider.</w:t>
      </w:r>
    </w:p>
    <w:p w:rsidR="000E6E6B" w:rsidRDefault="00F4293C" w:rsidP="009E1A6F">
      <w:pPr>
        <w:pStyle w:val="MCQAnswerBL"/>
      </w:pPr>
      <w:r>
        <w:t>2</w:t>
      </w:r>
      <w:r w:rsidR="000E6E6B">
        <w:t>.</w:t>
      </w:r>
      <w:r w:rsidR="000E6E6B">
        <w:tab/>
        <w:t>Reduction of risk in future cash flows reduces the likelihood that the firm</w:t>
      </w:r>
      <w:r w:rsidR="000E6E6B">
        <w:rPr>
          <w:rFonts w:ascii="Times New Roman" w:hAnsi="Times New Roman"/>
        </w:rPr>
        <w:t>’</w:t>
      </w:r>
      <w:r w:rsidR="000E6E6B">
        <w:t>s cash flows will fall below a level sufficient to make debt-service payments in order for its continued operation. This minimum cash flow point, often referred to as the point of financial distress, lies left of the center of the distribution of expected cash flows. Hedging reduces the likelihood of the firm’s cash flows falling to this level.</w:t>
      </w:r>
    </w:p>
    <w:p w:rsidR="000E6E6B" w:rsidRDefault="00F4293C" w:rsidP="009E1A6F">
      <w:pPr>
        <w:pStyle w:val="MCQAnswerBL"/>
      </w:pPr>
      <w:r>
        <w:t>3</w:t>
      </w:r>
      <w:r w:rsidR="000E6E6B">
        <w:t>.</w:t>
      </w:r>
      <w:r w:rsidR="000E6E6B">
        <w:tab/>
        <w:t>Management has a comparative advantage over the individual shareholder in knowing the actual currency risk of the firm. Regardless of the level of disclosure provided by the firm to the public, management always possesses an advantage in the depth and breadth of knowledge concerning the real risks.</w:t>
      </w:r>
    </w:p>
    <w:p w:rsidR="000E6E6B" w:rsidRDefault="00F4293C" w:rsidP="009E1A6F">
      <w:pPr>
        <w:pStyle w:val="MCQAnswerBL"/>
      </w:pPr>
      <w:r>
        <w:t>4</w:t>
      </w:r>
      <w:r w:rsidR="000E6E6B">
        <w:t>.</w:t>
      </w:r>
      <w:r w:rsidR="000E6E6B">
        <w:tab/>
        <w:t xml:space="preserve">Markets are usually in disequilibrium because of structural and institutional imperfections, as well as unexpected external shocks (such as an oil crisis or war). Management is in a better position than shareholders </w:t>
      </w:r>
      <w:r w:rsidR="003A5571">
        <w:t xml:space="preserve">are </w:t>
      </w:r>
      <w:r w:rsidR="000E6E6B">
        <w:t>to recognize disequilibrium conditions and to take advantage of single opportunities to enhance firm value through selective hedging (the hedging of exceptional exposures or the occasional use of hedging when management has a definite expectation of the direction of exchange rates).</w:t>
      </w:r>
    </w:p>
    <w:p w:rsidR="000E6E6B" w:rsidRDefault="000E6E6B">
      <w:pPr>
        <w:pStyle w:val="MCQList1"/>
        <w:keepNext w:val="0"/>
        <w:keepLines w:val="0"/>
      </w:pPr>
      <w:r>
        <w:tab/>
      </w:r>
      <w:proofErr w:type="gramStart"/>
      <w:r>
        <w:t>5.</w:t>
      </w:r>
      <w:r>
        <w:tab/>
      </w:r>
      <w:r>
        <w:rPr>
          <w:b/>
        </w:rPr>
        <w:t>Transaction Exposure.</w:t>
      </w:r>
      <w:proofErr w:type="gramEnd"/>
      <w:r>
        <w:t xml:space="preserve"> What are the four main types of transactions from which transaction exposure arises?</w:t>
      </w:r>
    </w:p>
    <w:p w:rsidR="000E6E6B" w:rsidRDefault="00F4293C" w:rsidP="009E1A6F">
      <w:pPr>
        <w:pStyle w:val="MCQAnswerBL"/>
      </w:pPr>
      <w:r>
        <w:t>1</w:t>
      </w:r>
      <w:r w:rsidR="000E6E6B">
        <w:t>.</w:t>
      </w:r>
      <w:r w:rsidR="000E6E6B">
        <w:tab/>
        <w:t>Purchasing or selling on credit goods or services when prices are stated in foreign currencies</w:t>
      </w:r>
    </w:p>
    <w:p w:rsidR="000E6E6B" w:rsidRDefault="00F4293C" w:rsidP="009E1A6F">
      <w:pPr>
        <w:pStyle w:val="MCQAnswerBL"/>
      </w:pPr>
      <w:r>
        <w:t>2</w:t>
      </w:r>
      <w:r w:rsidR="000E6E6B">
        <w:t>.</w:t>
      </w:r>
      <w:r w:rsidR="000E6E6B">
        <w:tab/>
        <w:t xml:space="preserve">Borrowing or lending funds when repayment is to </w:t>
      </w:r>
      <w:proofErr w:type="gramStart"/>
      <w:r w:rsidR="000E6E6B">
        <w:t>be made</w:t>
      </w:r>
      <w:proofErr w:type="gramEnd"/>
      <w:r w:rsidR="000E6E6B">
        <w:t xml:space="preserve"> in a foreign currency</w:t>
      </w:r>
    </w:p>
    <w:p w:rsidR="000E6E6B" w:rsidRDefault="00F4293C" w:rsidP="009E1A6F">
      <w:pPr>
        <w:pStyle w:val="MCQAnswerBL"/>
      </w:pPr>
      <w:r>
        <w:t>3</w:t>
      </w:r>
      <w:r w:rsidR="000E6E6B">
        <w:t>.</w:t>
      </w:r>
      <w:r w:rsidR="000E6E6B">
        <w:rPr>
          <w:rFonts w:ascii="Symbol" w:hAnsi="Symbol"/>
        </w:rPr>
        <w:tab/>
      </w:r>
      <w:r w:rsidR="000E6E6B">
        <w:t>Being a party to an unperformed foreign exchange forward contract</w:t>
      </w:r>
    </w:p>
    <w:p w:rsidR="000E6E6B" w:rsidRDefault="00F4293C" w:rsidP="009E1A6F">
      <w:pPr>
        <w:pStyle w:val="MCQAnswerBL"/>
      </w:pPr>
      <w:proofErr w:type="gramStart"/>
      <w:r>
        <w:t>4</w:t>
      </w:r>
      <w:r w:rsidR="000E6E6B">
        <w:t>.</w:t>
      </w:r>
      <w:r w:rsidR="000E6E6B">
        <w:tab/>
        <w:t>Otherwise</w:t>
      </w:r>
      <w:proofErr w:type="gramEnd"/>
      <w:r w:rsidR="000E6E6B">
        <w:t xml:space="preserve"> acquiring assets or incurring liabilities denominated in foreign currencies</w:t>
      </w:r>
    </w:p>
    <w:p w:rsidR="000E6E6B" w:rsidRDefault="000E6E6B">
      <w:pPr>
        <w:pStyle w:val="MCQList1"/>
        <w:spacing w:before="0"/>
        <w:ind w:left="446" w:hanging="446"/>
      </w:pPr>
      <w:r>
        <w:lastRenderedPageBreak/>
        <w:tab/>
      </w:r>
      <w:proofErr w:type="gramStart"/>
      <w:r>
        <w:t>6.</w:t>
      </w:r>
      <w:r>
        <w:tab/>
      </w:r>
      <w:r>
        <w:rPr>
          <w:b/>
        </w:rPr>
        <w:t>Life Span of a Transaction Exposure.</w:t>
      </w:r>
      <w:proofErr w:type="gramEnd"/>
      <w:r>
        <w:rPr>
          <w:b/>
        </w:rPr>
        <w:t xml:space="preserve"> </w:t>
      </w:r>
      <w:r>
        <w:t xml:space="preserve">Diagram the life span of an exposure arising from selling a product on open account. On the diagram define and show </w:t>
      </w:r>
      <w:r w:rsidRPr="007D76C3">
        <w:t>quotation, backlog, and billing</w:t>
      </w:r>
      <w:r>
        <w:t xml:space="preserve"> exposures.</w:t>
      </w:r>
    </w:p>
    <w:p w:rsidR="000E6E6B" w:rsidRDefault="00110B1F" w:rsidP="0069249C">
      <w:pPr>
        <w:pStyle w:val="awTBfig"/>
        <w:keepNext w:val="0"/>
        <w:ind w:left="450"/>
        <w:jc w:val="center"/>
      </w:pPr>
      <w:r w:rsidRPr="00110B1F">
        <w:rPr>
          <w:noProof/>
        </w:rPr>
        <w:drawing>
          <wp:inline distT="0" distB="0" distL="0" distR="0" wp14:anchorId="03FE68F3" wp14:editId="520CDF15">
            <wp:extent cx="4410075" cy="25941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10075" cy="2594162"/>
                    </a:xfrm>
                    <a:prstGeom prst="rect">
                      <a:avLst/>
                    </a:prstGeom>
                  </pic:spPr>
                </pic:pic>
              </a:graphicData>
            </a:graphic>
          </wp:inline>
        </w:drawing>
      </w:r>
    </w:p>
    <w:p w:rsidR="000E6E6B" w:rsidRDefault="000E6E6B">
      <w:pPr>
        <w:pStyle w:val="MCQList1"/>
      </w:pPr>
      <w:r>
        <w:tab/>
        <w:t>7.</w:t>
      </w:r>
      <w:r>
        <w:tab/>
      </w:r>
      <w:r>
        <w:rPr>
          <w:b/>
        </w:rPr>
        <w:t>Borrowing Exposure.</w:t>
      </w:r>
      <w:r>
        <w:t xml:space="preserve"> Give an example of a transaction exposure that arises from borrowing in a foreign currency.</w:t>
      </w:r>
    </w:p>
    <w:p w:rsidR="000E6E6B" w:rsidRDefault="000E6E6B" w:rsidP="009E1A6F">
      <w:pPr>
        <w:pStyle w:val="MCQAnswer"/>
      </w:pPr>
      <w:r>
        <w:t xml:space="preserve">In 1994, PepsiCo’s largest bottler outside of the United States was </w:t>
      </w:r>
      <w:proofErr w:type="spellStart"/>
      <w:r>
        <w:t>Grupo</w:t>
      </w:r>
      <w:proofErr w:type="spellEnd"/>
      <w:r>
        <w:t xml:space="preserve"> </w:t>
      </w:r>
      <w:proofErr w:type="spellStart"/>
      <w:r>
        <w:t>Embotellador</w:t>
      </w:r>
      <w:proofErr w:type="spellEnd"/>
      <w:r>
        <w:t xml:space="preserve"> de Mexico (</w:t>
      </w:r>
      <w:proofErr w:type="spellStart"/>
      <w:r>
        <w:t>Gemex</w:t>
      </w:r>
      <w:proofErr w:type="spellEnd"/>
      <w:r>
        <w:t xml:space="preserve">). In mid-December 1994, </w:t>
      </w:r>
      <w:proofErr w:type="spellStart"/>
      <w:r>
        <w:t>Gemex</w:t>
      </w:r>
      <w:proofErr w:type="spellEnd"/>
      <w:r>
        <w:t xml:space="preserve">, a Mexican company, had U.S. dollar debt of $264 million. At that time, Mexico’s new peso (“Ps”) was traded at Ps3.45/US$, a pegged rate that had been maintained with minor variations since January 1, 1993, when the new currency unit had been created. On December 22, 1994, the peso was allowed to float because of economic and political events within Mexico, and in one day it sank to Ps4.65/US$. For most of the following January it traded in a range near Ps5.50/US$. </w:t>
      </w:r>
    </w:p>
    <w:p w:rsidR="000E6E6B" w:rsidRDefault="000E6E6B" w:rsidP="0069249C">
      <w:pPr>
        <w:pStyle w:val="MCQAnswerBL"/>
        <w:tabs>
          <w:tab w:val="left" w:pos="6120"/>
        </w:tabs>
      </w:pPr>
      <w:r>
        <w:t xml:space="preserve">Dollar debt in mid-December 1994: US$264,000,000 </w:t>
      </w:r>
      <w:r>
        <w:rPr>
          <w:rFonts w:cs="Times"/>
        </w:rPr>
        <w:t>×</w:t>
      </w:r>
      <w:r>
        <w:t xml:space="preserve"> Ps3.45/US$ = </w:t>
      </w:r>
      <w:r>
        <w:tab/>
        <w:t>Ps910</w:t>
      </w:r>
      <w:proofErr w:type="gramStart"/>
      <w:r>
        <w:t>,800,000</w:t>
      </w:r>
      <w:proofErr w:type="gramEnd"/>
    </w:p>
    <w:p w:rsidR="000E6E6B" w:rsidRDefault="000E6E6B" w:rsidP="0069249C">
      <w:pPr>
        <w:pStyle w:val="MCQAnswerBL"/>
        <w:tabs>
          <w:tab w:val="left" w:pos="6120"/>
        </w:tabs>
        <w:rPr>
          <w:u w:val="single"/>
        </w:rPr>
      </w:pPr>
      <w:r>
        <w:t xml:space="preserve">Dollar debt in mid-January 1995: US$264,000,000 </w:t>
      </w:r>
      <w:r>
        <w:rPr>
          <w:rFonts w:cs="Times"/>
        </w:rPr>
        <w:t>×</w:t>
      </w:r>
      <w:r>
        <w:t xml:space="preserve"> Ps5.50/US$ = </w:t>
      </w:r>
      <w:r>
        <w:tab/>
      </w:r>
      <w:r>
        <w:rPr>
          <w:u w:val="single"/>
        </w:rPr>
        <w:t>Ps1452</w:t>
      </w:r>
      <w:proofErr w:type="gramStart"/>
      <w:r>
        <w:rPr>
          <w:u w:val="single"/>
        </w:rPr>
        <w:t>,000,000</w:t>
      </w:r>
      <w:proofErr w:type="gramEnd"/>
    </w:p>
    <w:p w:rsidR="000E6E6B" w:rsidRDefault="000E6E6B" w:rsidP="0069249C">
      <w:pPr>
        <w:pStyle w:val="MCQAnswerBL"/>
        <w:tabs>
          <w:tab w:val="left" w:pos="6120"/>
        </w:tabs>
      </w:pPr>
      <w:r>
        <w:t>Dollar debt increase measure in Mexican pesos</w:t>
      </w:r>
      <w:r>
        <w:tab/>
        <w:t>Ps541</w:t>
      </w:r>
      <w:proofErr w:type="gramStart"/>
      <w:r>
        <w:t>,200,000</w:t>
      </w:r>
      <w:proofErr w:type="gramEnd"/>
    </w:p>
    <w:p w:rsidR="000E6E6B" w:rsidRDefault="000E6E6B" w:rsidP="009E1A6F">
      <w:pPr>
        <w:pStyle w:val="MCQAnswer"/>
      </w:pPr>
      <w:r>
        <w:t xml:space="preserve">The number of pesos needed to repay the dollar debt increased by 59%! In U.S. dollar terms, the drop in the value of the pesos caused </w:t>
      </w:r>
      <w:proofErr w:type="spellStart"/>
      <w:r>
        <w:t>Gemex</w:t>
      </w:r>
      <w:proofErr w:type="spellEnd"/>
      <w:r>
        <w:t xml:space="preserve"> of Mexico to need the peso-equivalent of an additional US$98,400,000 to repay its debt.</w:t>
      </w:r>
    </w:p>
    <w:p w:rsidR="000E6E6B" w:rsidRDefault="000E6E6B">
      <w:pPr>
        <w:pStyle w:val="MCQList1"/>
        <w:ind w:left="446" w:hanging="446"/>
      </w:pPr>
      <w:r>
        <w:tab/>
      </w:r>
      <w:proofErr w:type="gramStart"/>
      <w:r>
        <w:t>8.</w:t>
      </w:r>
      <w:r>
        <w:tab/>
      </w:r>
      <w:r>
        <w:rPr>
          <w:b/>
        </w:rPr>
        <w:t>Cash Balances.</w:t>
      </w:r>
      <w:proofErr w:type="gramEnd"/>
      <w:r>
        <w:t xml:space="preserve"> Explain why foreign currency cash balances do not cause transaction exposure.</w:t>
      </w:r>
    </w:p>
    <w:p w:rsidR="000E6E6B" w:rsidRDefault="000E6E6B" w:rsidP="009E1A6F">
      <w:pPr>
        <w:pStyle w:val="MCQAnswer"/>
      </w:pPr>
      <w:r>
        <w:t xml:space="preserve">Foreign currency cash balances do not create transaction exposure, even though their home currency value changes immediately with a change in exchange rates. No legal obligation exists to move the cash from one country and currency to another at a future date. If such an obligation did exist, it would show on the books as a payable (e.g., dividends declared and payable) or receivable and then be counted as part of transaction exposure. Nevertheless, the foreign exchange value of cash balances does change when exchange rates change. Such a change is reflected in the consolidated statement of cash flows and the consolidated balance sheet. They </w:t>
      </w:r>
      <w:proofErr w:type="gramStart"/>
      <w:r>
        <w:t>do, however, create</w:t>
      </w:r>
      <w:proofErr w:type="gramEnd"/>
      <w:r>
        <w:t xml:space="preserve"> translation exposure.</w:t>
      </w:r>
    </w:p>
    <w:p w:rsidR="000E6E6B" w:rsidRDefault="000E6E6B">
      <w:pPr>
        <w:pStyle w:val="MCQList1"/>
        <w:spacing w:before="0"/>
        <w:ind w:left="446" w:hanging="446"/>
      </w:pPr>
      <w:r>
        <w:tab/>
      </w:r>
      <w:proofErr w:type="gramStart"/>
      <w:r>
        <w:t>9.</w:t>
      </w:r>
      <w:r>
        <w:tab/>
      </w:r>
      <w:r>
        <w:rPr>
          <w:b/>
        </w:rPr>
        <w:t>Contractual Hedges.</w:t>
      </w:r>
      <w:proofErr w:type="gramEnd"/>
      <w:r>
        <w:t xml:space="preserve"> What are the four main contractual instruments used to hedge transaction exposure?</w:t>
      </w:r>
    </w:p>
    <w:p w:rsidR="000E6E6B" w:rsidRDefault="000E6E6B" w:rsidP="009E1A6F">
      <w:pPr>
        <w:pStyle w:val="MCQAnswer"/>
      </w:pPr>
      <w:r>
        <w:t>The four main contractual hedges used are forward contracts, money market instruments, futures, and options.</w:t>
      </w:r>
    </w:p>
    <w:p w:rsidR="000E6E6B" w:rsidRDefault="000E6E6B">
      <w:pPr>
        <w:pStyle w:val="MCQList1"/>
        <w:ind w:left="446" w:hanging="446"/>
      </w:pPr>
      <w:proofErr w:type="gramStart"/>
      <w:r>
        <w:lastRenderedPageBreak/>
        <w:t>10.</w:t>
      </w:r>
      <w:r>
        <w:tab/>
      </w:r>
      <w:r>
        <w:rPr>
          <w:b/>
        </w:rPr>
        <w:t>Decision Criteria.</w:t>
      </w:r>
      <w:proofErr w:type="gramEnd"/>
      <w:r>
        <w:t xml:space="preserve"> Ultimately, a treasurer must choose among alternative strategies to manage transaction exposure. Explain the two main decision criteria that </w:t>
      </w:r>
      <w:proofErr w:type="gramStart"/>
      <w:r>
        <w:t>must be used</w:t>
      </w:r>
      <w:proofErr w:type="gramEnd"/>
      <w:r>
        <w:t>.</w:t>
      </w:r>
    </w:p>
    <w:p w:rsidR="000E6E6B" w:rsidRDefault="000E6E6B" w:rsidP="009E1A6F">
      <w:pPr>
        <w:pStyle w:val="MCQAnswer"/>
      </w:pPr>
      <w:r>
        <w:t xml:space="preserve">A treasurer’s two main decision criteria are </w:t>
      </w:r>
      <w:r w:rsidR="003A5571">
        <w:t>(</w:t>
      </w:r>
      <w:r>
        <w:t xml:space="preserve">1) the risk tolerance of the firm, as expressed in its stated policies and </w:t>
      </w:r>
      <w:r w:rsidR="003A5571">
        <w:t>(</w:t>
      </w:r>
      <w:r>
        <w:t xml:space="preserve">2) the treasurer’s own view, or expectation of the direction and magnitude the exchange rate will move over the coming planning period. </w:t>
      </w:r>
    </w:p>
    <w:p w:rsidR="000E6E6B" w:rsidRDefault="000E6E6B" w:rsidP="009E1A6F">
      <w:pPr>
        <w:pStyle w:val="MCQAnswer"/>
      </w:pPr>
      <w:r>
        <w:t>A firm’s risk tolerance is a combination of manageme</w:t>
      </w:r>
      <w:bookmarkStart w:id="0" w:name="_GoBack"/>
      <w:bookmarkEnd w:id="0"/>
      <w:r>
        <w:t>nt’s philosophy toward transaction exposure and the specific goals of treasury activities. Many firms believe that currency risk is simply a part of doing business internationally and</w:t>
      </w:r>
      <w:r w:rsidR="003A5571">
        <w:t>,</w:t>
      </w:r>
      <w:r>
        <w:t xml:space="preserve"> therefore, start their analysis from an unhedged baseline. Other firms, however, view currency risk as unacceptable and either </w:t>
      </w:r>
      <w:proofErr w:type="gramStart"/>
      <w:r>
        <w:t>start</w:t>
      </w:r>
      <w:proofErr w:type="gramEnd"/>
      <w:r>
        <w:t xml:space="preserve"> their analysis from a full forward contract cover baseline or simply mandate that all transaction exposures be fully covered by forward contracts regardless of the value of other hedging alternatives. The treasury in most firms operates as a cost or service center for the firm. On the other hand, if the treasury operates as a profit center, it might tolerate taking more risk. The final choice among hedges combines the firm’s risk tolerance, its view, and its confidence in its view. Transaction exposure management with contractual hedges requires managerial judgment.</w:t>
      </w:r>
    </w:p>
    <w:p w:rsidR="000E6E6B" w:rsidRDefault="000E6E6B">
      <w:pPr>
        <w:pStyle w:val="MCQList1"/>
      </w:pPr>
      <w:proofErr w:type="gramStart"/>
      <w:r>
        <w:t>11.</w:t>
      </w:r>
      <w:r>
        <w:tab/>
      </w:r>
      <w:r>
        <w:rPr>
          <w:b/>
        </w:rPr>
        <w:t>Proportional Hedge.</w:t>
      </w:r>
      <w:proofErr w:type="gramEnd"/>
      <w:r>
        <w:rPr>
          <w:b/>
        </w:rPr>
        <w:t xml:space="preserve"> </w:t>
      </w:r>
      <w:r>
        <w:t xml:space="preserve">Many MNEs have established transaction exposure risk management policies that mandate proportional hedging. Explain and give an example of how proportional hedging </w:t>
      </w:r>
      <w:proofErr w:type="gramStart"/>
      <w:r>
        <w:t>can be implemented</w:t>
      </w:r>
      <w:proofErr w:type="gramEnd"/>
      <w:r>
        <w:t>.</w:t>
      </w:r>
    </w:p>
    <w:p w:rsidR="000E6E6B" w:rsidRDefault="000E6E6B" w:rsidP="009E1A6F">
      <w:pPr>
        <w:pStyle w:val="MCQAnswer"/>
      </w:pPr>
      <w:r>
        <w:t>A proportional hedge uses forward contract hedges on a percentage (e.g., 50</w:t>
      </w:r>
      <w:r w:rsidR="003A5571">
        <w:t>%</w:t>
      </w:r>
      <w:r>
        <w:t>, 60</w:t>
      </w:r>
      <w:r w:rsidR="003A5571">
        <w:t>%</w:t>
      </w:r>
      <w:r>
        <w:t>, or 70%) of existing transaction exposures. As the maturity of the exposures lengthens, the percentage forward-cover required decreases. The remaining portion of the exposure is then selectively hedged on the basis of the firm’s risk tolerance, view of exchange rate movements, and confidence level. Although rarely acknowledged by the firms themselves, selective hedging is essentially speculation. Significant question remains as to whether a firm or a financial manager can consistently predict the future direction of exchange rates.</w:t>
      </w:r>
    </w:p>
    <w:sectPr w:rsidR="000E6E6B" w:rsidSect="00D35FAE">
      <w:headerReference w:type="even" r:id="rId10"/>
      <w:headerReference w:type="default" r:id="rId11"/>
      <w:footerReference w:type="even" r:id="rId12"/>
      <w:footerReference w:type="default" r:id="rId13"/>
      <w:footerReference w:type="first" r:id="rId14"/>
      <w:pgSz w:w="12240" w:h="15840"/>
      <w:pgMar w:top="1008" w:right="1008" w:bottom="1008" w:left="1800" w:header="1008" w:footer="1008" w:gutter="0"/>
      <w:pgNumType w:start="55"/>
      <w:cols w:space="720"/>
      <w:titlePg/>
      <w:docGrid w:linePitch="204"/>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60CBB" w:rsidRDefault="00C60CBB">
      <w:r>
        <w:separator/>
      </w:r>
    </w:p>
  </w:endnote>
  <w:endnote w:type="continuationSeparator" w:id="0">
    <w:p w:rsidR="00C60CBB" w:rsidRDefault="00C60C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Times">
    <w:panose1 w:val="02020603050405020304"/>
    <w:charset w:val="00"/>
    <w:family w:val="roman"/>
    <w:pitch w:val="variable"/>
    <w:sig w:usb0="20002A87" w:usb1="80000000" w:usb2="00000008" w:usb3="00000000" w:csb0="000001FF" w:csb1="00000000"/>
  </w:font>
  <w:font w:name="Helvetica">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Arial Narrow">
    <w:panose1 w:val="020B0506020202030204"/>
    <w:charset w:val="00"/>
    <w:family w:val="swiss"/>
    <w:pitch w:val="variable"/>
    <w:sig w:usb0="00000287" w:usb1="00000800" w:usb2="00000000" w:usb3="00000000" w:csb0="0000009F"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E6E6B" w:rsidRDefault="000E6E6B">
    <w:pPr>
      <w:pStyle w:val="Footer"/>
      <w:pBdr>
        <w:top w:val="single" w:sz="4" w:space="1" w:color="auto"/>
      </w:pBdr>
      <w:spacing w:before="360"/>
      <w:jc w:val="center"/>
      <w:rPr>
        <w:rFonts w:ascii="Times" w:hAnsi="Times"/>
        <w:sz w:val="18"/>
      </w:rPr>
    </w:pPr>
    <w:r>
      <w:rPr>
        <w:rFonts w:ascii="Times" w:hAnsi="Times"/>
        <w:sz w:val="18"/>
      </w:rPr>
      <w:t>© 201</w:t>
    </w:r>
    <w:r w:rsidR="007D76C3">
      <w:rPr>
        <w:rFonts w:ascii="Times" w:hAnsi="Times"/>
        <w:sz w:val="18"/>
      </w:rPr>
      <w:t>5</w:t>
    </w:r>
    <w:r>
      <w:rPr>
        <w:rFonts w:ascii="Times" w:hAnsi="Times"/>
        <w:sz w:val="18"/>
      </w:rPr>
      <w:t xml:space="preserve"> Pearson Education, Inc.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E6E6B" w:rsidRDefault="000E6E6B">
    <w:pPr>
      <w:pStyle w:val="Footer"/>
      <w:pBdr>
        <w:top w:val="single" w:sz="4" w:space="1" w:color="auto"/>
      </w:pBdr>
      <w:spacing w:before="360"/>
      <w:jc w:val="center"/>
      <w:rPr>
        <w:rFonts w:ascii="Times" w:hAnsi="Times"/>
        <w:sz w:val="18"/>
      </w:rPr>
    </w:pPr>
    <w:r>
      <w:rPr>
        <w:rFonts w:ascii="Times" w:hAnsi="Times"/>
        <w:sz w:val="18"/>
      </w:rPr>
      <w:t>© 201</w:t>
    </w:r>
    <w:r w:rsidR="007D76C3">
      <w:rPr>
        <w:rFonts w:ascii="Times" w:hAnsi="Times"/>
        <w:sz w:val="18"/>
      </w:rPr>
      <w:t>5</w:t>
    </w:r>
    <w:r>
      <w:rPr>
        <w:rFonts w:ascii="Times" w:hAnsi="Times"/>
        <w:sz w:val="18"/>
      </w:rPr>
      <w:t xml:space="preserve"> Pearson Education, Inc.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E6E6B" w:rsidRDefault="000E6E6B">
    <w:pPr>
      <w:pStyle w:val="Footer"/>
      <w:pBdr>
        <w:top w:val="single" w:sz="4" w:space="1" w:color="auto"/>
      </w:pBdr>
      <w:spacing w:before="360"/>
      <w:jc w:val="center"/>
      <w:rPr>
        <w:rFonts w:ascii="Times" w:hAnsi="Times"/>
        <w:sz w:val="18"/>
      </w:rPr>
    </w:pPr>
    <w:r>
      <w:rPr>
        <w:rFonts w:ascii="Times" w:hAnsi="Times"/>
        <w:sz w:val="18"/>
      </w:rPr>
      <w:t>© 201</w:t>
    </w:r>
    <w:r w:rsidR="007D76C3">
      <w:rPr>
        <w:rFonts w:ascii="Times" w:hAnsi="Times"/>
        <w:sz w:val="18"/>
      </w:rPr>
      <w:t>5</w:t>
    </w:r>
    <w:r>
      <w:rPr>
        <w:rFonts w:ascii="Times" w:hAnsi="Times"/>
        <w:sz w:val="18"/>
      </w:rPr>
      <w:t xml:space="preserve"> Pearson Education, Inc.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60CBB" w:rsidRDefault="00C60CBB">
      <w:r>
        <w:separator/>
      </w:r>
    </w:p>
  </w:footnote>
  <w:footnote w:type="continuationSeparator" w:id="0">
    <w:p w:rsidR="00C60CBB" w:rsidRDefault="00C60CB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E6E6B" w:rsidRDefault="000E6E6B">
    <w:pPr>
      <w:pStyle w:val="VersoHeader"/>
    </w:pPr>
    <w:r>
      <w:rPr>
        <w:rStyle w:val="PageNumber"/>
      </w:rPr>
      <w:fldChar w:fldCharType="begin"/>
    </w:r>
    <w:r>
      <w:rPr>
        <w:rStyle w:val="PageNumber"/>
      </w:rPr>
      <w:instrText xml:space="preserve"> PAGE </w:instrText>
    </w:r>
    <w:r>
      <w:rPr>
        <w:rStyle w:val="PageNumber"/>
      </w:rPr>
      <w:fldChar w:fldCharType="separate"/>
    </w:r>
    <w:r w:rsidR="00D35FAE">
      <w:rPr>
        <w:rStyle w:val="PageNumber"/>
        <w:noProof/>
      </w:rPr>
      <w:t>56</w:t>
    </w:r>
    <w:r>
      <w:rPr>
        <w:rStyle w:val="PageNumber"/>
      </w:rPr>
      <w:fldChar w:fldCharType="end"/>
    </w:r>
    <w:r>
      <w:t> </w:t>
    </w:r>
    <w:r>
      <w:t> </w:t>
    </w:r>
    <w:r>
      <w:t>Moffett</w:t>
    </w:r>
    <w:r>
      <w:rPr>
        <w:rFonts w:cs="Arial"/>
        <w:color w:val="000000"/>
      </w:rPr>
      <w:t>/</w:t>
    </w:r>
    <w:proofErr w:type="spellStart"/>
    <w:r>
      <w:rPr>
        <w:rFonts w:cs="Arial"/>
        <w:color w:val="000000"/>
      </w:rPr>
      <w:t>Stonehill</w:t>
    </w:r>
    <w:proofErr w:type="spellEnd"/>
    <w:r>
      <w:rPr>
        <w:rFonts w:cs="Arial"/>
        <w:color w:val="000000"/>
      </w:rPr>
      <w:t>/</w:t>
    </w:r>
    <w:proofErr w:type="spellStart"/>
    <w:r>
      <w:rPr>
        <w:rFonts w:cs="Arial"/>
        <w:color w:val="000000"/>
      </w:rPr>
      <w:t>Eiteman</w:t>
    </w:r>
    <w:proofErr w:type="spellEnd"/>
    <w:r>
      <w:t> </w:t>
    </w:r>
    <w:r>
      <w:t>•</w:t>
    </w:r>
    <w:r>
      <w:t> </w:t>
    </w:r>
    <w:r>
      <w:rPr>
        <w:i/>
        <w:iCs/>
      </w:rPr>
      <w:t>Fundamentals of Multinational Finance,</w:t>
    </w:r>
    <w:r>
      <w:rPr>
        <w:i/>
      </w:rPr>
      <w:t xml:space="preserve"> </w:t>
    </w:r>
    <w:r>
      <w:t>F</w:t>
    </w:r>
    <w:r w:rsidR="00DA2081">
      <w:t>if</w:t>
    </w:r>
    <w:r>
      <w:t>th Edition</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E6E6B" w:rsidRDefault="000E6E6B">
    <w:pPr>
      <w:pStyle w:val="RectoHeader"/>
    </w:pPr>
    <w:r>
      <w:t xml:space="preserve">Chapter </w:t>
    </w:r>
    <w:r w:rsidR="00DA2081">
      <w:t>9</w:t>
    </w:r>
    <w:r>
      <w:t> </w:t>
    </w:r>
    <w:r>
      <w:t>Transaction Exposure</w:t>
    </w:r>
    <w:r>
      <w:t> </w:t>
    </w:r>
    <w:r>
      <w:t> </w:t>
    </w:r>
    <w:r>
      <w:rPr>
        <w:rStyle w:val="PageNumber"/>
      </w:rPr>
      <w:fldChar w:fldCharType="begin"/>
    </w:r>
    <w:r>
      <w:rPr>
        <w:rStyle w:val="PageNumber"/>
      </w:rPr>
      <w:instrText xml:space="preserve"> PAGE </w:instrText>
    </w:r>
    <w:r>
      <w:rPr>
        <w:rStyle w:val="PageNumber"/>
      </w:rPr>
      <w:fldChar w:fldCharType="separate"/>
    </w:r>
    <w:r w:rsidR="00D35FAE">
      <w:rPr>
        <w:rStyle w:val="PageNumber"/>
      </w:rPr>
      <w:t>59</w:t>
    </w:r>
    <w:r>
      <w:rPr>
        <w:rStyle w:val="PageNumber"/>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2494B070"/>
    <w:lvl w:ilvl="0">
      <w:start w:val="1"/>
      <w:numFmt w:val="decimal"/>
      <w:lvlText w:val="%1."/>
      <w:lvlJc w:val="left"/>
      <w:pPr>
        <w:tabs>
          <w:tab w:val="num" w:pos="1800"/>
        </w:tabs>
        <w:ind w:left="1800" w:hanging="360"/>
      </w:pPr>
      <w:rPr>
        <w:rFonts w:cs="Times New Roman"/>
      </w:rPr>
    </w:lvl>
  </w:abstractNum>
  <w:abstractNum w:abstractNumId="1">
    <w:nsid w:val="FFFFFF7D"/>
    <w:multiLevelType w:val="singleLevel"/>
    <w:tmpl w:val="B4EEAEF2"/>
    <w:lvl w:ilvl="0">
      <w:start w:val="1"/>
      <w:numFmt w:val="decimal"/>
      <w:lvlText w:val="%1."/>
      <w:lvlJc w:val="left"/>
      <w:pPr>
        <w:tabs>
          <w:tab w:val="num" w:pos="1440"/>
        </w:tabs>
        <w:ind w:left="1440" w:hanging="360"/>
      </w:pPr>
      <w:rPr>
        <w:rFonts w:cs="Times New Roman"/>
      </w:rPr>
    </w:lvl>
  </w:abstractNum>
  <w:abstractNum w:abstractNumId="2">
    <w:nsid w:val="FFFFFF7E"/>
    <w:multiLevelType w:val="singleLevel"/>
    <w:tmpl w:val="38DA6680"/>
    <w:lvl w:ilvl="0">
      <w:start w:val="1"/>
      <w:numFmt w:val="decimal"/>
      <w:lvlText w:val="%1."/>
      <w:lvlJc w:val="left"/>
      <w:pPr>
        <w:tabs>
          <w:tab w:val="num" w:pos="1080"/>
        </w:tabs>
        <w:ind w:left="1080" w:hanging="360"/>
      </w:pPr>
      <w:rPr>
        <w:rFonts w:cs="Times New Roman"/>
      </w:rPr>
    </w:lvl>
  </w:abstractNum>
  <w:abstractNum w:abstractNumId="3">
    <w:nsid w:val="FFFFFF7F"/>
    <w:multiLevelType w:val="singleLevel"/>
    <w:tmpl w:val="4B2E9DAC"/>
    <w:lvl w:ilvl="0">
      <w:start w:val="1"/>
      <w:numFmt w:val="decimal"/>
      <w:lvlText w:val="%1."/>
      <w:lvlJc w:val="left"/>
      <w:pPr>
        <w:tabs>
          <w:tab w:val="num" w:pos="720"/>
        </w:tabs>
        <w:ind w:left="720" w:hanging="360"/>
      </w:pPr>
      <w:rPr>
        <w:rFonts w:cs="Times New Roman"/>
      </w:rPr>
    </w:lvl>
  </w:abstractNum>
  <w:abstractNum w:abstractNumId="4">
    <w:nsid w:val="FFFFFF80"/>
    <w:multiLevelType w:val="singleLevel"/>
    <w:tmpl w:val="6F8601C6"/>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14DC8860"/>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15A4AC2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15001EBA"/>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5E14A06E"/>
    <w:lvl w:ilvl="0">
      <w:start w:val="1"/>
      <w:numFmt w:val="decimal"/>
      <w:lvlText w:val="%1."/>
      <w:lvlJc w:val="left"/>
      <w:pPr>
        <w:tabs>
          <w:tab w:val="num" w:pos="360"/>
        </w:tabs>
        <w:ind w:left="360" w:hanging="360"/>
      </w:pPr>
      <w:rPr>
        <w:rFonts w:cs="Times New Roman"/>
      </w:rPr>
    </w:lvl>
  </w:abstractNum>
  <w:abstractNum w:abstractNumId="9">
    <w:nsid w:val="FFFFFF89"/>
    <w:multiLevelType w:val="singleLevel"/>
    <w:tmpl w:val="D9EE3094"/>
    <w:lvl w:ilvl="0">
      <w:start w:val="1"/>
      <w:numFmt w:val="bullet"/>
      <w:lvlText w:val=""/>
      <w:lvlJc w:val="left"/>
      <w:pPr>
        <w:tabs>
          <w:tab w:val="num" w:pos="360"/>
        </w:tabs>
        <w:ind w:left="360" w:hanging="360"/>
      </w:pPr>
      <w:rPr>
        <w:rFonts w:ascii="Symbol" w:hAnsi="Symbol" w:hint="default"/>
      </w:rPr>
    </w:lvl>
  </w:abstractNum>
  <w:abstractNum w:abstractNumId="10">
    <w:nsid w:val="00000001"/>
    <w:multiLevelType w:val="singleLevel"/>
    <w:tmpl w:val="00000001"/>
    <w:lvl w:ilvl="0">
      <w:start w:val="1"/>
      <w:numFmt w:val="lowerLetter"/>
      <w:suff w:val="nothing"/>
      <w:lvlText w:val="%1."/>
      <w:lvlJc w:val="left"/>
      <w:rPr>
        <w:rFonts w:cs="Times New Roman"/>
      </w:rPr>
    </w:lvl>
  </w:abstractNum>
  <w:abstractNum w:abstractNumId="11">
    <w:nsid w:val="00000002"/>
    <w:multiLevelType w:val="singleLevel"/>
    <w:tmpl w:val="00000002"/>
    <w:lvl w:ilvl="0">
      <w:start w:val="1"/>
      <w:numFmt w:val="lowerLetter"/>
      <w:suff w:val="nothing"/>
      <w:lvlText w:val="%1."/>
      <w:lvlJc w:val="left"/>
      <w:rPr>
        <w:rFonts w:cs="Times New Roman"/>
      </w:rPr>
    </w:lvl>
  </w:abstractNum>
  <w:abstractNum w:abstractNumId="12">
    <w:nsid w:val="00000003"/>
    <w:multiLevelType w:val="singleLevel"/>
    <w:tmpl w:val="00000003"/>
    <w:lvl w:ilvl="0">
      <w:start w:val="1"/>
      <w:numFmt w:val="lowerLetter"/>
      <w:suff w:val="nothing"/>
      <w:lvlText w:val="%1."/>
      <w:lvlJc w:val="left"/>
      <w:rPr>
        <w:rFonts w:cs="Times New Roman"/>
      </w:rPr>
    </w:lvl>
  </w:abstractNum>
  <w:abstractNum w:abstractNumId="13">
    <w:nsid w:val="01F666CE"/>
    <w:multiLevelType w:val="hybridMultilevel"/>
    <w:tmpl w:val="C2AE2706"/>
    <w:lvl w:ilvl="0" w:tplc="7CD2096C">
      <w:start w:val="1"/>
      <w:numFmt w:val="upperLetter"/>
      <w:pStyle w:val="OutlineA"/>
      <w:lvlText w:val="%1."/>
      <w:lvlJc w:val="left"/>
      <w:pPr>
        <w:ind w:left="1530" w:hanging="360"/>
      </w:pPr>
      <w:rPr>
        <w:rFonts w:hint="default"/>
      </w:rPr>
    </w:lvl>
    <w:lvl w:ilvl="1" w:tplc="04090019" w:tentative="1">
      <w:start w:val="1"/>
      <w:numFmt w:val="lowerLetter"/>
      <w:lvlText w:val="%2."/>
      <w:lvlJc w:val="left"/>
      <w:pPr>
        <w:ind w:left="2250" w:hanging="360"/>
      </w:pPr>
    </w:lvl>
    <w:lvl w:ilvl="2" w:tplc="0409001B" w:tentative="1">
      <w:start w:val="1"/>
      <w:numFmt w:val="lowerRoman"/>
      <w:lvlText w:val="%3."/>
      <w:lvlJc w:val="right"/>
      <w:pPr>
        <w:ind w:left="2970" w:hanging="180"/>
      </w:pPr>
    </w:lvl>
    <w:lvl w:ilvl="3" w:tplc="0409000F" w:tentative="1">
      <w:start w:val="1"/>
      <w:numFmt w:val="decimal"/>
      <w:lvlText w:val="%4."/>
      <w:lvlJc w:val="left"/>
      <w:pPr>
        <w:ind w:left="3690" w:hanging="360"/>
      </w:pPr>
    </w:lvl>
    <w:lvl w:ilvl="4" w:tplc="04090019" w:tentative="1">
      <w:start w:val="1"/>
      <w:numFmt w:val="lowerLetter"/>
      <w:lvlText w:val="%5."/>
      <w:lvlJc w:val="left"/>
      <w:pPr>
        <w:ind w:left="4410" w:hanging="360"/>
      </w:pPr>
    </w:lvl>
    <w:lvl w:ilvl="5" w:tplc="0409001B" w:tentative="1">
      <w:start w:val="1"/>
      <w:numFmt w:val="lowerRoman"/>
      <w:lvlText w:val="%6."/>
      <w:lvlJc w:val="right"/>
      <w:pPr>
        <w:ind w:left="5130" w:hanging="180"/>
      </w:pPr>
    </w:lvl>
    <w:lvl w:ilvl="6" w:tplc="0409000F" w:tentative="1">
      <w:start w:val="1"/>
      <w:numFmt w:val="decimal"/>
      <w:lvlText w:val="%7."/>
      <w:lvlJc w:val="left"/>
      <w:pPr>
        <w:ind w:left="5850" w:hanging="360"/>
      </w:pPr>
    </w:lvl>
    <w:lvl w:ilvl="7" w:tplc="04090019" w:tentative="1">
      <w:start w:val="1"/>
      <w:numFmt w:val="lowerLetter"/>
      <w:lvlText w:val="%8."/>
      <w:lvlJc w:val="left"/>
      <w:pPr>
        <w:ind w:left="6570" w:hanging="360"/>
      </w:pPr>
    </w:lvl>
    <w:lvl w:ilvl="8" w:tplc="0409001B" w:tentative="1">
      <w:start w:val="1"/>
      <w:numFmt w:val="lowerRoman"/>
      <w:lvlText w:val="%9."/>
      <w:lvlJc w:val="right"/>
      <w:pPr>
        <w:ind w:left="7290" w:hanging="180"/>
      </w:pPr>
    </w:lvl>
  </w:abstractNum>
  <w:abstractNum w:abstractNumId="14">
    <w:nsid w:val="02F81989"/>
    <w:multiLevelType w:val="hybridMultilevel"/>
    <w:tmpl w:val="02D276CE"/>
    <w:lvl w:ilvl="0" w:tplc="5E240388">
      <w:start w:val="1"/>
      <w:numFmt w:val="decimal"/>
      <w:pStyle w:val="Outlline1"/>
      <w:lvlText w:val="%1."/>
      <w:lvlJc w:val="left"/>
      <w:pPr>
        <w:ind w:left="1890" w:hanging="360"/>
      </w:pPr>
    </w:lvl>
    <w:lvl w:ilvl="1" w:tplc="04090019" w:tentative="1">
      <w:start w:val="1"/>
      <w:numFmt w:val="lowerLetter"/>
      <w:lvlText w:val="%2."/>
      <w:lvlJc w:val="left"/>
      <w:pPr>
        <w:ind w:left="2610" w:hanging="360"/>
      </w:pPr>
    </w:lvl>
    <w:lvl w:ilvl="2" w:tplc="0409001B" w:tentative="1">
      <w:start w:val="1"/>
      <w:numFmt w:val="lowerRoman"/>
      <w:lvlText w:val="%3."/>
      <w:lvlJc w:val="right"/>
      <w:pPr>
        <w:ind w:left="3330" w:hanging="180"/>
      </w:pPr>
    </w:lvl>
    <w:lvl w:ilvl="3" w:tplc="0409000F" w:tentative="1">
      <w:start w:val="1"/>
      <w:numFmt w:val="decimal"/>
      <w:lvlText w:val="%4."/>
      <w:lvlJc w:val="left"/>
      <w:pPr>
        <w:ind w:left="4050" w:hanging="360"/>
      </w:pPr>
    </w:lvl>
    <w:lvl w:ilvl="4" w:tplc="04090019" w:tentative="1">
      <w:start w:val="1"/>
      <w:numFmt w:val="lowerLetter"/>
      <w:lvlText w:val="%5."/>
      <w:lvlJc w:val="left"/>
      <w:pPr>
        <w:ind w:left="4770" w:hanging="360"/>
      </w:pPr>
    </w:lvl>
    <w:lvl w:ilvl="5" w:tplc="0409001B" w:tentative="1">
      <w:start w:val="1"/>
      <w:numFmt w:val="lowerRoman"/>
      <w:lvlText w:val="%6."/>
      <w:lvlJc w:val="right"/>
      <w:pPr>
        <w:ind w:left="5490" w:hanging="180"/>
      </w:pPr>
    </w:lvl>
    <w:lvl w:ilvl="6" w:tplc="0409000F" w:tentative="1">
      <w:start w:val="1"/>
      <w:numFmt w:val="decimal"/>
      <w:lvlText w:val="%7."/>
      <w:lvlJc w:val="left"/>
      <w:pPr>
        <w:ind w:left="6210" w:hanging="360"/>
      </w:pPr>
    </w:lvl>
    <w:lvl w:ilvl="7" w:tplc="04090019" w:tentative="1">
      <w:start w:val="1"/>
      <w:numFmt w:val="lowerLetter"/>
      <w:lvlText w:val="%8."/>
      <w:lvlJc w:val="left"/>
      <w:pPr>
        <w:ind w:left="6930" w:hanging="360"/>
      </w:pPr>
    </w:lvl>
    <w:lvl w:ilvl="8" w:tplc="0409001B" w:tentative="1">
      <w:start w:val="1"/>
      <w:numFmt w:val="lowerRoman"/>
      <w:lvlText w:val="%9."/>
      <w:lvlJc w:val="right"/>
      <w:pPr>
        <w:ind w:left="7650" w:hanging="180"/>
      </w:pPr>
    </w:lvl>
  </w:abstractNum>
  <w:abstractNum w:abstractNumId="15">
    <w:nsid w:val="2F40739D"/>
    <w:multiLevelType w:val="hybridMultilevel"/>
    <w:tmpl w:val="6A5483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22201AD"/>
    <w:multiLevelType w:val="hybridMultilevel"/>
    <w:tmpl w:val="EF04107E"/>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345D0244"/>
    <w:multiLevelType w:val="hybridMultilevel"/>
    <w:tmpl w:val="14D0D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B0D66EF"/>
    <w:multiLevelType w:val="hybridMultilevel"/>
    <w:tmpl w:val="6ACA4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D5E5C5D"/>
    <w:multiLevelType w:val="hybridMultilevel"/>
    <w:tmpl w:val="5080A7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57F1518"/>
    <w:multiLevelType w:val="hybridMultilevel"/>
    <w:tmpl w:val="C13A7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A55172E"/>
    <w:multiLevelType w:val="multilevel"/>
    <w:tmpl w:val="1136A33C"/>
    <w:lvl w:ilvl="0">
      <w:start w:val="1"/>
      <w:numFmt w:val="none"/>
      <w:pStyle w:val="awTB01questionHead"/>
      <w:suff w:val="nothing"/>
      <w:lvlText w:val="%1"/>
      <w:lvlJc w:val="left"/>
      <w:rPr>
        <w:rFonts w:cs="Times New Roman" w:hint="default"/>
      </w:rPr>
    </w:lvl>
    <w:lvl w:ilvl="1">
      <w:start w:val="1"/>
      <w:numFmt w:val="decimal"/>
      <w:pStyle w:val="MCA"/>
      <w:lvlText w:val="%2."/>
      <w:lvlJc w:val="left"/>
      <w:pPr>
        <w:tabs>
          <w:tab w:val="num" w:pos="547"/>
        </w:tabs>
        <w:ind w:left="547" w:hanging="547"/>
      </w:pPr>
      <w:rPr>
        <w:rFonts w:cs="Times New Roman" w:hint="default"/>
      </w:rPr>
    </w:lvl>
    <w:lvl w:ilvl="2">
      <w:start w:val="1"/>
      <w:numFmt w:val="lowerLetter"/>
      <w:pStyle w:val="awTB03distractor"/>
      <w:lvlText w:val="(%3)"/>
      <w:lvlJc w:val="left"/>
      <w:pPr>
        <w:tabs>
          <w:tab w:val="num" w:pos="907"/>
        </w:tabs>
        <w:ind w:left="907" w:hanging="360"/>
      </w:pPr>
      <w:rPr>
        <w:rFonts w:cs="Times New Roman" w:hint="default"/>
      </w:rPr>
    </w:lvl>
    <w:lvl w:ilvl="3">
      <w:start w:val="1"/>
      <w:numFmt w:val="none"/>
      <w:lvlText w:val="Answer:"/>
      <w:lvlJc w:val="left"/>
      <w:pPr>
        <w:tabs>
          <w:tab w:val="num" w:pos="1987"/>
        </w:tabs>
        <w:ind w:left="1411" w:hanging="864"/>
      </w:pPr>
      <w:rPr>
        <w:rFonts w:ascii="Times New Roman" w:hAnsi="Times New Roman" w:cs="Times New Roman" w:hint="default"/>
        <w:b w:val="0"/>
        <w:i w:val="0"/>
        <w:caps w:val="0"/>
        <w:smallCaps w:val="0"/>
        <w:strike w:val="0"/>
        <w:dstrike w:val="0"/>
        <w:snapToGrid w:val="0"/>
        <w:vanish w:val="0"/>
        <w:spacing w:val="0"/>
        <w:kern w:val="0"/>
        <w:position w:val="0"/>
        <w:u w:val="none"/>
        <w:vertAlign w:val="baseline"/>
      </w:rPr>
    </w:lvl>
    <w:lvl w:ilvl="4">
      <w:start w:val="1"/>
      <w:numFmt w:val="none"/>
      <w:lvlText w:val="(%5)"/>
      <w:lvlJc w:val="left"/>
      <w:pPr>
        <w:tabs>
          <w:tab w:val="num" w:pos="2160"/>
        </w:tabs>
        <w:ind w:left="2160" w:hanging="360"/>
      </w:pPr>
      <w:rPr>
        <w:rFonts w:cs="Times New Roman" w:hint="default"/>
      </w:rPr>
    </w:lvl>
    <w:lvl w:ilvl="5">
      <w:start w:val="1"/>
      <w:numFmt w:val="none"/>
      <w:lvlText w:val="(%6)"/>
      <w:lvlJc w:val="left"/>
      <w:pPr>
        <w:tabs>
          <w:tab w:val="num" w:pos="2520"/>
        </w:tabs>
        <w:ind w:left="2520" w:hanging="360"/>
      </w:pPr>
      <w:rPr>
        <w:rFonts w:cs="Times New Roman" w:hint="default"/>
      </w:rPr>
    </w:lvl>
    <w:lvl w:ilvl="6">
      <w:start w:val="1"/>
      <w:numFmt w:val="none"/>
      <w:lvlText w:val="%7."/>
      <w:lvlJc w:val="left"/>
      <w:pPr>
        <w:tabs>
          <w:tab w:val="num" w:pos="2880"/>
        </w:tabs>
        <w:ind w:left="2880" w:hanging="360"/>
      </w:pPr>
      <w:rPr>
        <w:rFonts w:cs="Times New Roman" w:hint="default"/>
      </w:rPr>
    </w:lvl>
    <w:lvl w:ilvl="7">
      <w:start w:val="1"/>
      <w:numFmt w:val="none"/>
      <w:lvlText w:val="%8."/>
      <w:lvlJc w:val="left"/>
      <w:pPr>
        <w:tabs>
          <w:tab w:val="num" w:pos="3240"/>
        </w:tabs>
        <w:ind w:left="3240" w:hanging="360"/>
      </w:pPr>
      <w:rPr>
        <w:rFonts w:cs="Times New Roman" w:hint="default"/>
      </w:rPr>
    </w:lvl>
    <w:lvl w:ilvl="8">
      <w:start w:val="1"/>
      <w:numFmt w:val="none"/>
      <w:lvlText w:val="%9."/>
      <w:lvlJc w:val="left"/>
      <w:pPr>
        <w:tabs>
          <w:tab w:val="num" w:pos="3600"/>
        </w:tabs>
        <w:ind w:left="3600" w:hanging="360"/>
      </w:pPr>
      <w:rPr>
        <w:rFonts w:cs="Times New Roman" w:hint="default"/>
      </w:rPr>
    </w:lvl>
  </w:abstractNum>
  <w:abstractNum w:abstractNumId="22">
    <w:nsid w:val="70803C3A"/>
    <w:multiLevelType w:val="multilevel"/>
    <w:tmpl w:val="AFB09CF2"/>
    <w:lvl w:ilvl="0">
      <w:start w:val="1"/>
      <w:numFmt w:val="decimal"/>
      <w:lvlText w:val="%1."/>
      <w:lvlJc w:val="left"/>
      <w:pPr>
        <w:tabs>
          <w:tab w:val="num" w:pos="360"/>
        </w:tabs>
      </w:pPr>
      <w:rPr>
        <w:rFonts w:cs="Times New Roman" w:hint="default"/>
      </w:rPr>
    </w:lvl>
    <w:lvl w:ilvl="1">
      <w:start w:val="1"/>
      <w:numFmt w:val="lowerLetter"/>
      <w:lvlText w:val="%2)"/>
      <w:lvlJc w:val="left"/>
      <w:pPr>
        <w:tabs>
          <w:tab w:val="num" w:pos="1080"/>
        </w:tabs>
        <w:ind w:left="720"/>
      </w:pPr>
      <w:rPr>
        <w:rFonts w:cs="Times New Roman" w:hint="default"/>
      </w:rPr>
    </w:lvl>
    <w:lvl w:ilvl="2">
      <w:start w:val="1"/>
      <w:numFmt w:val="decimal"/>
      <w:lvlText w:val="%3."/>
      <w:lvlJc w:val="left"/>
      <w:pPr>
        <w:tabs>
          <w:tab w:val="num" w:pos="1800"/>
        </w:tabs>
        <w:ind w:left="1440"/>
      </w:pPr>
      <w:rPr>
        <w:rFonts w:cs="Times New Roman" w:hint="default"/>
      </w:rPr>
    </w:lvl>
    <w:lvl w:ilvl="3">
      <w:start w:val="1"/>
      <w:numFmt w:val="lowerLetter"/>
      <w:lvlText w:val="%4)"/>
      <w:lvlJc w:val="left"/>
      <w:pPr>
        <w:tabs>
          <w:tab w:val="num" w:pos="2520"/>
        </w:tabs>
        <w:ind w:left="2160"/>
      </w:pPr>
      <w:rPr>
        <w:rFonts w:cs="Times New Roman" w:hint="default"/>
      </w:rPr>
    </w:lvl>
    <w:lvl w:ilvl="4">
      <w:start w:val="1"/>
      <w:numFmt w:val="decimal"/>
      <w:lvlText w:val="(%5)"/>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3">
    <w:nsid w:val="796A1FDB"/>
    <w:multiLevelType w:val="hybridMultilevel"/>
    <w:tmpl w:val="4ED6CA92"/>
    <w:lvl w:ilvl="0" w:tplc="F1C261AE">
      <w:start w:val="1"/>
      <w:numFmt w:val="upperRoman"/>
      <w:pStyle w:val="OutlineI"/>
      <w:lvlText w:val="%1."/>
      <w:lvlJc w:val="right"/>
      <w:pPr>
        <w:ind w:left="1350" w:hanging="360"/>
      </w:p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num w:numId="1">
    <w:abstractNumId w:val="9"/>
  </w:num>
  <w:num w:numId="2">
    <w:abstractNumId w:val="9"/>
  </w:num>
  <w:num w:numId="3">
    <w:abstractNumId w:val="9"/>
  </w:num>
  <w:num w:numId="4">
    <w:abstractNumId w:val="22"/>
  </w:num>
  <w:num w:numId="5">
    <w:abstractNumId w:val="9"/>
  </w:num>
  <w:num w:numId="6">
    <w:abstractNumId w:val="21"/>
  </w:num>
  <w:num w:numId="7">
    <w:abstractNumId w:val="7"/>
  </w:num>
  <w:num w:numId="8">
    <w:abstractNumId w:val="6"/>
  </w:num>
  <w:num w:numId="9">
    <w:abstractNumId w:val="5"/>
  </w:num>
  <w:num w:numId="10">
    <w:abstractNumId w:val="4"/>
  </w:num>
  <w:num w:numId="11">
    <w:abstractNumId w:val="8"/>
  </w:num>
  <w:num w:numId="12">
    <w:abstractNumId w:val="3"/>
  </w:num>
  <w:num w:numId="13">
    <w:abstractNumId w:val="2"/>
  </w:num>
  <w:num w:numId="14">
    <w:abstractNumId w:val="1"/>
  </w:num>
  <w:num w:numId="15">
    <w:abstractNumId w:val="0"/>
  </w:num>
  <w:num w:numId="16">
    <w:abstractNumId w:val="10"/>
  </w:num>
  <w:num w:numId="17">
    <w:abstractNumId w:val="21"/>
  </w:num>
  <w:num w:numId="18">
    <w:abstractNumId w:val="11"/>
  </w:num>
  <w:num w:numId="19">
    <w:abstractNumId w:val="12"/>
  </w:num>
  <w:num w:numId="20">
    <w:abstractNumId w:val="21"/>
  </w:num>
  <w:num w:numId="21">
    <w:abstractNumId w:val="21"/>
  </w:num>
  <w:num w:numId="22">
    <w:abstractNumId w:val="21"/>
  </w:num>
  <w:num w:numId="23">
    <w:abstractNumId w:val="21"/>
  </w:num>
  <w:num w:numId="24">
    <w:abstractNumId w:val="9"/>
  </w:num>
  <w:num w:numId="25">
    <w:abstractNumId w:val="22"/>
  </w:num>
  <w:num w:numId="26">
    <w:abstractNumId w:val="20"/>
  </w:num>
  <w:num w:numId="27">
    <w:abstractNumId w:val="18"/>
  </w:num>
  <w:num w:numId="28">
    <w:abstractNumId w:val="17"/>
  </w:num>
  <w:num w:numId="29">
    <w:abstractNumId w:val="19"/>
  </w:num>
  <w:num w:numId="30">
    <w:abstractNumId w:val="15"/>
  </w:num>
  <w:num w:numId="31">
    <w:abstractNumId w:val="16"/>
  </w:num>
  <w:num w:numId="32">
    <w:abstractNumId w:val="13"/>
  </w:num>
  <w:num w:numId="33">
    <w:abstractNumId w:val="14"/>
  </w:num>
  <w:num w:numId="34">
    <w:abstractNumId w:val="23"/>
  </w:num>
  <w:num w:numId="35">
    <w:abstractNumId w:val="14"/>
    <w:lvlOverride w:ilvl="0">
      <w:startOverride w:val="1"/>
    </w:lvlOverride>
  </w:num>
  <w:num w:numId="36">
    <w:abstractNumId w:val="13"/>
    <w:lvlOverride w:ilvl="0">
      <w:startOverride w:val="1"/>
    </w:lvlOverride>
  </w:num>
  <w:num w:numId="37">
    <w:abstractNumId w:val="14"/>
    <w:lvlOverride w:ilvl="0">
      <w:startOverride w:val="1"/>
    </w:lvlOverride>
  </w:num>
  <w:num w:numId="38">
    <w:abstractNumId w:val="1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8"/>
  <w:mirrorMargins/>
  <w:proofState w:spelling="clean" w:grammar="clean"/>
  <w:doNotTrackFormatting/>
  <w:defaultTabStop w:val="720"/>
  <w:evenAndOddHeaders/>
  <w:drawingGridHorizontalSpacing w:val="75"/>
  <w:drawingGridVerticalSpacing w:val="102"/>
  <w:displayHorizontalDrawingGridEvery w:val="0"/>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hapterid" w:val="30320"/>
    <w:docVar w:name="projectid" w:val="3143"/>
    <w:docVar w:name="projectname" w:val="BSP_moffett_fund_multintl_fin_im_4e"/>
    <w:docVar w:name="RAP_URL" w:val="http://writerap.pearson.com/pena"/>
    <w:docVar w:name="rapVersion" w:val="2"/>
    <w:docVar w:name="saved" w:val="0"/>
    <w:docVar w:name="templateID" w:val="159"/>
    <w:docVar w:name="templateName" w:val="-- NO TEMPLATE --"/>
    <w:docVar w:name="wrToolbarVersion" w:val="2010/03/17"/>
  </w:docVars>
  <w:rsids>
    <w:rsidRoot w:val="00F4293C"/>
    <w:rsid w:val="000E6E6B"/>
    <w:rsid w:val="00110B1F"/>
    <w:rsid w:val="001C6FE4"/>
    <w:rsid w:val="00305554"/>
    <w:rsid w:val="003A5571"/>
    <w:rsid w:val="00453E2A"/>
    <w:rsid w:val="00675E95"/>
    <w:rsid w:val="0069249C"/>
    <w:rsid w:val="007D76C3"/>
    <w:rsid w:val="008C2076"/>
    <w:rsid w:val="00911FCD"/>
    <w:rsid w:val="00991046"/>
    <w:rsid w:val="009E1A6F"/>
    <w:rsid w:val="00C60CBB"/>
    <w:rsid w:val="00CE22A0"/>
    <w:rsid w:val="00D35FAE"/>
    <w:rsid w:val="00DA2081"/>
    <w:rsid w:val="00EB4FEE"/>
    <w:rsid w:val="00F4293C"/>
    <w:rsid w:val="00FF4D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ocked/>
    <w:rPr>
      <w:rFonts w:ascii="Cambria" w:hAnsi="Cambria" w:cs="Times New Roman"/>
      <w:b/>
      <w:bCs/>
      <w:kern w:val="32"/>
      <w:sz w:val="32"/>
      <w:szCs w:val="32"/>
    </w:rPr>
  </w:style>
  <w:style w:type="character" w:customStyle="1" w:styleId="Heading2Char">
    <w:name w:val="Heading 2 Char"/>
    <w:basedOn w:val="DefaultParagraphFont"/>
    <w:semiHidden/>
    <w:locked/>
    <w:rPr>
      <w:rFonts w:ascii="Cambria" w:hAnsi="Cambria" w:cs="Times New Roman"/>
      <w:b/>
      <w:bCs/>
      <w:i/>
      <w:iCs/>
      <w:sz w:val="28"/>
      <w:szCs w:val="28"/>
    </w:rPr>
  </w:style>
  <w:style w:type="character" w:customStyle="1" w:styleId="Heading3Char">
    <w:name w:val="Heading 3 Char"/>
    <w:basedOn w:val="DefaultParagraphFont"/>
    <w:semiHidden/>
    <w:locked/>
    <w:rPr>
      <w:rFonts w:ascii="Cambria" w:hAnsi="Cambria" w:cs="Times New Roman"/>
      <w:b/>
      <w:bCs/>
      <w:sz w:val="26"/>
      <w:szCs w:val="26"/>
    </w:rPr>
  </w:style>
  <w:style w:type="character" w:customStyle="1" w:styleId="Heading4Char">
    <w:name w:val="Heading 4 Char"/>
    <w:basedOn w:val="DefaultParagraphFont"/>
    <w:semiHidden/>
    <w:locked/>
    <w:rPr>
      <w:rFonts w:ascii="Calibri" w:hAnsi="Calibri" w:cs="Times New Roman"/>
      <w:b/>
      <w:bCs/>
      <w:sz w:val="28"/>
      <w:szCs w:val="28"/>
    </w:rPr>
  </w:style>
  <w:style w:type="character" w:customStyle="1" w:styleId="Heading5Char">
    <w:name w:val="Heading 5 Char"/>
    <w:basedOn w:val="DefaultParagraphFont"/>
    <w:semiHidden/>
    <w:locked/>
    <w:rPr>
      <w:rFonts w:ascii="Calibri" w:hAnsi="Calibri" w:cs="Times New Roman"/>
      <w:b/>
      <w:bCs/>
      <w:i/>
      <w:iCs/>
      <w:sz w:val="26"/>
      <w:szCs w:val="26"/>
    </w:rPr>
  </w:style>
  <w:style w:type="character" w:customStyle="1" w:styleId="Heading6Char">
    <w:name w:val="Heading 6 Char"/>
    <w:basedOn w:val="DefaultParagraphFont"/>
    <w:semiHidden/>
    <w:locked/>
    <w:rPr>
      <w:rFonts w:ascii="Calibri" w:hAnsi="Calibri" w:cs="Times New Roman"/>
      <w:b/>
      <w:bCs/>
    </w:rPr>
  </w:style>
  <w:style w:type="character" w:customStyle="1" w:styleId="Heading7Char">
    <w:name w:val="Heading 7 Char"/>
    <w:basedOn w:val="DefaultParagraphFont"/>
    <w:semiHidden/>
    <w:locked/>
    <w:rPr>
      <w:rFonts w:ascii="Calibri" w:hAnsi="Calibri" w:cs="Times New Roman"/>
      <w:sz w:val="24"/>
      <w:szCs w:val="24"/>
    </w:rPr>
  </w:style>
  <w:style w:type="character" w:customStyle="1" w:styleId="Heading8Char">
    <w:name w:val="Heading 8 Char"/>
    <w:basedOn w:val="DefaultParagraphFont"/>
    <w:semiHidden/>
    <w:locked/>
    <w:rPr>
      <w:rFonts w:ascii="Calibri" w:hAnsi="Calibri" w:cs="Times New Roman"/>
      <w:i/>
      <w:iCs/>
      <w:sz w:val="24"/>
      <w:szCs w:val="24"/>
    </w:rPr>
  </w:style>
  <w:style w:type="character" w:customStyle="1" w:styleId="Heading9Char">
    <w:name w:val="Heading 9 Char"/>
    <w:basedOn w:val="DefaultParagraphFont"/>
    <w:semiHidden/>
    <w:locked/>
    <w:rPr>
      <w:rFonts w:ascii="Cambria" w:hAnsi="Cambria" w:cs="Times New Roman"/>
    </w:rPr>
  </w:style>
  <w:style w:type="paragraph" w:customStyle="1" w:styleId="List1">
    <w:name w:val="List1"/>
    <w:basedOn w:val="Normal"/>
    <w:pPr>
      <w:keepNext/>
      <w:tabs>
        <w:tab w:val="left" w:pos="504"/>
      </w:tabs>
      <w:spacing w:before="200"/>
      <w:ind w:left="504" w:hanging="504"/>
    </w:pPr>
    <w:rPr>
      <w:rFonts w:ascii="Times" w:hAnsi="Times"/>
      <w:bCs/>
      <w:sz w:val="22"/>
    </w:rPr>
  </w:style>
  <w:style w:type="paragraph" w:customStyle="1" w:styleId="List2">
    <w:name w:val="List2"/>
    <w:basedOn w:val="Normal"/>
    <w:pPr>
      <w:keepNext/>
      <w:tabs>
        <w:tab w:val="left" w:pos="907"/>
      </w:tabs>
      <w:spacing w:before="80" w:after="60"/>
      <w:ind w:left="907" w:hanging="403"/>
    </w:pPr>
    <w:rPr>
      <w:rFonts w:ascii="Times" w:hAnsi="Times"/>
      <w:sz w:val="22"/>
    </w:rPr>
  </w:style>
  <w:style w:type="paragraph" w:customStyle="1" w:styleId="List3">
    <w:name w:val="List3"/>
    <w:basedOn w:val="Normal"/>
    <w:pPr>
      <w:keepNext/>
      <w:tabs>
        <w:tab w:val="left" w:pos="1195"/>
      </w:tabs>
      <w:spacing w:after="40"/>
      <w:ind w:left="1195" w:hanging="288"/>
    </w:pPr>
    <w:rPr>
      <w:rFonts w:ascii="Times" w:hAnsi="Times"/>
      <w:sz w:val="22"/>
    </w:rPr>
  </w:style>
  <w:style w:type="paragraph" w:customStyle="1" w:styleId="List4">
    <w:name w:val="List4"/>
    <w:basedOn w:val="Normal"/>
    <w:pPr>
      <w:keepNext/>
      <w:tabs>
        <w:tab w:val="left" w:pos="1483"/>
      </w:tabs>
      <w:spacing w:after="40"/>
      <w:ind w:left="1483" w:hanging="288"/>
    </w:pPr>
    <w:rPr>
      <w:rFonts w:ascii="Times" w:hAnsi="Times"/>
      <w:sz w:val="22"/>
    </w:rPr>
  </w:style>
  <w:style w:type="paragraph" w:customStyle="1" w:styleId="List5">
    <w:name w:val="List5"/>
    <w:basedOn w:val="Normal"/>
    <w:pPr>
      <w:keepNext/>
      <w:tabs>
        <w:tab w:val="left" w:pos="1915"/>
        <w:tab w:val="left" w:pos="1944"/>
      </w:tabs>
      <w:spacing w:after="40"/>
      <w:ind w:left="1944" w:hanging="446"/>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keepNext/>
    </w:pPr>
    <w:rPr>
      <w:rFonts w:ascii="Times" w:hAnsi="Times"/>
      <w:sz w:val="22"/>
    </w:rPr>
  </w:style>
  <w:style w:type="paragraph" w:customStyle="1" w:styleId="MCQ">
    <w:name w:val="MCQ"/>
    <w:basedOn w:val="Normal"/>
    <w:pPr>
      <w:keepNext/>
      <w:tabs>
        <w:tab w:val="left" w:pos="1771"/>
        <w:tab w:val="left" w:pos="2160"/>
      </w:tabs>
      <w:spacing w:before="200" w:after="60"/>
      <w:ind w:left="2160" w:hanging="2160"/>
    </w:pPr>
    <w:rPr>
      <w:rFonts w:ascii="Times" w:hAnsi="Times"/>
      <w:sz w:val="22"/>
    </w:rPr>
  </w:style>
  <w:style w:type="paragraph" w:customStyle="1" w:styleId="MCA">
    <w:name w:val="MCA"/>
    <w:basedOn w:val="Normal"/>
    <w:pPr>
      <w:numPr>
        <w:ilvl w:val="1"/>
        <w:numId w:val="22"/>
      </w:numPr>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z w:val="22"/>
    </w:rPr>
  </w:style>
  <w:style w:type="paragraph" w:customStyle="1" w:styleId="awTBfigCap">
    <w:name w:val="awTB_figCap"/>
    <w:basedOn w:val="Normal"/>
    <w:pPr>
      <w:keepNext/>
      <w:keepLines/>
      <w:spacing w:before="40" w:after="40"/>
      <w:ind w:left="387"/>
      <w:outlineLvl w:val="1"/>
    </w:pPr>
    <w:rPr>
      <w:rFonts w:ascii="Times" w:hAnsi="Times"/>
      <w:i/>
      <w:sz w:val="22"/>
    </w:rPr>
  </w:style>
  <w:style w:type="paragraph" w:customStyle="1" w:styleId="awTB02question">
    <w:name w:val="awTB_02_question"/>
    <w:basedOn w:val="Normal"/>
    <w:next w:val="Normal"/>
    <w:pPr>
      <w:keepNext/>
      <w:keepLines/>
      <w:tabs>
        <w:tab w:val="num" w:pos="547"/>
        <w:tab w:val="left" w:pos="640"/>
      </w:tabs>
      <w:spacing w:before="200" w:after="60"/>
      <w:ind w:left="547" w:hanging="547"/>
      <w:outlineLvl w:val="2"/>
    </w:pPr>
    <w:rPr>
      <w:rFonts w:ascii="Times" w:hAnsi="Times"/>
      <w:sz w:val="22"/>
    </w:rPr>
  </w:style>
  <w:style w:type="paragraph" w:customStyle="1" w:styleId="awTB03distractor">
    <w:name w:val="awTB_03_distractor"/>
    <w:basedOn w:val="Normal"/>
    <w:pPr>
      <w:keepNext/>
      <w:keepLines/>
      <w:numPr>
        <w:ilvl w:val="2"/>
        <w:numId w:val="20"/>
      </w:numPr>
      <w:tabs>
        <w:tab w:val="left" w:pos="720"/>
      </w:tabs>
      <w:spacing w:after="40"/>
      <w:outlineLvl w:val="2"/>
    </w:pPr>
    <w:rPr>
      <w:rFonts w:ascii="Times" w:hAnsi="Times"/>
      <w:sz w:val="22"/>
    </w:rPr>
  </w:style>
  <w:style w:type="paragraph" w:customStyle="1" w:styleId="awTB01questionHead">
    <w:name w:val="awTB_01_questionHead"/>
    <w:basedOn w:val="Normal"/>
    <w:pPr>
      <w:keepNext/>
      <w:keepLines/>
      <w:numPr>
        <w:numId w:val="20"/>
      </w:numPr>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character" w:customStyle="1" w:styleId="HeaderChar">
    <w:name w:val="Header Char"/>
    <w:basedOn w:val="DefaultParagraphFont"/>
    <w:semiHidden/>
    <w:locked/>
    <w:rPr>
      <w:rFonts w:cs="Times New Roman"/>
      <w:sz w:val="20"/>
      <w:szCs w:val="20"/>
    </w:rPr>
  </w:style>
  <w:style w:type="paragraph" w:styleId="Footer">
    <w:name w:val="footer"/>
    <w:basedOn w:val="Normal"/>
    <w:semiHidden/>
    <w:pPr>
      <w:tabs>
        <w:tab w:val="center" w:pos="4320"/>
        <w:tab w:val="right" w:pos="8640"/>
      </w:tabs>
    </w:pPr>
  </w:style>
  <w:style w:type="character" w:customStyle="1" w:styleId="FooterChar">
    <w:name w:val="Footer Char"/>
    <w:basedOn w:val="DefaultParagraphFont"/>
    <w:semiHidden/>
    <w:locked/>
    <w:rPr>
      <w:rFonts w:cs="Times New Roman"/>
      <w:sz w:val="20"/>
      <w:szCs w:val="20"/>
    </w:rPr>
  </w:style>
  <w:style w:type="character" w:styleId="PageNumber">
    <w:name w:val="page number"/>
    <w:basedOn w:val="DefaultParagraphFont"/>
    <w:semiHidden/>
    <w:rPr>
      <w:rFonts w:cs="Times New Roman"/>
    </w:rPr>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hAnsi="Times"/>
      <w:noProof/>
      <w:sz w:val="18"/>
    </w:rPr>
  </w:style>
  <w:style w:type="paragraph" w:customStyle="1" w:styleId="awTB03distractorLast">
    <w:name w:val="awTB_03_distractor_Last"/>
    <w:basedOn w:val="awTB03distractor"/>
    <w:pPr>
      <w:keepNext w:val="0"/>
      <w:numPr>
        <w:ilvl w:val="0"/>
        <w:numId w:val="0"/>
      </w:numPr>
    </w:pPr>
  </w:style>
  <w:style w:type="paragraph" w:customStyle="1" w:styleId="KTtext">
    <w:name w:val="KT_text"/>
    <w:basedOn w:val="T1"/>
    <w:rPr>
      <w:szCs w:val="19"/>
    </w:rPr>
  </w:style>
  <w:style w:type="paragraph" w:styleId="BodyTextIndent">
    <w:name w:val="Body Text Indent"/>
    <w:basedOn w:val="Normal"/>
    <w:semiHidden/>
    <w:pPr>
      <w:tabs>
        <w:tab w:val="left" w:pos="720"/>
      </w:tabs>
      <w:ind w:left="677" w:hanging="288"/>
    </w:pPr>
  </w:style>
  <w:style w:type="character" w:customStyle="1" w:styleId="BodyTextIndentChar">
    <w:name w:val="Body Text Indent Char"/>
    <w:basedOn w:val="DefaultParagraphFont"/>
    <w:semiHidden/>
    <w:locked/>
    <w:rPr>
      <w:rFonts w:cs="Times New Roman"/>
      <w:sz w:val="20"/>
      <w:szCs w:val="20"/>
    </w:rPr>
  </w:style>
  <w:style w:type="paragraph" w:customStyle="1" w:styleId="Problemlist1">
    <w:name w:val="Problem_list1"/>
    <w:basedOn w:val="awTB02question"/>
    <w:pPr>
      <w:tabs>
        <w:tab w:val="clear" w:pos="547"/>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0"/>
        <w:tab w:val="left" w:pos="450"/>
      </w:tabs>
      <w:ind w:left="450" w:hanging="450"/>
    </w:pPr>
  </w:style>
  <w:style w:type="paragraph" w:customStyle="1" w:styleId="MCQList2">
    <w:name w:val="MCQ_List2"/>
    <w:basedOn w:val="Normal"/>
    <w:rsid w:val="0069249C"/>
    <w:pPr>
      <w:keepLines/>
      <w:spacing w:after="40"/>
      <w:ind w:left="720" w:hanging="270"/>
      <w:outlineLvl w:val="2"/>
    </w:pPr>
    <w:rPr>
      <w:rFonts w:ascii="Times" w:hAnsi="Times"/>
      <w:sz w:val="22"/>
    </w:r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character" w:customStyle="1" w:styleId="BodyTextChar">
    <w:name w:val="Body Text Char"/>
    <w:basedOn w:val="DefaultParagraphFont"/>
    <w:semiHidden/>
    <w:locked/>
    <w:rPr>
      <w:rFonts w:cs="Times New Roman"/>
      <w:sz w:val="20"/>
      <w:szCs w:val="20"/>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clear" w:pos="1483"/>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style>
  <w:style w:type="paragraph" w:customStyle="1" w:styleId="CO">
    <w:name w:val="CO"/>
    <w:basedOn w:val="MCQList1"/>
    <w:pPr>
      <w:spacing w:before="0"/>
      <w:ind w:left="403" w:hanging="403"/>
    </w:pPr>
  </w:style>
  <w:style w:type="paragraph" w:customStyle="1" w:styleId="TF">
    <w:name w:val="TF"/>
    <w:basedOn w:val="CO"/>
    <w:pPr>
      <w:tabs>
        <w:tab w:val="left" w:pos="1901"/>
      </w:tabs>
      <w:ind w:left="1901" w:hanging="1901"/>
    </w:pPr>
  </w:style>
  <w:style w:type="paragraph" w:customStyle="1" w:styleId="PG">
    <w:name w:val="PG"/>
    <w:basedOn w:val="MCQList1"/>
  </w:style>
  <w:style w:type="paragraph" w:customStyle="1" w:styleId="SubList5">
    <w:name w:val="SubList5"/>
    <w:basedOn w:val="List5"/>
    <w:pPr>
      <w:tabs>
        <w:tab w:val="clear" w:pos="1915"/>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character" w:customStyle="1" w:styleId="TitleChar">
    <w:name w:val="Title Char"/>
    <w:basedOn w:val="DefaultParagraphFont"/>
    <w:locked/>
    <w:rPr>
      <w:rFonts w:ascii="Cambria" w:hAnsi="Cambria" w:cs="Times New Roman"/>
      <w:b/>
      <w:bCs/>
      <w:kern w:val="28"/>
      <w:sz w:val="32"/>
      <w:szCs w:val="32"/>
    </w:rPr>
  </w:style>
  <w:style w:type="paragraph" w:styleId="BodyTextIndent2">
    <w:name w:val="Body Text Indent 2"/>
    <w:basedOn w:val="Normal"/>
    <w:semiHidden/>
    <w:pPr>
      <w:tabs>
        <w:tab w:val="left" w:pos="360"/>
        <w:tab w:val="left" w:pos="720"/>
        <w:tab w:val="left" w:pos="1080"/>
        <w:tab w:val="left" w:pos="1440"/>
        <w:tab w:val="left" w:pos="1800"/>
        <w:tab w:val="left" w:pos="2160"/>
        <w:tab w:val="left" w:pos="2520"/>
        <w:tab w:val="left" w:pos="3150"/>
        <w:tab w:val="left" w:pos="3870"/>
        <w:tab w:val="left" w:pos="4590"/>
        <w:tab w:val="left" w:pos="5310"/>
        <w:tab w:val="left" w:pos="6030"/>
        <w:tab w:val="left" w:pos="6750"/>
        <w:tab w:val="left" w:pos="7470"/>
        <w:tab w:val="left" w:pos="8190"/>
        <w:tab w:val="left" w:pos="8910"/>
      </w:tabs>
      <w:ind w:left="1080" w:hanging="1080"/>
    </w:pPr>
  </w:style>
  <w:style w:type="character" w:customStyle="1" w:styleId="BodyTextIndent2Char">
    <w:name w:val="Body Text Indent 2 Char"/>
    <w:basedOn w:val="DefaultParagraphFont"/>
    <w:semiHidden/>
    <w:locked/>
    <w:rPr>
      <w:rFonts w:cs="Times New Roman"/>
      <w:sz w:val="20"/>
      <w:szCs w:val="20"/>
    </w:rPr>
  </w:style>
  <w:style w:type="paragraph" w:styleId="BodyTextIndent3">
    <w:name w:val="Body Text Indent 3"/>
    <w:basedOn w:val="Normal"/>
    <w:semiHidden/>
    <w:pPr>
      <w:tabs>
        <w:tab w:val="left" w:pos="-720"/>
        <w:tab w:val="left" w:pos="360"/>
        <w:tab w:val="left" w:pos="720"/>
        <w:tab w:val="left" w:pos="1080"/>
        <w:tab w:val="left" w:pos="1440"/>
        <w:tab w:val="left" w:pos="1800"/>
        <w:tab w:val="left" w:pos="2160"/>
        <w:tab w:val="left" w:pos="2520"/>
        <w:tab w:val="left" w:pos="2880"/>
        <w:tab w:val="left" w:pos="3600"/>
        <w:tab w:val="left" w:pos="4320"/>
        <w:tab w:val="left" w:pos="5040"/>
        <w:tab w:val="left" w:pos="5760"/>
        <w:tab w:val="left" w:pos="6480"/>
        <w:tab w:val="left" w:pos="7200"/>
        <w:tab w:val="left" w:pos="7920"/>
        <w:tab w:val="left" w:pos="8640"/>
      </w:tabs>
      <w:ind w:left="360" w:hanging="360"/>
    </w:pPr>
  </w:style>
  <w:style w:type="character" w:customStyle="1" w:styleId="BodyTextIndent3Char">
    <w:name w:val="Body Text Indent 3 Char"/>
    <w:basedOn w:val="DefaultParagraphFont"/>
    <w:semiHidden/>
    <w:locked/>
    <w:rPr>
      <w:rFonts w:cs="Times New Roman"/>
      <w:sz w:val="16"/>
      <w:szCs w:val="16"/>
    </w:rPr>
  </w:style>
  <w:style w:type="character" w:styleId="Hyperlink">
    <w:name w:val="Hyperlink"/>
    <w:basedOn w:val="DefaultParagraphFont"/>
    <w:semiHidden/>
    <w:rPr>
      <w:rFonts w:cs="Times New Roman"/>
      <w:color w:val="0000FF"/>
      <w:u w:val="single"/>
    </w:rPr>
  </w:style>
  <w:style w:type="paragraph" w:customStyle="1" w:styleId="TFQ">
    <w:name w:val="TFQ"/>
    <w:basedOn w:val="T1"/>
    <w:pPr>
      <w:tabs>
        <w:tab w:val="left" w:pos="446"/>
      </w:tabs>
      <w:spacing w:before="200"/>
      <w:ind w:left="446" w:hanging="446"/>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after="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character" w:customStyle="1" w:styleId="BalloonTextChar">
    <w:name w:val="Balloon Text Char"/>
    <w:basedOn w:val="DefaultParagraphFont"/>
    <w:semiHidden/>
    <w:locked/>
    <w:rPr>
      <w:rFonts w:cs="Times New Roman"/>
      <w:sz w:val="2"/>
    </w:rPr>
  </w:style>
  <w:style w:type="paragraph" w:customStyle="1" w:styleId="list1sub">
    <w:name w:val="list1_sub"/>
    <w:basedOn w:val="List2"/>
    <w:pPr>
      <w:ind w:left="504" w:firstLine="0"/>
    </w:pPr>
  </w:style>
  <w:style w:type="paragraph" w:customStyle="1" w:styleId="List10">
    <w:name w:val="List1."/>
    <w:basedOn w:val="List2"/>
    <w:pPr>
      <w:tabs>
        <w:tab w:val="clear" w:pos="907"/>
      </w:tabs>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tabs>
        <w:tab w:val="clear" w:pos="288"/>
      </w:tabs>
      <w:spacing w:before="120"/>
      <w:ind w:left="1134" w:hanging="315"/>
    </w:pPr>
  </w:style>
  <w:style w:type="paragraph" w:customStyle="1" w:styleId="MCQList1a">
    <w:name w:val="MCQ_List1a"/>
    <w:basedOn w:val="MCQList1"/>
    <w:pPr>
      <w:tabs>
        <w:tab w:val="clear" w:pos="270"/>
        <w:tab w:val="right" w:pos="274"/>
        <w:tab w:val="left" w:pos="825"/>
      </w:tabs>
      <w:ind w:left="825" w:hanging="825"/>
    </w:pPr>
  </w:style>
  <w:style w:type="paragraph" w:customStyle="1" w:styleId="MCQList2sub">
    <w:name w:val="MCQ_List2_sub"/>
    <w:basedOn w:val="MCQList2"/>
    <w:pPr>
      <w:tabs>
        <w:tab w:val="left" w:pos="821"/>
        <w:tab w:val="left" w:pos="1200"/>
      </w:tabs>
      <w:ind w:left="1200" w:hanging="754"/>
    </w:pPr>
  </w:style>
  <w:style w:type="paragraph" w:customStyle="1" w:styleId="OutlineI">
    <w:name w:val="Outline_I"/>
    <w:basedOn w:val="Normal"/>
    <w:qFormat/>
    <w:rsid w:val="00EB4FEE"/>
    <w:pPr>
      <w:numPr>
        <w:numId w:val="34"/>
      </w:numPr>
      <w:spacing w:before="60"/>
      <w:ind w:left="1170"/>
    </w:pPr>
    <w:rPr>
      <w:rFonts w:ascii="Times" w:eastAsiaTheme="minorHAnsi" w:hAnsi="Times" w:cs="Times"/>
      <w:sz w:val="22"/>
      <w:szCs w:val="24"/>
    </w:rPr>
  </w:style>
  <w:style w:type="paragraph" w:customStyle="1" w:styleId="OutlineA">
    <w:name w:val="Outline_A"/>
    <w:basedOn w:val="Normal"/>
    <w:qFormat/>
    <w:rsid w:val="00EB4FEE"/>
    <w:pPr>
      <w:numPr>
        <w:numId w:val="32"/>
      </w:numPr>
      <w:spacing w:before="60"/>
      <w:ind w:left="1526"/>
    </w:pPr>
    <w:rPr>
      <w:rFonts w:ascii="Times" w:eastAsiaTheme="minorHAnsi" w:hAnsi="Times" w:cs="Times"/>
      <w:sz w:val="22"/>
      <w:szCs w:val="24"/>
    </w:rPr>
  </w:style>
  <w:style w:type="paragraph" w:customStyle="1" w:styleId="Outlline1">
    <w:name w:val="Outlline_1"/>
    <w:basedOn w:val="Normal"/>
    <w:qFormat/>
    <w:rsid w:val="00EB4FEE"/>
    <w:pPr>
      <w:numPr>
        <w:numId w:val="33"/>
      </w:numPr>
      <w:spacing w:before="60"/>
    </w:pPr>
    <w:rPr>
      <w:rFonts w:ascii="Times" w:eastAsiaTheme="minorHAnsi" w:hAnsi="Times" w:cs="Times"/>
      <w:sz w:val="22"/>
      <w:szCs w:val="24"/>
    </w:rPr>
  </w:style>
  <w:style w:type="paragraph" w:customStyle="1" w:styleId="MCQAnswer">
    <w:name w:val="MCQ_Answer"/>
    <w:basedOn w:val="Normal"/>
    <w:qFormat/>
    <w:rsid w:val="00EB4FEE"/>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MCQAnswerBL">
    <w:name w:val="MCQ_AnswerBL"/>
    <w:basedOn w:val="Normal"/>
    <w:qFormat/>
    <w:rsid w:val="00EB4FEE"/>
    <w:pPr>
      <w:spacing w:after="60"/>
      <w:ind w:left="705" w:hanging="259"/>
    </w:pPr>
    <w:rPr>
      <w:rFonts w:ascii="Arial Narrow" w:hAnsi="Arial Narrow"/>
      <w:sz w:val="22"/>
      <w:szCs w:val="24"/>
    </w:rPr>
  </w:style>
  <w:style w:type="paragraph" w:customStyle="1" w:styleId="LearningObjectives">
    <w:name w:val="LearningObjectives"/>
    <w:basedOn w:val="Normal"/>
    <w:qFormat/>
    <w:rsid w:val="00EB4FEE"/>
    <w:pPr>
      <w:spacing w:before="120" w:line="259" w:lineRule="auto"/>
      <w:ind w:left="720" w:hanging="360"/>
    </w:pPr>
    <w:rPr>
      <w:rFonts w:ascii="Times" w:eastAsiaTheme="minorHAnsi" w:hAnsi="Times" w:cs="Times"/>
      <w:sz w:val="22"/>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ocked/>
    <w:rPr>
      <w:rFonts w:ascii="Cambria" w:hAnsi="Cambria" w:cs="Times New Roman"/>
      <w:b/>
      <w:bCs/>
      <w:kern w:val="32"/>
      <w:sz w:val="32"/>
      <w:szCs w:val="32"/>
    </w:rPr>
  </w:style>
  <w:style w:type="character" w:customStyle="1" w:styleId="Heading2Char">
    <w:name w:val="Heading 2 Char"/>
    <w:basedOn w:val="DefaultParagraphFont"/>
    <w:semiHidden/>
    <w:locked/>
    <w:rPr>
      <w:rFonts w:ascii="Cambria" w:hAnsi="Cambria" w:cs="Times New Roman"/>
      <w:b/>
      <w:bCs/>
      <w:i/>
      <w:iCs/>
      <w:sz w:val="28"/>
      <w:szCs w:val="28"/>
    </w:rPr>
  </w:style>
  <w:style w:type="character" w:customStyle="1" w:styleId="Heading3Char">
    <w:name w:val="Heading 3 Char"/>
    <w:basedOn w:val="DefaultParagraphFont"/>
    <w:semiHidden/>
    <w:locked/>
    <w:rPr>
      <w:rFonts w:ascii="Cambria" w:hAnsi="Cambria" w:cs="Times New Roman"/>
      <w:b/>
      <w:bCs/>
      <w:sz w:val="26"/>
      <w:szCs w:val="26"/>
    </w:rPr>
  </w:style>
  <w:style w:type="character" w:customStyle="1" w:styleId="Heading4Char">
    <w:name w:val="Heading 4 Char"/>
    <w:basedOn w:val="DefaultParagraphFont"/>
    <w:semiHidden/>
    <w:locked/>
    <w:rPr>
      <w:rFonts w:ascii="Calibri" w:hAnsi="Calibri" w:cs="Times New Roman"/>
      <w:b/>
      <w:bCs/>
      <w:sz w:val="28"/>
      <w:szCs w:val="28"/>
    </w:rPr>
  </w:style>
  <w:style w:type="character" w:customStyle="1" w:styleId="Heading5Char">
    <w:name w:val="Heading 5 Char"/>
    <w:basedOn w:val="DefaultParagraphFont"/>
    <w:semiHidden/>
    <w:locked/>
    <w:rPr>
      <w:rFonts w:ascii="Calibri" w:hAnsi="Calibri" w:cs="Times New Roman"/>
      <w:b/>
      <w:bCs/>
      <w:i/>
      <w:iCs/>
      <w:sz w:val="26"/>
      <w:szCs w:val="26"/>
    </w:rPr>
  </w:style>
  <w:style w:type="character" w:customStyle="1" w:styleId="Heading6Char">
    <w:name w:val="Heading 6 Char"/>
    <w:basedOn w:val="DefaultParagraphFont"/>
    <w:semiHidden/>
    <w:locked/>
    <w:rPr>
      <w:rFonts w:ascii="Calibri" w:hAnsi="Calibri" w:cs="Times New Roman"/>
      <w:b/>
      <w:bCs/>
    </w:rPr>
  </w:style>
  <w:style w:type="character" w:customStyle="1" w:styleId="Heading7Char">
    <w:name w:val="Heading 7 Char"/>
    <w:basedOn w:val="DefaultParagraphFont"/>
    <w:semiHidden/>
    <w:locked/>
    <w:rPr>
      <w:rFonts w:ascii="Calibri" w:hAnsi="Calibri" w:cs="Times New Roman"/>
      <w:sz w:val="24"/>
      <w:szCs w:val="24"/>
    </w:rPr>
  </w:style>
  <w:style w:type="character" w:customStyle="1" w:styleId="Heading8Char">
    <w:name w:val="Heading 8 Char"/>
    <w:basedOn w:val="DefaultParagraphFont"/>
    <w:semiHidden/>
    <w:locked/>
    <w:rPr>
      <w:rFonts w:ascii="Calibri" w:hAnsi="Calibri" w:cs="Times New Roman"/>
      <w:i/>
      <w:iCs/>
      <w:sz w:val="24"/>
      <w:szCs w:val="24"/>
    </w:rPr>
  </w:style>
  <w:style w:type="character" w:customStyle="1" w:styleId="Heading9Char">
    <w:name w:val="Heading 9 Char"/>
    <w:basedOn w:val="DefaultParagraphFont"/>
    <w:semiHidden/>
    <w:locked/>
    <w:rPr>
      <w:rFonts w:ascii="Cambria" w:hAnsi="Cambria" w:cs="Times New Roman"/>
    </w:rPr>
  </w:style>
  <w:style w:type="paragraph" w:customStyle="1" w:styleId="List1">
    <w:name w:val="List1"/>
    <w:basedOn w:val="Normal"/>
    <w:pPr>
      <w:keepNext/>
      <w:tabs>
        <w:tab w:val="left" w:pos="504"/>
      </w:tabs>
      <w:spacing w:before="200"/>
      <w:ind w:left="504" w:hanging="504"/>
    </w:pPr>
    <w:rPr>
      <w:rFonts w:ascii="Times" w:hAnsi="Times"/>
      <w:bCs/>
      <w:sz w:val="22"/>
    </w:rPr>
  </w:style>
  <w:style w:type="paragraph" w:customStyle="1" w:styleId="List2">
    <w:name w:val="List2"/>
    <w:basedOn w:val="Normal"/>
    <w:pPr>
      <w:keepNext/>
      <w:tabs>
        <w:tab w:val="left" w:pos="907"/>
      </w:tabs>
      <w:spacing w:before="80" w:after="60"/>
      <w:ind w:left="907" w:hanging="403"/>
    </w:pPr>
    <w:rPr>
      <w:rFonts w:ascii="Times" w:hAnsi="Times"/>
      <w:sz w:val="22"/>
    </w:rPr>
  </w:style>
  <w:style w:type="paragraph" w:customStyle="1" w:styleId="List3">
    <w:name w:val="List3"/>
    <w:basedOn w:val="Normal"/>
    <w:pPr>
      <w:keepNext/>
      <w:tabs>
        <w:tab w:val="left" w:pos="1195"/>
      </w:tabs>
      <w:spacing w:after="40"/>
      <w:ind w:left="1195" w:hanging="288"/>
    </w:pPr>
    <w:rPr>
      <w:rFonts w:ascii="Times" w:hAnsi="Times"/>
      <w:sz w:val="22"/>
    </w:rPr>
  </w:style>
  <w:style w:type="paragraph" w:customStyle="1" w:styleId="List4">
    <w:name w:val="List4"/>
    <w:basedOn w:val="Normal"/>
    <w:pPr>
      <w:keepNext/>
      <w:tabs>
        <w:tab w:val="left" w:pos="1483"/>
      </w:tabs>
      <w:spacing w:after="40"/>
      <w:ind w:left="1483" w:hanging="288"/>
    </w:pPr>
    <w:rPr>
      <w:rFonts w:ascii="Times" w:hAnsi="Times"/>
      <w:sz w:val="22"/>
    </w:rPr>
  </w:style>
  <w:style w:type="paragraph" w:customStyle="1" w:styleId="List5">
    <w:name w:val="List5"/>
    <w:basedOn w:val="Normal"/>
    <w:pPr>
      <w:keepNext/>
      <w:tabs>
        <w:tab w:val="left" w:pos="1915"/>
        <w:tab w:val="left" w:pos="1944"/>
      </w:tabs>
      <w:spacing w:after="40"/>
      <w:ind w:left="1944" w:hanging="446"/>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keepNext/>
    </w:pPr>
    <w:rPr>
      <w:rFonts w:ascii="Times" w:hAnsi="Times"/>
      <w:sz w:val="22"/>
    </w:rPr>
  </w:style>
  <w:style w:type="paragraph" w:customStyle="1" w:styleId="MCQ">
    <w:name w:val="MCQ"/>
    <w:basedOn w:val="Normal"/>
    <w:pPr>
      <w:keepNext/>
      <w:tabs>
        <w:tab w:val="left" w:pos="1771"/>
        <w:tab w:val="left" w:pos="2160"/>
      </w:tabs>
      <w:spacing w:before="200" w:after="60"/>
      <w:ind w:left="2160" w:hanging="2160"/>
    </w:pPr>
    <w:rPr>
      <w:rFonts w:ascii="Times" w:hAnsi="Times"/>
      <w:sz w:val="22"/>
    </w:rPr>
  </w:style>
  <w:style w:type="paragraph" w:customStyle="1" w:styleId="MCA">
    <w:name w:val="MCA"/>
    <w:basedOn w:val="Normal"/>
    <w:pPr>
      <w:numPr>
        <w:ilvl w:val="1"/>
        <w:numId w:val="22"/>
      </w:numPr>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z w:val="22"/>
    </w:rPr>
  </w:style>
  <w:style w:type="paragraph" w:customStyle="1" w:styleId="awTBfigCap">
    <w:name w:val="awTB_figCap"/>
    <w:basedOn w:val="Normal"/>
    <w:pPr>
      <w:keepNext/>
      <w:keepLines/>
      <w:spacing w:before="40" w:after="40"/>
      <w:ind w:left="387"/>
      <w:outlineLvl w:val="1"/>
    </w:pPr>
    <w:rPr>
      <w:rFonts w:ascii="Times" w:hAnsi="Times"/>
      <w:i/>
      <w:sz w:val="22"/>
    </w:rPr>
  </w:style>
  <w:style w:type="paragraph" w:customStyle="1" w:styleId="awTB02question">
    <w:name w:val="awTB_02_question"/>
    <w:basedOn w:val="Normal"/>
    <w:next w:val="Normal"/>
    <w:pPr>
      <w:keepNext/>
      <w:keepLines/>
      <w:tabs>
        <w:tab w:val="num" w:pos="547"/>
        <w:tab w:val="left" w:pos="640"/>
      </w:tabs>
      <w:spacing w:before="200" w:after="60"/>
      <w:ind w:left="547" w:hanging="547"/>
      <w:outlineLvl w:val="2"/>
    </w:pPr>
    <w:rPr>
      <w:rFonts w:ascii="Times" w:hAnsi="Times"/>
      <w:sz w:val="22"/>
    </w:rPr>
  </w:style>
  <w:style w:type="paragraph" w:customStyle="1" w:styleId="awTB03distractor">
    <w:name w:val="awTB_03_distractor"/>
    <w:basedOn w:val="Normal"/>
    <w:pPr>
      <w:keepNext/>
      <w:keepLines/>
      <w:numPr>
        <w:ilvl w:val="2"/>
        <w:numId w:val="20"/>
      </w:numPr>
      <w:tabs>
        <w:tab w:val="left" w:pos="720"/>
      </w:tabs>
      <w:spacing w:after="40"/>
      <w:outlineLvl w:val="2"/>
    </w:pPr>
    <w:rPr>
      <w:rFonts w:ascii="Times" w:hAnsi="Times"/>
      <w:sz w:val="22"/>
    </w:rPr>
  </w:style>
  <w:style w:type="paragraph" w:customStyle="1" w:styleId="awTB01questionHead">
    <w:name w:val="awTB_01_questionHead"/>
    <w:basedOn w:val="Normal"/>
    <w:pPr>
      <w:keepNext/>
      <w:keepLines/>
      <w:numPr>
        <w:numId w:val="20"/>
      </w:numPr>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character" w:customStyle="1" w:styleId="HeaderChar">
    <w:name w:val="Header Char"/>
    <w:basedOn w:val="DefaultParagraphFont"/>
    <w:semiHidden/>
    <w:locked/>
    <w:rPr>
      <w:rFonts w:cs="Times New Roman"/>
      <w:sz w:val="20"/>
      <w:szCs w:val="20"/>
    </w:rPr>
  </w:style>
  <w:style w:type="paragraph" w:styleId="Footer">
    <w:name w:val="footer"/>
    <w:basedOn w:val="Normal"/>
    <w:semiHidden/>
    <w:pPr>
      <w:tabs>
        <w:tab w:val="center" w:pos="4320"/>
        <w:tab w:val="right" w:pos="8640"/>
      </w:tabs>
    </w:pPr>
  </w:style>
  <w:style w:type="character" w:customStyle="1" w:styleId="FooterChar">
    <w:name w:val="Footer Char"/>
    <w:basedOn w:val="DefaultParagraphFont"/>
    <w:semiHidden/>
    <w:locked/>
    <w:rPr>
      <w:rFonts w:cs="Times New Roman"/>
      <w:sz w:val="20"/>
      <w:szCs w:val="20"/>
    </w:rPr>
  </w:style>
  <w:style w:type="character" w:styleId="PageNumber">
    <w:name w:val="page number"/>
    <w:basedOn w:val="DefaultParagraphFont"/>
    <w:semiHidden/>
    <w:rPr>
      <w:rFonts w:cs="Times New Roman"/>
    </w:rPr>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hAnsi="Times"/>
      <w:noProof/>
      <w:sz w:val="18"/>
    </w:rPr>
  </w:style>
  <w:style w:type="paragraph" w:customStyle="1" w:styleId="awTB03distractorLast">
    <w:name w:val="awTB_03_distractor_Last"/>
    <w:basedOn w:val="awTB03distractor"/>
    <w:pPr>
      <w:keepNext w:val="0"/>
      <w:numPr>
        <w:ilvl w:val="0"/>
        <w:numId w:val="0"/>
      </w:numPr>
    </w:pPr>
  </w:style>
  <w:style w:type="paragraph" w:customStyle="1" w:styleId="KTtext">
    <w:name w:val="KT_text"/>
    <w:basedOn w:val="T1"/>
    <w:rPr>
      <w:szCs w:val="19"/>
    </w:rPr>
  </w:style>
  <w:style w:type="paragraph" w:styleId="BodyTextIndent">
    <w:name w:val="Body Text Indent"/>
    <w:basedOn w:val="Normal"/>
    <w:semiHidden/>
    <w:pPr>
      <w:tabs>
        <w:tab w:val="left" w:pos="720"/>
      </w:tabs>
      <w:ind w:left="677" w:hanging="288"/>
    </w:pPr>
  </w:style>
  <w:style w:type="character" w:customStyle="1" w:styleId="BodyTextIndentChar">
    <w:name w:val="Body Text Indent Char"/>
    <w:basedOn w:val="DefaultParagraphFont"/>
    <w:semiHidden/>
    <w:locked/>
    <w:rPr>
      <w:rFonts w:cs="Times New Roman"/>
      <w:sz w:val="20"/>
      <w:szCs w:val="20"/>
    </w:rPr>
  </w:style>
  <w:style w:type="paragraph" w:customStyle="1" w:styleId="Problemlist1">
    <w:name w:val="Problem_list1"/>
    <w:basedOn w:val="awTB02question"/>
    <w:pPr>
      <w:tabs>
        <w:tab w:val="clear" w:pos="547"/>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0"/>
        <w:tab w:val="left" w:pos="450"/>
      </w:tabs>
      <w:ind w:left="450" w:hanging="450"/>
    </w:pPr>
  </w:style>
  <w:style w:type="paragraph" w:customStyle="1" w:styleId="MCQList2">
    <w:name w:val="MCQ_List2"/>
    <w:basedOn w:val="Normal"/>
    <w:rsid w:val="0069249C"/>
    <w:pPr>
      <w:keepLines/>
      <w:spacing w:after="40"/>
      <w:ind w:left="720" w:hanging="270"/>
      <w:outlineLvl w:val="2"/>
    </w:pPr>
    <w:rPr>
      <w:rFonts w:ascii="Times" w:hAnsi="Times"/>
      <w:sz w:val="22"/>
    </w:r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character" w:customStyle="1" w:styleId="BodyTextChar">
    <w:name w:val="Body Text Char"/>
    <w:basedOn w:val="DefaultParagraphFont"/>
    <w:semiHidden/>
    <w:locked/>
    <w:rPr>
      <w:rFonts w:cs="Times New Roman"/>
      <w:sz w:val="20"/>
      <w:szCs w:val="20"/>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clear" w:pos="1483"/>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style>
  <w:style w:type="paragraph" w:customStyle="1" w:styleId="CO">
    <w:name w:val="CO"/>
    <w:basedOn w:val="MCQList1"/>
    <w:pPr>
      <w:spacing w:before="0"/>
      <w:ind w:left="403" w:hanging="403"/>
    </w:pPr>
  </w:style>
  <w:style w:type="paragraph" w:customStyle="1" w:styleId="TF">
    <w:name w:val="TF"/>
    <w:basedOn w:val="CO"/>
    <w:pPr>
      <w:tabs>
        <w:tab w:val="left" w:pos="1901"/>
      </w:tabs>
      <w:ind w:left="1901" w:hanging="1901"/>
    </w:pPr>
  </w:style>
  <w:style w:type="paragraph" w:customStyle="1" w:styleId="PG">
    <w:name w:val="PG"/>
    <w:basedOn w:val="MCQList1"/>
  </w:style>
  <w:style w:type="paragraph" w:customStyle="1" w:styleId="SubList5">
    <w:name w:val="SubList5"/>
    <w:basedOn w:val="List5"/>
    <w:pPr>
      <w:tabs>
        <w:tab w:val="clear" w:pos="1915"/>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character" w:customStyle="1" w:styleId="TitleChar">
    <w:name w:val="Title Char"/>
    <w:basedOn w:val="DefaultParagraphFont"/>
    <w:locked/>
    <w:rPr>
      <w:rFonts w:ascii="Cambria" w:hAnsi="Cambria" w:cs="Times New Roman"/>
      <w:b/>
      <w:bCs/>
      <w:kern w:val="28"/>
      <w:sz w:val="32"/>
      <w:szCs w:val="32"/>
    </w:rPr>
  </w:style>
  <w:style w:type="paragraph" w:styleId="BodyTextIndent2">
    <w:name w:val="Body Text Indent 2"/>
    <w:basedOn w:val="Normal"/>
    <w:semiHidden/>
    <w:pPr>
      <w:tabs>
        <w:tab w:val="left" w:pos="360"/>
        <w:tab w:val="left" w:pos="720"/>
        <w:tab w:val="left" w:pos="1080"/>
        <w:tab w:val="left" w:pos="1440"/>
        <w:tab w:val="left" w:pos="1800"/>
        <w:tab w:val="left" w:pos="2160"/>
        <w:tab w:val="left" w:pos="2520"/>
        <w:tab w:val="left" w:pos="3150"/>
        <w:tab w:val="left" w:pos="3870"/>
        <w:tab w:val="left" w:pos="4590"/>
        <w:tab w:val="left" w:pos="5310"/>
        <w:tab w:val="left" w:pos="6030"/>
        <w:tab w:val="left" w:pos="6750"/>
        <w:tab w:val="left" w:pos="7470"/>
        <w:tab w:val="left" w:pos="8190"/>
        <w:tab w:val="left" w:pos="8910"/>
      </w:tabs>
      <w:ind w:left="1080" w:hanging="1080"/>
    </w:pPr>
  </w:style>
  <w:style w:type="character" w:customStyle="1" w:styleId="BodyTextIndent2Char">
    <w:name w:val="Body Text Indent 2 Char"/>
    <w:basedOn w:val="DefaultParagraphFont"/>
    <w:semiHidden/>
    <w:locked/>
    <w:rPr>
      <w:rFonts w:cs="Times New Roman"/>
      <w:sz w:val="20"/>
      <w:szCs w:val="20"/>
    </w:rPr>
  </w:style>
  <w:style w:type="paragraph" w:styleId="BodyTextIndent3">
    <w:name w:val="Body Text Indent 3"/>
    <w:basedOn w:val="Normal"/>
    <w:semiHidden/>
    <w:pPr>
      <w:tabs>
        <w:tab w:val="left" w:pos="-720"/>
        <w:tab w:val="left" w:pos="360"/>
        <w:tab w:val="left" w:pos="720"/>
        <w:tab w:val="left" w:pos="1080"/>
        <w:tab w:val="left" w:pos="1440"/>
        <w:tab w:val="left" w:pos="1800"/>
        <w:tab w:val="left" w:pos="2160"/>
        <w:tab w:val="left" w:pos="2520"/>
        <w:tab w:val="left" w:pos="2880"/>
        <w:tab w:val="left" w:pos="3600"/>
        <w:tab w:val="left" w:pos="4320"/>
        <w:tab w:val="left" w:pos="5040"/>
        <w:tab w:val="left" w:pos="5760"/>
        <w:tab w:val="left" w:pos="6480"/>
        <w:tab w:val="left" w:pos="7200"/>
        <w:tab w:val="left" w:pos="7920"/>
        <w:tab w:val="left" w:pos="8640"/>
      </w:tabs>
      <w:ind w:left="360" w:hanging="360"/>
    </w:pPr>
  </w:style>
  <w:style w:type="character" w:customStyle="1" w:styleId="BodyTextIndent3Char">
    <w:name w:val="Body Text Indent 3 Char"/>
    <w:basedOn w:val="DefaultParagraphFont"/>
    <w:semiHidden/>
    <w:locked/>
    <w:rPr>
      <w:rFonts w:cs="Times New Roman"/>
      <w:sz w:val="16"/>
      <w:szCs w:val="16"/>
    </w:rPr>
  </w:style>
  <w:style w:type="character" w:styleId="Hyperlink">
    <w:name w:val="Hyperlink"/>
    <w:basedOn w:val="DefaultParagraphFont"/>
    <w:semiHidden/>
    <w:rPr>
      <w:rFonts w:cs="Times New Roman"/>
      <w:color w:val="0000FF"/>
      <w:u w:val="single"/>
    </w:rPr>
  </w:style>
  <w:style w:type="paragraph" w:customStyle="1" w:styleId="TFQ">
    <w:name w:val="TFQ"/>
    <w:basedOn w:val="T1"/>
    <w:pPr>
      <w:tabs>
        <w:tab w:val="left" w:pos="446"/>
      </w:tabs>
      <w:spacing w:before="200"/>
      <w:ind w:left="446" w:hanging="446"/>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after="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character" w:customStyle="1" w:styleId="BalloonTextChar">
    <w:name w:val="Balloon Text Char"/>
    <w:basedOn w:val="DefaultParagraphFont"/>
    <w:semiHidden/>
    <w:locked/>
    <w:rPr>
      <w:rFonts w:cs="Times New Roman"/>
      <w:sz w:val="2"/>
    </w:rPr>
  </w:style>
  <w:style w:type="paragraph" w:customStyle="1" w:styleId="list1sub">
    <w:name w:val="list1_sub"/>
    <w:basedOn w:val="List2"/>
    <w:pPr>
      <w:ind w:left="504" w:firstLine="0"/>
    </w:pPr>
  </w:style>
  <w:style w:type="paragraph" w:customStyle="1" w:styleId="List10">
    <w:name w:val="List1."/>
    <w:basedOn w:val="List2"/>
    <w:pPr>
      <w:tabs>
        <w:tab w:val="clear" w:pos="907"/>
      </w:tabs>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tabs>
        <w:tab w:val="clear" w:pos="288"/>
      </w:tabs>
      <w:spacing w:before="120"/>
      <w:ind w:left="1134" w:hanging="315"/>
    </w:pPr>
  </w:style>
  <w:style w:type="paragraph" w:customStyle="1" w:styleId="MCQList1a">
    <w:name w:val="MCQ_List1a"/>
    <w:basedOn w:val="MCQList1"/>
    <w:pPr>
      <w:tabs>
        <w:tab w:val="clear" w:pos="270"/>
        <w:tab w:val="right" w:pos="274"/>
        <w:tab w:val="left" w:pos="825"/>
      </w:tabs>
      <w:ind w:left="825" w:hanging="825"/>
    </w:pPr>
  </w:style>
  <w:style w:type="paragraph" w:customStyle="1" w:styleId="MCQList2sub">
    <w:name w:val="MCQ_List2_sub"/>
    <w:basedOn w:val="MCQList2"/>
    <w:pPr>
      <w:tabs>
        <w:tab w:val="left" w:pos="821"/>
        <w:tab w:val="left" w:pos="1200"/>
      </w:tabs>
      <w:ind w:left="1200" w:hanging="754"/>
    </w:pPr>
  </w:style>
  <w:style w:type="paragraph" w:customStyle="1" w:styleId="OutlineI">
    <w:name w:val="Outline_I"/>
    <w:basedOn w:val="Normal"/>
    <w:qFormat/>
    <w:rsid w:val="00EB4FEE"/>
    <w:pPr>
      <w:numPr>
        <w:numId w:val="34"/>
      </w:numPr>
      <w:spacing w:before="60"/>
      <w:ind w:left="1170"/>
    </w:pPr>
    <w:rPr>
      <w:rFonts w:ascii="Times" w:eastAsiaTheme="minorHAnsi" w:hAnsi="Times" w:cs="Times"/>
      <w:sz w:val="22"/>
      <w:szCs w:val="24"/>
    </w:rPr>
  </w:style>
  <w:style w:type="paragraph" w:customStyle="1" w:styleId="OutlineA">
    <w:name w:val="Outline_A"/>
    <w:basedOn w:val="Normal"/>
    <w:qFormat/>
    <w:rsid w:val="00EB4FEE"/>
    <w:pPr>
      <w:numPr>
        <w:numId w:val="32"/>
      </w:numPr>
      <w:spacing w:before="60"/>
      <w:ind w:left="1526"/>
    </w:pPr>
    <w:rPr>
      <w:rFonts w:ascii="Times" w:eastAsiaTheme="minorHAnsi" w:hAnsi="Times" w:cs="Times"/>
      <w:sz w:val="22"/>
      <w:szCs w:val="24"/>
    </w:rPr>
  </w:style>
  <w:style w:type="paragraph" w:customStyle="1" w:styleId="Outlline1">
    <w:name w:val="Outlline_1"/>
    <w:basedOn w:val="Normal"/>
    <w:qFormat/>
    <w:rsid w:val="00EB4FEE"/>
    <w:pPr>
      <w:numPr>
        <w:numId w:val="33"/>
      </w:numPr>
      <w:spacing w:before="60"/>
    </w:pPr>
    <w:rPr>
      <w:rFonts w:ascii="Times" w:eastAsiaTheme="minorHAnsi" w:hAnsi="Times" w:cs="Times"/>
      <w:sz w:val="22"/>
      <w:szCs w:val="24"/>
    </w:rPr>
  </w:style>
  <w:style w:type="paragraph" w:customStyle="1" w:styleId="MCQAnswer">
    <w:name w:val="MCQ_Answer"/>
    <w:basedOn w:val="Normal"/>
    <w:qFormat/>
    <w:rsid w:val="00EB4FEE"/>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MCQAnswerBL">
    <w:name w:val="MCQ_AnswerBL"/>
    <w:basedOn w:val="Normal"/>
    <w:qFormat/>
    <w:rsid w:val="00EB4FEE"/>
    <w:pPr>
      <w:spacing w:after="60"/>
      <w:ind w:left="705" w:hanging="259"/>
    </w:pPr>
    <w:rPr>
      <w:rFonts w:ascii="Arial Narrow" w:hAnsi="Arial Narrow"/>
      <w:sz w:val="22"/>
      <w:szCs w:val="24"/>
    </w:rPr>
  </w:style>
  <w:style w:type="paragraph" w:customStyle="1" w:styleId="LearningObjectives">
    <w:name w:val="LearningObjectives"/>
    <w:basedOn w:val="Normal"/>
    <w:qFormat/>
    <w:rsid w:val="00EB4FEE"/>
    <w:pPr>
      <w:spacing w:before="120" w:line="259" w:lineRule="auto"/>
      <w:ind w:left="720" w:hanging="360"/>
    </w:pPr>
    <w:rPr>
      <w:rFonts w:ascii="Times" w:eastAsiaTheme="minorHAnsi" w:hAnsi="Times" w:cs="Times"/>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0CCA6C-A062-4262-BFA3-EDA78BCCF6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5</Pages>
  <Words>1823</Words>
  <Characters>9846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M09_MOFF9242_03_IM_C09</vt:lpstr>
    </vt:vector>
  </TitlesOfParts>
  <Company>ITC</Company>
  <LinksUpToDate>false</LinksUpToDate>
  <CharactersWithSpaces>11646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M09_MOFF9242_03_IM_C09</dc:title>
  <dc:subject/>
  <dc:creator>Administrator</dc:creator>
  <cp:keywords/>
  <dc:description/>
  <cp:lastModifiedBy>Sheryl Nelson</cp:lastModifiedBy>
  <cp:revision>11</cp:revision>
  <cp:lastPrinted>2008-01-16T16:16:00Z</cp:lastPrinted>
  <dcterms:created xsi:type="dcterms:W3CDTF">2014-07-14T20:48:00Z</dcterms:created>
  <dcterms:modified xsi:type="dcterms:W3CDTF">2014-09-29T15:26:00Z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