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E9E6E" w14:textId="4DEFE344" w:rsidR="00C66304" w:rsidRPr="007C5868" w:rsidRDefault="00AE3BD7">
      <w:pPr>
        <w:rPr>
          <w:rFonts w:ascii="Times New Roman" w:hAnsi="Times New Roman" w:cs="Times New Roman"/>
          <w:b/>
          <w:bCs/>
          <w:sz w:val="36"/>
          <w:szCs w:val="36"/>
        </w:rPr>
      </w:pPr>
      <w:r w:rsidRPr="007C5868">
        <w:rPr>
          <w:rFonts w:ascii="Times New Roman" w:hAnsi="Times New Roman" w:cs="Times New Roman"/>
          <w:b/>
          <w:bCs/>
          <w:sz w:val="36"/>
          <w:szCs w:val="36"/>
        </w:rPr>
        <w:t xml:space="preserve">Pinterest Assignment </w:t>
      </w:r>
    </w:p>
    <w:p w14:paraId="68AB4C67" w14:textId="77777777" w:rsidR="00724627" w:rsidRDefault="00724627" w:rsidP="00724627">
      <w:pPr>
        <w:jc w:val="both"/>
        <w:rPr>
          <w:rFonts w:ascii="Times New Roman" w:hAnsi="Times New Roman" w:cs="Times New Roman"/>
          <w:sz w:val="28"/>
          <w:szCs w:val="28"/>
        </w:rPr>
      </w:pPr>
    </w:p>
    <w:p w14:paraId="04D5DB3A" w14:textId="25FCA74F" w:rsidR="00AE3BD7" w:rsidRPr="000A020A" w:rsidRDefault="00724627" w:rsidP="00724627">
      <w:pPr>
        <w:jc w:val="both"/>
        <w:rPr>
          <w:rFonts w:ascii="Times New Roman" w:hAnsi="Times New Roman" w:cs="Times New Roman"/>
          <w:sz w:val="24"/>
          <w:szCs w:val="24"/>
        </w:rPr>
      </w:pPr>
      <w:r>
        <w:rPr>
          <w:rFonts w:ascii="Times New Roman" w:hAnsi="Times New Roman" w:cs="Times New Roman"/>
          <w:sz w:val="28"/>
          <w:szCs w:val="28"/>
        </w:rPr>
        <w:t xml:space="preserve">My board aimed to highlight the funerary ritual and beliefs of Bronze Age Cyprus through imagery of the archaeological record. </w:t>
      </w:r>
      <w:r w:rsidR="007C5868" w:rsidRPr="000A020A">
        <w:rPr>
          <w:rFonts w:ascii="Times New Roman" w:hAnsi="Times New Roman" w:cs="Times New Roman"/>
          <w:sz w:val="28"/>
          <w:szCs w:val="28"/>
        </w:rPr>
        <w:t xml:space="preserve">Using </w:t>
      </w:r>
      <w:r w:rsidR="000A020A" w:rsidRPr="000A020A">
        <w:rPr>
          <w:rFonts w:ascii="Times New Roman" w:hAnsi="Times New Roman" w:cs="Times New Roman"/>
          <w:sz w:val="28"/>
          <w:szCs w:val="28"/>
        </w:rPr>
        <w:t>Pinterest as a tool</w:t>
      </w:r>
      <w:r w:rsidR="000A020A">
        <w:rPr>
          <w:rFonts w:ascii="Times New Roman" w:hAnsi="Times New Roman" w:cs="Times New Roman"/>
          <w:sz w:val="28"/>
          <w:szCs w:val="28"/>
        </w:rPr>
        <w:t xml:space="preserve"> for the accumulation of imagery associated with the archaeology of </w:t>
      </w:r>
      <w:r w:rsidR="00407FD3">
        <w:rPr>
          <w:rFonts w:ascii="Times New Roman" w:hAnsi="Times New Roman" w:cs="Times New Roman"/>
          <w:sz w:val="28"/>
          <w:szCs w:val="28"/>
        </w:rPr>
        <w:t>Bronze Age Cyprus was equal parts interesting as well as frustrating. I found Pinterest’s search engine to be far too generalised, in that it was largely unable to differentiate, or prioritise artefacts from Cyprus, and those from elsewhere – I also had difficulty sifting through the search results to find images that corresponded to my respective period. In response to this, I used a combination of photographs</w:t>
      </w:r>
      <w:r w:rsidR="00E94C36">
        <w:rPr>
          <w:rFonts w:ascii="Times New Roman" w:hAnsi="Times New Roman" w:cs="Times New Roman"/>
          <w:sz w:val="28"/>
          <w:szCs w:val="28"/>
        </w:rPr>
        <w:t xml:space="preserve"> and illustrations sourced from the articles I was referring from in my research. While I have reservations about the platform being utilised in this way, and feel that its algorithm functions largely on image recognition and similarity, my academic understanding of Bronze Age Cyprus has benefited from this assignment, and my comprehension of accessing and navigating online resources</w:t>
      </w:r>
      <w:r w:rsidR="00BD6CF9">
        <w:rPr>
          <w:rFonts w:ascii="Times New Roman" w:hAnsi="Times New Roman" w:cs="Times New Roman"/>
          <w:sz w:val="28"/>
          <w:szCs w:val="28"/>
        </w:rPr>
        <w:t xml:space="preserve"> has further developed. Familiarising oneself with digital platforms and social media is proving increasingly paramount to the continuation of humanities subjects as we move further into an ever-evolving digital age, so engaging with Pinterest in this context has allowed me to identify and characterise certain limitations or benefits of different social platforms in the pursuit of increased accessibility in academia. I engaged with a diverse host of articles and other written works within my research</w:t>
      </w:r>
      <w:r w:rsidR="00AE28CC">
        <w:rPr>
          <w:rFonts w:ascii="Times New Roman" w:hAnsi="Times New Roman" w:cs="Times New Roman"/>
          <w:sz w:val="28"/>
          <w:szCs w:val="28"/>
        </w:rPr>
        <w:t xml:space="preserve"> – certainly more than if I were to write an essay specific to one subject. I appreciated the emphasis on the visual component of material culture and other aspects of archaeology, as one can glean a lot from just visually engaging with the archaeological record</w:t>
      </w:r>
      <w:r>
        <w:rPr>
          <w:rFonts w:ascii="Times New Roman" w:hAnsi="Times New Roman" w:cs="Times New Roman"/>
          <w:sz w:val="28"/>
          <w:szCs w:val="28"/>
        </w:rPr>
        <w:t xml:space="preserve">. </w:t>
      </w:r>
    </w:p>
    <w:p w14:paraId="015AC051" w14:textId="77777777" w:rsidR="00724627" w:rsidRDefault="00724627">
      <w:pPr>
        <w:rPr>
          <w:rFonts w:ascii="Times New Roman" w:hAnsi="Times New Roman" w:cs="Times New Roman"/>
          <w:b/>
          <w:bCs/>
          <w:sz w:val="28"/>
          <w:szCs w:val="28"/>
        </w:rPr>
      </w:pPr>
    </w:p>
    <w:p w14:paraId="3229159A" w14:textId="0E9EE8EF" w:rsidR="00AE3BD7" w:rsidRPr="007C5868" w:rsidRDefault="00AE3BD7">
      <w:pPr>
        <w:rPr>
          <w:rFonts w:ascii="Times New Roman" w:hAnsi="Times New Roman" w:cs="Times New Roman"/>
          <w:b/>
          <w:bCs/>
          <w:sz w:val="28"/>
          <w:szCs w:val="28"/>
        </w:rPr>
      </w:pPr>
      <w:r w:rsidRPr="007C5868">
        <w:rPr>
          <w:rFonts w:ascii="Times New Roman" w:hAnsi="Times New Roman" w:cs="Times New Roman"/>
          <w:b/>
          <w:bCs/>
          <w:sz w:val="28"/>
          <w:szCs w:val="28"/>
        </w:rPr>
        <w:t>REFERENCES</w:t>
      </w:r>
    </w:p>
    <w:p w14:paraId="0AF9B2DB" w14:textId="3B8B995E"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British Museum, the Trustees of the, ‘bowl’, The British Museum https://www.britishmuseum.org/collection/object/G_1980-1126-1?selectedImageId=593694001 [accessed 2 March 2025]</w:t>
      </w:r>
    </w:p>
    <w:p w14:paraId="2BEBB9AB" w14:textId="284F3B06"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Browne, Clare, ‘Salamander’s Wool: The Historical Evidence for Textiles Woven with Asbestos Fibre’, Textile History, 34 (2003), pp. 64-73, doi: 10.1179/004049603235001454</w:t>
      </w:r>
    </w:p>
    <w:p w14:paraId="3047F160" w14:textId="6A4C52E5" w:rsidR="00794455" w:rsidRDefault="007A1B65">
      <w:pPr>
        <w:rPr>
          <w:rFonts w:ascii="Times New Roman" w:hAnsi="Times New Roman" w:cs="Times New Roman"/>
          <w:sz w:val="28"/>
          <w:szCs w:val="28"/>
        </w:rPr>
      </w:pPr>
      <w:r>
        <w:rPr>
          <w:rFonts w:ascii="Times New Roman" w:hAnsi="Times New Roman" w:cs="Times New Roman"/>
          <w:sz w:val="28"/>
          <w:szCs w:val="28"/>
        </w:rPr>
        <w:t>Crewe, Lindy, ‘Feasting with the Dead? Tomb 66 at Enkomi’ in Cyprus in the British Museum: Essays in Honour of Veronica Tatton-Brown, ed. by T. Kiely (British Museum Press, 2009), pp. 27-48</w:t>
      </w:r>
    </w:p>
    <w:p w14:paraId="0B60842C" w14:textId="5EA84B3A" w:rsidR="00012B5C" w:rsidRDefault="00012B5C">
      <w:pPr>
        <w:rPr>
          <w:rFonts w:ascii="Times New Roman" w:hAnsi="Times New Roman" w:cs="Times New Roman"/>
          <w:sz w:val="28"/>
          <w:szCs w:val="28"/>
        </w:rPr>
      </w:pPr>
      <w:r w:rsidRPr="00012B5C">
        <w:rPr>
          <w:rFonts w:ascii="Times New Roman" w:hAnsi="Times New Roman" w:cs="Times New Roman"/>
          <w:sz w:val="28"/>
          <w:szCs w:val="28"/>
        </w:rPr>
        <w:lastRenderedPageBreak/>
        <w:t>Fischer, Peter M., ‘The Cemetery of Hala Sultan Tekke, Cyprus: Further Evidence of Interculturality and Burial Customs in the Late Bronze Age’, Near Eastern Archaeology, 87.2 (2024), pp. 74-97</w:t>
      </w:r>
    </w:p>
    <w:p w14:paraId="656136A1" w14:textId="55198582"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Keswani, Priscilla, ‘The Early and Middle Bronze Age’ in Mortuary Ritual and Society in Bronze Age Cyprus (Equinox, 2004), p. 56</w:t>
      </w:r>
    </w:p>
    <w:p w14:paraId="7648CB2C" w14:textId="3C73E8D8"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 xml:space="preserve">Knox, Daisy-Kate, ‘Making Sense of Figurines in Bronze Age Cyprus: A Comprehensive Analysis of Cypriot Ceramic Figurative Material from ECI-LCIIIA (c. 2300BC- c. 1100BC)’, (unpublished doctoral thesis, University of Manchester, 2012)  </w:t>
      </w:r>
      <w:hyperlink r:id="rId4" w:history="1">
        <w:r w:rsidRPr="00A03301">
          <w:rPr>
            <w:rStyle w:val="Hyperlink"/>
            <w:rFonts w:ascii="Times New Roman" w:hAnsi="Times New Roman" w:cs="Times New Roman"/>
            <w:sz w:val="28"/>
            <w:szCs w:val="28"/>
          </w:rPr>
          <w:t>https://pure.manchester.ac.uk/ws/portalfiles/portal/54520572/FULL_TEXT.PDF</w:t>
        </w:r>
      </w:hyperlink>
      <w:r>
        <w:rPr>
          <w:rFonts w:ascii="Times New Roman" w:hAnsi="Times New Roman" w:cs="Times New Roman"/>
          <w:sz w:val="28"/>
          <w:szCs w:val="28"/>
        </w:rPr>
        <w:t xml:space="preserve"> </w:t>
      </w:r>
      <w:r w:rsidRPr="00012B5C">
        <w:rPr>
          <w:rFonts w:ascii="Times New Roman" w:hAnsi="Times New Roman" w:cs="Times New Roman"/>
          <w:sz w:val="28"/>
          <w:szCs w:val="28"/>
        </w:rPr>
        <w:t xml:space="preserve"> [accessed 3 March 2025]</w:t>
      </w:r>
      <w:r>
        <w:rPr>
          <w:rFonts w:ascii="Times New Roman" w:hAnsi="Times New Roman" w:cs="Times New Roman"/>
          <w:sz w:val="28"/>
          <w:szCs w:val="28"/>
        </w:rPr>
        <w:t xml:space="preserve"> </w:t>
      </w:r>
    </w:p>
    <w:p w14:paraId="43477675" w14:textId="6C35A788"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Smith, Joanna S., ‘Intaglio finger rings and their wearers in Late Bronze Age Cyprus’ in Structures of Inequality on Bronze Age Cyprus: Studies in Honour of Alison K. South, ed. by Linda Hulin, Lindy Crewe and Jennifer M. Webb (Astrom Edition, 2018), pp. 245-60</w:t>
      </w:r>
    </w:p>
    <w:p w14:paraId="5BDF49B2" w14:textId="3C38779B"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Steel, Louise, ‘The Social World of Early-Middle Bronze Age Cyprus: Rethinking the Vounous Bowl’, Journal of Mediterranean Archaeology, 26.1 (2013), pp. 51-73</w:t>
      </w:r>
    </w:p>
    <w:p w14:paraId="268E6746" w14:textId="3472C05B"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Stewart, J. R, ‘Decorated Tomb Facades, Cyprus’, Antiquity, 13.52 (1939), pp. 461-63</w:t>
      </w:r>
    </w:p>
    <w:p w14:paraId="3BCE5FD2" w14:textId="35A58D7A" w:rsidR="00012B5C" w:rsidRDefault="00012B5C">
      <w:pPr>
        <w:rPr>
          <w:rFonts w:ascii="Times New Roman" w:hAnsi="Times New Roman" w:cs="Times New Roman"/>
          <w:sz w:val="28"/>
          <w:szCs w:val="28"/>
        </w:rPr>
      </w:pPr>
      <w:r w:rsidRPr="00012B5C">
        <w:rPr>
          <w:rFonts w:ascii="Times New Roman" w:hAnsi="Times New Roman" w:cs="Times New Roman"/>
          <w:sz w:val="28"/>
          <w:szCs w:val="28"/>
        </w:rPr>
        <w:t>Washbourne, Rose, ‘Out of the Mouths of Pots: Towards an interpretation of the symbolic meaning of Cypriot Bronze Age funerary artefacts including examples in the University of Canterbury’s Logie collection’, (unpublished doctoral thesis, University of Canterbury, 1998) file:///C:/Users/User/Downloads/washbourne_thesis.pdf  [accessed 2 March 2025]</w:t>
      </w:r>
    </w:p>
    <w:p w14:paraId="0F35609D" w14:textId="14089216" w:rsidR="00DD6554" w:rsidRDefault="00500404">
      <w:pPr>
        <w:rPr>
          <w:rFonts w:ascii="Times New Roman" w:hAnsi="Times New Roman" w:cs="Times New Roman"/>
          <w:sz w:val="28"/>
          <w:szCs w:val="28"/>
        </w:rPr>
      </w:pPr>
      <w:r w:rsidRPr="00500404">
        <w:rPr>
          <w:rFonts w:ascii="Times New Roman" w:hAnsi="Times New Roman" w:cs="Times New Roman"/>
          <w:sz w:val="28"/>
          <w:szCs w:val="28"/>
        </w:rPr>
        <w:t>Webb, Jennifer M., ‘Anthropomorphic Figures from Middle Bronze Age Cyprus: Who or What do they Represent?’, Journal of the Classical Association of Victoria, n.s., 29 (2016), pp. 5-18</w:t>
      </w:r>
    </w:p>
    <w:p w14:paraId="7134A90E" w14:textId="6D949CC7" w:rsidR="00500404" w:rsidRDefault="00500404">
      <w:pPr>
        <w:rPr>
          <w:rFonts w:ascii="Times New Roman" w:hAnsi="Times New Roman" w:cs="Times New Roman"/>
          <w:sz w:val="28"/>
          <w:szCs w:val="28"/>
        </w:rPr>
      </w:pPr>
      <w:r w:rsidRPr="00500404">
        <w:rPr>
          <w:rFonts w:ascii="Times New Roman" w:hAnsi="Times New Roman" w:cs="Times New Roman"/>
          <w:sz w:val="28"/>
          <w:szCs w:val="28"/>
        </w:rPr>
        <w:t>Webb, Jennifer M. and David Frankel, ‘A Funerary Deposit from Early Bronze Age Cyprus’, Muse, 42 (2008), pp. 15-30</w:t>
      </w:r>
    </w:p>
    <w:p w14:paraId="44D9ADC1" w14:textId="25571C97" w:rsidR="00500404" w:rsidRDefault="00500404">
      <w:pPr>
        <w:rPr>
          <w:rFonts w:ascii="Times New Roman" w:hAnsi="Times New Roman" w:cs="Times New Roman"/>
          <w:sz w:val="28"/>
          <w:szCs w:val="28"/>
        </w:rPr>
      </w:pPr>
      <w:r w:rsidRPr="00500404">
        <w:rPr>
          <w:rFonts w:ascii="Times New Roman" w:hAnsi="Times New Roman" w:cs="Times New Roman"/>
          <w:sz w:val="28"/>
          <w:szCs w:val="28"/>
        </w:rPr>
        <w:t>Webb, Jennifer M., ‘Ritual as the Setting for Contentious Interaction: From Social Negotiation to Institutionalised Authority in Bronze Age Cyprus’ in The Cambridge Prehistory of the Bronze &amp; Iron Age Mediterranean, ed. by A. Bernard Knapp and Petet van Dommelen (Cambridge University Press, 2015), pp. 619-34</w:t>
      </w:r>
    </w:p>
    <w:p w14:paraId="46D0ABD0" w14:textId="7621BCF1" w:rsidR="00AE3BD7" w:rsidRDefault="00AE3BD7">
      <w:pPr>
        <w:rPr>
          <w:rFonts w:ascii="Times New Roman" w:hAnsi="Times New Roman" w:cs="Times New Roman"/>
          <w:sz w:val="28"/>
          <w:szCs w:val="28"/>
        </w:rPr>
      </w:pPr>
      <w:r>
        <w:rPr>
          <w:rFonts w:ascii="Times New Roman" w:hAnsi="Times New Roman" w:cs="Times New Roman"/>
          <w:sz w:val="28"/>
          <w:szCs w:val="28"/>
        </w:rPr>
        <w:lastRenderedPageBreak/>
        <w:t>Webb, M. Jennifer and David Frankel, ‘Social Strategies, Ritual and Cosmology</w:t>
      </w:r>
      <w:r w:rsidR="00F3168C">
        <w:rPr>
          <w:rFonts w:ascii="Times New Roman" w:hAnsi="Times New Roman" w:cs="Times New Roman"/>
          <w:sz w:val="28"/>
          <w:szCs w:val="28"/>
        </w:rPr>
        <w:t xml:space="preserve"> </w:t>
      </w:r>
      <w:r w:rsidR="00E84A25">
        <w:rPr>
          <w:rFonts w:ascii="Times New Roman" w:hAnsi="Times New Roman" w:cs="Times New Roman"/>
          <w:sz w:val="28"/>
          <w:szCs w:val="28"/>
        </w:rPr>
        <w:t xml:space="preserve">in Early Bronze Age Cyprus: An Investigation of Burial Data </w:t>
      </w:r>
      <w:r w:rsidR="005A7F74">
        <w:rPr>
          <w:rFonts w:ascii="Times New Roman" w:hAnsi="Times New Roman" w:cs="Times New Roman"/>
          <w:sz w:val="28"/>
          <w:szCs w:val="28"/>
        </w:rPr>
        <w:t xml:space="preserve">from the North Coast’, </w:t>
      </w:r>
      <w:r w:rsidR="005A7F74" w:rsidRPr="00F3168C">
        <w:rPr>
          <w:rFonts w:ascii="Times New Roman" w:hAnsi="Times New Roman" w:cs="Times New Roman"/>
          <w:i/>
          <w:iCs/>
          <w:sz w:val="28"/>
          <w:szCs w:val="28"/>
        </w:rPr>
        <w:t>Levant: The Journal of the Council for British Research in the Levant</w:t>
      </w:r>
      <w:r w:rsidR="005A7F74">
        <w:rPr>
          <w:rFonts w:ascii="Times New Roman" w:hAnsi="Times New Roman" w:cs="Times New Roman"/>
          <w:sz w:val="28"/>
          <w:szCs w:val="28"/>
        </w:rPr>
        <w:t>, 42.2 (2010), pp. 185-209, doi: 10.1179/1756380</w:t>
      </w:r>
      <w:r w:rsidR="00F3168C">
        <w:rPr>
          <w:rFonts w:ascii="Times New Roman" w:hAnsi="Times New Roman" w:cs="Times New Roman"/>
          <w:sz w:val="28"/>
          <w:szCs w:val="28"/>
        </w:rPr>
        <w:t>10X12797237885776</w:t>
      </w:r>
    </w:p>
    <w:p w14:paraId="0ED2E92F" w14:textId="77777777" w:rsidR="00FB6E59" w:rsidRDefault="00FB6E59">
      <w:pPr>
        <w:rPr>
          <w:rFonts w:ascii="Times New Roman" w:hAnsi="Times New Roman" w:cs="Times New Roman"/>
          <w:sz w:val="28"/>
          <w:szCs w:val="28"/>
        </w:rPr>
      </w:pPr>
    </w:p>
    <w:p w14:paraId="11C676E3" w14:textId="3B4AA899" w:rsidR="00FB6E59" w:rsidRPr="007C5868" w:rsidRDefault="007C5868">
      <w:pPr>
        <w:rPr>
          <w:rFonts w:ascii="Times New Roman" w:hAnsi="Times New Roman" w:cs="Times New Roman"/>
          <w:b/>
          <w:bCs/>
          <w:sz w:val="28"/>
          <w:szCs w:val="28"/>
        </w:rPr>
      </w:pPr>
      <w:r w:rsidRPr="007C5868">
        <w:rPr>
          <w:rFonts w:ascii="Times New Roman" w:hAnsi="Times New Roman" w:cs="Times New Roman"/>
          <w:b/>
          <w:bCs/>
          <w:sz w:val="28"/>
          <w:szCs w:val="28"/>
        </w:rPr>
        <w:t>Pinterest Board Link:</w:t>
      </w:r>
    </w:p>
    <w:p w14:paraId="5BEAC87E" w14:textId="5855371A" w:rsidR="000E754A" w:rsidRDefault="007C5868">
      <w:pPr>
        <w:rPr>
          <w:rFonts w:ascii="Times New Roman" w:hAnsi="Times New Roman" w:cs="Times New Roman"/>
          <w:sz w:val="28"/>
          <w:szCs w:val="28"/>
        </w:rPr>
      </w:pPr>
      <w:hyperlink r:id="rId5" w:history="1">
        <w:r w:rsidRPr="00A03301">
          <w:rPr>
            <w:rStyle w:val="Hyperlink"/>
            <w:rFonts w:ascii="Times New Roman" w:hAnsi="Times New Roman" w:cs="Times New Roman"/>
            <w:sz w:val="28"/>
            <w:szCs w:val="28"/>
          </w:rPr>
          <w:t>https://pin.it/47VCewWBv</w:t>
        </w:r>
      </w:hyperlink>
      <w:r>
        <w:rPr>
          <w:rFonts w:ascii="Times New Roman" w:hAnsi="Times New Roman" w:cs="Times New Roman"/>
          <w:sz w:val="28"/>
          <w:szCs w:val="28"/>
        </w:rPr>
        <w:t xml:space="preserve"> </w:t>
      </w:r>
    </w:p>
    <w:p w14:paraId="1DF7F387" w14:textId="1602A6C1" w:rsidR="008C679E" w:rsidRDefault="008C679E">
      <w:pPr>
        <w:rPr>
          <w:rFonts w:ascii="Times New Roman" w:hAnsi="Times New Roman" w:cs="Times New Roman"/>
          <w:sz w:val="28"/>
          <w:szCs w:val="28"/>
        </w:rPr>
      </w:pPr>
    </w:p>
    <w:p w14:paraId="55BF16EC" w14:textId="014D9B19" w:rsidR="00A203FF" w:rsidRDefault="00A203FF">
      <w:pPr>
        <w:rPr>
          <w:rFonts w:ascii="Times New Roman" w:hAnsi="Times New Roman" w:cs="Times New Roman"/>
          <w:sz w:val="28"/>
          <w:szCs w:val="28"/>
        </w:rPr>
      </w:pPr>
      <w:r>
        <w:rPr>
          <w:rFonts w:ascii="Times New Roman" w:hAnsi="Times New Roman" w:cs="Times New Roman"/>
          <w:sz w:val="28"/>
          <w:szCs w:val="28"/>
        </w:rPr>
        <w:t>This pin did not appear when accessing the board on my phone, so here is a screenshot, in case it does not appear for you:</w:t>
      </w:r>
    </w:p>
    <w:p w14:paraId="240B9AE7" w14:textId="65930CCF" w:rsidR="00A203FF" w:rsidRPr="00AE3BD7" w:rsidRDefault="00A203FF">
      <w:pPr>
        <w:rPr>
          <w:rFonts w:ascii="Times New Roman" w:hAnsi="Times New Roman" w:cs="Times New Roman"/>
          <w:sz w:val="28"/>
          <w:szCs w:val="28"/>
        </w:rPr>
      </w:pPr>
      <w:r w:rsidRPr="00A203FF">
        <w:rPr>
          <w:rFonts w:ascii="Times New Roman" w:hAnsi="Times New Roman" w:cs="Times New Roman"/>
          <w:sz w:val="28"/>
          <w:szCs w:val="28"/>
        </w:rPr>
        <w:drawing>
          <wp:inline distT="0" distB="0" distL="0" distR="0" wp14:anchorId="555F4BE5" wp14:editId="228DC337">
            <wp:extent cx="5731510" cy="2966720"/>
            <wp:effectExtent l="0" t="0" r="2540" b="5080"/>
            <wp:docPr id="1666456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56485" name=""/>
                    <pic:cNvPicPr/>
                  </pic:nvPicPr>
                  <pic:blipFill>
                    <a:blip r:embed="rId6"/>
                    <a:stretch>
                      <a:fillRect/>
                    </a:stretch>
                  </pic:blipFill>
                  <pic:spPr>
                    <a:xfrm>
                      <a:off x="0" y="0"/>
                      <a:ext cx="5731510" cy="2966720"/>
                    </a:xfrm>
                    <a:prstGeom prst="rect">
                      <a:avLst/>
                    </a:prstGeom>
                  </pic:spPr>
                </pic:pic>
              </a:graphicData>
            </a:graphic>
          </wp:inline>
        </w:drawing>
      </w:r>
    </w:p>
    <w:sectPr w:rsidR="00A203FF" w:rsidRPr="00AE3B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BD7"/>
    <w:rsid w:val="00012B5C"/>
    <w:rsid w:val="00054C7F"/>
    <w:rsid w:val="00056CCB"/>
    <w:rsid w:val="00056FA7"/>
    <w:rsid w:val="000A020A"/>
    <w:rsid w:val="000C555C"/>
    <w:rsid w:val="000D68E1"/>
    <w:rsid w:val="000E754A"/>
    <w:rsid w:val="00243B7D"/>
    <w:rsid w:val="002A102E"/>
    <w:rsid w:val="003A28FA"/>
    <w:rsid w:val="003F3244"/>
    <w:rsid w:val="00407FD3"/>
    <w:rsid w:val="00500404"/>
    <w:rsid w:val="005A7F74"/>
    <w:rsid w:val="00601305"/>
    <w:rsid w:val="006A0013"/>
    <w:rsid w:val="00724627"/>
    <w:rsid w:val="0073171A"/>
    <w:rsid w:val="00755BBC"/>
    <w:rsid w:val="00794455"/>
    <w:rsid w:val="007A1B65"/>
    <w:rsid w:val="007C5868"/>
    <w:rsid w:val="00853EC0"/>
    <w:rsid w:val="008C679E"/>
    <w:rsid w:val="00971D5F"/>
    <w:rsid w:val="009D7429"/>
    <w:rsid w:val="00A203FF"/>
    <w:rsid w:val="00A42C97"/>
    <w:rsid w:val="00AC1FD2"/>
    <w:rsid w:val="00AE28CC"/>
    <w:rsid w:val="00AE3BD7"/>
    <w:rsid w:val="00BD6CF9"/>
    <w:rsid w:val="00C02C4D"/>
    <w:rsid w:val="00C13C50"/>
    <w:rsid w:val="00C66304"/>
    <w:rsid w:val="00D31657"/>
    <w:rsid w:val="00DD6554"/>
    <w:rsid w:val="00E84A25"/>
    <w:rsid w:val="00E94C36"/>
    <w:rsid w:val="00EE6317"/>
    <w:rsid w:val="00F3168C"/>
    <w:rsid w:val="00F81E9E"/>
    <w:rsid w:val="00FB6E59"/>
    <w:rsid w:val="00FF7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1201"/>
  <w15:chartTrackingRefBased/>
  <w15:docId w15:val="{A2140175-227B-412B-90EA-15B73177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B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E3B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3B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3B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E3B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E3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B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E3B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3B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3B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E3B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E3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BD7"/>
    <w:rPr>
      <w:rFonts w:eastAsiaTheme="majorEastAsia" w:cstheme="majorBidi"/>
      <w:color w:val="272727" w:themeColor="text1" w:themeTint="D8"/>
    </w:rPr>
  </w:style>
  <w:style w:type="paragraph" w:styleId="Title">
    <w:name w:val="Title"/>
    <w:basedOn w:val="Normal"/>
    <w:next w:val="Normal"/>
    <w:link w:val="TitleChar"/>
    <w:uiPriority w:val="10"/>
    <w:qFormat/>
    <w:rsid w:val="00AE3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BD7"/>
    <w:pPr>
      <w:spacing w:before="160"/>
      <w:jc w:val="center"/>
    </w:pPr>
    <w:rPr>
      <w:i/>
      <w:iCs/>
      <w:color w:val="404040" w:themeColor="text1" w:themeTint="BF"/>
    </w:rPr>
  </w:style>
  <w:style w:type="character" w:customStyle="1" w:styleId="QuoteChar">
    <w:name w:val="Quote Char"/>
    <w:basedOn w:val="DefaultParagraphFont"/>
    <w:link w:val="Quote"/>
    <w:uiPriority w:val="29"/>
    <w:rsid w:val="00AE3BD7"/>
    <w:rPr>
      <w:i/>
      <w:iCs/>
      <w:color w:val="404040" w:themeColor="text1" w:themeTint="BF"/>
    </w:rPr>
  </w:style>
  <w:style w:type="paragraph" w:styleId="ListParagraph">
    <w:name w:val="List Paragraph"/>
    <w:basedOn w:val="Normal"/>
    <w:uiPriority w:val="34"/>
    <w:qFormat/>
    <w:rsid w:val="00AE3BD7"/>
    <w:pPr>
      <w:ind w:left="720"/>
      <w:contextualSpacing/>
    </w:pPr>
  </w:style>
  <w:style w:type="character" w:styleId="IntenseEmphasis">
    <w:name w:val="Intense Emphasis"/>
    <w:basedOn w:val="DefaultParagraphFont"/>
    <w:uiPriority w:val="21"/>
    <w:qFormat/>
    <w:rsid w:val="00AE3BD7"/>
    <w:rPr>
      <w:i/>
      <w:iCs/>
      <w:color w:val="2F5496" w:themeColor="accent1" w:themeShade="BF"/>
    </w:rPr>
  </w:style>
  <w:style w:type="paragraph" w:styleId="IntenseQuote">
    <w:name w:val="Intense Quote"/>
    <w:basedOn w:val="Normal"/>
    <w:next w:val="Normal"/>
    <w:link w:val="IntenseQuoteChar"/>
    <w:uiPriority w:val="30"/>
    <w:qFormat/>
    <w:rsid w:val="00AE3B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3BD7"/>
    <w:rPr>
      <w:i/>
      <w:iCs/>
      <w:color w:val="2F5496" w:themeColor="accent1" w:themeShade="BF"/>
    </w:rPr>
  </w:style>
  <w:style w:type="character" w:styleId="IntenseReference">
    <w:name w:val="Intense Reference"/>
    <w:basedOn w:val="DefaultParagraphFont"/>
    <w:uiPriority w:val="32"/>
    <w:qFormat/>
    <w:rsid w:val="00AE3BD7"/>
    <w:rPr>
      <w:b/>
      <w:bCs/>
      <w:smallCaps/>
      <w:color w:val="2F5496" w:themeColor="accent1" w:themeShade="BF"/>
      <w:spacing w:val="5"/>
    </w:rPr>
  </w:style>
  <w:style w:type="character" w:styleId="Hyperlink">
    <w:name w:val="Hyperlink"/>
    <w:basedOn w:val="DefaultParagraphFont"/>
    <w:uiPriority w:val="99"/>
    <w:unhideWhenUsed/>
    <w:rsid w:val="00056CCB"/>
    <w:rPr>
      <w:color w:val="0563C1" w:themeColor="hyperlink"/>
      <w:u w:val="single"/>
    </w:rPr>
  </w:style>
  <w:style w:type="character" w:styleId="UnresolvedMention">
    <w:name w:val="Unresolved Mention"/>
    <w:basedOn w:val="DefaultParagraphFont"/>
    <w:uiPriority w:val="99"/>
    <w:semiHidden/>
    <w:unhideWhenUsed/>
    <w:rsid w:val="00056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pin.it/47VCewWBv" TargetMode="External"/><Relationship Id="rId4" Type="http://schemas.openxmlformats.org/officeDocument/2006/relationships/hyperlink" Target="https://pure.manchester.ac.uk/ws/portalfiles/portal/54520572/FULL_TEX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4341</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quieros</dc:creator>
  <cp:keywords/>
  <dc:description/>
  <cp:lastModifiedBy>francesca quieros</cp:lastModifiedBy>
  <cp:revision>9</cp:revision>
  <dcterms:created xsi:type="dcterms:W3CDTF">2025-03-03T14:07:00Z</dcterms:created>
  <dcterms:modified xsi:type="dcterms:W3CDTF">2025-03-06T14:56:00Z</dcterms:modified>
</cp:coreProperties>
</file>