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19A67" w14:textId="77777777" w:rsidR="00865C45" w:rsidRPr="002B1CCA" w:rsidRDefault="00865C45" w:rsidP="00865C45">
      <w:pPr>
        <w:rPr>
          <w:b/>
          <w:bCs/>
        </w:rPr>
      </w:pPr>
      <w:r>
        <w:rPr>
          <w:b/>
          <w:bCs/>
        </w:rPr>
        <w:t xml:space="preserve">                                             </w:t>
      </w:r>
      <w:r w:rsidRPr="002B1CCA">
        <w:rPr>
          <w:b/>
          <w:bCs/>
        </w:rPr>
        <w:t>Student number: 2234498</w:t>
      </w:r>
    </w:p>
    <w:p w14:paraId="257D5110" w14:textId="26F5D369" w:rsidR="00865C45" w:rsidRPr="002B1CCA" w:rsidRDefault="00865C45" w:rsidP="00865C45">
      <w:pPr>
        <w:rPr>
          <w:b/>
          <w:bCs/>
        </w:rPr>
      </w:pPr>
      <w:r>
        <w:rPr>
          <w:b/>
          <w:bCs/>
        </w:rPr>
        <w:t xml:space="preserve">                          </w:t>
      </w:r>
      <w:r w:rsidRPr="002B1CCA">
        <w:rPr>
          <w:b/>
          <w:bCs/>
        </w:rPr>
        <w:t xml:space="preserve">Module: </w:t>
      </w:r>
      <w:r>
        <w:rPr>
          <w:b/>
          <w:bCs/>
        </w:rPr>
        <w:t xml:space="preserve">Principles of Professional Legal Practice </w:t>
      </w:r>
    </w:p>
    <w:p w14:paraId="22DBA04F" w14:textId="74ECBCFB" w:rsidR="008960A4" w:rsidRDefault="00865C45" w:rsidP="00865C45">
      <w:pPr>
        <w:rPr>
          <w:rFonts w:ascii="Arial" w:eastAsia="Arial" w:hAnsi="Arial" w:cs="Arial"/>
          <w:b/>
          <w:sz w:val="22"/>
          <w:szCs w:val="22"/>
        </w:rPr>
      </w:pPr>
      <w:r>
        <w:rPr>
          <w:b/>
          <w:bCs/>
        </w:rPr>
        <w:t xml:space="preserve">                                             </w:t>
      </w:r>
      <w:r w:rsidRPr="002B1CCA">
        <w:rPr>
          <w:b/>
          <w:bCs/>
        </w:rPr>
        <w:t xml:space="preserve">Module Code: </w:t>
      </w:r>
      <w:r>
        <w:rPr>
          <w:rFonts w:ascii="Arial" w:eastAsia="Arial" w:hAnsi="Arial" w:cs="Arial"/>
          <w:b/>
          <w:sz w:val="22"/>
          <w:szCs w:val="22"/>
        </w:rPr>
        <w:t>BMLW4001</w:t>
      </w:r>
    </w:p>
    <w:p w14:paraId="5A7ABDA3" w14:textId="77777777" w:rsidR="00865C45" w:rsidRDefault="00865C45" w:rsidP="00865C45">
      <w:pPr>
        <w:rPr>
          <w:rFonts w:ascii="Arial" w:eastAsia="Arial" w:hAnsi="Arial" w:cs="Arial"/>
          <w:b/>
          <w:sz w:val="22"/>
          <w:szCs w:val="22"/>
        </w:rPr>
      </w:pPr>
    </w:p>
    <w:p w14:paraId="4D9FB7CC" w14:textId="77777777" w:rsidR="00865C45" w:rsidRDefault="00865C45" w:rsidP="00865C45">
      <w:pPr>
        <w:rPr>
          <w:rFonts w:ascii="Arial" w:eastAsia="Arial" w:hAnsi="Arial" w:cs="Arial"/>
          <w:b/>
          <w:sz w:val="22"/>
          <w:szCs w:val="22"/>
        </w:rPr>
      </w:pPr>
    </w:p>
    <w:p w14:paraId="52DBF89E" w14:textId="77777777" w:rsidR="00865C45" w:rsidRDefault="00865C45" w:rsidP="00865C45">
      <w:pPr>
        <w:rPr>
          <w:rFonts w:ascii="Arial" w:eastAsia="Arial" w:hAnsi="Arial" w:cs="Arial"/>
          <w:b/>
          <w:sz w:val="22"/>
          <w:szCs w:val="22"/>
        </w:rPr>
      </w:pPr>
    </w:p>
    <w:p w14:paraId="2E5DF47B" w14:textId="77777777" w:rsidR="00865C45" w:rsidRDefault="00865C45" w:rsidP="00865C45">
      <w:pPr>
        <w:rPr>
          <w:rFonts w:ascii="Arial" w:eastAsia="Arial" w:hAnsi="Arial" w:cs="Arial"/>
          <w:b/>
          <w:sz w:val="22"/>
          <w:szCs w:val="22"/>
        </w:rPr>
      </w:pPr>
    </w:p>
    <w:p w14:paraId="2F5AD646" w14:textId="77777777" w:rsidR="00865C45" w:rsidRPr="004F4046" w:rsidRDefault="00865C45" w:rsidP="00865C45">
      <w:pPr>
        <w:spacing w:line="360" w:lineRule="auto"/>
        <w:rPr>
          <w:rFonts w:asciiTheme="minorHAnsi" w:hAnsiTheme="minorHAnsi" w:cstheme="minorHAnsi"/>
        </w:rPr>
      </w:pPr>
      <w:r w:rsidRPr="004F4046">
        <w:rPr>
          <w:rFonts w:asciiTheme="minorHAnsi" w:hAnsiTheme="minorHAnsi" w:cstheme="minorHAnsi"/>
        </w:rPr>
        <w:t xml:space="preserve">The lawyer is an individual in the prospect of the legal system of a society in which he provides advice to the client regarding the level of appropriateness and possibility of finding a solution and overall matters of law and he also helps in the selection of the alternative method of dispute resolution if one is not working and help the client in form of representation in all legal proceedings. There are different kinds of misconduct in response to which various criminal penalties and expulsion from practice have been introduced. </w:t>
      </w:r>
    </w:p>
    <w:p w14:paraId="4ADB0755" w14:textId="77777777" w:rsidR="00865C45" w:rsidRPr="004F4046" w:rsidRDefault="00865C45" w:rsidP="00865C45">
      <w:pPr>
        <w:pStyle w:val="Heading1"/>
        <w:rPr>
          <w:rFonts w:asciiTheme="minorHAnsi" w:hAnsiTheme="minorHAnsi" w:cstheme="minorHAnsi"/>
          <w:sz w:val="24"/>
          <w:szCs w:val="24"/>
        </w:rPr>
      </w:pPr>
      <w:r w:rsidRPr="004F4046">
        <w:rPr>
          <w:rFonts w:asciiTheme="minorHAnsi" w:hAnsiTheme="minorHAnsi" w:cstheme="minorHAnsi"/>
          <w:sz w:val="24"/>
          <w:szCs w:val="24"/>
        </w:rPr>
        <w:t xml:space="preserve">Element 1 </w:t>
      </w:r>
    </w:p>
    <w:p w14:paraId="4FB521CB" w14:textId="77777777" w:rsidR="00865C45" w:rsidRPr="004F4046" w:rsidRDefault="00865C45" w:rsidP="00865C45">
      <w:pPr>
        <w:spacing w:line="360" w:lineRule="auto"/>
        <w:rPr>
          <w:rFonts w:asciiTheme="minorHAnsi" w:hAnsiTheme="minorHAnsi" w:cstheme="minorHAnsi"/>
        </w:rPr>
      </w:pPr>
      <w:r w:rsidRPr="004F4046">
        <w:rPr>
          <w:rFonts w:asciiTheme="minorHAnsi" w:hAnsiTheme="minorHAnsi" w:cstheme="minorHAnsi"/>
        </w:rPr>
        <w:t xml:space="preserve">Subject: Ethical and Professional Considerations in Prospect of Legal Implications of Investing in a New </w:t>
      </w:r>
      <w:proofErr w:type="spellStart"/>
      <w:r w:rsidRPr="004F4046">
        <w:rPr>
          <w:rFonts w:asciiTheme="minorHAnsi" w:hAnsiTheme="minorHAnsi" w:cstheme="minorHAnsi"/>
        </w:rPr>
        <w:t>Startup</w:t>
      </w:r>
      <w:proofErr w:type="spellEnd"/>
      <w:r w:rsidRPr="004F4046">
        <w:rPr>
          <w:rFonts w:asciiTheme="minorHAnsi" w:hAnsiTheme="minorHAnsi" w:cstheme="minorHAnsi"/>
        </w:rPr>
        <w:t xml:space="preserve"> Company</w:t>
      </w:r>
    </w:p>
    <w:p w14:paraId="72DE4162" w14:textId="77777777" w:rsidR="00865C45" w:rsidRPr="004F4046" w:rsidRDefault="00865C45" w:rsidP="00865C45">
      <w:pPr>
        <w:spacing w:line="360" w:lineRule="auto"/>
        <w:rPr>
          <w:rFonts w:asciiTheme="minorHAnsi" w:hAnsiTheme="minorHAnsi" w:cstheme="minorHAnsi"/>
        </w:rPr>
      </w:pPr>
      <w:r w:rsidRPr="004F4046">
        <w:rPr>
          <w:rFonts w:asciiTheme="minorHAnsi" w:hAnsiTheme="minorHAnsi" w:cstheme="minorHAnsi"/>
        </w:rPr>
        <w:t xml:space="preserve">Dear Mr </w:t>
      </w:r>
      <w:proofErr w:type="spellStart"/>
      <w:r w:rsidRPr="004F4046">
        <w:rPr>
          <w:rFonts w:asciiTheme="minorHAnsi" w:hAnsiTheme="minorHAnsi" w:cstheme="minorHAnsi"/>
        </w:rPr>
        <w:t>Moneymaker</w:t>
      </w:r>
      <w:proofErr w:type="spellEnd"/>
      <w:r w:rsidRPr="004F4046">
        <w:rPr>
          <w:rFonts w:asciiTheme="minorHAnsi" w:hAnsiTheme="minorHAnsi" w:cstheme="minorHAnsi"/>
        </w:rPr>
        <w:t>,</w:t>
      </w:r>
    </w:p>
    <w:p w14:paraId="537F483B" w14:textId="514F59D1" w:rsidR="00865C45" w:rsidRPr="004F4046" w:rsidRDefault="00865C45" w:rsidP="00865C45">
      <w:pPr>
        <w:spacing w:line="360" w:lineRule="auto"/>
        <w:rPr>
          <w:rFonts w:asciiTheme="minorHAnsi" w:hAnsiTheme="minorHAnsi" w:cstheme="minorHAnsi"/>
        </w:rPr>
      </w:pPr>
      <w:r w:rsidRPr="004F4046">
        <w:rPr>
          <w:rFonts w:asciiTheme="minorHAnsi" w:hAnsiTheme="minorHAnsi" w:cstheme="minorHAnsi"/>
        </w:rPr>
        <w:t xml:space="preserve">This email is intended to address any legal issues that may emerge from your desire to invest in a </w:t>
      </w:r>
      <w:proofErr w:type="spellStart"/>
      <w:r w:rsidRPr="004F4046">
        <w:rPr>
          <w:rFonts w:asciiTheme="minorHAnsi" w:hAnsiTheme="minorHAnsi" w:cstheme="minorHAnsi"/>
        </w:rPr>
        <w:t>startup</w:t>
      </w:r>
      <w:proofErr w:type="spellEnd"/>
      <w:r w:rsidRPr="004F4046">
        <w:rPr>
          <w:rFonts w:asciiTheme="minorHAnsi" w:hAnsiTheme="minorHAnsi" w:cstheme="minorHAnsi"/>
        </w:rPr>
        <w:t xml:space="preserve"> business. A lawyer's top responsibility should be to guarantee that any legal advice given is impartial, according to the law, and in line with professional ethics.</w:t>
      </w:r>
    </w:p>
    <w:p w14:paraId="5502F48C" w14:textId="0F4BCC3F" w:rsidR="00865C45" w:rsidRPr="004F4046" w:rsidRDefault="00865C45" w:rsidP="00865C45">
      <w:pPr>
        <w:spacing w:line="360" w:lineRule="auto"/>
        <w:rPr>
          <w:rFonts w:asciiTheme="minorHAnsi" w:hAnsiTheme="minorHAnsi" w:cstheme="minorHAnsi"/>
        </w:rPr>
      </w:pPr>
      <w:r w:rsidRPr="004F4046">
        <w:rPr>
          <w:rFonts w:asciiTheme="minorHAnsi" w:hAnsiTheme="minorHAnsi" w:cstheme="minorHAnsi"/>
        </w:rPr>
        <w:t xml:space="preserve"> One of the most significant pieces of law about investments and financial activities in the UK is the Financial Services and Markets Act 2000, or FSMA. This Act aims to foster fair competition in the financial industry, uphold market integrity, and protect consumers' interests. If investors choose to invest in this start-up company as described by FSMA, several ethical and legal difficulties may arise </w:t>
      </w:r>
      <w:r w:rsidRPr="004F4046">
        <w:rPr>
          <w:rFonts w:asciiTheme="minorHAnsi" w:hAnsiTheme="minorHAnsi" w:cstheme="minorHAnsi"/>
          <w:color w:val="222222"/>
          <w:shd w:val="clear" w:color="auto" w:fill="FFFFFF"/>
        </w:rPr>
        <w:t xml:space="preserve">(Du and </w:t>
      </w:r>
      <w:proofErr w:type="spellStart"/>
      <w:r w:rsidRPr="004F4046">
        <w:rPr>
          <w:rFonts w:asciiTheme="minorHAnsi" w:hAnsiTheme="minorHAnsi" w:cstheme="minorHAnsi"/>
          <w:color w:val="222222"/>
          <w:shd w:val="clear" w:color="auto" w:fill="FFFFFF"/>
        </w:rPr>
        <w:t>Xie</w:t>
      </w:r>
      <w:proofErr w:type="spellEnd"/>
      <w:r w:rsidRPr="004F4046">
        <w:rPr>
          <w:rFonts w:asciiTheme="minorHAnsi" w:hAnsiTheme="minorHAnsi" w:cstheme="minorHAnsi"/>
          <w:color w:val="222222"/>
          <w:shd w:val="clear" w:color="auto" w:fill="FFFFFF"/>
        </w:rPr>
        <w:t>, 2021)</w:t>
      </w:r>
      <w:r w:rsidRPr="004F4046">
        <w:rPr>
          <w:rFonts w:asciiTheme="minorHAnsi" w:hAnsiTheme="minorHAnsi" w:cstheme="minorHAnsi"/>
        </w:rPr>
        <w:t>.</w:t>
      </w:r>
    </w:p>
    <w:p w14:paraId="6D6C7506" w14:textId="16C8333B" w:rsidR="00865C45" w:rsidRPr="004F4046" w:rsidRDefault="00865C45" w:rsidP="00865C45">
      <w:pPr>
        <w:spacing w:line="360" w:lineRule="auto"/>
        <w:rPr>
          <w:rFonts w:asciiTheme="minorHAnsi" w:hAnsiTheme="minorHAnsi" w:cstheme="minorHAnsi"/>
        </w:rPr>
      </w:pPr>
      <w:r w:rsidRPr="004F4046">
        <w:rPr>
          <w:rFonts w:asciiTheme="minorHAnsi" w:hAnsiTheme="minorHAnsi" w:cstheme="minorHAnsi"/>
        </w:rPr>
        <w:t xml:space="preserve">One of the first crucial questions is whether the new </w:t>
      </w:r>
      <w:proofErr w:type="spellStart"/>
      <w:r w:rsidRPr="004F4046">
        <w:rPr>
          <w:rFonts w:asciiTheme="minorHAnsi" w:hAnsiTheme="minorHAnsi" w:cstheme="minorHAnsi"/>
        </w:rPr>
        <w:t>startup’s</w:t>
      </w:r>
      <w:proofErr w:type="spellEnd"/>
      <w:r w:rsidRPr="004F4046">
        <w:rPr>
          <w:rFonts w:asciiTheme="minorHAnsi" w:hAnsiTheme="minorHAnsi" w:cstheme="minorHAnsi"/>
        </w:rPr>
        <w:t xml:space="preserve"> operations fall under the FSMA's definition of regulated activities. If a </w:t>
      </w:r>
      <w:proofErr w:type="spellStart"/>
      <w:r w:rsidRPr="004F4046">
        <w:rPr>
          <w:rFonts w:asciiTheme="minorHAnsi" w:hAnsiTheme="minorHAnsi" w:cstheme="minorHAnsi"/>
        </w:rPr>
        <w:t>startup</w:t>
      </w:r>
      <w:proofErr w:type="spellEnd"/>
      <w:r w:rsidRPr="004F4046">
        <w:rPr>
          <w:rFonts w:asciiTheme="minorHAnsi" w:hAnsiTheme="minorHAnsi" w:cstheme="minorHAnsi"/>
        </w:rPr>
        <w:t xml:space="preserve"> is interested or required of obtaining authorization from FCA, should shares and other financial products be offered by the start-up before offering or promoting such investments lawfully? Some severe legal repercussions could be led by getting engaged in such unregulated investment activities for both investors such as the </w:t>
      </w:r>
      <w:proofErr w:type="spellStart"/>
      <w:r w:rsidRPr="004F4046">
        <w:rPr>
          <w:rFonts w:asciiTheme="minorHAnsi" w:hAnsiTheme="minorHAnsi" w:cstheme="minorHAnsi"/>
        </w:rPr>
        <w:t>startup</w:t>
      </w:r>
      <w:proofErr w:type="spellEnd"/>
      <w:r w:rsidRPr="004F4046">
        <w:rPr>
          <w:rFonts w:asciiTheme="minorHAnsi" w:hAnsiTheme="minorHAnsi" w:cstheme="minorHAnsi"/>
        </w:rPr>
        <w:t xml:space="preserve"> company and yourself in this case </w:t>
      </w:r>
      <w:r w:rsidRPr="004F4046">
        <w:rPr>
          <w:rFonts w:asciiTheme="minorHAnsi" w:hAnsiTheme="minorHAnsi" w:cstheme="minorHAnsi"/>
          <w:color w:val="222222"/>
          <w:shd w:val="clear" w:color="auto" w:fill="FFFFFF"/>
        </w:rPr>
        <w:t>(</w:t>
      </w:r>
      <w:proofErr w:type="spellStart"/>
      <w:r w:rsidRPr="004F4046">
        <w:rPr>
          <w:rFonts w:asciiTheme="minorHAnsi" w:hAnsiTheme="minorHAnsi" w:cstheme="minorHAnsi"/>
          <w:color w:val="222222"/>
          <w:shd w:val="clear" w:color="auto" w:fill="FFFFFF"/>
        </w:rPr>
        <w:t>Biancone</w:t>
      </w:r>
      <w:proofErr w:type="spellEnd"/>
      <w:r w:rsidRPr="004F4046">
        <w:rPr>
          <w:rFonts w:asciiTheme="minorHAnsi" w:hAnsiTheme="minorHAnsi" w:cstheme="minorHAnsi"/>
          <w:color w:val="222222"/>
          <w:shd w:val="clear" w:color="auto" w:fill="FFFFFF"/>
        </w:rPr>
        <w:t xml:space="preserve"> </w:t>
      </w:r>
      <w:r w:rsidRPr="004F4046">
        <w:rPr>
          <w:rFonts w:asciiTheme="minorHAnsi" w:hAnsiTheme="minorHAnsi" w:cstheme="minorHAnsi"/>
          <w:i/>
          <w:iCs/>
          <w:color w:val="222222"/>
          <w:shd w:val="clear" w:color="auto" w:fill="FFFFFF"/>
        </w:rPr>
        <w:t>et al.,</w:t>
      </w:r>
      <w:r w:rsidRPr="004F4046">
        <w:rPr>
          <w:rFonts w:asciiTheme="minorHAnsi" w:hAnsiTheme="minorHAnsi" w:cstheme="minorHAnsi"/>
          <w:color w:val="222222"/>
          <w:shd w:val="clear" w:color="auto" w:fill="FFFFFF"/>
        </w:rPr>
        <w:t xml:space="preserve"> 2020)</w:t>
      </w:r>
      <w:r w:rsidRPr="004F4046">
        <w:rPr>
          <w:rFonts w:asciiTheme="minorHAnsi" w:hAnsiTheme="minorHAnsi" w:cstheme="minorHAnsi"/>
        </w:rPr>
        <w:t xml:space="preserve">. </w:t>
      </w:r>
    </w:p>
    <w:p w14:paraId="74D26309" w14:textId="0F6611CB" w:rsidR="00865C45" w:rsidRPr="004F4046" w:rsidRDefault="00865C45" w:rsidP="00865C45">
      <w:pPr>
        <w:spacing w:line="360" w:lineRule="auto"/>
        <w:rPr>
          <w:rFonts w:asciiTheme="minorHAnsi" w:hAnsiTheme="minorHAnsi" w:cstheme="minorHAnsi"/>
        </w:rPr>
      </w:pPr>
      <w:r w:rsidRPr="004F4046">
        <w:rPr>
          <w:rFonts w:asciiTheme="minorHAnsi" w:hAnsiTheme="minorHAnsi" w:cstheme="minorHAnsi"/>
        </w:rPr>
        <w:lastRenderedPageBreak/>
        <w:t xml:space="preserve">Financial promotion, an advertising strategy used to persuade investors to engage in investment activities is encouraged by the financial promotion that govern by FSMA. Inspiring other investors to accept the offer of an investment from that new firm requires caution because it would have been illegal to do so without first applying for authorization from the FCA. As a result, the FSMA cannot be satisfied with investments made because of unlawful financial promotions </w:t>
      </w:r>
      <w:r w:rsidRPr="004F4046">
        <w:rPr>
          <w:rFonts w:asciiTheme="minorHAnsi" w:hAnsiTheme="minorHAnsi" w:cstheme="minorHAnsi"/>
          <w:color w:val="222222"/>
          <w:shd w:val="clear" w:color="auto" w:fill="FFFFFF"/>
        </w:rPr>
        <w:t>(</w:t>
      </w:r>
      <w:proofErr w:type="spellStart"/>
      <w:r w:rsidRPr="004F4046">
        <w:rPr>
          <w:rFonts w:asciiTheme="minorHAnsi" w:hAnsiTheme="minorHAnsi" w:cstheme="minorHAnsi"/>
          <w:color w:val="222222"/>
          <w:shd w:val="clear" w:color="auto" w:fill="FFFFFF"/>
        </w:rPr>
        <w:t>Breidbach</w:t>
      </w:r>
      <w:proofErr w:type="spellEnd"/>
      <w:r w:rsidRPr="004F4046">
        <w:rPr>
          <w:rFonts w:asciiTheme="minorHAnsi" w:hAnsiTheme="minorHAnsi" w:cstheme="minorHAnsi"/>
          <w:color w:val="222222"/>
          <w:shd w:val="clear" w:color="auto" w:fill="FFFFFF"/>
        </w:rPr>
        <w:t>, Keating and Lim, 2020)</w:t>
      </w:r>
      <w:r w:rsidRPr="004F4046">
        <w:rPr>
          <w:rFonts w:asciiTheme="minorHAnsi" w:hAnsiTheme="minorHAnsi" w:cstheme="minorHAnsi"/>
        </w:rPr>
        <w:t>.</w:t>
      </w:r>
    </w:p>
    <w:p w14:paraId="462E33D9" w14:textId="65B162A5" w:rsidR="00865C45" w:rsidRPr="004F4046" w:rsidRDefault="00865C45" w:rsidP="00865C45">
      <w:pPr>
        <w:spacing w:line="360" w:lineRule="auto"/>
        <w:rPr>
          <w:rFonts w:asciiTheme="minorHAnsi" w:hAnsiTheme="minorHAnsi" w:cstheme="minorHAnsi"/>
        </w:rPr>
      </w:pPr>
      <w:r w:rsidRPr="004F4046">
        <w:rPr>
          <w:rFonts w:asciiTheme="minorHAnsi" w:hAnsiTheme="minorHAnsi" w:cstheme="minorHAnsi"/>
        </w:rPr>
        <w:t xml:space="preserve">The obligation of assessing potential risks and conducting due diligence is one critical mind that should be kept in mind. It is a fact that a considerable number of risks may be associated with the decision of investing in a new </w:t>
      </w:r>
      <w:proofErr w:type="spellStart"/>
      <w:r w:rsidRPr="004F4046">
        <w:rPr>
          <w:rFonts w:asciiTheme="minorHAnsi" w:hAnsiTheme="minorHAnsi" w:cstheme="minorHAnsi"/>
        </w:rPr>
        <w:t>startup</w:t>
      </w:r>
      <w:proofErr w:type="spellEnd"/>
      <w:r w:rsidRPr="004F4046">
        <w:rPr>
          <w:rFonts w:asciiTheme="minorHAnsi" w:hAnsiTheme="minorHAnsi" w:cstheme="minorHAnsi"/>
        </w:rPr>
        <w:t xml:space="preserve"> along with the possibility of generating substantial returns. So, the potential conflict of interest should need to be addressed in ensuring adherence to professional ethical standards. In the provision of advice on starting a specific </w:t>
      </w:r>
      <w:proofErr w:type="spellStart"/>
      <w:r w:rsidRPr="004F4046">
        <w:rPr>
          <w:rFonts w:asciiTheme="minorHAnsi" w:hAnsiTheme="minorHAnsi" w:cstheme="minorHAnsi"/>
        </w:rPr>
        <w:t>startup</w:t>
      </w:r>
      <w:proofErr w:type="spellEnd"/>
      <w:r w:rsidRPr="004F4046">
        <w:rPr>
          <w:rFonts w:asciiTheme="minorHAnsi" w:hAnsiTheme="minorHAnsi" w:cstheme="minorHAnsi"/>
        </w:rPr>
        <w:t xml:space="preserve"> company, some level of conflict of interest may arise. The client's best interests always are prioritized by lawyers by remaining impartial. A perception of conflict of interest could also result because of offering advice on investment in a particular business or venture due to which the level of independence and objectivity of the legal advisor could be compromised </w:t>
      </w:r>
      <w:r w:rsidRPr="004F4046">
        <w:rPr>
          <w:rFonts w:asciiTheme="minorHAnsi" w:hAnsiTheme="minorHAnsi" w:cstheme="minorHAnsi"/>
          <w:color w:val="222222"/>
          <w:shd w:val="clear" w:color="auto" w:fill="FFFFFF"/>
        </w:rPr>
        <w:t>(</w:t>
      </w:r>
      <w:proofErr w:type="spellStart"/>
      <w:r w:rsidRPr="004F4046">
        <w:rPr>
          <w:rFonts w:asciiTheme="minorHAnsi" w:hAnsiTheme="minorHAnsi" w:cstheme="minorHAnsi"/>
          <w:color w:val="222222"/>
          <w:shd w:val="clear" w:color="auto" w:fill="FFFFFF"/>
        </w:rPr>
        <w:t>Bătae</w:t>
      </w:r>
      <w:proofErr w:type="spellEnd"/>
      <w:r w:rsidRPr="004F4046">
        <w:rPr>
          <w:rFonts w:asciiTheme="minorHAnsi" w:hAnsiTheme="minorHAnsi" w:cstheme="minorHAnsi"/>
          <w:color w:val="222222"/>
          <w:shd w:val="clear" w:color="auto" w:fill="FFFFFF"/>
        </w:rPr>
        <w:t xml:space="preserve">, Dragomir and </w:t>
      </w:r>
      <w:proofErr w:type="spellStart"/>
      <w:r w:rsidRPr="004F4046">
        <w:rPr>
          <w:rFonts w:asciiTheme="minorHAnsi" w:hAnsiTheme="minorHAnsi" w:cstheme="minorHAnsi"/>
          <w:color w:val="222222"/>
          <w:shd w:val="clear" w:color="auto" w:fill="FFFFFF"/>
        </w:rPr>
        <w:t>Feleagă</w:t>
      </w:r>
      <w:proofErr w:type="spellEnd"/>
      <w:r w:rsidRPr="004F4046">
        <w:rPr>
          <w:rFonts w:asciiTheme="minorHAnsi" w:hAnsiTheme="minorHAnsi" w:cstheme="minorHAnsi"/>
          <w:color w:val="222222"/>
          <w:shd w:val="clear" w:color="auto" w:fill="FFFFFF"/>
        </w:rPr>
        <w:t>, 2021)</w:t>
      </w:r>
      <w:r w:rsidRPr="004F4046">
        <w:rPr>
          <w:rFonts w:asciiTheme="minorHAnsi" w:hAnsiTheme="minorHAnsi" w:cstheme="minorHAnsi"/>
        </w:rPr>
        <w:t xml:space="preserve">. </w:t>
      </w:r>
    </w:p>
    <w:p w14:paraId="7587F51A" w14:textId="7C4249C6" w:rsidR="00865C45" w:rsidRPr="004F4046" w:rsidRDefault="00865C45" w:rsidP="00865C45">
      <w:pPr>
        <w:spacing w:line="360" w:lineRule="auto"/>
        <w:rPr>
          <w:rFonts w:asciiTheme="minorHAnsi" w:hAnsiTheme="minorHAnsi" w:cstheme="minorHAnsi"/>
        </w:rPr>
      </w:pPr>
      <w:r w:rsidRPr="004F4046">
        <w:rPr>
          <w:rFonts w:asciiTheme="minorHAnsi" w:hAnsiTheme="minorHAnsi" w:cstheme="minorHAnsi"/>
        </w:rPr>
        <w:t xml:space="preserve">One important thing that is recommended for ensuring compliance with FSMA and addressing professional and ethical concerns is of seeking proper guidance from a qualified and skilled financial advisor based on your unique financial objectives and circumstances. Some level of necessary expertise </w:t>
      </w:r>
      <w:r w:rsidR="004F4046">
        <w:rPr>
          <w:rFonts w:asciiTheme="minorHAnsi" w:hAnsiTheme="minorHAnsi" w:cstheme="minorHAnsi"/>
        </w:rPr>
        <w:t>is possessed</w:t>
      </w:r>
      <w:r w:rsidRPr="004F4046">
        <w:rPr>
          <w:rFonts w:asciiTheme="minorHAnsi" w:hAnsiTheme="minorHAnsi" w:cstheme="minorHAnsi"/>
        </w:rPr>
        <w:t xml:space="preserve"> by such experts based on which personalized advice could be offered </w:t>
      </w:r>
      <w:r w:rsidRPr="004F4046">
        <w:rPr>
          <w:rFonts w:asciiTheme="minorHAnsi" w:hAnsiTheme="minorHAnsi" w:cstheme="minorHAnsi"/>
          <w:color w:val="222222"/>
          <w:shd w:val="clear" w:color="auto" w:fill="FFFFFF"/>
        </w:rPr>
        <w:t xml:space="preserve">(Raza </w:t>
      </w:r>
      <w:r w:rsidRPr="004F4046">
        <w:rPr>
          <w:rFonts w:asciiTheme="minorHAnsi" w:hAnsiTheme="minorHAnsi" w:cstheme="minorHAnsi"/>
          <w:i/>
          <w:iCs/>
          <w:color w:val="222222"/>
          <w:shd w:val="clear" w:color="auto" w:fill="FFFFFF"/>
        </w:rPr>
        <w:t>et al.,</w:t>
      </w:r>
      <w:r w:rsidRPr="004F4046">
        <w:rPr>
          <w:rFonts w:asciiTheme="minorHAnsi" w:hAnsiTheme="minorHAnsi" w:cstheme="minorHAnsi"/>
          <w:color w:val="222222"/>
          <w:shd w:val="clear" w:color="auto" w:fill="FFFFFF"/>
        </w:rPr>
        <w:t xml:space="preserve"> 2020)</w:t>
      </w:r>
      <w:r w:rsidRPr="004F4046">
        <w:rPr>
          <w:rFonts w:asciiTheme="minorHAnsi" w:hAnsiTheme="minorHAnsi" w:cstheme="minorHAnsi"/>
        </w:rPr>
        <w:t xml:space="preserve">. </w:t>
      </w:r>
    </w:p>
    <w:p w14:paraId="7BD2EE83" w14:textId="77777777" w:rsidR="00865C45" w:rsidRPr="004F4046" w:rsidRDefault="00865C45" w:rsidP="00865C45">
      <w:pPr>
        <w:spacing w:line="360" w:lineRule="auto"/>
        <w:rPr>
          <w:rFonts w:asciiTheme="minorHAnsi" w:hAnsiTheme="minorHAnsi" w:cstheme="minorHAnsi"/>
        </w:rPr>
      </w:pPr>
      <w:r w:rsidRPr="004F4046">
        <w:rPr>
          <w:rFonts w:asciiTheme="minorHAnsi" w:hAnsiTheme="minorHAnsi" w:cstheme="minorHAnsi"/>
        </w:rPr>
        <w:t xml:space="preserve">My primary focus as a lawyer is to provide relevant and accurate legal advice for all investment-related matters. Please feel free to reach out at any time if you have further questions or concerns </w:t>
      </w:r>
      <w:r w:rsidRPr="004F4046">
        <w:rPr>
          <w:rFonts w:asciiTheme="minorHAnsi" w:hAnsiTheme="minorHAnsi" w:cstheme="minorHAnsi"/>
          <w:color w:val="222222"/>
          <w:shd w:val="clear" w:color="auto" w:fill="FFFFFF"/>
        </w:rPr>
        <w:t>(Martin, Shilton and Smith, 2022)</w:t>
      </w:r>
      <w:r w:rsidRPr="004F4046">
        <w:rPr>
          <w:rFonts w:asciiTheme="minorHAnsi" w:hAnsiTheme="minorHAnsi" w:cstheme="minorHAnsi"/>
        </w:rPr>
        <w:t xml:space="preserve">. </w:t>
      </w:r>
    </w:p>
    <w:p w14:paraId="66151265" w14:textId="77777777" w:rsidR="00865C45" w:rsidRPr="004F4046" w:rsidRDefault="00865C45" w:rsidP="00865C45">
      <w:pPr>
        <w:spacing w:line="360" w:lineRule="auto"/>
        <w:rPr>
          <w:rFonts w:asciiTheme="minorHAnsi" w:hAnsiTheme="minorHAnsi" w:cstheme="minorHAnsi"/>
        </w:rPr>
      </w:pPr>
      <w:r w:rsidRPr="004F4046">
        <w:rPr>
          <w:rFonts w:asciiTheme="minorHAnsi" w:hAnsiTheme="minorHAnsi" w:cstheme="minorHAnsi"/>
        </w:rPr>
        <w:t>Yours sincerely,</w:t>
      </w:r>
    </w:p>
    <w:p w14:paraId="516FA1CE" w14:textId="77777777" w:rsidR="00865C45" w:rsidRPr="004F4046" w:rsidRDefault="00865C45" w:rsidP="00865C45">
      <w:pPr>
        <w:spacing w:line="360" w:lineRule="auto"/>
        <w:rPr>
          <w:rFonts w:asciiTheme="minorHAnsi" w:hAnsiTheme="minorHAnsi" w:cstheme="minorHAnsi"/>
        </w:rPr>
      </w:pPr>
    </w:p>
    <w:p w14:paraId="429F3201" w14:textId="77777777" w:rsidR="00865C45" w:rsidRPr="004F4046" w:rsidRDefault="00865C45" w:rsidP="00865C45">
      <w:pPr>
        <w:pStyle w:val="Heading1"/>
        <w:rPr>
          <w:rFonts w:asciiTheme="minorHAnsi" w:hAnsiTheme="minorHAnsi" w:cstheme="minorHAnsi"/>
          <w:sz w:val="24"/>
          <w:szCs w:val="24"/>
        </w:rPr>
      </w:pPr>
      <w:r w:rsidRPr="004F4046">
        <w:rPr>
          <w:rFonts w:asciiTheme="minorHAnsi" w:hAnsiTheme="minorHAnsi" w:cstheme="minorHAnsi"/>
          <w:sz w:val="24"/>
          <w:szCs w:val="24"/>
        </w:rPr>
        <w:t xml:space="preserve">Element 2 </w:t>
      </w:r>
    </w:p>
    <w:p w14:paraId="3D34160B" w14:textId="7FDE584E" w:rsidR="00865C45" w:rsidRPr="004F4046" w:rsidRDefault="00865C45" w:rsidP="00865C45">
      <w:pPr>
        <w:spacing w:line="360" w:lineRule="auto"/>
        <w:rPr>
          <w:rFonts w:asciiTheme="minorHAnsi" w:hAnsiTheme="minorHAnsi" w:cstheme="minorHAnsi"/>
        </w:rPr>
      </w:pPr>
      <w:r w:rsidRPr="004F4046">
        <w:rPr>
          <w:rFonts w:asciiTheme="minorHAnsi" w:hAnsiTheme="minorHAnsi" w:cstheme="minorHAnsi"/>
        </w:rPr>
        <w:t xml:space="preserve">The set of rules and principles set by the Solicitors Regulation Authority is referred to as the SRA Code of Conduct based on which the behaviour and conduct of lawyers are governed in England and Wales. One regulatory body is termed SRA which has the responsibility of overseeing law firms and solicitors in the prospect of these </w:t>
      </w:r>
      <w:r w:rsidRPr="004F4046">
        <w:rPr>
          <w:rFonts w:asciiTheme="minorHAnsi" w:hAnsiTheme="minorHAnsi" w:cstheme="minorHAnsi"/>
        </w:rPr>
        <w:lastRenderedPageBreak/>
        <w:t xml:space="preserve">jurisdictions. The ethical and professional standards are outlined by the SRA code of conduct that must have to be followed by solicitors. The promotion of a high level of competence and integrity is considered the focus </w:t>
      </w:r>
      <w:r w:rsidRPr="004F4046">
        <w:rPr>
          <w:rFonts w:asciiTheme="minorHAnsi" w:hAnsiTheme="minorHAnsi" w:cstheme="minorHAnsi"/>
          <w:color w:val="222222"/>
          <w:shd w:val="clear" w:color="auto" w:fill="FFFFFF"/>
        </w:rPr>
        <w:t>(Collins, 2020)</w:t>
      </w:r>
      <w:r w:rsidRPr="004F4046">
        <w:rPr>
          <w:rFonts w:asciiTheme="minorHAnsi" w:hAnsiTheme="minorHAnsi" w:cstheme="minorHAnsi"/>
        </w:rPr>
        <w:t xml:space="preserve">. A comprehensive understanding of the rules will be presented in the following </w:t>
      </w:r>
      <w:r w:rsidR="004F4046">
        <w:rPr>
          <w:rFonts w:asciiTheme="minorHAnsi" w:hAnsiTheme="minorHAnsi" w:cstheme="minorHAnsi"/>
        </w:rPr>
        <w:t>paragraph</w:t>
      </w:r>
      <w:r w:rsidRPr="004F4046">
        <w:rPr>
          <w:rFonts w:asciiTheme="minorHAnsi" w:hAnsiTheme="minorHAnsi" w:cstheme="minorHAnsi"/>
        </w:rPr>
        <w:t xml:space="preserve">. The core principles are focused on the structure of the SRA code of conduct based on which the obligations and duties of solicitors are mentioned. Daily practice of people is focused under, Rules 1 to 4 and Rules 6.1 to 6.5 as NQ Solicitors </w:t>
      </w:r>
      <w:r w:rsidRPr="004F4046">
        <w:rPr>
          <w:rFonts w:asciiTheme="minorHAnsi" w:hAnsiTheme="minorHAnsi" w:cstheme="minorHAnsi"/>
          <w:color w:val="222222"/>
          <w:shd w:val="clear" w:color="auto" w:fill="FFFFFF"/>
        </w:rPr>
        <w:t>(Bowyer, 2019)</w:t>
      </w:r>
      <w:r w:rsidRPr="004F4046">
        <w:rPr>
          <w:rFonts w:asciiTheme="minorHAnsi" w:hAnsiTheme="minorHAnsi" w:cstheme="minorHAnsi"/>
        </w:rPr>
        <w:t xml:space="preserve">. Honesty and integrity must have to be ensured by Solicitors and they </w:t>
      </w:r>
      <w:r w:rsidR="004F4046" w:rsidRPr="004F4046">
        <w:rPr>
          <w:rFonts w:asciiTheme="minorHAnsi" w:hAnsiTheme="minorHAnsi" w:cstheme="minorHAnsi"/>
        </w:rPr>
        <w:t>must</w:t>
      </w:r>
      <w:r w:rsidRPr="004F4046">
        <w:rPr>
          <w:rFonts w:asciiTheme="minorHAnsi" w:hAnsiTheme="minorHAnsi" w:cstheme="minorHAnsi"/>
        </w:rPr>
        <w:t xml:space="preserve"> ensure that confidence and trust are maintained in the legal profession, the public and customers. The importance of being accountable and truthful is focused on this principle </w:t>
      </w:r>
      <w:r w:rsidRPr="004F4046">
        <w:rPr>
          <w:rFonts w:asciiTheme="minorHAnsi" w:hAnsiTheme="minorHAnsi" w:cstheme="minorHAnsi"/>
          <w:color w:val="222222"/>
          <w:shd w:val="clear" w:color="auto" w:fill="FFFFFF"/>
        </w:rPr>
        <w:t>(</w:t>
      </w:r>
      <w:proofErr w:type="spellStart"/>
      <w:r w:rsidRPr="004F4046">
        <w:rPr>
          <w:rFonts w:asciiTheme="minorHAnsi" w:hAnsiTheme="minorHAnsi" w:cstheme="minorHAnsi"/>
          <w:color w:val="222222"/>
          <w:shd w:val="clear" w:color="auto" w:fill="FFFFFF"/>
        </w:rPr>
        <w:t>Habel</w:t>
      </w:r>
      <w:proofErr w:type="spellEnd"/>
      <w:r w:rsidRPr="004F4046">
        <w:rPr>
          <w:rFonts w:asciiTheme="minorHAnsi" w:hAnsiTheme="minorHAnsi" w:cstheme="minorHAnsi"/>
          <w:color w:val="222222"/>
          <w:shd w:val="clear" w:color="auto" w:fill="FFFFFF"/>
        </w:rPr>
        <w:t>, 2021)</w:t>
      </w:r>
      <w:r w:rsidRPr="004F4046">
        <w:rPr>
          <w:rFonts w:asciiTheme="minorHAnsi" w:hAnsiTheme="minorHAnsi" w:cstheme="minorHAnsi"/>
        </w:rPr>
        <w:t xml:space="preserve">. </w:t>
      </w:r>
    </w:p>
    <w:p w14:paraId="3A9BDAC9" w14:textId="208CB352" w:rsidR="00865C45" w:rsidRPr="004F4046" w:rsidRDefault="00865C45" w:rsidP="00865C45">
      <w:pPr>
        <w:spacing w:after="160" w:line="360" w:lineRule="auto"/>
        <w:jc w:val="both"/>
        <w:rPr>
          <w:rFonts w:asciiTheme="minorHAnsi" w:hAnsiTheme="minorHAnsi" w:cstheme="minorHAnsi"/>
        </w:rPr>
      </w:pPr>
      <w:r w:rsidRPr="004F4046">
        <w:rPr>
          <w:rFonts w:asciiTheme="minorHAnsi" w:hAnsiTheme="minorHAnsi" w:cstheme="minorHAnsi"/>
        </w:rPr>
        <w:t xml:space="preserve">It is very important that any level of influence from others must have to be avoided by Solicitors and this means they must have to act independently. Legal advice according to this principle should be impartial </w:t>
      </w:r>
      <w:r w:rsidRPr="004F4046">
        <w:rPr>
          <w:rFonts w:asciiTheme="minorHAnsi" w:hAnsiTheme="minorHAnsi" w:cstheme="minorHAnsi"/>
          <w:color w:val="222222"/>
          <w:shd w:val="clear" w:color="auto" w:fill="FFFFFF"/>
        </w:rPr>
        <w:t>(Unger, 2020)</w:t>
      </w:r>
      <w:r w:rsidRPr="004F4046">
        <w:rPr>
          <w:rFonts w:asciiTheme="minorHAnsi" w:hAnsiTheme="minorHAnsi" w:cstheme="minorHAnsi"/>
        </w:rPr>
        <w:t xml:space="preserve">. Diligence to effectively represent their clients, required skills and competent legal services must have to be provided by Solicitors. To maintain competence throughout your career it is noted that Continual professional development is one important aspect. Client confidentiality is another important aspect that must have to be upheld by Solicitors which means they must have to ensure the protection of information </w:t>
      </w:r>
      <w:r w:rsidRPr="004F4046">
        <w:rPr>
          <w:rFonts w:asciiTheme="minorHAnsi" w:hAnsiTheme="minorHAnsi" w:cstheme="minorHAnsi"/>
          <w:color w:val="222222"/>
          <w:shd w:val="clear" w:color="auto" w:fill="FFFFFF"/>
        </w:rPr>
        <w:t>(Boon and Whyte, 2019)</w:t>
      </w:r>
      <w:r w:rsidRPr="004F4046">
        <w:rPr>
          <w:rFonts w:asciiTheme="minorHAnsi" w:hAnsiTheme="minorHAnsi" w:cstheme="minorHAnsi"/>
        </w:rPr>
        <w:t xml:space="preserve">. </w:t>
      </w:r>
    </w:p>
    <w:p w14:paraId="082527A5" w14:textId="67FA490D" w:rsidR="00865C45" w:rsidRPr="004F4046" w:rsidRDefault="00865C45" w:rsidP="00865C45">
      <w:pPr>
        <w:spacing w:line="360" w:lineRule="auto"/>
        <w:rPr>
          <w:rFonts w:asciiTheme="minorHAnsi" w:hAnsiTheme="minorHAnsi" w:cstheme="minorHAnsi"/>
        </w:rPr>
      </w:pPr>
      <w:r w:rsidRPr="004F4046">
        <w:rPr>
          <w:rFonts w:asciiTheme="minorHAnsi" w:hAnsiTheme="minorHAnsi" w:cstheme="minorHAnsi"/>
        </w:rPr>
        <w:t xml:space="preserve">The importance of Rules 6.1 to 6.5 is highlighted under one practical example of a situation when two clients are represented by a </w:t>
      </w:r>
      <w:r w:rsidR="004F4046" w:rsidRPr="004F4046">
        <w:rPr>
          <w:rFonts w:asciiTheme="minorHAnsi" w:hAnsiTheme="minorHAnsi" w:cstheme="minorHAnsi"/>
        </w:rPr>
        <w:t>solicitor,</w:t>
      </w:r>
      <w:r w:rsidRPr="004F4046">
        <w:rPr>
          <w:rFonts w:asciiTheme="minorHAnsi" w:hAnsiTheme="minorHAnsi" w:cstheme="minorHAnsi"/>
        </w:rPr>
        <w:t xml:space="preserve"> but their interests are in conflict. Take an example you are representing a company, but you are also involved in the provision of legal advice to the director of the targeted company in a personal capacity </w:t>
      </w:r>
      <w:r w:rsidRPr="004F4046">
        <w:rPr>
          <w:rFonts w:asciiTheme="minorHAnsi" w:hAnsiTheme="minorHAnsi" w:cstheme="minorHAnsi"/>
          <w:color w:val="222222"/>
          <w:shd w:val="clear" w:color="auto" w:fill="FFFFFF"/>
        </w:rPr>
        <w:t>(</w:t>
      </w:r>
      <w:proofErr w:type="spellStart"/>
      <w:r w:rsidRPr="004F4046">
        <w:rPr>
          <w:rFonts w:asciiTheme="minorHAnsi" w:hAnsiTheme="minorHAnsi" w:cstheme="minorHAnsi"/>
          <w:color w:val="222222"/>
          <w:shd w:val="clear" w:color="auto" w:fill="FFFFFF"/>
        </w:rPr>
        <w:t>Hatchard</w:t>
      </w:r>
      <w:proofErr w:type="spellEnd"/>
      <w:r w:rsidRPr="004F4046">
        <w:rPr>
          <w:rFonts w:asciiTheme="minorHAnsi" w:hAnsiTheme="minorHAnsi" w:cstheme="minorHAnsi"/>
          <w:color w:val="222222"/>
          <w:shd w:val="clear" w:color="auto" w:fill="FFFFFF"/>
        </w:rPr>
        <w:t>, 2019)</w:t>
      </w:r>
      <w:r w:rsidRPr="004F4046">
        <w:rPr>
          <w:rFonts w:asciiTheme="minorHAnsi" w:hAnsiTheme="minorHAnsi" w:cstheme="minorHAnsi"/>
        </w:rPr>
        <w:t xml:space="preserve">. </w:t>
      </w:r>
    </w:p>
    <w:p w14:paraId="146E8829" w14:textId="77777777" w:rsidR="00865C45" w:rsidRPr="004F4046" w:rsidRDefault="00865C45" w:rsidP="00865C45">
      <w:pPr>
        <w:pStyle w:val="Heading1"/>
        <w:rPr>
          <w:rFonts w:asciiTheme="minorHAnsi" w:hAnsiTheme="minorHAnsi" w:cstheme="minorHAnsi"/>
          <w:sz w:val="24"/>
          <w:szCs w:val="24"/>
        </w:rPr>
      </w:pPr>
      <w:r w:rsidRPr="004F4046">
        <w:rPr>
          <w:rFonts w:asciiTheme="minorHAnsi" w:hAnsiTheme="minorHAnsi" w:cstheme="minorHAnsi"/>
          <w:sz w:val="24"/>
          <w:szCs w:val="24"/>
        </w:rPr>
        <w:lastRenderedPageBreak/>
        <w:t xml:space="preserve">Element 3 </w:t>
      </w:r>
    </w:p>
    <w:p w14:paraId="6F6A4E9B" w14:textId="77777777" w:rsidR="00865C45" w:rsidRPr="004F4046" w:rsidRDefault="00865C45" w:rsidP="00865C45">
      <w:pPr>
        <w:rPr>
          <w:rFonts w:asciiTheme="minorHAnsi" w:hAnsiTheme="minorHAnsi" w:cstheme="minorHAnsi"/>
        </w:rPr>
      </w:pPr>
      <w:r w:rsidRPr="004F4046">
        <w:rPr>
          <w:rFonts w:asciiTheme="minorHAnsi" w:hAnsiTheme="minorHAnsi" w:cstheme="minorHAnsi"/>
          <w:noProof/>
        </w:rPr>
        <w:drawing>
          <wp:inline distT="0" distB="0" distL="0" distR="0" wp14:anchorId="13546B32" wp14:editId="28A110CB">
            <wp:extent cx="5753100" cy="7610475"/>
            <wp:effectExtent l="0" t="0" r="0" b="9525"/>
            <wp:docPr id="120487107" name="Picture 1"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87107" name="Picture 1" descr="A close-up of a websit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3100" cy="7610475"/>
                    </a:xfrm>
                    <a:prstGeom prst="rect">
                      <a:avLst/>
                    </a:prstGeom>
                    <a:noFill/>
                    <a:ln>
                      <a:noFill/>
                    </a:ln>
                  </pic:spPr>
                </pic:pic>
              </a:graphicData>
            </a:graphic>
          </wp:inline>
        </w:drawing>
      </w:r>
    </w:p>
    <w:p w14:paraId="5C56759C" w14:textId="77777777" w:rsidR="00865C45" w:rsidRPr="004F4046" w:rsidRDefault="00865C45" w:rsidP="00865C45">
      <w:pPr>
        <w:rPr>
          <w:rFonts w:asciiTheme="minorHAnsi" w:hAnsiTheme="minorHAnsi" w:cstheme="minorHAnsi"/>
        </w:rPr>
      </w:pPr>
      <w:r w:rsidRPr="004F4046">
        <w:rPr>
          <w:rFonts w:asciiTheme="minorHAnsi" w:hAnsiTheme="minorHAnsi" w:cstheme="minorHAnsi"/>
        </w:rPr>
        <w:br w:type="page"/>
      </w:r>
    </w:p>
    <w:p w14:paraId="7BEAD1B0" w14:textId="66323366" w:rsidR="00865C45" w:rsidRPr="004F4046" w:rsidRDefault="00865C45" w:rsidP="00865C45">
      <w:pPr>
        <w:pStyle w:val="Heading1"/>
        <w:rPr>
          <w:rFonts w:asciiTheme="minorHAnsi" w:hAnsiTheme="minorHAnsi" w:cstheme="minorHAnsi"/>
          <w:sz w:val="24"/>
          <w:szCs w:val="24"/>
        </w:rPr>
      </w:pPr>
    </w:p>
    <w:p w14:paraId="7D9E0FAD" w14:textId="2A8FFE90" w:rsidR="00865C45" w:rsidRPr="004F4046" w:rsidRDefault="00865C45" w:rsidP="00865C45">
      <w:pPr>
        <w:rPr>
          <w:rFonts w:asciiTheme="minorHAnsi" w:hAnsiTheme="minorHAnsi" w:cstheme="minorHAnsi"/>
          <w:lang w:val="en-US" w:eastAsia="en-US"/>
        </w:rPr>
      </w:pPr>
      <w:r w:rsidRPr="004F4046">
        <w:rPr>
          <w:rFonts w:asciiTheme="minorHAnsi" w:hAnsiTheme="minorHAnsi" w:cstheme="minorHAnsi"/>
          <w:lang w:val="en-US" w:eastAsia="en-US"/>
        </w:rPr>
        <w:t>Reference list:</w:t>
      </w:r>
    </w:p>
    <w:p w14:paraId="239C1637" w14:textId="77777777" w:rsidR="00865C45" w:rsidRPr="004F4046" w:rsidRDefault="00865C45" w:rsidP="00865C45">
      <w:pPr>
        <w:rPr>
          <w:rFonts w:asciiTheme="minorHAnsi" w:hAnsiTheme="minorHAnsi" w:cstheme="minorHAnsi"/>
          <w:lang w:val="en-US" w:eastAsia="en-US"/>
        </w:rPr>
      </w:pPr>
    </w:p>
    <w:p w14:paraId="7A7B3BFA" w14:textId="77777777" w:rsidR="00865C45" w:rsidRPr="004F4046" w:rsidRDefault="00865C45" w:rsidP="00865C45">
      <w:pPr>
        <w:spacing w:line="360" w:lineRule="auto"/>
        <w:ind w:left="720" w:hanging="720"/>
        <w:rPr>
          <w:rFonts w:asciiTheme="minorHAnsi" w:hAnsiTheme="minorHAnsi" w:cstheme="minorHAnsi"/>
          <w:color w:val="222222"/>
          <w:shd w:val="clear" w:color="auto" w:fill="FFFFFF"/>
        </w:rPr>
      </w:pPr>
      <w:proofErr w:type="spellStart"/>
      <w:r w:rsidRPr="004F4046">
        <w:rPr>
          <w:rFonts w:asciiTheme="minorHAnsi" w:hAnsiTheme="minorHAnsi" w:cstheme="minorHAnsi"/>
          <w:color w:val="222222"/>
          <w:shd w:val="clear" w:color="auto" w:fill="FFFFFF"/>
        </w:rPr>
        <w:t>Bătae</w:t>
      </w:r>
      <w:proofErr w:type="spellEnd"/>
      <w:r w:rsidRPr="004F4046">
        <w:rPr>
          <w:rFonts w:asciiTheme="minorHAnsi" w:hAnsiTheme="minorHAnsi" w:cstheme="minorHAnsi"/>
          <w:color w:val="222222"/>
          <w:shd w:val="clear" w:color="auto" w:fill="FFFFFF"/>
        </w:rPr>
        <w:t xml:space="preserve">, O.M., Dragomir, V.D. and </w:t>
      </w:r>
      <w:proofErr w:type="spellStart"/>
      <w:r w:rsidRPr="004F4046">
        <w:rPr>
          <w:rFonts w:asciiTheme="minorHAnsi" w:hAnsiTheme="minorHAnsi" w:cstheme="minorHAnsi"/>
          <w:color w:val="222222"/>
          <w:shd w:val="clear" w:color="auto" w:fill="FFFFFF"/>
        </w:rPr>
        <w:t>Feleagă</w:t>
      </w:r>
      <w:proofErr w:type="spellEnd"/>
      <w:r w:rsidRPr="004F4046">
        <w:rPr>
          <w:rFonts w:asciiTheme="minorHAnsi" w:hAnsiTheme="minorHAnsi" w:cstheme="minorHAnsi"/>
          <w:color w:val="222222"/>
          <w:shd w:val="clear" w:color="auto" w:fill="FFFFFF"/>
        </w:rPr>
        <w:t>, L., 2021. The relationship between environmental, social, and financial performance in the banking sector: A European study. </w:t>
      </w:r>
      <w:r w:rsidRPr="004F4046">
        <w:rPr>
          <w:rFonts w:asciiTheme="minorHAnsi" w:hAnsiTheme="minorHAnsi" w:cstheme="minorHAnsi"/>
          <w:i/>
          <w:iCs/>
          <w:color w:val="222222"/>
          <w:shd w:val="clear" w:color="auto" w:fill="FFFFFF"/>
        </w:rPr>
        <w:t>Journal of Cleaner Production</w:t>
      </w:r>
      <w:r w:rsidRPr="004F4046">
        <w:rPr>
          <w:rFonts w:asciiTheme="minorHAnsi" w:hAnsiTheme="minorHAnsi" w:cstheme="minorHAnsi"/>
          <w:color w:val="222222"/>
          <w:shd w:val="clear" w:color="auto" w:fill="FFFFFF"/>
        </w:rPr>
        <w:t>, </w:t>
      </w:r>
      <w:r w:rsidRPr="004F4046">
        <w:rPr>
          <w:rFonts w:asciiTheme="minorHAnsi" w:hAnsiTheme="minorHAnsi" w:cstheme="minorHAnsi"/>
          <w:i/>
          <w:iCs/>
          <w:color w:val="222222"/>
          <w:shd w:val="clear" w:color="auto" w:fill="FFFFFF"/>
        </w:rPr>
        <w:t>290</w:t>
      </w:r>
      <w:r w:rsidRPr="004F4046">
        <w:rPr>
          <w:rFonts w:asciiTheme="minorHAnsi" w:hAnsiTheme="minorHAnsi" w:cstheme="minorHAnsi"/>
          <w:color w:val="222222"/>
          <w:shd w:val="clear" w:color="auto" w:fill="FFFFFF"/>
        </w:rPr>
        <w:t>, p.125791.</w:t>
      </w:r>
    </w:p>
    <w:p w14:paraId="64B8ED83" w14:textId="77777777" w:rsidR="00865C45" w:rsidRPr="004F4046" w:rsidRDefault="00865C45" w:rsidP="00865C45">
      <w:pPr>
        <w:spacing w:line="360" w:lineRule="auto"/>
        <w:ind w:left="720" w:hanging="720"/>
        <w:rPr>
          <w:rFonts w:asciiTheme="minorHAnsi" w:hAnsiTheme="minorHAnsi" w:cstheme="minorHAnsi"/>
          <w:color w:val="222222"/>
          <w:shd w:val="clear" w:color="auto" w:fill="FFFFFF"/>
        </w:rPr>
      </w:pPr>
      <w:proofErr w:type="spellStart"/>
      <w:r w:rsidRPr="004F4046">
        <w:rPr>
          <w:rFonts w:asciiTheme="minorHAnsi" w:hAnsiTheme="minorHAnsi" w:cstheme="minorHAnsi"/>
          <w:color w:val="222222"/>
          <w:shd w:val="clear" w:color="auto" w:fill="FFFFFF"/>
        </w:rPr>
        <w:t>Biancone</w:t>
      </w:r>
      <w:proofErr w:type="spellEnd"/>
      <w:r w:rsidRPr="004F4046">
        <w:rPr>
          <w:rFonts w:asciiTheme="minorHAnsi" w:hAnsiTheme="minorHAnsi" w:cstheme="minorHAnsi"/>
          <w:color w:val="222222"/>
          <w:shd w:val="clear" w:color="auto" w:fill="FFFFFF"/>
        </w:rPr>
        <w:t xml:space="preserve">, P.P., </w:t>
      </w:r>
      <w:proofErr w:type="spellStart"/>
      <w:r w:rsidRPr="004F4046">
        <w:rPr>
          <w:rFonts w:asciiTheme="minorHAnsi" w:hAnsiTheme="minorHAnsi" w:cstheme="minorHAnsi"/>
          <w:color w:val="222222"/>
          <w:shd w:val="clear" w:color="auto" w:fill="FFFFFF"/>
        </w:rPr>
        <w:t>Saiti</w:t>
      </w:r>
      <w:proofErr w:type="spellEnd"/>
      <w:r w:rsidRPr="004F4046">
        <w:rPr>
          <w:rFonts w:asciiTheme="minorHAnsi" w:hAnsiTheme="minorHAnsi" w:cstheme="minorHAnsi"/>
          <w:color w:val="222222"/>
          <w:shd w:val="clear" w:color="auto" w:fill="FFFFFF"/>
        </w:rPr>
        <w:t xml:space="preserve">, B., </w:t>
      </w:r>
      <w:proofErr w:type="spellStart"/>
      <w:r w:rsidRPr="004F4046">
        <w:rPr>
          <w:rFonts w:asciiTheme="minorHAnsi" w:hAnsiTheme="minorHAnsi" w:cstheme="minorHAnsi"/>
          <w:color w:val="222222"/>
          <w:shd w:val="clear" w:color="auto" w:fill="FFFFFF"/>
        </w:rPr>
        <w:t>Petricean</w:t>
      </w:r>
      <w:proofErr w:type="spellEnd"/>
      <w:r w:rsidRPr="004F4046">
        <w:rPr>
          <w:rFonts w:asciiTheme="minorHAnsi" w:hAnsiTheme="minorHAnsi" w:cstheme="minorHAnsi"/>
          <w:color w:val="222222"/>
          <w:shd w:val="clear" w:color="auto" w:fill="FFFFFF"/>
        </w:rPr>
        <w:t xml:space="preserve">, D. and </w:t>
      </w:r>
      <w:proofErr w:type="spellStart"/>
      <w:r w:rsidRPr="004F4046">
        <w:rPr>
          <w:rFonts w:asciiTheme="minorHAnsi" w:hAnsiTheme="minorHAnsi" w:cstheme="minorHAnsi"/>
          <w:color w:val="222222"/>
          <w:shd w:val="clear" w:color="auto" w:fill="FFFFFF"/>
        </w:rPr>
        <w:t>Chmet</w:t>
      </w:r>
      <w:proofErr w:type="spellEnd"/>
      <w:r w:rsidRPr="004F4046">
        <w:rPr>
          <w:rFonts w:asciiTheme="minorHAnsi" w:hAnsiTheme="minorHAnsi" w:cstheme="minorHAnsi"/>
          <w:color w:val="222222"/>
          <w:shd w:val="clear" w:color="auto" w:fill="FFFFFF"/>
        </w:rPr>
        <w:t>, F., 2020. The bibliometric analysis of Islamic banking and finance. </w:t>
      </w:r>
      <w:r w:rsidRPr="004F4046">
        <w:rPr>
          <w:rFonts w:asciiTheme="minorHAnsi" w:hAnsiTheme="minorHAnsi" w:cstheme="minorHAnsi"/>
          <w:i/>
          <w:iCs/>
          <w:color w:val="222222"/>
          <w:shd w:val="clear" w:color="auto" w:fill="FFFFFF"/>
        </w:rPr>
        <w:t>Journal of Islamic Accounting and Business Research</w:t>
      </w:r>
      <w:r w:rsidRPr="004F4046">
        <w:rPr>
          <w:rFonts w:asciiTheme="minorHAnsi" w:hAnsiTheme="minorHAnsi" w:cstheme="minorHAnsi"/>
          <w:color w:val="222222"/>
          <w:shd w:val="clear" w:color="auto" w:fill="FFFFFF"/>
        </w:rPr>
        <w:t>, </w:t>
      </w:r>
      <w:r w:rsidRPr="004F4046">
        <w:rPr>
          <w:rFonts w:asciiTheme="minorHAnsi" w:hAnsiTheme="minorHAnsi" w:cstheme="minorHAnsi"/>
          <w:i/>
          <w:iCs/>
          <w:color w:val="222222"/>
          <w:shd w:val="clear" w:color="auto" w:fill="FFFFFF"/>
        </w:rPr>
        <w:t>11</w:t>
      </w:r>
      <w:r w:rsidRPr="004F4046">
        <w:rPr>
          <w:rFonts w:asciiTheme="minorHAnsi" w:hAnsiTheme="minorHAnsi" w:cstheme="minorHAnsi"/>
          <w:color w:val="222222"/>
          <w:shd w:val="clear" w:color="auto" w:fill="FFFFFF"/>
        </w:rPr>
        <w:t>(9), pp.2069-2086.</w:t>
      </w:r>
    </w:p>
    <w:p w14:paraId="257CB8FF" w14:textId="77777777" w:rsidR="00865C45" w:rsidRPr="004F4046" w:rsidRDefault="00865C45" w:rsidP="00865C45">
      <w:pPr>
        <w:spacing w:line="360" w:lineRule="auto"/>
        <w:ind w:left="720" w:hanging="720"/>
        <w:rPr>
          <w:rFonts w:asciiTheme="minorHAnsi" w:hAnsiTheme="minorHAnsi" w:cstheme="minorHAnsi"/>
          <w:color w:val="222222"/>
          <w:shd w:val="clear" w:color="auto" w:fill="FFFFFF"/>
        </w:rPr>
      </w:pPr>
      <w:r w:rsidRPr="004F4046">
        <w:rPr>
          <w:rFonts w:asciiTheme="minorHAnsi" w:hAnsiTheme="minorHAnsi" w:cstheme="minorHAnsi"/>
          <w:color w:val="222222"/>
          <w:shd w:val="clear" w:color="auto" w:fill="FFFFFF"/>
        </w:rPr>
        <w:t>Boon, A. and Whyte, A., 2019. Lawyer disciplinary processes: an empirical study of solicitors’ misconduct cases in England and Wales in 2015. </w:t>
      </w:r>
      <w:r w:rsidRPr="004F4046">
        <w:rPr>
          <w:rFonts w:asciiTheme="minorHAnsi" w:hAnsiTheme="minorHAnsi" w:cstheme="minorHAnsi"/>
          <w:i/>
          <w:iCs/>
          <w:color w:val="222222"/>
          <w:shd w:val="clear" w:color="auto" w:fill="FFFFFF"/>
        </w:rPr>
        <w:t>Legal Studies</w:t>
      </w:r>
      <w:r w:rsidRPr="004F4046">
        <w:rPr>
          <w:rFonts w:asciiTheme="minorHAnsi" w:hAnsiTheme="minorHAnsi" w:cstheme="minorHAnsi"/>
          <w:color w:val="222222"/>
          <w:shd w:val="clear" w:color="auto" w:fill="FFFFFF"/>
        </w:rPr>
        <w:t>, </w:t>
      </w:r>
      <w:r w:rsidRPr="004F4046">
        <w:rPr>
          <w:rFonts w:asciiTheme="minorHAnsi" w:hAnsiTheme="minorHAnsi" w:cstheme="minorHAnsi"/>
          <w:i/>
          <w:iCs/>
          <w:color w:val="222222"/>
          <w:shd w:val="clear" w:color="auto" w:fill="FFFFFF"/>
        </w:rPr>
        <w:t>39</w:t>
      </w:r>
      <w:r w:rsidRPr="004F4046">
        <w:rPr>
          <w:rFonts w:asciiTheme="minorHAnsi" w:hAnsiTheme="minorHAnsi" w:cstheme="minorHAnsi"/>
          <w:color w:val="222222"/>
          <w:shd w:val="clear" w:color="auto" w:fill="FFFFFF"/>
        </w:rPr>
        <w:t>(3), pp.455-478.</w:t>
      </w:r>
    </w:p>
    <w:p w14:paraId="3CD1D286" w14:textId="77777777" w:rsidR="00865C45" w:rsidRPr="004F4046" w:rsidRDefault="00865C45" w:rsidP="00865C45">
      <w:pPr>
        <w:spacing w:line="360" w:lineRule="auto"/>
        <w:ind w:left="720" w:hanging="720"/>
        <w:rPr>
          <w:rFonts w:asciiTheme="minorHAnsi" w:hAnsiTheme="minorHAnsi" w:cstheme="minorHAnsi"/>
        </w:rPr>
      </w:pPr>
      <w:r w:rsidRPr="004F4046">
        <w:rPr>
          <w:rFonts w:asciiTheme="minorHAnsi" w:hAnsiTheme="minorHAnsi" w:cstheme="minorHAnsi"/>
          <w:color w:val="222222"/>
          <w:shd w:val="clear" w:color="auto" w:fill="FFFFFF"/>
        </w:rPr>
        <w:t>Bowyer, R., 2019. Regulatory threats to the law degree: The Solicitors Qualifying Examination and the purpose of law schools. </w:t>
      </w:r>
      <w:r w:rsidRPr="004F4046">
        <w:rPr>
          <w:rFonts w:asciiTheme="minorHAnsi" w:hAnsiTheme="minorHAnsi" w:cstheme="minorHAnsi"/>
          <w:i/>
          <w:iCs/>
          <w:color w:val="222222"/>
          <w:shd w:val="clear" w:color="auto" w:fill="FFFFFF"/>
        </w:rPr>
        <w:t>Law and Critique</w:t>
      </w:r>
      <w:r w:rsidRPr="004F4046">
        <w:rPr>
          <w:rFonts w:asciiTheme="minorHAnsi" w:hAnsiTheme="minorHAnsi" w:cstheme="minorHAnsi"/>
          <w:color w:val="222222"/>
          <w:shd w:val="clear" w:color="auto" w:fill="FFFFFF"/>
        </w:rPr>
        <w:t>, </w:t>
      </w:r>
      <w:r w:rsidRPr="004F4046">
        <w:rPr>
          <w:rFonts w:asciiTheme="minorHAnsi" w:hAnsiTheme="minorHAnsi" w:cstheme="minorHAnsi"/>
          <w:i/>
          <w:iCs/>
          <w:color w:val="222222"/>
          <w:shd w:val="clear" w:color="auto" w:fill="FFFFFF"/>
        </w:rPr>
        <w:t>30</w:t>
      </w:r>
      <w:r w:rsidRPr="004F4046">
        <w:rPr>
          <w:rFonts w:asciiTheme="minorHAnsi" w:hAnsiTheme="minorHAnsi" w:cstheme="minorHAnsi"/>
          <w:color w:val="222222"/>
          <w:shd w:val="clear" w:color="auto" w:fill="FFFFFF"/>
        </w:rPr>
        <w:t>(2), pp.117-121.</w:t>
      </w:r>
    </w:p>
    <w:p w14:paraId="588627E2" w14:textId="77777777" w:rsidR="00865C45" w:rsidRPr="004F4046" w:rsidRDefault="00865C45" w:rsidP="00865C45">
      <w:pPr>
        <w:spacing w:line="360" w:lineRule="auto"/>
        <w:ind w:left="720" w:hanging="720"/>
        <w:rPr>
          <w:rFonts w:asciiTheme="minorHAnsi" w:hAnsiTheme="minorHAnsi" w:cstheme="minorHAnsi"/>
          <w:color w:val="222222"/>
          <w:shd w:val="clear" w:color="auto" w:fill="FFFFFF"/>
        </w:rPr>
      </w:pPr>
      <w:proofErr w:type="spellStart"/>
      <w:r w:rsidRPr="004F4046">
        <w:rPr>
          <w:rFonts w:asciiTheme="minorHAnsi" w:hAnsiTheme="minorHAnsi" w:cstheme="minorHAnsi"/>
          <w:color w:val="222222"/>
          <w:shd w:val="clear" w:color="auto" w:fill="FFFFFF"/>
        </w:rPr>
        <w:t>Breidbach</w:t>
      </w:r>
      <w:proofErr w:type="spellEnd"/>
      <w:r w:rsidRPr="004F4046">
        <w:rPr>
          <w:rFonts w:asciiTheme="minorHAnsi" w:hAnsiTheme="minorHAnsi" w:cstheme="minorHAnsi"/>
          <w:color w:val="222222"/>
          <w:shd w:val="clear" w:color="auto" w:fill="FFFFFF"/>
        </w:rPr>
        <w:t>, C.F., Keating, B.W. and Lim, C., 2020. Fintech: research directions to explore the digital transformation of financial service systems. </w:t>
      </w:r>
      <w:r w:rsidRPr="004F4046">
        <w:rPr>
          <w:rFonts w:asciiTheme="minorHAnsi" w:hAnsiTheme="minorHAnsi" w:cstheme="minorHAnsi"/>
          <w:i/>
          <w:iCs/>
          <w:color w:val="222222"/>
          <w:shd w:val="clear" w:color="auto" w:fill="FFFFFF"/>
        </w:rPr>
        <w:t>Journal of Service Theory and Practice</w:t>
      </w:r>
      <w:r w:rsidRPr="004F4046">
        <w:rPr>
          <w:rFonts w:asciiTheme="minorHAnsi" w:hAnsiTheme="minorHAnsi" w:cstheme="minorHAnsi"/>
          <w:color w:val="222222"/>
          <w:shd w:val="clear" w:color="auto" w:fill="FFFFFF"/>
        </w:rPr>
        <w:t>, </w:t>
      </w:r>
      <w:r w:rsidRPr="004F4046">
        <w:rPr>
          <w:rFonts w:asciiTheme="minorHAnsi" w:hAnsiTheme="minorHAnsi" w:cstheme="minorHAnsi"/>
          <w:i/>
          <w:iCs/>
          <w:color w:val="222222"/>
          <w:shd w:val="clear" w:color="auto" w:fill="FFFFFF"/>
        </w:rPr>
        <w:t>30</w:t>
      </w:r>
      <w:r w:rsidRPr="004F4046">
        <w:rPr>
          <w:rFonts w:asciiTheme="minorHAnsi" w:hAnsiTheme="minorHAnsi" w:cstheme="minorHAnsi"/>
          <w:color w:val="222222"/>
          <w:shd w:val="clear" w:color="auto" w:fill="FFFFFF"/>
        </w:rPr>
        <w:t>(1), pp.79-102.</w:t>
      </w:r>
    </w:p>
    <w:p w14:paraId="2DB4F4B3" w14:textId="77777777" w:rsidR="00865C45" w:rsidRPr="004F4046" w:rsidRDefault="00865C45" w:rsidP="00865C45">
      <w:pPr>
        <w:spacing w:line="360" w:lineRule="auto"/>
        <w:ind w:left="720" w:hanging="720"/>
        <w:rPr>
          <w:rFonts w:asciiTheme="minorHAnsi" w:hAnsiTheme="minorHAnsi" w:cstheme="minorHAnsi"/>
          <w:color w:val="222222"/>
          <w:shd w:val="clear" w:color="auto" w:fill="FFFFFF"/>
        </w:rPr>
      </w:pPr>
      <w:r w:rsidRPr="004F4046">
        <w:rPr>
          <w:rFonts w:asciiTheme="minorHAnsi" w:hAnsiTheme="minorHAnsi" w:cstheme="minorHAnsi"/>
          <w:color w:val="222222"/>
          <w:shd w:val="clear" w:color="auto" w:fill="FFFFFF"/>
        </w:rPr>
        <w:t>Collins, G., 2020. Cyber security: Cyber security awareness month-making people the first line of defence. </w:t>
      </w:r>
      <w:r w:rsidRPr="004F4046">
        <w:rPr>
          <w:rFonts w:asciiTheme="minorHAnsi" w:hAnsiTheme="minorHAnsi" w:cstheme="minorHAnsi"/>
          <w:i/>
          <w:iCs/>
          <w:color w:val="222222"/>
          <w:shd w:val="clear" w:color="auto" w:fill="FFFFFF"/>
        </w:rPr>
        <w:t>LSJ: Law Society of NSW Journal</w:t>
      </w:r>
      <w:r w:rsidRPr="004F4046">
        <w:rPr>
          <w:rFonts w:asciiTheme="minorHAnsi" w:hAnsiTheme="minorHAnsi" w:cstheme="minorHAnsi"/>
          <w:color w:val="222222"/>
          <w:shd w:val="clear" w:color="auto" w:fill="FFFFFF"/>
        </w:rPr>
        <w:t>, (71), p.87.</w:t>
      </w:r>
    </w:p>
    <w:p w14:paraId="121C4A93" w14:textId="77777777" w:rsidR="00865C45" w:rsidRPr="004F4046" w:rsidRDefault="00865C45" w:rsidP="00865C45">
      <w:pPr>
        <w:spacing w:line="360" w:lineRule="auto"/>
        <w:ind w:left="720" w:hanging="720"/>
        <w:rPr>
          <w:rFonts w:asciiTheme="minorHAnsi" w:hAnsiTheme="minorHAnsi" w:cstheme="minorHAnsi"/>
          <w:color w:val="222222"/>
          <w:shd w:val="clear" w:color="auto" w:fill="FFFFFF"/>
        </w:rPr>
      </w:pPr>
      <w:r w:rsidRPr="004F4046">
        <w:rPr>
          <w:rFonts w:asciiTheme="minorHAnsi" w:hAnsiTheme="minorHAnsi" w:cstheme="minorHAnsi"/>
          <w:color w:val="222222"/>
          <w:shd w:val="clear" w:color="auto" w:fill="FFFFFF"/>
        </w:rPr>
        <w:t xml:space="preserve">Du, S. and </w:t>
      </w:r>
      <w:proofErr w:type="spellStart"/>
      <w:r w:rsidRPr="004F4046">
        <w:rPr>
          <w:rFonts w:asciiTheme="minorHAnsi" w:hAnsiTheme="minorHAnsi" w:cstheme="minorHAnsi"/>
          <w:color w:val="222222"/>
          <w:shd w:val="clear" w:color="auto" w:fill="FFFFFF"/>
        </w:rPr>
        <w:t>Xie</w:t>
      </w:r>
      <w:proofErr w:type="spellEnd"/>
      <w:r w:rsidRPr="004F4046">
        <w:rPr>
          <w:rFonts w:asciiTheme="minorHAnsi" w:hAnsiTheme="minorHAnsi" w:cstheme="minorHAnsi"/>
          <w:color w:val="222222"/>
          <w:shd w:val="clear" w:color="auto" w:fill="FFFFFF"/>
        </w:rPr>
        <w:t>, C., 2021. Paradoxes of artificial intelligence in consumer markets: Ethical challenges and opportunities. </w:t>
      </w:r>
      <w:r w:rsidRPr="004F4046">
        <w:rPr>
          <w:rFonts w:asciiTheme="minorHAnsi" w:hAnsiTheme="minorHAnsi" w:cstheme="minorHAnsi"/>
          <w:i/>
          <w:iCs/>
          <w:color w:val="222222"/>
          <w:shd w:val="clear" w:color="auto" w:fill="FFFFFF"/>
        </w:rPr>
        <w:t>Journal of Business Research</w:t>
      </w:r>
      <w:r w:rsidRPr="004F4046">
        <w:rPr>
          <w:rFonts w:asciiTheme="minorHAnsi" w:hAnsiTheme="minorHAnsi" w:cstheme="minorHAnsi"/>
          <w:color w:val="222222"/>
          <w:shd w:val="clear" w:color="auto" w:fill="FFFFFF"/>
        </w:rPr>
        <w:t>, </w:t>
      </w:r>
      <w:r w:rsidRPr="004F4046">
        <w:rPr>
          <w:rFonts w:asciiTheme="minorHAnsi" w:hAnsiTheme="minorHAnsi" w:cstheme="minorHAnsi"/>
          <w:i/>
          <w:iCs/>
          <w:color w:val="222222"/>
          <w:shd w:val="clear" w:color="auto" w:fill="FFFFFF"/>
        </w:rPr>
        <w:t>129</w:t>
      </w:r>
      <w:r w:rsidRPr="004F4046">
        <w:rPr>
          <w:rFonts w:asciiTheme="minorHAnsi" w:hAnsiTheme="minorHAnsi" w:cstheme="minorHAnsi"/>
          <w:color w:val="222222"/>
          <w:shd w:val="clear" w:color="auto" w:fill="FFFFFF"/>
        </w:rPr>
        <w:t>, pp.961-974.</w:t>
      </w:r>
    </w:p>
    <w:p w14:paraId="6265B12F" w14:textId="77777777" w:rsidR="00865C45" w:rsidRPr="004F4046" w:rsidRDefault="00865C45" w:rsidP="00865C45">
      <w:pPr>
        <w:spacing w:line="360" w:lineRule="auto"/>
        <w:ind w:left="720" w:hanging="720"/>
        <w:rPr>
          <w:rFonts w:asciiTheme="minorHAnsi" w:hAnsiTheme="minorHAnsi" w:cstheme="minorHAnsi"/>
          <w:color w:val="222222"/>
          <w:shd w:val="clear" w:color="auto" w:fill="FFFFFF"/>
        </w:rPr>
      </w:pPr>
      <w:proofErr w:type="spellStart"/>
      <w:r w:rsidRPr="004F4046">
        <w:rPr>
          <w:rFonts w:asciiTheme="minorHAnsi" w:hAnsiTheme="minorHAnsi" w:cstheme="minorHAnsi"/>
          <w:color w:val="222222"/>
          <w:shd w:val="clear" w:color="auto" w:fill="FFFFFF"/>
        </w:rPr>
        <w:t>Habel</w:t>
      </w:r>
      <w:proofErr w:type="spellEnd"/>
      <w:r w:rsidRPr="004F4046">
        <w:rPr>
          <w:rFonts w:asciiTheme="minorHAnsi" w:hAnsiTheme="minorHAnsi" w:cstheme="minorHAnsi"/>
          <w:color w:val="222222"/>
          <w:shd w:val="clear" w:color="auto" w:fill="FFFFFF"/>
        </w:rPr>
        <w:t xml:space="preserve">, G., 2021. Achieving Regulatory Fairness: A Disproportionately Slow </w:t>
      </w:r>
      <w:proofErr w:type="gramStart"/>
      <w:r w:rsidRPr="004F4046">
        <w:rPr>
          <w:rFonts w:asciiTheme="minorHAnsi" w:hAnsiTheme="minorHAnsi" w:cstheme="minorHAnsi"/>
          <w:color w:val="222222"/>
          <w:shd w:val="clear" w:color="auto" w:fill="FFFFFF"/>
        </w:rPr>
        <w:t>Process?.</w:t>
      </w:r>
      <w:proofErr w:type="gramEnd"/>
      <w:r w:rsidRPr="004F4046">
        <w:rPr>
          <w:rFonts w:asciiTheme="minorHAnsi" w:hAnsiTheme="minorHAnsi" w:cstheme="minorHAnsi"/>
          <w:color w:val="222222"/>
          <w:shd w:val="clear" w:color="auto" w:fill="FFFFFF"/>
        </w:rPr>
        <w:t> </w:t>
      </w:r>
      <w:proofErr w:type="spellStart"/>
      <w:r w:rsidRPr="004F4046">
        <w:rPr>
          <w:rFonts w:asciiTheme="minorHAnsi" w:hAnsiTheme="minorHAnsi" w:cstheme="minorHAnsi"/>
          <w:i/>
          <w:iCs/>
          <w:color w:val="222222"/>
          <w:shd w:val="clear" w:color="auto" w:fill="FFFFFF"/>
        </w:rPr>
        <w:t>Solic</w:t>
      </w:r>
      <w:proofErr w:type="spellEnd"/>
      <w:r w:rsidRPr="004F4046">
        <w:rPr>
          <w:rFonts w:asciiTheme="minorHAnsi" w:hAnsiTheme="minorHAnsi" w:cstheme="minorHAnsi"/>
          <w:i/>
          <w:iCs/>
          <w:color w:val="222222"/>
          <w:shd w:val="clear" w:color="auto" w:fill="FFFFFF"/>
        </w:rPr>
        <w:t>. J.</w:t>
      </w:r>
      <w:r w:rsidRPr="004F4046">
        <w:rPr>
          <w:rFonts w:asciiTheme="minorHAnsi" w:hAnsiTheme="minorHAnsi" w:cstheme="minorHAnsi"/>
          <w:color w:val="222222"/>
          <w:shd w:val="clear" w:color="auto" w:fill="FFFFFF"/>
        </w:rPr>
        <w:t>, </w:t>
      </w:r>
      <w:r w:rsidRPr="004F4046">
        <w:rPr>
          <w:rFonts w:asciiTheme="minorHAnsi" w:hAnsiTheme="minorHAnsi" w:cstheme="minorHAnsi"/>
          <w:i/>
          <w:iCs/>
          <w:color w:val="222222"/>
          <w:shd w:val="clear" w:color="auto" w:fill="FFFFFF"/>
        </w:rPr>
        <w:t>164</w:t>
      </w:r>
      <w:r w:rsidRPr="004F4046">
        <w:rPr>
          <w:rFonts w:asciiTheme="minorHAnsi" w:hAnsiTheme="minorHAnsi" w:cstheme="minorHAnsi"/>
          <w:color w:val="222222"/>
          <w:shd w:val="clear" w:color="auto" w:fill="FFFFFF"/>
        </w:rPr>
        <w:t>, p.64.</w:t>
      </w:r>
    </w:p>
    <w:p w14:paraId="724B325C" w14:textId="77777777" w:rsidR="00865C45" w:rsidRPr="004F4046" w:rsidRDefault="00865C45" w:rsidP="00865C45">
      <w:pPr>
        <w:spacing w:line="360" w:lineRule="auto"/>
        <w:ind w:left="720" w:hanging="720"/>
        <w:rPr>
          <w:rFonts w:asciiTheme="minorHAnsi" w:hAnsiTheme="minorHAnsi" w:cstheme="minorHAnsi"/>
          <w:color w:val="222222"/>
          <w:shd w:val="clear" w:color="auto" w:fill="FFFFFF"/>
        </w:rPr>
      </w:pPr>
      <w:proofErr w:type="spellStart"/>
      <w:r w:rsidRPr="004F4046">
        <w:rPr>
          <w:rFonts w:asciiTheme="minorHAnsi" w:hAnsiTheme="minorHAnsi" w:cstheme="minorHAnsi"/>
          <w:color w:val="222222"/>
          <w:shd w:val="clear" w:color="auto" w:fill="FFFFFF"/>
        </w:rPr>
        <w:t>Hatchard</w:t>
      </w:r>
      <w:proofErr w:type="spellEnd"/>
      <w:r w:rsidRPr="004F4046">
        <w:rPr>
          <w:rFonts w:asciiTheme="minorHAnsi" w:hAnsiTheme="minorHAnsi" w:cstheme="minorHAnsi"/>
          <w:color w:val="222222"/>
          <w:shd w:val="clear" w:color="auto" w:fill="FFFFFF"/>
        </w:rPr>
        <w:t>, J., 2019. Legal Practitioners as Potential Money Launderers: Beneficial Ownership Transparency and PEPs: Solicitors Regulation Authority v Sharif (2019). </w:t>
      </w:r>
      <w:r w:rsidRPr="004F4046">
        <w:rPr>
          <w:rFonts w:asciiTheme="minorHAnsi" w:hAnsiTheme="minorHAnsi" w:cstheme="minorHAnsi"/>
          <w:i/>
          <w:iCs/>
          <w:color w:val="222222"/>
          <w:shd w:val="clear" w:color="auto" w:fill="FFFFFF"/>
        </w:rPr>
        <w:t>Denning LJ</w:t>
      </w:r>
      <w:r w:rsidRPr="004F4046">
        <w:rPr>
          <w:rFonts w:asciiTheme="minorHAnsi" w:hAnsiTheme="minorHAnsi" w:cstheme="minorHAnsi"/>
          <w:color w:val="222222"/>
          <w:shd w:val="clear" w:color="auto" w:fill="FFFFFF"/>
        </w:rPr>
        <w:t>, </w:t>
      </w:r>
      <w:r w:rsidRPr="004F4046">
        <w:rPr>
          <w:rFonts w:asciiTheme="minorHAnsi" w:hAnsiTheme="minorHAnsi" w:cstheme="minorHAnsi"/>
          <w:i/>
          <w:iCs/>
          <w:color w:val="222222"/>
          <w:shd w:val="clear" w:color="auto" w:fill="FFFFFF"/>
        </w:rPr>
        <w:t>31</w:t>
      </w:r>
      <w:r w:rsidRPr="004F4046">
        <w:rPr>
          <w:rFonts w:asciiTheme="minorHAnsi" w:hAnsiTheme="minorHAnsi" w:cstheme="minorHAnsi"/>
          <w:color w:val="222222"/>
          <w:shd w:val="clear" w:color="auto" w:fill="FFFFFF"/>
        </w:rPr>
        <w:t>, p.189.</w:t>
      </w:r>
    </w:p>
    <w:p w14:paraId="49D7EEE7" w14:textId="77777777" w:rsidR="00865C45" w:rsidRPr="004F4046" w:rsidRDefault="00865C45" w:rsidP="00865C45">
      <w:pPr>
        <w:spacing w:line="360" w:lineRule="auto"/>
        <w:ind w:left="720" w:hanging="720"/>
        <w:rPr>
          <w:rFonts w:asciiTheme="minorHAnsi" w:hAnsiTheme="minorHAnsi" w:cstheme="minorHAnsi"/>
          <w:color w:val="222222"/>
          <w:shd w:val="clear" w:color="auto" w:fill="FFFFFF"/>
        </w:rPr>
      </w:pPr>
      <w:r w:rsidRPr="004F4046">
        <w:rPr>
          <w:rFonts w:asciiTheme="minorHAnsi" w:hAnsiTheme="minorHAnsi" w:cstheme="minorHAnsi"/>
          <w:color w:val="222222"/>
          <w:shd w:val="clear" w:color="auto" w:fill="FFFFFF"/>
        </w:rPr>
        <w:t>Martin, K., Shilton, K. and Smith, J.E., 2022. Business and the ethical implications of technology: Introduction to the symposium. In </w:t>
      </w:r>
      <w:r w:rsidRPr="004F4046">
        <w:rPr>
          <w:rFonts w:asciiTheme="minorHAnsi" w:hAnsiTheme="minorHAnsi" w:cstheme="minorHAnsi"/>
          <w:i/>
          <w:iCs/>
          <w:color w:val="222222"/>
          <w:shd w:val="clear" w:color="auto" w:fill="FFFFFF"/>
        </w:rPr>
        <w:t>Business and the Ethical Implications of Technology</w:t>
      </w:r>
      <w:r w:rsidRPr="004F4046">
        <w:rPr>
          <w:rFonts w:asciiTheme="minorHAnsi" w:hAnsiTheme="minorHAnsi" w:cstheme="minorHAnsi"/>
          <w:color w:val="222222"/>
          <w:shd w:val="clear" w:color="auto" w:fill="FFFFFF"/>
        </w:rPr>
        <w:t> (pp. 1-11). Cham: Springer Nature Switzerland.</w:t>
      </w:r>
    </w:p>
    <w:p w14:paraId="7BF4FAF1" w14:textId="77777777" w:rsidR="00865C45" w:rsidRPr="004F4046" w:rsidRDefault="00865C45" w:rsidP="00865C45">
      <w:pPr>
        <w:spacing w:line="360" w:lineRule="auto"/>
        <w:ind w:left="720" w:hanging="720"/>
        <w:rPr>
          <w:rFonts w:asciiTheme="minorHAnsi" w:hAnsiTheme="minorHAnsi" w:cstheme="minorHAnsi"/>
          <w:color w:val="222222"/>
          <w:shd w:val="clear" w:color="auto" w:fill="FFFFFF"/>
        </w:rPr>
      </w:pPr>
      <w:r w:rsidRPr="004F4046">
        <w:rPr>
          <w:rFonts w:asciiTheme="minorHAnsi" w:hAnsiTheme="minorHAnsi" w:cstheme="minorHAnsi"/>
          <w:color w:val="222222"/>
          <w:shd w:val="clear" w:color="auto" w:fill="FFFFFF"/>
        </w:rPr>
        <w:t xml:space="preserve">Raza, S.A., </w:t>
      </w:r>
      <w:proofErr w:type="spellStart"/>
      <w:r w:rsidRPr="004F4046">
        <w:rPr>
          <w:rFonts w:asciiTheme="minorHAnsi" w:hAnsiTheme="minorHAnsi" w:cstheme="minorHAnsi"/>
          <w:color w:val="222222"/>
          <w:shd w:val="clear" w:color="auto" w:fill="FFFFFF"/>
        </w:rPr>
        <w:t>Umer</w:t>
      </w:r>
      <w:proofErr w:type="spellEnd"/>
      <w:r w:rsidRPr="004F4046">
        <w:rPr>
          <w:rFonts w:asciiTheme="minorHAnsi" w:hAnsiTheme="minorHAnsi" w:cstheme="minorHAnsi"/>
          <w:color w:val="222222"/>
          <w:shd w:val="clear" w:color="auto" w:fill="FFFFFF"/>
        </w:rPr>
        <w:t xml:space="preserve">, A., Qureshi, M.A. and </w:t>
      </w:r>
      <w:proofErr w:type="spellStart"/>
      <w:r w:rsidRPr="004F4046">
        <w:rPr>
          <w:rFonts w:asciiTheme="minorHAnsi" w:hAnsiTheme="minorHAnsi" w:cstheme="minorHAnsi"/>
          <w:color w:val="222222"/>
          <w:shd w:val="clear" w:color="auto" w:fill="FFFFFF"/>
        </w:rPr>
        <w:t>Dahri</w:t>
      </w:r>
      <w:proofErr w:type="spellEnd"/>
      <w:r w:rsidRPr="004F4046">
        <w:rPr>
          <w:rFonts w:asciiTheme="minorHAnsi" w:hAnsiTheme="minorHAnsi" w:cstheme="minorHAnsi"/>
          <w:color w:val="222222"/>
          <w:shd w:val="clear" w:color="auto" w:fill="FFFFFF"/>
        </w:rPr>
        <w:t xml:space="preserve">, A.S., 2020. Internet banking service quality, e-customer </w:t>
      </w:r>
      <w:proofErr w:type="gramStart"/>
      <w:r w:rsidRPr="004F4046">
        <w:rPr>
          <w:rFonts w:asciiTheme="minorHAnsi" w:hAnsiTheme="minorHAnsi" w:cstheme="minorHAnsi"/>
          <w:color w:val="222222"/>
          <w:shd w:val="clear" w:color="auto" w:fill="FFFFFF"/>
        </w:rPr>
        <w:t>satisfaction</w:t>
      </w:r>
      <w:proofErr w:type="gramEnd"/>
      <w:r w:rsidRPr="004F4046">
        <w:rPr>
          <w:rFonts w:asciiTheme="minorHAnsi" w:hAnsiTheme="minorHAnsi" w:cstheme="minorHAnsi"/>
          <w:color w:val="222222"/>
          <w:shd w:val="clear" w:color="auto" w:fill="FFFFFF"/>
        </w:rPr>
        <w:t xml:space="preserve"> and loyalty: the modified e-SERVQUAL model. </w:t>
      </w:r>
      <w:r w:rsidRPr="004F4046">
        <w:rPr>
          <w:rFonts w:asciiTheme="minorHAnsi" w:hAnsiTheme="minorHAnsi" w:cstheme="minorHAnsi"/>
          <w:i/>
          <w:iCs/>
          <w:color w:val="222222"/>
          <w:shd w:val="clear" w:color="auto" w:fill="FFFFFF"/>
        </w:rPr>
        <w:t>The TQM Journal</w:t>
      </w:r>
      <w:r w:rsidRPr="004F4046">
        <w:rPr>
          <w:rFonts w:asciiTheme="minorHAnsi" w:hAnsiTheme="minorHAnsi" w:cstheme="minorHAnsi"/>
          <w:color w:val="222222"/>
          <w:shd w:val="clear" w:color="auto" w:fill="FFFFFF"/>
        </w:rPr>
        <w:t>, </w:t>
      </w:r>
      <w:r w:rsidRPr="004F4046">
        <w:rPr>
          <w:rFonts w:asciiTheme="minorHAnsi" w:hAnsiTheme="minorHAnsi" w:cstheme="minorHAnsi"/>
          <w:i/>
          <w:iCs/>
          <w:color w:val="222222"/>
          <w:shd w:val="clear" w:color="auto" w:fill="FFFFFF"/>
        </w:rPr>
        <w:t>32</w:t>
      </w:r>
      <w:r w:rsidRPr="004F4046">
        <w:rPr>
          <w:rFonts w:asciiTheme="minorHAnsi" w:hAnsiTheme="minorHAnsi" w:cstheme="minorHAnsi"/>
          <w:color w:val="222222"/>
          <w:shd w:val="clear" w:color="auto" w:fill="FFFFFF"/>
        </w:rPr>
        <w:t>(6), pp.1443-1466.</w:t>
      </w:r>
    </w:p>
    <w:p w14:paraId="004BE664" w14:textId="77777777" w:rsidR="00865C45" w:rsidRPr="004F4046" w:rsidRDefault="00865C45" w:rsidP="00865C45">
      <w:pPr>
        <w:spacing w:line="360" w:lineRule="auto"/>
        <w:ind w:left="720" w:hanging="720"/>
        <w:rPr>
          <w:rFonts w:asciiTheme="minorHAnsi" w:hAnsiTheme="minorHAnsi" w:cstheme="minorHAnsi"/>
          <w:color w:val="222222"/>
          <w:shd w:val="clear" w:color="auto" w:fill="FFFFFF"/>
        </w:rPr>
      </w:pPr>
      <w:r w:rsidRPr="004F4046">
        <w:rPr>
          <w:rFonts w:asciiTheme="minorHAnsi" w:hAnsiTheme="minorHAnsi" w:cstheme="minorHAnsi"/>
          <w:color w:val="222222"/>
          <w:shd w:val="clear" w:color="auto" w:fill="FFFFFF"/>
        </w:rPr>
        <w:lastRenderedPageBreak/>
        <w:t>Unger, A., 2020. Legal education future (s)–the changing relationship between law schools and the legal profession. In </w:t>
      </w:r>
      <w:r w:rsidRPr="004F4046">
        <w:rPr>
          <w:rFonts w:asciiTheme="minorHAnsi" w:hAnsiTheme="minorHAnsi" w:cstheme="minorHAnsi"/>
          <w:i/>
          <w:iCs/>
          <w:color w:val="222222"/>
          <w:shd w:val="clear" w:color="auto" w:fill="FFFFFF"/>
        </w:rPr>
        <w:t>Key Directions in Legal Education</w:t>
      </w:r>
      <w:r w:rsidRPr="004F4046">
        <w:rPr>
          <w:rFonts w:asciiTheme="minorHAnsi" w:hAnsiTheme="minorHAnsi" w:cstheme="minorHAnsi"/>
          <w:color w:val="222222"/>
          <w:shd w:val="clear" w:color="auto" w:fill="FFFFFF"/>
        </w:rPr>
        <w:t> (pp. 3-16). Routledge.</w:t>
      </w:r>
    </w:p>
    <w:p w14:paraId="7AD24119" w14:textId="77777777" w:rsidR="00865C45" w:rsidRPr="00FC7C91" w:rsidRDefault="00865C45" w:rsidP="00865C45">
      <w:pPr>
        <w:spacing w:line="360" w:lineRule="auto"/>
      </w:pPr>
    </w:p>
    <w:p w14:paraId="6F1853D1" w14:textId="77777777" w:rsidR="00865C45" w:rsidRPr="00FC7C91" w:rsidRDefault="00865C45" w:rsidP="00865C45"/>
    <w:p w14:paraId="667097E4" w14:textId="77777777" w:rsidR="00865C45" w:rsidRDefault="00865C45" w:rsidP="00865C45"/>
    <w:sectPr w:rsidR="00865C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74C81"/>
    <w:multiLevelType w:val="multilevel"/>
    <w:tmpl w:val="575E0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5265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C45"/>
    <w:rsid w:val="00296E26"/>
    <w:rsid w:val="004F4046"/>
    <w:rsid w:val="00601963"/>
    <w:rsid w:val="00865C45"/>
    <w:rsid w:val="008960A4"/>
    <w:rsid w:val="00915B31"/>
    <w:rsid w:val="00C27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3D61A6"/>
  <w15:chartTrackingRefBased/>
  <w15:docId w15:val="{A5229CEB-6575-4543-8788-9AB8BA6D3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C45"/>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865C45"/>
    <w:pPr>
      <w:keepNext/>
      <w:keepLines/>
      <w:spacing w:before="320" w:after="40" w:line="252" w:lineRule="auto"/>
      <w:jc w:val="both"/>
      <w:outlineLvl w:val="0"/>
    </w:pPr>
    <w:rPr>
      <w:rFonts w:asciiTheme="majorHAnsi" w:eastAsiaTheme="majorEastAsia" w:hAnsiTheme="majorHAnsi" w:cstheme="majorBidi"/>
      <w:b/>
      <w:bCs/>
      <w:caps/>
      <w:spacing w:val="4"/>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C45"/>
    <w:rPr>
      <w:rFonts w:asciiTheme="majorHAnsi" w:eastAsiaTheme="majorEastAsia" w:hAnsiTheme="majorHAnsi" w:cstheme="majorBidi"/>
      <w:b/>
      <w:bCs/>
      <w:caps/>
      <w:spacing w:val="4"/>
      <w:kern w:val="0"/>
      <w:sz w:val="28"/>
      <w:szCs w:val="2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1288</Words>
  <Characters>7345</Characters>
  <Application>Microsoft Office Word</Application>
  <DocSecurity>0</DocSecurity>
  <Lines>61</Lines>
  <Paragraphs>17</Paragraphs>
  <ScaleCrop>false</ScaleCrop>
  <Company/>
  <LinksUpToDate>false</LinksUpToDate>
  <CharactersWithSpaces>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Man (2234498)</dc:creator>
  <cp:keywords/>
  <dc:description/>
  <cp:lastModifiedBy>Diana Man (2234498)</cp:lastModifiedBy>
  <cp:revision>3</cp:revision>
  <dcterms:created xsi:type="dcterms:W3CDTF">2023-07-31T20:32:00Z</dcterms:created>
  <dcterms:modified xsi:type="dcterms:W3CDTF">2023-07-31T20:34:00Z</dcterms:modified>
</cp:coreProperties>
</file>