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:rsidRPr="00071A0E" w14:paraId="45C3DF1C" w14:textId="77777777" w:rsidTr="007801F9">
        <w:tc>
          <w:tcPr>
            <w:tcW w:w="1838" w:type="dxa"/>
          </w:tcPr>
          <w:p w14:paraId="1221A7BE" w14:textId="434261A8" w:rsidR="007801F9" w:rsidRPr="00071A0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743F4290" w:rsidR="007801F9" w:rsidRPr="00071A0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801F9" w:rsidRPr="00071A0E" w14:paraId="4DFB4D45" w14:textId="77777777" w:rsidTr="007801F9">
        <w:tc>
          <w:tcPr>
            <w:tcW w:w="1838" w:type="dxa"/>
          </w:tcPr>
          <w:p w14:paraId="065302A7" w14:textId="5296C667" w:rsidR="007801F9" w:rsidRPr="00071A0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4E7F14BC" w:rsidR="007801F9" w:rsidRPr="00071A0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801F9" w:rsidRPr="00071A0E" w14:paraId="0467EF39" w14:textId="77777777" w:rsidTr="007801F9">
        <w:tc>
          <w:tcPr>
            <w:tcW w:w="1838" w:type="dxa"/>
          </w:tcPr>
          <w:p w14:paraId="3CD02D34" w14:textId="371B0DDD" w:rsidR="007801F9" w:rsidRPr="00071A0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1962F544" w14:textId="2C2E2A5B" w:rsidR="007801F9" w:rsidRPr="00071A0E" w:rsidRDefault="00071A0E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071A0E">
                  <w:rPr>
                    <w:rFonts w:ascii="Arial" w:hAnsi="Arial" w:cs="Arial"/>
                    <w:sz w:val="22"/>
                    <w:szCs w:val="22"/>
                  </w:rPr>
                  <w:t>Understanding Muhammad: Biographical Approaches towards the Messenger and Prophet</w:t>
                </w:r>
              </w:p>
            </w:tc>
          </w:sdtContent>
        </w:sdt>
      </w:tr>
      <w:tr w:rsidR="007801F9" w:rsidRPr="00071A0E" w14:paraId="5E1CA0AB" w14:textId="77777777" w:rsidTr="007801F9">
        <w:tc>
          <w:tcPr>
            <w:tcW w:w="1838" w:type="dxa"/>
          </w:tcPr>
          <w:p w14:paraId="2251160E" w14:textId="52AB5F4C" w:rsidR="007801F9" w:rsidRPr="00071A0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274D435B" w:rsidR="007801F9" w:rsidRPr="00071A0E" w:rsidRDefault="00C75562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6</w:t>
                </w:r>
              </w:p>
            </w:tc>
          </w:sdtContent>
        </w:sdt>
      </w:tr>
      <w:tr w:rsidR="007801F9" w:rsidRPr="00071A0E" w14:paraId="29F05E70" w14:textId="77777777" w:rsidTr="007801F9">
        <w:tc>
          <w:tcPr>
            <w:tcW w:w="1838" w:type="dxa"/>
          </w:tcPr>
          <w:p w14:paraId="0B4CA6B4" w14:textId="4C257AB4" w:rsidR="007801F9" w:rsidRPr="00071A0E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17F073FB" w:rsidR="007801F9" w:rsidRPr="00071A0E" w:rsidRDefault="00071A0E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0318EB" w:rsidRPr="00071A0E" w14:paraId="14BE7728" w14:textId="77777777" w:rsidTr="007801F9">
        <w:tc>
          <w:tcPr>
            <w:tcW w:w="1838" w:type="dxa"/>
          </w:tcPr>
          <w:p w14:paraId="115A3090" w14:textId="420402B3" w:rsidR="000318EB" w:rsidRPr="00071A0E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77777777" w:rsidR="000318EB" w:rsidRPr="00071A0E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18E506D" w14:textId="77777777" w:rsidR="00B8741E" w:rsidRPr="00071A0E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Pr="00071A0E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7777777" w:rsidR="00B1208A" w:rsidRPr="00071A0E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071A0E">
        <w:rPr>
          <w:rFonts w:ascii="Arial" w:hAnsi="Arial" w:cs="Arial"/>
          <w:b/>
          <w:sz w:val="22"/>
          <w:szCs w:val="22"/>
        </w:rPr>
        <w:t>AIM(S)</w:t>
      </w:r>
    </w:p>
    <w:p w14:paraId="455B092E" w14:textId="0A47B1D9" w:rsidR="00071A0E" w:rsidRPr="00071A0E" w:rsidRDefault="00071A0E" w:rsidP="00071A0E">
      <w:pPr>
        <w:pStyle w:val="bullet"/>
        <w:numPr>
          <w:ilvl w:val="0"/>
          <w:numId w:val="4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 xml:space="preserve">To </w:t>
      </w:r>
      <w:r w:rsidR="00C75562">
        <w:rPr>
          <w:rFonts w:ascii="Arial" w:hAnsi="Arial" w:cs="Arial"/>
          <w:sz w:val="22"/>
          <w:szCs w:val="22"/>
        </w:rPr>
        <w:t>analyse complex</w:t>
      </w:r>
      <w:r w:rsidRPr="00071A0E">
        <w:rPr>
          <w:rFonts w:ascii="Arial" w:hAnsi="Arial" w:cs="Arial"/>
          <w:sz w:val="22"/>
          <w:szCs w:val="22"/>
        </w:rPr>
        <w:t xml:space="preserve"> concepts and </w:t>
      </w:r>
      <w:r w:rsidR="00C75562">
        <w:rPr>
          <w:rFonts w:ascii="Arial" w:hAnsi="Arial" w:cs="Arial"/>
          <w:sz w:val="22"/>
          <w:szCs w:val="22"/>
        </w:rPr>
        <w:t>sources</w:t>
      </w:r>
      <w:r w:rsidRPr="00071A0E">
        <w:rPr>
          <w:rFonts w:ascii="Arial" w:hAnsi="Arial" w:cs="Arial"/>
          <w:sz w:val="22"/>
          <w:szCs w:val="22"/>
        </w:rPr>
        <w:t xml:space="preserve"> surrounding the Prophet Muhammad, in relation to the historical and social contexts in which he received Revelation. </w:t>
      </w:r>
    </w:p>
    <w:p w14:paraId="507C0712" w14:textId="71D86D43" w:rsidR="00071A0E" w:rsidRPr="00071A0E" w:rsidRDefault="00071A0E" w:rsidP="00071A0E">
      <w:pPr>
        <w:pStyle w:val="bullet"/>
        <w:numPr>
          <w:ilvl w:val="0"/>
          <w:numId w:val="4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 xml:space="preserve">To </w:t>
      </w:r>
      <w:r w:rsidR="00C75562">
        <w:rPr>
          <w:rFonts w:ascii="Arial" w:hAnsi="Arial" w:cs="Arial"/>
          <w:sz w:val="22"/>
          <w:szCs w:val="22"/>
        </w:rPr>
        <w:t>draw on a range of traditional and academic sources to interpret diverse perspectives associated with Muhammad.</w:t>
      </w:r>
    </w:p>
    <w:p w14:paraId="2FC6B1F8" w14:textId="77777777" w:rsidR="00B1208A" w:rsidRPr="00071A0E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071A0E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071A0E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071A0E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7777777" w:rsidR="00B1208A" w:rsidRPr="00071A0E" w:rsidRDefault="00B1208A" w:rsidP="00B1208A">
      <w:pPr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1CA1B79D" w14:textId="77777777" w:rsidR="00071A0E" w:rsidRPr="00071A0E" w:rsidRDefault="00071A0E" w:rsidP="00071A0E">
      <w:pPr>
        <w:numPr>
          <w:ilvl w:val="0"/>
          <w:numId w:val="8"/>
        </w:numPr>
        <w:overflowPunct/>
        <w:autoSpaceDE/>
        <w:autoSpaceDN/>
        <w:adjustRightInd/>
        <w:spacing w:before="100" w:beforeAutospacing="1" w:after="100" w:afterAutospacing="1"/>
        <w:jc w:val="left"/>
        <w:textAlignment w:val="auto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color w:val="000000"/>
          <w:sz w:val="22"/>
          <w:szCs w:val="22"/>
        </w:rPr>
        <w:t>Show through written work a critical and informed approach towards the life of the Prophet Muhammad through diverse religious, historical and interpretative perspectives.</w:t>
      </w:r>
    </w:p>
    <w:p w14:paraId="030DD61C" w14:textId="1DC802E7" w:rsidR="00071A0E" w:rsidRPr="00071A0E" w:rsidRDefault="00071A0E" w:rsidP="00071A0E">
      <w:pPr>
        <w:numPr>
          <w:ilvl w:val="0"/>
          <w:numId w:val="9"/>
        </w:numPr>
        <w:overflowPunct/>
        <w:autoSpaceDE/>
        <w:autoSpaceDN/>
        <w:adjustRightInd/>
        <w:spacing w:before="100" w:beforeAutospacing="1" w:after="100" w:afterAutospacing="1"/>
        <w:jc w:val="left"/>
        <w:textAlignment w:val="auto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color w:val="000000"/>
          <w:sz w:val="22"/>
          <w:szCs w:val="22"/>
        </w:rPr>
        <w:t>Demonstrate a</w:t>
      </w:r>
      <w:r w:rsidR="00C75562">
        <w:rPr>
          <w:rFonts w:ascii="Arial" w:hAnsi="Arial" w:cs="Arial"/>
          <w:color w:val="000000"/>
          <w:sz w:val="22"/>
          <w:szCs w:val="22"/>
        </w:rPr>
        <w:t>n in-depth</w:t>
      </w:r>
      <w:r w:rsidRPr="00071A0E">
        <w:rPr>
          <w:rFonts w:ascii="Arial" w:hAnsi="Arial" w:cs="Arial"/>
          <w:color w:val="000000"/>
          <w:sz w:val="22"/>
          <w:szCs w:val="22"/>
        </w:rPr>
        <w:t xml:space="preserve"> knowledge of this formative period in Islam and Muslim society</w:t>
      </w:r>
      <w:r w:rsidR="00C75562">
        <w:rPr>
          <w:rFonts w:ascii="Arial" w:hAnsi="Arial" w:cs="Arial"/>
          <w:color w:val="000000"/>
          <w:sz w:val="22"/>
          <w:szCs w:val="22"/>
        </w:rPr>
        <w:t>, and related academic sources which approach this subject.</w:t>
      </w:r>
    </w:p>
    <w:p w14:paraId="44DB9C01" w14:textId="58348AD4" w:rsidR="00071A0E" w:rsidRPr="00071A0E" w:rsidRDefault="00C75562" w:rsidP="00071A0E">
      <w:pPr>
        <w:numPr>
          <w:ilvl w:val="0"/>
          <w:numId w:val="10"/>
        </w:numPr>
        <w:overflowPunct/>
        <w:autoSpaceDE/>
        <w:autoSpaceDN/>
        <w:adjustRightInd/>
        <w:spacing w:before="100" w:beforeAutospacing="1" w:after="100" w:afterAutospacing="1"/>
        <w:jc w:val="left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Develop a platform of research abilities and subject sensitivities transferable into other areas of religious studies and the study of Islam.</w:t>
      </w:r>
    </w:p>
    <w:p w14:paraId="7DFD32C3" w14:textId="77777777" w:rsidR="00B1208A" w:rsidRPr="00071A0E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2A7A73AD" w:rsidR="00B1208A" w:rsidRPr="00071A0E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INDICATIVE CONTENT</w:t>
      </w:r>
    </w:p>
    <w:p w14:paraId="36B46B38" w14:textId="77777777" w:rsidR="00071A0E" w:rsidRPr="00071A0E" w:rsidRDefault="00071A0E" w:rsidP="00B1208A">
      <w:pPr>
        <w:pStyle w:val="fixed"/>
        <w:rPr>
          <w:rFonts w:ascii="Arial" w:hAnsi="Arial" w:cs="Arial"/>
          <w:sz w:val="22"/>
          <w:szCs w:val="22"/>
        </w:rPr>
      </w:pPr>
    </w:p>
    <w:p w14:paraId="7A2CE8C5" w14:textId="42822619" w:rsidR="00071A0E" w:rsidRPr="00071A0E" w:rsidRDefault="00071A0E" w:rsidP="00071A0E">
      <w:pPr>
        <w:numPr>
          <w:ilvl w:val="0"/>
          <w:numId w:val="2"/>
        </w:numPr>
        <w:ind w:firstLine="66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Pre-Islamic Arabia</w:t>
      </w:r>
    </w:p>
    <w:p w14:paraId="15FC765C" w14:textId="77777777" w:rsidR="00071A0E" w:rsidRPr="00071A0E" w:rsidRDefault="00071A0E" w:rsidP="00071A0E">
      <w:pPr>
        <w:ind w:left="360" w:firstLine="66"/>
        <w:rPr>
          <w:rFonts w:ascii="Arial" w:hAnsi="Arial" w:cs="Arial"/>
          <w:sz w:val="22"/>
          <w:szCs w:val="22"/>
        </w:rPr>
      </w:pPr>
    </w:p>
    <w:p w14:paraId="27EAC049" w14:textId="115562C5" w:rsidR="00071A0E" w:rsidRPr="00071A0E" w:rsidRDefault="00071A0E" w:rsidP="00071A0E">
      <w:pPr>
        <w:numPr>
          <w:ilvl w:val="0"/>
          <w:numId w:val="2"/>
        </w:numPr>
        <w:ind w:firstLine="66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Early Life of Muhammad; the Initial Revelations</w:t>
      </w:r>
    </w:p>
    <w:p w14:paraId="13BACDA6" w14:textId="77777777" w:rsidR="00071A0E" w:rsidRPr="00071A0E" w:rsidRDefault="00071A0E" w:rsidP="00071A0E">
      <w:pPr>
        <w:ind w:firstLine="66"/>
        <w:rPr>
          <w:rFonts w:ascii="Arial" w:hAnsi="Arial" w:cs="Arial"/>
          <w:sz w:val="22"/>
          <w:szCs w:val="22"/>
        </w:rPr>
      </w:pPr>
    </w:p>
    <w:p w14:paraId="73DF6797" w14:textId="69BA9761" w:rsidR="00071A0E" w:rsidRPr="00071A0E" w:rsidRDefault="00071A0E" w:rsidP="00071A0E">
      <w:pPr>
        <w:numPr>
          <w:ilvl w:val="0"/>
          <w:numId w:val="2"/>
        </w:numPr>
        <w:ind w:firstLine="66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Military and Political factors; Entry into Medina</w:t>
      </w:r>
    </w:p>
    <w:p w14:paraId="364E6438" w14:textId="77777777" w:rsidR="00071A0E" w:rsidRPr="00071A0E" w:rsidRDefault="00071A0E" w:rsidP="00071A0E">
      <w:pPr>
        <w:ind w:firstLine="66"/>
        <w:rPr>
          <w:rFonts w:ascii="Arial" w:hAnsi="Arial" w:cs="Arial"/>
          <w:sz w:val="22"/>
          <w:szCs w:val="22"/>
        </w:rPr>
      </w:pPr>
    </w:p>
    <w:p w14:paraId="5C95F919" w14:textId="441A0EBD" w:rsidR="00071A0E" w:rsidRPr="00071A0E" w:rsidRDefault="00071A0E" w:rsidP="00071A0E">
      <w:pPr>
        <w:numPr>
          <w:ilvl w:val="0"/>
          <w:numId w:val="2"/>
        </w:numPr>
        <w:ind w:firstLine="66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The Final Sermon and the Death of Muhamma</w:t>
      </w:r>
      <w:r w:rsidRPr="00071A0E">
        <w:rPr>
          <w:rFonts w:ascii="Arial" w:hAnsi="Arial" w:cs="Arial"/>
          <w:sz w:val="22"/>
          <w:szCs w:val="22"/>
        </w:rPr>
        <w:t>d</w:t>
      </w:r>
    </w:p>
    <w:p w14:paraId="36B4463F" w14:textId="77777777" w:rsidR="00071A0E" w:rsidRPr="00071A0E" w:rsidRDefault="00071A0E" w:rsidP="00071A0E">
      <w:pPr>
        <w:ind w:firstLine="66"/>
        <w:rPr>
          <w:rFonts w:ascii="Arial" w:hAnsi="Arial" w:cs="Arial"/>
          <w:sz w:val="22"/>
          <w:szCs w:val="22"/>
        </w:rPr>
      </w:pPr>
    </w:p>
    <w:p w14:paraId="00822DFF" w14:textId="77777777" w:rsidR="00071A0E" w:rsidRPr="00071A0E" w:rsidRDefault="00071A0E" w:rsidP="00071A0E">
      <w:pPr>
        <w:numPr>
          <w:ilvl w:val="0"/>
          <w:numId w:val="2"/>
        </w:numPr>
        <w:ind w:firstLine="66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Approaches towards the Life of Muhammad</w:t>
      </w:r>
    </w:p>
    <w:p w14:paraId="280CBCF3" w14:textId="77777777" w:rsidR="00071A0E" w:rsidRPr="00071A0E" w:rsidRDefault="00071A0E" w:rsidP="00C7556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649651B6" w14:textId="77777777" w:rsidR="00071A0E" w:rsidRPr="00071A0E" w:rsidRDefault="00071A0E" w:rsidP="00B1208A">
      <w:pPr>
        <w:pStyle w:val="fixed"/>
        <w:rPr>
          <w:rFonts w:ascii="Arial" w:hAnsi="Arial" w:cs="Arial"/>
          <w:sz w:val="22"/>
          <w:szCs w:val="22"/>
        </w:rPr>
      </w:pPr>
    </w:p>
    <w:p w14:paraId="48BC9E6A" w14:textId="0BB973A6" w:rsidR="00B1208A" w:rsidRPr="00071A0E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Study Time Allocation</w:t>
      </w:r>
    </w:p>
    <w:p w14:paraId="07161414" w14:textId="77777777" w:rsidR="00B1208A" w:rsidRPr="00071A0E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071A0E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lastRenderedPageBreak/>
        <w:t>The study time for the module is divided as follows:</w:t>
      </w:r>
    </w:p>
    <w:p w14:paraId="0B93DD85" w14:textId="77777777" w:rsidR="00B1208A" w:rsidRPr="00071A0E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071A0E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071A0E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071A0E" w14:paraId="43128B33" w14:textId="77777777" w:rsidTr="008D7603">
        <w:tc>
          <w:tcPr>
            <w:tcW w:w="3969" w:type="dxa"/>
          </w:tcPr>
          <w:p w14:paraId="59DE5F2C" w14:textId="77777777" w:rsidR="00B1208A" w:rsidRPr="00071A0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54D76F22" w:rsidR="00B1208A" w:rsidRPr="00071A0E" w:rsidRDefault="00071A0E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14:paraId="7164CCD2" w14:textId="71E09C1D" w:rsidR="00B1208A" w:rsidRPr="00071A0E" w:rsidRDefault="00071A0E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24</w:t>
            </w:r>
          </w:p>
        </w:tc>
      </w:tr>
      <w:tr w:rsidR="00B1208A" w:rsidRPr="00071A0E" w14:paraId="48623A03" w14:textId="77777777" w:rsidTr="008D7603">
        <w:tc>
          <w:tcPr>
            <w:tcW w:w="3969" w:type="dxa"/>
          </w:tcPr>
          <w:p w14:paraId="3973078F" w14:textId="77777777" w:rsidR="00B1208A" w:rsidRPr="00071A0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2AD3407C" w:rsidR="00B1208A" w:rsidRPr="00071A0E" w:rsidRDefault="00071A0E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14:paraId="4AB622CF" w14:textId="2323C2F6" w:rsidR="00B1208A" w:rsidRPr="00071A0E" w:rsidRDefault="00071A0E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76</w:t>
            </w:r>
          </w:p>
        </w:tc>
      </w:tr>
      <w:tr w:rsidR="00B1208A" w:rsidRPr="00071A0E" w14:paraId="29E89567" w14:textId="77777777" w:rsidTr="008D7603">
        <w:tc>
          <w:tcPr>
            <w:tcW w:w="3969" w:type="dxa"/>
          </w:tcPr>
          <w:p w14:paraId="7B58649F" w14:textId="77777777" w:rsidR="00B1208A" w:rsidRPr="00071A0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14:paraId="22C63B95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071A0E" w14:paraId="2BEF44F9" w14:textId="77777777" w:rsidTr="008D7603">
        <w:tc>
          <w:tcPr>
            <w:tcW w:w="3969" w:type="dxa"/>
          </w:tcPr>
          <w:p w14:paraId="5AB854D4" w14:textId="77777777" w:rsidR="00B1208A" w:rsidRPr="00071A0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2DFB0CDE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 xml:space="preserve">[credit </w:t>
            </w:r>
            <w:r w:rsidR="00071A0E" w:rsidRPr="00071A0E"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Pr="00071A0E">
              <w:rPr>
                <w:rFonts w:ascii="Arial" w:hAnsi="Arial" w:cs="Arial"/>
                <w:b/>
                <w:sz w:val="22"/>
                <w:szCs w:val="22"/>
              </w:rPr>
              <w:t>x10]</w:t>
            </w:r>
          </w:p>
        </w:tc>
        <w:tc>
          <w:tcPr>
            <w:tcW w:w="1843" w:type="dxa"/>
          </w:tcPr>
          <w:p w14:paraId="15A667F8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071A0E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071A0E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071A0E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071A0E" w:rsidRDefault="00B1208A" w:rsidP="00B1208A">
      <w:pPr>
        <w:rPr>
          <w:rFonts w:ascii="Arial" w:hAnsi="Arial" w:cs="Arial"/>
          <w:b/>
          <w:sz w:val="22"/>
          <w:szCs w:val="22"/>
        </w:rPr>
      </w:pPr>
      <w:r w:rsidRPr="00071A0E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77777777" w:rsidR="00B1208A" w:rsidRPr="00071A0E" w:rsidRDefault="00BA343F" w:rsidP="00B1208A">
      <w:pPr>
        <w:rPr>
          <w:rFonts w:ascii="Arial" w:hAnsi="Arial" w:cs="Arial"/>
          <w:b/>
          <w:i/>
          <w:sz w:val="20"/>
        </w:rPr>
      </w:pPr>
      <w:r w:rsidRPr="00071A0E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071A0E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071A0E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71A0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071A0E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109B25AB" w:rsidR="00B1208A" w:rsidRPr="00071A0E" w:rsidRDefault="00071A0E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71A0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071A0E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071A0E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71A0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071A0E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071A0E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071A0E" w14:paraId="76BE5501" w14:textId="77777777" w:rsidTr="00B53530">
        <w:tc>
          <w:tcPr>
            <w:tcW w:w="3256" w:type="dxa"/>
          </w:tcPr>
          <w:p w14:paraId="5183CBBC" w14:textId="77777777" w:rsidR="00B1208A" w:rsidRPr="00071A0E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071A0E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071A0E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071A0E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071A0E" w14:paraId="2976F189" w14:textId="77777777" w:rsidTr="00B53530">
        <w:tc>
          <w:tcPr>
            <w:tcW w:w="3256" w:type="dxa"/>
          </w:tcPr>
          <w:p w14:paraId="7ECFFB20" w14:textId="5F8EDB82" w:rsidR="00B1208A" w:rsidRPr="00071A0E" w:rsidRDefault="00071A0E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Essay</w:t>
            </w:r>
          </w:p>
        </w:tc>
        <w:tc>
          <w:tcPr>
            <w:tcW w:w="3969" w:type="dxa"/>
          </w:tcPr>
          <w:p w14:paraId="0BE1ECE5" w14:textId="0B996A93" w:rsidR="00B1208A" w:rsidRPr="00071A0E" w:rsidRDefault="00071A0E" w:rsidP="00F0221E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2,</w:t>
            </w:r>
            <w:r w:rsidR="00C75562">
              <w:rPr>
                <w:rFonts w:ascii="Arial" w:hAnsi="Arial" w:cs="Arial"/>
                <w:sz w:val="22"/>
                <w:szCs w:val="22"/>
              </w:rPr>
              <w:t>5</w:t>
            </w:r>
            <w:r w:rsidRPr="00071A0E">
              <w:rPr>
                <w:rFonts w:ascii="Arial" w:hAnsi="Arial" w:cs="Arial"/>
                <w:sz w:val="22"/>
                <w:szCs w:val="22"/>
              </w:rPr>
              <w:t>00 words</w:t>
            </w:r>
          </w:p>
        </w:tc>
        <w:tc>
          <w:tcPr>
            <w:tcW w:w="1559" w:type="dxa"/>
          </w:tcPr>
          <w:p w14:paraId="7549C0D0" w14:textId="281E848F" w:rsidR="00B1208A" w:rsidRPr="00071A0E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531CE5EB" w14:textId="77777777" w:rsidR="00B1208A" w:rsidRPr="00071A0E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6AD3759" w14:textId="77777777" w:rsidR="00B1208A" w:rsidRPr="00071A0E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59DFD59" w14:textId="77777777" w:rsidR="007801F9" w:rsidRPr="00071A0E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0E31160B" w14:textId="4953F9AB" w:rsidR="00B1208A" w:rsidRPr="00071A0E" w:rsidRDefault="00B1208A" w:rsidP="00B1208A">
      <w:pPr>
        <w:rPr>
          <w:rFonts w:ascii="Arial" w:hAnsi="Arial" w:cs="Arial"/>
          <w:b/>
          <w:sz w:val="22"/>
          <w:szCs w:val="22"/>
        </w:rPr>
      </w:pPr>
      <w:r w:rsidRPr="00071A0E">
        <w:rPr>
          <w:rFonts w:ascii="Arial" w:hAnsi="Arial" w:cs="Arial"/>
          <w:b/>
          <w:sz w:val="22"/>
          <w:szCs w:val="22"/>
        </w:rPr>
        <w:t>Assessment Component 2</w:t>
      </w:r>
    </w:p>
    <w:p w14:paraId="0C276D21" w14:textId="238B8E33" w:rsidR="00B1208A" w:rsidRPr="00071A0E" w:rsidRDefault="00BA343F" w:rsidP="00B1208A">
      <w:pPr>
        <w:rPr>
          <w:rFonts w:ascii="Arial" w:hAnsi="Arial" w:cs="Arial"/>
          <w:b/>
          <w:sz w:val="22"/>
          <w:szCs w:val="22"/>
        </w:rPr>
      </w:pPr>
      <w:r w:rsidRPr="00071A0E">
        <w:rPr>
          <w:rFonts w:ascii="Arial" w:hAnsi="Arial" w:cs="Arial"/>
          <w:b/>
          <w:i/>
          <w:sz w:val="20"/>
        </w:rPr>
        <w:t>(Tick one</w:t>
      </w:r>
      <w:r w:rsidR="00AA501F" w:rsidRPr="00071A0E">
        <w:rPr>
          <w:rFonts w:ascii="Arial" w:hAnsi="Arial" w:cs="Arial"/>
          <w:b/>
          <w:i/>
          <w:sz w:val="20"/>
        </w:rPr>
        <w:t>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071A0E" w14:paraId="575AE81B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F924941" w14:textId="77777777" w:rsidR="00B1208A" w:rsidRPr="00071A0E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71A0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111A48" w14:textId="77777777" w:rsidR="00B1208A" w:rsidRPr="00071A0E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D2A0390" w14:textId="5B572727" w:rsidR="00B1208A" w:rsidRPr="00071A0E" w:rsidRDefault="00071A0E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71A0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FD7891F" w14:textId="77777777" w:rsidR="00B1208A" w:rsidRPr="00071A0E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B453FC" w14:textId="77777777" w:rsidR="00B1208A" w:rsidRPr="00071A0E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71A0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306CFB4" w14:textId="77777777" w:rsidR="00B1208A" w:rsidRPr="00071A0E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55874B18" w14:textId="77777777" w:rsidR="00B1208A" w:rsidRPr="00071A0E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071A0E" w14:paraId="1BB8FD3D" w14:textId="77777777" w:rsidTr="00447080">
        <w:tc>
          <w:tcPr>
            <w:tcW w:w="3256" w:type="dxa"/>
          </w:tcPr>
          <w:p w14:paraId="4258B827" w14:textId="77777777" w:rsidR="00B53530" w:rsidRPr="00071A0E" w:rsidRDefault="00B53530" w:rsidP="0044708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609D813D" w14:textId="77777777" w:rsidR="00B53530" w:rsidRPr="00071A0E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573EF88" w14:textId="77777777" w:rsidR="00B53530" w:rsidRPr="00071A0E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53530" w:rsidRPr="00071A0E" w14:paraId="25E5505F" w14:textId="77777777" w:rsidTr="00447080">
        <w:tc>
          <w:tcPr>
            <w:tcW w:w="3256" w:type="dxa"/>
          </w:tcPr>
          <w:p w14:paraId="22D7D5EB" w14:textId="2AD465CE" w:rsidR="00B53530" w:rsidRPr="00071A0E" w:rsidRDefault="00071A0E" w:rsidP="004470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Case study</w:t>
            </w:r>
          </w:p>
        </w:tc>
        <w:tc>
          <w:tcPr>
            <w:tcW w:w="3969" w:type="dxa"/>
          </w:tcPr>
          <w:p w14:paraId="4D365A28" w14:textId="114CAA5D" w:rsidR="00B53530" w:rsidRPr="00071A0E" w:rsidRDefault="00071A0E" w:rsidP="00447080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2,</w:t>
            </w:r>
            <w:r w:rsidR="00C75562">
              <w:rPr>
                <w:rFonts w:ascii="Arial" w:hAnsi="Arial" w:cs="Arial"/>
                <w:sz w:val="22"/>
                <w:szCs w:val="22"/>
              </w:rPr>
              <w:t>5</w:t>
            </w:r>
            <w:bookmarkStart w:id="1" w:name="_GoBack"/>
            <w:bookmarkEnd w:id="1"/>
            <w:r w:rsidRPr="00071A0E">
              <w:rPr>
                <w:rFonts w:ascii="Arial" w:hAnsi="Arial" w:cs="Arial"/>
                <w:sz w:val="22"/>
                <w:szCs w:val="22"/>
              </w:rPr>
              <w:t>00 words</w:t>
            </w:r>
          </w:p>
        </w:tc>
        <w:tc>
          <w:tcPr>
            <w:tcW w:w="1559" w:type="dxa"/>
          </w:tcPr>
          <w:p w14:paraId="392D9CCE" w14:textId="431E4730" w:rsidR="00B53530" w:rsidRPr="00071A0E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69491591" w14:textId="77777777" w:rsidR="00B1208A" w:rsidRPr="00071A0E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33CD3956" w14:textId="77777777" w:rsidR="00B1208A" w:rsidRPr="00071A0E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77777777" w:rsidR="00B1208A" w:rsidRPr="00071A0E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071A0E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071A0E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071A0E" w14:paraId="4AB51084" w14:textId="77777777" w:rsidTr="008D7603">
        <w:tc>
          <w:tcPr>
            <w:tcW w:w="3261" w:type="dxa"/>
          </w:tcPr>
          <w:p w14:paraId="55BDA44E" w14:textId="77777777" w:rsidR="00B1208A" w:rsidRPr="00071A0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071A0E" w14:paraId="524A0572" w14:textId="77777777" w:rsidTr="008D7603">
        <w:tc>
          <w:tcPr>
            <w:tcW w:w="3261" w:type="dxa"/>
          </w:tcPr>
          <w:p w14:paraId="1F476B80" w14:textId="77777777" w:rsidR="00B1208A" w:rsidRPr="00071A0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4854CF38" w:rsidR="00B1208A" w:rsidRPr="00071A0E" w:rsidRDefault="00071A0E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</w:t>
            </w:r>
          </w:p>
        </w:tc>
      </w:tr>
      <w:tr w:rsidR="00B1208A" w:rsidRPr="00071A0E" w14:paraId="6B7D6DDF" w14:textId="77777777" w:rsidTr="008D7603">
        <w:tc>
          <w:tcPr>
            <w:tcW w:w="3261" w:type="dxa"/>
          </w:tcPr>
          <w:p w14:paraId="7CBFBB87" w14:textId="77777777" w:rsidR="00B1208A" w:rsidRPr="00071A0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071A0E" w14:paraId="0B664606" w14:textId="77777777" w:rsidTr="008D7603">
        <w:tc>
          <w:tcPr>
            <w:tcW w:w="3261" w:type="dxa"/>
          </w:tcPr>
          <w:p w14:paraId="45ECE7F7" w14:textId="77777777" w:rsidR="00B1208A" w:rsidRPr="00071A0E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071A0E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Pr="00071A0E" w:rsidRDefault="00B1208A" w:rsidP="00B1208A">
      <w:pPr>
        <w:rPr>
          <w:rFonts w:ascii="Arial" w:hAnsi="Arial" w:cs="Arial"/>
          <w:sz w:val="22"/>
          <w:szCs w:val="22"/>
        </w:rPr>
      </w:pPr>
    </w:p>
    <w:p w14:paraId="21A256E6" w14:textId="77777777" w:rsidR="00B1208A" w:rsidRPr="00071A0E" w:rsidRDefault="00B1208A" w:rsidP="00B1208A">
      <w:pPr>
        <w:rPr>
          <w:rFonts w:ascii="Arial" w:hAnsi="Arial" w:cs="Arial"/>
          <w:sz w:val="22"/>
          <w:szCs w:val="22"/>
        </w:rPr>
      </w:pPr>
      <w:r w:rsidRPr="00071A0E">
        <w:rPr>
          <w:rFonts w:ascii="Arial" w:hAnsi="Arial" w:cs="Arial"/>
          <w:sz w:val="22"/>
          <w:szCs w:val="22"/>
        </w:rPr>
        <w:t>If the module is linked to a Professional, Statutory and regulatory Body (PSRB), please provide an explanatory statement.</w:t>
      </w:r>
    </w:p>
    <w:p w14:paraId="6BEC66EE" w14:textId="77777777" w:rsidR="00B1208A" w:rsidRPr="00071A0E" w:rsidRDefault="00B1208A" w:rsidP="00B1208A">
      <w:pPr>
        <w:rPr>
          <w:rFonts w:ascii="Arial" w:hAnsi="Arial" w:cs="Arial"/>
        </w:rPr>
      </w:pPr>
    </w:p>
    <w:p w14:paraId="6735AD32" w14:textId="3E6B3C93" w:rsidR="00A74B3E" w:rsidRPr="00071A0E" w:rsidRDefault="00527E61" w:rsidP="00A74B3E">
      <w:pPr>
        <w:rPr>
          <w:rFonts w:ascii="Arial" w:hAnsi="Arial" w:cs="Arial"/>
          <w:b/>
          <w:sz w:val="22"/>
          <w:szCs w:val="22"/>
        </w:rPr>
      </w:pPr>
      <w:r w:rsidRPr="00071A0E"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071A0E">
        <w:rPr>
          <w:rFonts w:ascii="Arial" w:hAnsi="Arial" w:cs="Arial"/>
          <w:b/>
          <w:sz w:val="22"/>
          <w:szCs w:val="22"/>
        </w:rPr>
        <w:t>READING LIST</w:t>
      </w:r>
    </w:p>
    <w:p w14:paraId="1142575F" w14:textId="77777777" w:rsidR="00A74B3E" w:rsidRPr="00071A0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391E82D2" w14:textId="77777777" w:rsidR="00A74B3E" w:rsidRPr="00071A0E" w:rsidRDefault="00A74B3E" w:rsidP="00A74B3E">
      <w:pPr>
        <w:pStyle w:val="ListParagraph"/>
        <w:numPr>
          <w:ilvl w:val="0"/>
          <w:numId w:val="7"/>
        </w:numPr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071A0E">
        <w:rPr>
          <w:rFonts w:ascii="Arial" w:hAnsi="Arial" w:cs="Arial"/>
          <w:b/>
          <w:color w:val="000000" w:themeColor="text1"/>
          <w:sz w:val="22"/>
          <w:szCs w:val="22"/>
        </w:rPr>
        <w:t xml:space="preserve">Essential Reading: </w:t>
      </w:r>
      <w:r w:rsidRPr="00071A0E">
        <w:rPr>
          <w:rFonts w:ascii="Arial" w:hAnsi="Arial" w:cs="Arial"/>
          <w:color w:val="000000" w:themeColor="text1"/>
          <w:sz w:val="22"/>
          <w:szCs w:val="22"/>
        </w:rPr>
        <w:t xml:space="preserve">It is expected that the majority will contain no more than 7 items; </w:t>
      </w:r>
      <w:proofErr w:type="gramStart"/>
      <w:r w:rsidRPr="00071A0E">
        <w:rPr>
          <w:rFonts w:ascii="Arial" w:hAnsi="Arial" w:cs="Arial"/>
          <w:color w:val="000000" w:themeColor="text1"/>
          <w:sz w:val="22"/>
          <w:szCs w:val="22"/>
        </w:rPr>
        <w:t>however</w:t>
      </w:r>
      <w:proofErr w:type="gramEnd"/>
      <w:r w:rsidRPr="00071A0E">
        <w:rPr>
          <w:rFonts w:ascii="Arial" w:hAnsi="Arial" w:cs="Arial"/>
          <w:color w:val="000000" w:themeColor="text1"/>
          <w:sz w:val="22"/>
          <w:szCs w:val="22"/>
        </w:rPr>
        <w:t xml:space="preserve"> there will be instances where no more than 2 items is appropriate. The absolute maximum number of items to be included as essential on a reading list is up to 15 items.</w:t>
      </w:r>
    </w:p>
    <w:p w14:paraId="628D8BAD" w14:textId="77777777" w:rsidR="00A74B3E" w:rsidRPr="00071A0E" w:rsidRDefault="00A74B3E" w:rsidP="00A74B3E">
      <w:pPr>
        <w:pStyle w:val="ListParagraph"/>
        <w:numPr>
          <w:ilvl w:val="0"/>
          <w:numId w:val="7"/>
        </w:numPr>
        <w:spacing w:before="120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071A0E">
        <w:rPr>
          <w:rFonts w:ascii="Arial" w:hAnsi="Arial" w:cs="Arial"/>
          <w:b/>
          <w:color w:val="000000" w:themeColor="text1"/>
          <w:sz w:val="22"/>
          <w:szCs w:val="22"/>
        </w:rPr>
        <w:t xml:space="preserve">Further Reading: </w:t>
      </w:r>
      <w:r w:rsidRPr="00071A0E">
        <w:rPr>
          <w:rFonts w:ascii="Arial" w:hAnsi="Arial" w:cs="Arial"/>
          <w:color w:val="000000" w:themeColor="text1"/>
          <w:sz w:val="22"/>
          <w:szCs w:val="22"/>
        </w:rPr>
        <w:t>The absolute maximum number of items to be included as further reading on a reading list is up to 25 items, plus digitised chapters / articles as appropriate and within Copyright Licensing Agency (CLA) guidelines.</w:t>
      </w:r>
    </w:p>
    <w:p w14:paraId="6B34606F" w14:textId="77777777" w:rsidR="00A74B3E" w:rsidRPr="00071A0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071A0E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071A0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77777777" w:rsidR="00A74B3E" w:rsidRPr="00071A0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74B3E" w:rsidRPr="00071A0E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071A0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598402981"/>
            <w:placeholder>
              <w:docPart w:val="7AC9EC2DF8FF364AAE8B4487018A7CC3"/>
            </w:placeholder>
            <w:date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971" w:type="dxa"/>
                <w:gridSpan w:val="2"/>
              </w:tcPr>
              <w:p w14:paraId="077556BF" w14:textId="22055C69" w:rsidR="00A74B3E" w:rsidRPr="00071A0E" w:rsidRDefault="00071A0E" w:rsidP="00DF0678">
                <w:pPr>
                  <w:tabs>
                    <w:tab w:val="num" w:pos="720"/>
                    <w:tab w:val="left" w:pos="1440"/>
                  </w:tabs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071A0E">
                  <w:rPr>
                    <w:rFonts w:ascii="Arial" w:hAnsi="Arial" w:cs="Arial"/>
                    <w:sz w:val="22"/>
                    <w:szCs w:val="22"/>
                  </w:rPr>
                  <w:t>Understanding Muhammad: Biographical Approaches towards the Messenger and Prophet</w:t>
                </w:r>
              </w:p>
            </w:tc>
          </w:sdtContent>
        </w:sdt>
      </w:tr>
      <w:tr w:rsidR="00A74B3E" w:rsidRPr="00071A0E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071A0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071A0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071A0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71A0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071A0E" w:rsidRPr="00071A0E" w14:paraId="7562E93A" w14:textId="77777777" w:rsidTr="00BA343F">
        <w:tc>
          <w:tcPr>
            <w:tcW w:w="1689" w:type="dxa"/>
          </w:tcPr>
          <w:p w14:paraId="54116887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AE3E739" w14:textId="25E452AE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Lings, Martin, </w:t>
            </w:r>
            <w:r w:rsidRPr="00071A0E">
              <w:rPr>
                <w:rFonts w:ascii="Arial" w:hAnsi="Arial" w:cs="Arial"/>
                <w:i/>
                <w:iCs/>
                <w:color w:val="000000"/>
                <w:sz w:val="22"/>
                <w:szCs w:val="22"/>
              </w:rPr>
              <w:t>Muhammad: His life based on the earliest sources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, George Allen and Unwin, 1983.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42A49ED" w14:textId="77777777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71A0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1A0E" w:rsidRPr="00071A0E" w14:paraId="1EB48349" w14:textId="77777777" w:rsidTr="00BA343F">
        <w:tc>
          <w:tcPr>
            <w:tcW w:w="1689" w:type="dxa"/>
          </w:tcPr>
          <w:p w14:paraId="6E9A57FE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lastRenderedPageBreak/>
              <w:t>Essential</w:t>
            </w:r>
          </w:p>
        </w:tc>
        <w:tc>
          <w:tcPr>
            <w:tcW w:w="5605" w:type="dxa"/>
          </w:tcPr>
          <w:p w14:paraId="322EAA47" w14:textId="4344B62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Moussalli</w:t>
            </w:r>
            <w:proofErr w:type="spellEnd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, Ahmad S. and Gordon D. Newby. "</w:t>
            </w:r>
            <w:proofErr w:type="spellStart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Muḥammad</w:t>
            </w:r>
            <w:proofErr w:type="spellEnd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." In </w:t>
            </w:r>
            <w:proofErr w:type="gramStart"/>
            <w:r w:rsidRPr="00071A0E">
              <w:rPr>
                <w:rFonts w:ascii="Arial" w:hAnsi="Arial" w:cs="Arial"/>
                <w:i/>
                <w:iCs/>
                <w:color w:val="000000"/>
                <w:sz w:val="22"/>
                <w:szCs w:val="22"/>
              </w:rPr>
              <w:t>The</w:t>
            </w:r>
            <w:proofErr w:type="gramEnd"/>
            <w:r w:rsidRPr="00071A0E">
              <w:rPr>
                <w:rFonts w:ascii="Arial" w:hAnsi="Arial" w:cs="Arial"/>
                <w:i/>
                <w:iCs/>
                <w:color w:val="000000"/>
                <w:sz w:val="22"/>
                <w:szCs w:val="22"/>
              </w:rPr>
              <w:t xml:space="preserve"> Oxford </w:t>
            </w:r>
            <w:proofErr w:type="spellStart"/>
            <w:r w:rsidRPr="00071A0E">
              <w:rPr>
                <w:rFonts w:ascii="Arial" w:hAnsi="Arial" w:cs="Arial"/>
                <w:i/>
                <w:iCs/>
                <w:color w:val="000000"/>
                <w:sz w:val="22"/>
                <w:szCs w:val="22"/>
              </w:rPr>
              <w:t>Encyclopedia</w:t>
            </w:r>
            <w:proofErr w:type="spellEnd"/>
            <w:r w:rsidRPr="00071A0E">
              <w:rPr>
                <w:rFonts w:ascii="Arial" w:hAnsi="Arial" w:cs="Arial"/>
                <w:i/>
                <w:iCs/>
                <w:color w:val="000000"/>
                <w:sz w:val="22"/>
                <w:szCs w:val="22"/>
              </w:rPr>
              <w:t xml:space="preserve"> of the Islamic World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 w:rsidRPr="00071A0E">
              <w:rPr>
                <w:rFonts w:ascii="Arial" w:hAnsi="Arial" w:cs="Arial"/>
                <w:i/>
                <w:iCs/>
                <w:color w:val="000000"/>
                <w:sz w:val="22"/>
                <w:szCs w:val="22"/>
              </w:rPr>
              <w:t>Oxford Islamic Studies Online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3473B23" w14:textId="68D951FF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71A0E" w:rsidRPr="00071A0E" w14:paraId="63312798" w14:textId="77777777" w:rsidTr="00BA343F">
        <w:tc>
          <w:tcPr>
            <w:tcW w:w="1689" w:type="dxa"/>
          </w:tcPr>
          <w:p w14:paraId="0E1D4BA2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4EB3D9A" w14:textId="3E0CC0F2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i/>
                <w:iCs/>
                <w:color w:val="000000"/>
                <w:sz w:val="22"/>
                <w:szCs w:val="22"/>
              </w:rPr>
              <w:t>The Qur’an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, M.A.S. Abdul Haleem, (trans.), (Oxford &amp; New York: Penguin, 2004)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FA6F5D1" w14:textId="1E8623D1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71A0E" w:rsidRPr="00071A0E" w14:paraId="75A2AA40" w14:textId="77777777" w:rsidTr="00BA343F">
        <w:tc>
          <w:tcPr>
            <w:tcW w:w="1689" w:type="dxa"/>
          </w:tcPr>
          <w:p w14:paraId="6FC8D5CC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6BEDC50" w14:textId="0A52E866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"</w:t>
            </w:r>
            <w:proofErr w:type="spellStart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Muḥammad</w:t>
            </w:r>
            <w:proofErr w:type="spellEnd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." </w:t>
            </w:r>
            <w:r w:rsidRPr="00071A0E">
              <w:rPr>
                <w:rStyle w:val="Emphasis"/>
                <w:rFonts w:ascii="Arial" w:hAnsi="Arial" w:cs="Arial"/>
                <w:color w:val="000000"/>
                <w:sz w:val="22"/>
                <w:szCs w:val="22"/>
              </w:rPr>
              <w:t>Encyclopaedia of Islam, Second Edition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. Edited by: P. Bearman, Th. </w:t>
            </w:r>
            <w:proofErr w:type="spellStart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Bianquis</w:t>
            </w:r>
            <w:proofErr w:type="spellEnd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, C.E. Bosworth, E. van </w:t>
            </w:r>
            <w:proofErr w:type="spellStart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Donzel</w:t>
            </w:r>
            <w:proofErr w:type="spellEnd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, W.P. Heinrichs. Brill Online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3169D70" w14:textId="5F58528B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71A0E" w:rsidRPr="00071A0E" w14:paraId="7720A566" w14:textId="77777777" w:rsidTr="00BA343F">
        <w:tc>
          <w:tcPr>
            <w:tcW w:w="1689" w:type="dxa"/>
          </w:tcPr>
          <w:p w14:paraId="7C6A4DE9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53BDCCE" w14:textId="29AA346C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Ramadan, Tariq. </w:t>
            </w:r>
            <w:r w:rsidRPr="00071A0E">
              <w:rPr>
                <w:rStyle w:val="Emphasis"/>
                <w:rFonts w:ascii="Arial" w:hAnsi="Arial" w:cs="Arial"/>
                <w:color w:val="000000"/>
                <w:sz w:val="22"/>
                <w:szCs w:val="22"/>
              </w:rPr>
              <w:t>The Messenger: The Meanings of the Life of Muhammad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. London: Allen Lane, 2007.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49299BD" w14:textId="77777777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71A0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1A0E" w:rsidRPr="00071A0E" w14:paraId="3897B6B7" w14:textId="77777777" w:rsidTr="00BA343F">
        <w:tc>
          <w:tcPr>
            <w:tcW w:w="1689" w:type="dxa"/>
          </w:tcPr>
          <w:p w14:paraId="3A762DAB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2C2DD73" w14:textId="01A9E2E3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Rogerson, Barnaby, </w:t>
            </w:r>
            <w:r w:rsidRPr="00071A0E">
              <w:rPr>
                <w:rStyle w:val="Emphasis"/>
                <w:rFonts w:ascii="Arial" w:hAnsi="Arial" w:cs="Arial"/>
                <w:color w:val="000000"/>
                <w:sz w:val="22"/>
                <w:szCs w:val="22"/>
              </w:rPr>
              <w:t>The Prophet Muhammad: A Biography.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 London: Little Brown, 2011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8B666EE" w14:textId="77777777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71A0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1A0E" w:rsidRPr="00071A0E" w14:paraId="0D6897E5" w14:textId="77777777" w:rsidTr="00BA343F">
        <w:tc>
          <w:tcPr>
            <w:tcW w:w="1689" w:type="dxa"/>
          </w:tcPr>
          <w:p w14:paraId="2F4966CB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DF94B32" w14:textId="6D71D529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Armstrong, Karen. </w:t>
            </w:r>
            <w:r w:rsidRPr="00071A0E">
              <w:rPr>
                <w:rStyle w:val="Emphasis"/>
                <w:rFonts w:ascii="Arial" w:hAnsi="Arial" w:cs="Arial"/>
                <w:color w:val="000000"/>
                <w:sz w:val="22"/>
                <w:szCs w:val="22"/>
              </w:rPr>
              <w:t>Muhammad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. London: Gollancz Paperback, 2ed, 1995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FC681A6" w14:textId="77777777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71A0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1A0E" w:rsidRPr="00071A0E" w14:paraId="58F00C0F" w14:textId="77777777" w:rsidTr="00BA343F">
        <w:tc>
          <w:tcPr>
            <w:tcW w:w="1689" w:type="dxa"/>
          </w:tcPr>
          <w:p w14:paraId="0097F6D3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0E4ACD4" w14:textId="430B76AA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>Ishaq</w:t>
            </w:r>
            <w:proofErr w:type="spellEnd"/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, Ibn, </w:t>
            </w:r>
            <w:r w:rsidRPr="00071A0E">
              <w:rPr>
                <w:rStyle w:val="Emphasis"/>
                <w:rFonts w:ascii="Arial" w:hAnsi="Arial" w:cs="Arial"/>
                <w:color w:val="000000"/>
                <w:sz w:val="22"/>
                <w:szCs w:val="22"/>
              </w:rPr>
              <w:t>The Life of Muhammad</w:t>
            </w:r>
            <w:r w:rsidRPr="00071A0E">
              <w:rPr>
                <w:rFonts w:ascii="Arial" w:hAnsi="Arial" w:cs="Arial"/>
                <w:color w:val="000000"/>
                <w:sz w:val="22"/>
                <w:szCs w:val="22"/>
              </w:rPr>
              <w:t xml:space="preserve"> (trans. A. Guillaume) Karachi: Oxford University Press, 1955.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FC7395A" w14:textId="77777777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71A0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1A0E" w:rsidRPr="00071A0E" w14:paraId="0CF7BC22" w14:textId="77777777" w:rsidTr="00BA343F">
        <w:tc>
          <w:tcPr>
            <w:tcW w:w="1689" w:type="dxa"/>
          </w:tcPr>
          <w:p w14:paraId="0C0B778A" w14:textId="77777777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EF5A5AD" w14:textId="7D8FDA2D" w:rsidR="00071A0E" w:rsidRPr="00071A0E" w:rsidRDefault="00071A0E" w:rsidP="00071A0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71A0E">
              <w:rPr>
                <w:rFonts w:ascii="Arial" w:hAnsi="Arial" w:cs="Arial"/>
                <w:sz w:val="22"/>
                <w:szCs w:val="22"/>
              </w:rPr>
              <w:t xml:space="preserve">Nasr, S.H. </w:t>
            </w:r>
            <w:r w:rsidRPr="00071A0E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The Study Qur’an </w:t>
            </w:r>
            <w:r w:rsidRPr="00071A0E">
              <w:rPr>
                <w:rFonts w:ascii="Arial" w:hAnsi="Arial" w:cs="Arial"/>
                <w:sz w:val="22"/>
                <w:szCs w:val="22"/>
              </w:rPr>
              <w:t>(Harper Collins, 2017)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0E1AEB3" w14:textId="77777777" w:rsidR="00071A0E" w:rsidRPr="00071A0E" w:rsidRDefault="00071A0E" w:rsidP="00071A0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071A0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14:paraId="43D5C5D8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B13C9D4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BD9EC3C" w14:textId="77777777" w:rsidR="001F4A3B" w:rsidRDefault="001F4A3B" w:rsidP="009B5674">
      <w:r>
        <w:separator/>
      </w:r>
    </w:p>
  </w:endnote>
  <w:endnote w:type="continuationSeparator" w:id="0">
    <w:p w14:paraId="6E8C73FF" w14:textId="77777777" w:rsidR="001F4A3B" w:rsidRDefault="001F4A3B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24CAE1" w14:textId="77777777" w:rsidR="001F4A3B" w:rsidRDefault="001F4A3B" w:rsidP="009B5674">
      <w:r>
        <w:separator/>
      </w:r>
    </w:p>
  </w:footnote>
  <w:footnote w:type="continuationSeparator" w:id="0">
    <w:p w14:paraId="692FC61B" w14:textId="77777777" w:rsidR="001F4A3B" w:rsidRDefault="001F4A3B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3C34E0A"/>
    <w:multiLevelType w:val="multilevel"/>
    <w:tmpl w:val="4498E5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C7153D0"/>
    <w:multiLevelType w:val="multilevel"/>
    <w:tmpl w:val="5532C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BDF39F6"/>
    <w:multiLevelType w:val="multilevel"/>
    <w:tmpl w:val="BAA6EC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5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5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9"/>
  </w:num>
  <w:num w:numId="5">
    <w:abstractNumId w:val="4"/>
    <w:lvlOverride w:ilvl="0">
      <w:startOverride w:val="1"/>
    </w:lvlOverride>
  </w:num>
  <w:num w:numId="6">
    <w:abstractNumId w:val="6"/>
  </w:num>
  <w:num w:numId="7">
    <w:abstractNumId w:val="8"/>
  </w:num>
  <w:num w:numId="8">
    <w:abstractNumId w:val="2"/>
  </w:num>
  <w:num w:numId="9">
    <w:abstractNumId w:val="1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3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318EB"/>
    <w:rsid w:val="00066DE8"/>
    <w:rsid w:val="00071A0E"/>
    <w:rsid w:val="00077CD4"/>
    <w:rsid w:val="000906B4"/>
    <w:rsid w:val="000C6407"/>
    <w:rsid w:val="00116B44"/>
    <w:rsid w:val="00172EDC"/>
    <w:rsid w:val="001A15E3"/>
    <w:rsid w:val="001A2624"/>
    <w:rsid w:val="001C765C"/>
    <w:rsid w:val="001D5DF6"/>
    <w:rsid w:val="001F4A3B"/>
    <w:rsid w:val="00203392"/>
    <w:rsid w:val="002411A3"/>
    <w:rsid w:val="00262CFB"/>
    <w:rsid w:val="00302297"/>
    <w:rsid w:val="003146EA"/>
    <w:rsid w:val="00316625"/>
    <w:rsid w:val="0035534B"/>
    <w:rsid w:val="00356025"/>
    <w:rsid w:val="00404273"/>
    <w:rsid w:val="00470586"/>
    <w:rsid w:val="004A6539"/>
    <w:rsid w:val="004B6F80"/>
    <w:rsid w:val="004F207C"/>
    <w:rsid w:val="005006B0"/>
    <w:rsid w:val="005259D7"/>
    <w:rsid w:val="00527E61"/>
    <w:rsid w:val="00551363"/>
    <w:rsid w:val="005946A7"/>
    <w:rsid w:val="005E40A7"/>
    <w:rsid w:val="005E41B4"/>
    <w:rsid w:val="0062376E"/>
    <w:rsid w:val="00646A7D"/>
    <w:rsid w:val="0069757B"/>
    <w:rsid w:val="006A0463"/>
    <w:rsid w:val="006A0CE9"/>
    <w:rsid w:val="006D2B8B"/>
    <w:rsid w:val="006E184F"/>
    <w:rsid w:val="00717684"/>
    <w:rsid w:val="00736A82"/>
    <w:rsid w:val="007801F9"/>
    <w:rsid w:val="007F3042"/>
    <w:rsid w:val="008619BD"/>
    <w:rsid w:val="0089539D"/>
    <w:rsid w:val="008C188B"/>
    <w:rsid w:val="008E55FA"/>
    <w:rsid w:val="008F44C9"/>
    <w:rsid w:val="009139DF"/>
    <w:rsid w:val="00924F30"/>
    <w:rsid w:val="00996935"/>
    <w:rsid w:val="009A077A"/>
    <w:rsid w:val="009B5674"/>
    <w:rsid w:val="009D0293"/>
    <w:rsid w:val="00A74B3E"/>
    <w:rsid w:val="00A9641E"/>
    <w:rsid w:val="00AA501F"/>
    <w:rsid w:val="00AD111C"/>
    <w:rsid w:val="00B1208A"/>
    <w:rsid w:val="00B17917"/>
    <w:rsid w:val="00B30B52"/>
    <w:rsid w:val="00B53530"/>
    <w:rsid w:val="00B80522"/>
    <w:rsid w:val="00B81017"/>
    <w:rsid w:val="00B8741E"/>
    <w:rsid w:val="00BA343F"/>
    <w:rsid w:val="00BD06FD"/>
    <w:rsid w:val="00BF6F6C"/>
    <w:rsid w:val="00C13D91"/>
    <w:rsid w:val="00C75562"/>
    <w:rsid w:val="00C86B41"/>
    <w:rsid w:val="00CA58D7"/>
    <w:rsid w:val="00D41EBF"/>
    <w:rsid w:val="00DA3486"/>
    <w:rsid w:val="00DB46AD"/>
    <w:rsid w:val="00DC7FD0"/>
    <w:rsid w:val="00DE543B"/>
    <w:rsid w:val="00E30887"/>
    <w:rsid w:val="00E91B3E"/>
    <w:rsid w:val="00EA24E6"/>
    <w:rsid w:val="00ED342A"/>
    <w:rsid w:val="00F0221E"/>
    <w:rsid w:val="00F64B4A"/>
    <w:rsid w:val="00F74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character" w:styleId="Emphasis">
    <w:name w:val="Emphasis"/>
    <w:basedOn w:val="DefaultParagraphFont"/>
    <w:uiPriority w:val="20"/>
    <w:qFormat/>
    <w:rsid w:val="00071A0E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  <w:docPart>
      <w:docPartPr>
        <w:name w:val="7AC9EC2DF8FF364AAE8B4487018A7C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0DDB58-117B-7E40-AFC2-867FC8A99C78}"/>
      </w:docPartPr>
      <w:docPartBody>
        <w:p w:rsidR="00000000" w:rsidRDefault="0068520C" w:rsidP="0068520C">
          <w:pPr>
            <w:pStyle w:val="7AC9EC2DF8FF364AAE8B4487018A7CC3"/>
          </w:pPr>
          <w:r w:rsidRPr="00CE712F">
            <w:rPr>
              <w:rStyle w:val="PlaceholderText"/>
            </w:rPr>
            <w:t>Click or tap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A10BC"/>
    <w:rsid w:val="004A603A"/>
    <w:rsid w:val="00604ED3"/>
    <w:rsid w:val="0068520C"/>
    <w:rsid w:val="00732B30"/>
    <w:rsid w:val="00820288"/>
    <w:rsid w:val="00B54DA4"/>
    <w:rsid w:val="00C00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8520C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AC9EC2DF8FF364AAE8B4487018A7CC3">
    <w:name w:val="7AC9EC2DF8FF364AAE8B4487018A7CC3"/>
    <w:rsid w:val="0068520C"/>
    <w:pPr>
      <w:spacing w:after="0" w:line="240" w:lineRule="auto"/>
    </w:pPr>
    <w:rPr>
      <w:sz w:val="24"/>
      <w:szCs w:val="24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21AE803-0A3D-3A41-8ACE-2D025D3C99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q:\SYSTEM\01_qamod.dot</Template>
  <TotalTime>4</TotalTime>
  <Pages>3</Pages>
  <Words>539</Words>
  <Characters>3073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3605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Gary R. Bunt</cp:lastModifiedBy>
  <cp:revision>3</cp:revision>
  <cp:lastPrinted>1901-01-01T00:00:00Z</cp:lastPrinted>
  <dcterms:created xsi:type="dcterms:W3CDTF">2019-12-16T15:38:00Z</dcterms:created>
  <dcterms:modified xsi:type="dcterms:W3CDTF">2019-12-16T15:43:00Z</dcterms:modified>
</cp:coreProperties>
</file>