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E27C5" w14:textId="77777777" w:rsidR="001D6B44" w:rsidRPr="00FE586E" w:rsidRDefault="001D6B44" w:rsidP="007E179C">
      <w:pPr>
        <w:spacing w:after="0" w:line="360" w:lineRule="auto"/>
        <w:jc w:val="center"/>
        <w:rPr>
          <w:b/>
          <w:sz w:val="28"/>
          <w:szCs w:val="28"/>
        </w:rPr>
      </w:pPr>
      <w:r w:rsidRPr="00FE586E">
        <w:rPr>
          <w:b/>
          <w:sz w:val="28"/>
          <w:szCs w:val="28"/>
        </w:rPr>
        <w:t xml:space="preserve">The Riots of 1910 – why do we remember only </w:t>
      </w:r>
      <w:proofErr w:type="spellStart"/>
      <w:r w:rsidRPr="00FE586E">
        <w:rPr>
          <w:b/>
          <w:sz w:val="28"/>
          <w:szCs w:val="28"/>
        </w:rPr>
        <w:t>Tonypandy</w:t>
      </w:r>
      <w:proofErr w:type="spellEnd"/>
      <w:r w:rsidRPr="00FE586E">
        <w:rPr>
          <w:b/>
          <w:sz w:val="28"/>
          <w:szCs w:val="28"/>
        </w:rPr>
        <w:t>?</w:t>
      </w:r>
    </w:p>
    <w:p w14:paraId="66CEA5B5" w14:textId="494AEFC0" w:rsidR="00247676" w:rsidRDefault="00247676" w:rsidP="007E179C">
      <w:pPr>
        <w:spacing w:line="360" w:lineRule="auto"/>
        <w:jc w:val="both"/>
      </w:pPr>
    </w:p>
    <w:p w14:paraId="1EB95F67" w14:textId="6EEED4C6" w:rsidR="004F5307" w:rsidRDefault="004F5307" w:rsidP="007E179C">
      <w:pPr>
        <w:spacing w:line="360" w:lineRule="auto"/>
        <w:jc w:val="both"/>
        <w:rPr>
          <w:sz w:val="24"/>
          <w:szCs w:val="24"/>
        </w:rPr>
      </w:pPr>
      <w:r>
        <w:rPr>
          <w:sz w:val="24"/>
          <w:szCs w:val="24"/>
        </w:rPr>
        <w:t>It is convenient to look at the past as a series of distinct events. To some extent, it is necessary to do so</w:t>
      </w:r>
      <w:r w:rsidRPr="006442F6">
        <w:rPr>
          <w:sz w:val="24"/>
          <w:szCs w:val="24"/>
        </w:rPr>
        <w:t>—</w:t>
      </w:r>
      <w:r>
        <w:rPr>
          <w:sz w:val="24"/>
          <w:szCs w:val="24"/>
        </w:rPr>
        <w:t xml:space="preserve">it is after all impossible to hold the entire continuum of history in our heads all at once. As such, </w:t>
      </w:r>
      <w:r w:rsidR="00696C2E">
        <w:rPr>
          <w:sz w:val="24"/>
          <w:szCs w:val="24"/>
        </w:rPr>
        <w:t xml:space="preserve">it is common to look to familiar reference points such as </w:t>
      </w:r>
      <w:proofErr w:type="spellStart"/>
      <w:r w:rsidR="00696C2E">
        <w:rPr>
          <w:sz w:val="24"/>
          <w:szCs w:val="24"/>
        </w:rPr>
        <w:t>Tonypandy</w:t>
      </w:r>
      <w:proofErr w:type="spellEnd"/>
      <w:r w:rsidR="00696C2E">
        <w:rPr>
          <w:sz w:val="24"/>
          <w:szCs w:val="24"/>
        </w:rPr>
        <w:t xml:space="preserve">. However, such reference points can instead develop into symbols, distorted in the retelling of events </w:t>
      </w:r>
      <w:proofErr w:type="gramStart"/>
      <w:r w:rsidR="00696C2E">
        <w:rPr>
          <w:sz w:val="24"/>
          <w:szCs w:val="24"/>
        </w:rPr>
        <w:t>in order to</w:t>
      </w:r>
      <w:proofErr w:type="gramEnd"/>
      <w:r w:rsidR="00696C2E">
        <w:rPr>
          <w:sz w:val="24"/>
          <w:szCs w:val="24"/>
        </w:rPr>
        <w:t xml:space="preserve"> convey a particular outlook.</w:t>
      </w:r>
      <w:r>
        <w:rPr>
          <w:sz w:val="24"/>
          <w:szCs w:val="24"/>
        </w:rPr>
        <w:t xml:space="preserve"> </w:t>
      </w:r>
      <w:r w:rsidR="007E179C">
        <w:rPr>
          <w:sz w:val="24"/>
          <w:szCs w:val="24"/>
        </w:rPr>
        <w:t>By examining the facts of events, we can undo those distortions and take a clearer view.</w:t>
      </w:r>
    </w:p>
    <w:p w14:paraId="0CB8DCA6" w14:textId="6572A213" w:rsidR="00FF42A0" w:rsidRDefault="00FF42A0" w:rsidP="007E179C">
      <w:pPr>
        <w:spacing w:line="360" w:lineRule="auto"/>
        <w:ind w:firstLine="720"/>
        <w:jc w:val="both"/>
        <w:rPr>
          <w:sz w:val="24"/>
          <w:szCs w:val="24"/>
        </w:rPr>
      </w:pPr>
      <w:r>
        <w:rPr>
          <w:sz w:val="24"/>
          <w:szCs w:val="24"/>
        </w:rPr>
        <w:t xml:space="preserve">The mythmaking around </w:t>
      </w:r>
      <w:proofErr w:type="spellStart"/>
      <w:r>
        <w:rPr>
          <w:sz w:val="24"/>
          <w:szCs w:val="24"/>
        </w:rPr>
        <w:t>Tonypandy</w:t>
      </w:r>
      <w:proofErr w:type="spellEnd"/>
      <w:r>
        <w:rPr>
          <w:sz w:val="24"/>
          <w:szCs w:val="24"/>
        </w:rPr>
        <w:t xml:space="preserve"> began immediately and continued for decades </w:t>
      </w:r>
      <w:r w:rsidR="003717C0">
        <w:rPr>
          <w:sz w:val="24"/>
          <w:szCs w:val="24"/>
        </w:rPr>
        <w:t xml:space="preserve">becoming by turns </w:t>
      </w:r>
      <w:r>
        <w:rPr>
          <w:sz w:val="24"/>
          <w:szCs w:val="24"/>
        </w:rPr>
        <w:t xml:space="preserve">a large-scale frenzy of undirected violence and </w:t>
      </w:r>
      <w:r w:rsidR="003717C0">
        <w:rPr>
          <w:sz w:val="24"/>
          <w:szCs w:val="24"/>
        </w:rPr>
        <w:t xml:space="preserve">a </w:t>
      </w:r>
      <w:r>
        <w:rPr>
          <w:sz w:val="24"/>
          <w:szCs w:val="24"/>
        </w:rPr>
        <w:t>smaller incidence of opportunistic looting. In 1911, David Evans claimed that the miners had made a concerted effort to storm the power station;</w:t>
      </w:r>
      <w:r>
        <w:rPr>
          <w:rStyle w:val="FootnoteReference"/>
          <w:sz w:val="24"/>
          <w:szCs w:val="24"/>
        </w:rPr>
        <w:footnoteReference w:id="1"/>
      </w:r>
      <w:r>
        <w:rPr>
          <w:sz w:val="24"/>
          <w:szCs w:val="24"/>
        </w:rPr>
        <w:t xml:space="preserve"> in contrast General Macready, writing in 1924, suggested that the miners had never intended to hold the power house, as in their numbers they could easily have done so, had they wished.</w:t>
      </w:r>
      <w:r>
        <w:rPr>
          <w:rStyle w:val="FootnoteReference"/>
          <w:sz w:val="24"/>
          <w:szCs w:val="24"/>
        </w:rPr>
        <w:footnoteReference w:id="2"/>
      </w:r>
      <w:r>
        <w:rPr>
          <w:sz w:val="24"/>
          <w:szCs w:val="24"/>
        </w:rPr>
        <w:t xml:space="preserve"> In 1911, David Evans </w:t>
      </w:r>
      <w:r w:rsidR="00696C2E">
        <w:rPr>
          <w:sz w:val="24"/>
          <w:szCs w:val="24"/>
        </w:rPr>
        <w:t xml:space="preserve">also </w:t>
      </w:r>
      <w:r>
        <w:rPr>
          <w:sz w:val="24"/>
          <w:szCs w:val="24"/>
        </w:rPr>
        <w:t>claimed that the miners had smashed windows at ‘every shop that came within reach’ and ‘sacked’ the town, filled with rage at having been driven from the power station by police;</w:t>
      </w:r>
      <w:r>
        <w:rPr>
          <w:rStyle w:val="FootnoteReference"/>
          <w:sz w:val="24"/>
          <w:szCs w:val="24"/>
        </w:rPr>
        <w:footnoteReference w:id="3"/>
      </w:r>
      <w:r>
        <w:rPr>
          <w:sz w:val="24"/>
          <w:szCs w:val="24"/>
        </w:rPr>
        <w:t xml:space="preserve"> </w:t>
      </w:r>
      <w:r w:rsidR="008C0693">
        <w:rPr>
          <w:sz w:val="24"/>
          <w:szCs w:val="24"/>
        </w:rPr>
        <w:t xml:space="preserve">yet </w:t>
      </w:r>
      <w:r>
        <w:rPr>
          <w:sz w:val="24"/>
          <w:szCs w:val="24"/>
        </w:rPr>
        <w:t>much later, in his 1960 autobiography, Arthur Horner claimed that ‘some shops’ had been damaged and there was ‘some looting’.</w:t>
      </w:r>
      <w:r>
        <w:rPr>
          <w:rStyle w:val="FootnoteReference"/>
          <w:sz w:val="24"/>
          <w:szCs w:val="24"/>
        </w:rPr>
        <w:footnoteReference w:id="4"/>
      </w:r>
      <w:r>
        <w:rPr>
          <w:sz w:val="24"/>
          <w:szCs w:val="24"/>
        </w:rPr>
        <w:t xml:space="preserve"> At the end of the strike, in its 9 September 1911 issue, the </w:t>
      </w:r>
      <w:r>
        <w:rPr>
          <w:i/>
          <w:sz w:val="24"/>
          <w:szCs w:val="24"/>
        </w:rPr>
        <w:t>Rhonda Leader</w:t>
      </w:r>
      <w:r>
        <w:rPr>
          <w:sz w:val="24"/>
          <w:szCs w:val="24"/>
        </w:rPr>
        <w:t xml:space="preserve"> reflected on the previously tormented shopkeepers now taking down protective shutters from their windows ‘with a strange light in their eyes</w:t>
      </w:r>
      <w:r w:rsidRPr="006442F6">
        <w:rPr>
          <w:sz w:val="24"/>
          <w:szCs w:val="24"/>
        </w:rPr>
        <w:t>—</w:t>
      </w:r>
      <w:r>
        <w:rPr>
          <w:sz w:val="24"/>
          <w:szCs w:val="24"/>
        </w:rPr>
        <w:t>eyes that have lacked lustre for many a long day’.</w:t>
      </w:r>
      <w:r>
        <w:rPr>
          <w:rStyle w:val="FootnoteReference"/>
          <w:sz w:val="24"/>
          <w:szCs w:val="24"/>
        </w:rPr>
        <w:footnoteReference w:id="5"/>
      </w:r>
      <w:r w:rsidRPr="00FF42A0">
        <w:rPr>
          <w:sz w:val="24"/>
          <w:szCs w:val="24"/>
        </w:rPr>
        <w:t xml:space="preserve"> </w:t>
      </w:r>
      <w:r w:rsidR="008C0693">
        <w:rPr>
          <w:sz w:val="24"/>
          <w:szCs w:val="24"/>
        </w:rPr>
        <w:t xml:space="preserve">The scale and purpose of </w:t>
      </w:r>
      <w:r w:rsidR="00696C2E">
        <w:rPr>
          <w:sz w:val="24"/>
          <w:szCs w:val="24"/>
        </w:rPr>
        <w:t>the riots</w:t>
      </w:r>
      <w:r w:rsidR="008C0693">
        <w:rPr>
          <w:sz w:val="24"/>
          <w:szCs w:val="24"/>
        </w:rPr>
        <w:t xml:space="preserve"> ha</w:t>
      </w:r>
      <w:r w:rsidR="00696C2E">
        <w:rPr>
          <w:sz w:val="24"/>
          <w:szCs w:val="24"/>
        </w:rPr>
        <w:t>d</w:t>
      </w:r>
      <w:r w:rsidR="008C0693">
        <w:rPr>
          <w:sz w:val="24"/>
          <w:szCs w:val="24"/>
        </w:rPr>
        <w:t xml:space="preserve"> shifted wildly through all of these narratives, shaped by the different perspectives and different aims of the people who have constructed them. As such, </w:t>
      </w:r>
      <w:proofErr w:type="spellStart"/>
      <w:r w:rsidR="008C0693">
        <w:rPr>
          <w:sz w:val="24"/>
          <w:szCs w:val="24"/>
        </w:rPr>
        <w:t>Tonypandy</w:t>
      </w:r>
      <w:proofErr w:type="spellEnd"/>
      <w:r w:rsidR="008C0693">
        <w:rPr>
          <w:sz w:val="24"/>
          <w:szCs w:val="24"/>
        </w:rPr>
        <w:t xml:space="preserve"> became a convenient vehicle for expressing a given viewpoint on the industrial situation in south Wales at the time</w:t>
      </w:r>
      <w:r w:rsidR="00696C2E">
        <w:rPr>
          <w:sz w:val="24"/>
          <w:szCs w:val="24"/>
        </w:rPr>
        <w:t xml:space="preserve">, be that the mindless destruction of rampaging miners, uncaring of the </w:t>
      </w:r>
      <w:r w:rsidR="00994D09">
        <w:rPr>
          <w:sz w:val="24"/>
          <w:szCs w:val="24"/>
        </w:rPr>
        <w:t>damage to their own town or the actions of a few drunken youths, acting independently of the bulk of the workmen.</w:t>
      </w:r>
    </w:p>
    <w:p w14:paraId="7FF3875F" w14:textId="10E96214" w:rsidR="008201A0" w:rsidRDefault="008201A0" w:rsidP="007E179C">
      <w:pPr>
        <w:spacing w:line="360" w:lineRule="auto"/>
        <w:jc w:val="both"/>
        <w:rPr>
          <w:sz w:val="24"/>
          <w:szCs w:val="24"/>
        </w:rPr>
      </w:pPr>
      <w:r>
        <w:rPr>
          <w:sz w:val="24"/>
          <w:szCs w:val="24"/>
        </w:rPr>
        <w:lastRenderedPageBreak/>
        <w:tab/>
        <w:t xml:space="preserve">In David Smith’s </w:t>
      </w:r>
      <w:r w:rsidR="008C0693">
        <w:rPr>
          <w:sz w:val="24"/>
          <w:szCs w:val="24"/>
        </w:rPr>
        <w:t xml:space="preserve">more circumspect </w:t>
      </w:r>
      <w:r>
        <w:rPr>
          <w:sz w:val="24"/>
          <w:szCs w:val="24"/>
        </w:rPr>
        <w:t xml:space="preserve">distillation of the events of the riots, he </w:t>
      </w:r>
      <w:r w:rsidR="008C0693">
        <w:rPr>
          <w:sz w:val="24"/>
          <w:szCs w:val="24"/>
        </w:rPr>
        <w:t>sees</w:t>
      </w:r>
      <w:r>
        <w:rPr>
          <w:sz w:val="24"/>
          <w:szCs w:val="24"/>
        </w:rPr>
        <w:t xml:space="preserve"> </w:t>
      </w:r>
      <w:r w:rsidR="008C0693">
        <w:rPr>
          <w:sz w:val="24"/>
          <w:szCs w:val="24"/>
        </w:rPr>
        <w:t>a more complicated picture.</w:t>
      </w:r>
      <w:r w:rsidR="008C0693">
        <w:rPr>
          <w:rStyle w:val="FootnoteReference"/>
          <w:sz w:val="24"/>
          <w:szCs w:val="24"/>
        </w:rPr>
        <w:footnoteReference w:id="6"/>
      </w:r>
      <w:r w:rsidR="008C0693">
        <w:rPr>
          <w:sz w:val="24"/>
          <w:szCs w:val="24"/>
        </w:rPr>
        <w:t xml:space="preserve"> </w:t>
      </w:r>
      <w:r>
        <w:rPr>
          <w:sz w:val="24"/>
          <w:szCs w:val="24"/>
        </w:rPr>
        <w:t xml:space="preserve">The riots did involve thousands of </w:t>
      </w:r>
      <w:proofErr w:type="gramStart"/>
      <w:r>
        <w:rPr>
          <w:sz w:val="24"/>
          <w:szCs w:val="24"/>
        </w:rPr>
        <w:t>people</w:t>
      </w:r>
      <w:proofErr w:type="gramEnd"/>
      <w:r>
        <w:rPr>
          <w:sz w:val="24"/>
          <w:szCs w:val="24"/>
        </w:rPr>
        <w:t xml:space="preserve"> but they were not in any frenzy. He ascribes the diminution of their numbers i</w:t>
      </w:r>
      <w:r w:rsidR="008C0693">
        <w:rPr>
          <w:sz w:val="24"/>
          <w:szCs w:val="24"/>
        </w:rPr>
        <w:t>n</w:t>
      </w:r>
      <w:r>
        <w:rPr>
          <w:sz w:val="24"/>
          <w:szCs w:val="24"/>
        </w:rPr>
        <w:t xml:space="preserve"> some accounts to </w:t>
      </w:r>
      <w:r w:rsidR="006837BF">
        <w:rPr>
          <w:sz w:val="24"/>
          <w:szCs w:val="24"/>
        </w:rPr>
        <w:t xml:space="preserve">the concern of voices sympathetic to the miners, from people who were distinctly aware that the riot </w:t>
      </w:r>
      <w:proofErr w:type="gramStart"/>
      <w:r w:rsidR="006837BF">
        <w:rPr>
          <w:sz w:val="24"/>
          <w:szCs w:val="24"/>
        </w:rPr>
        <w:t>was seen as</w:t>
      </w:r>
      <w:proofErr w:type="gramEnd"/>
      <w:r w:rsidR="006837BF">
        <w:rPr>
          <w:sz w:val="24"/>
          <w:szCs w:val="24"/>
        </w:rPr>
        <w:t xml:space="preserve"> socially unacceptable.</w:t>
      </w:r>
      <w:r w:rsidR="006837BF">
        <w:rPr>
          <w:rStyle w:val="FootnoteReference"/>
          <w:sz w:val="24"/>
          <w:szCs w:val="24"/>
        </w:rPr>
        <w:footnoteReference w:id="7"/>
      </w:r>
      <w:r w:rsidR="00A1228E">
        <w:rPr>
          <w:sz w:val="24"/>
          <w:szCs w:val="24"/>
        </w:rPr>
        <w:t xml:space="preserve"> </w:t>
      </w:r>
      <w:r w:rsidR="00814A14">
        <w:rPr>
          <w:sz w:val="24"/>
          <w:szCs w:val="24"/>
        </w:rPr>
        <w:t xml:space="preserve">He notes the somewhat directed nature of the violence committed during the riots. Part of the context for this is </w:t>
      </w:r>
      <w:r w:rsidR="00A1228E">
        <w:rPr>
          <w:sz w:val="24"/>
          <w:szCs w:val="24"/>
        </w:rPr>
        <w:t>that from May 1909, mid-Rhondda grocers had been operating a ‘black-list’ system of credit.</w:t>
      </w:r>
      <w:r w:rsidR="008C0693" w:rsidRPr="008C0693">
        <w:rPr>
          <w:rStyle w:val="FootnoteReference"/>
          <w:sz w:val="24"/>
          <w:szCs w:val="24"/>
        </w:rPr>
        <w:t xml:space="preserve"> </w:t>
      </w:r>
      <w:r w:rsidR="008C0693">
        <w:rPr>
          <w:rStyle w:val="FootnoteReference"/>
          <w:sz w:val="24"/>
          <w:szCs w:val="24"/>
        </w:rPr>
        <w:footnoteReference w:id="8"/>
      </w:r>
      <w:r w:rsidR="00A1228E">
        <w:rPr>
          <w:sz w:val="24"/>
          <w:szCs w:val="24"/>
        </w:rPr>
        <w:t xml:space="preserve"> He </w:t>
      </w:r>
      <w:r w:rsidR="00814A14">
        <w:rPr>
          <w:sz w:val="24"/>
          <w:szCs w:val="24"/>
        </w:rPr>
        <w:t xml:space="preserve">also </w:t>
      </w:r>
      <w:r w:rsidR="00A1228E">
        <w:rPr>
          <w:sz w:val="24"/>
          <w:szCs w:val="24"/>
        </w:rPr>
        <w:t xml:space="preserve">notes that homeowners had commonly taken to requiring ‘key-money’ from prospective tenants and arbitrarily raising rents, and in some </w:t>
      </w:r>
      <w:proofErr w:type="gramStart"/>
      <w:r w:rsidR="00A1228E">
        <w:rPr>
          <w:sz w:val="24"/>
          <w:szCs w:val="24"/>
        </w:rPr>
        <w:t>cases</w:t>
      </w:r>
      <w:proofErr w:type="gramEnd"/>
      <w:r w:rsidR="00A1228E">
        <w:rPr>
          <w:sz w:val="24"/>
          <w:szCs w:val="24"/>
        </w:rPr>
        <w:t xml:space="preserve"> owners would force new tenants to buy goods and furniture from them.</w:t>
      </w:r>
      <w:r w:rsidR="008C0693" w:rsidRPr="008C0693">
        <w:rPr>
          <w:rStyle w:val="FootnoteReference"/>
          <w:sz w:val="24"/>
          <w:szCs w:val="24"/>
        </w:rPr>
        <w:t xml:space="preserve"> </w:t>
      </w:r>
      <w:r w:rsidR="008C0693">
        <w:rPr>
          <w:rStyle w:val="FootnoteReference"/>
          <w:sz w:val="24"/>
          <w:szCs w:val="24"/>
        </w:rPr>
        <w:footnoteReference w:id="9"/>
      </w:r>
      <w:r w:rsidR="00403CAB">
        <w:rPr>
          <w:sz w:val="24"/>
          <w:szCs w:val="24"/>
        </w:rPr>
        <w:t xml:space="preserve"> </w:t>
      </w:r>
      <w:r w:rsidR="001514EC">
        <w:rPr>
          <w:sz w:val="24"/>
          <w:szCs w:val="24"/>
        </w:rPr>
        <w:t xml:space="preserve">As such, it is wrong to separate too cleanly the events of the strike and of the riots: divisions between mine workers and mine owners extended into the surrounding community. Not simply innocent bystanders, shopkeepers and </w:t>
      </w:r>
      <w:r w:rsidR="00300F04">
        <w:rPr>
          <w:sz w:val="24"/>
          <w:szCs w:val="24"/>
        </w:rPr>
        <w:t xml:space="preserve">landlords were participants in the system the strikers were acting against. </w:t>
      </w:r>
      <w:r w:rsidR="001514EC">
        <w:rPr>
          <w:sz w:val="24"/>
          <w:szCs w:val="24"/>
        </w:rPr>
        <w:t>Viewed through this lens, the violence directed at shops and houses becomes</w:t>
      </w:r>
      <w:r w:rsidR="001514EC" w:rsidRPr="006442F6">
        <w:rPr>
          <w:sz w:val="24"/>
          <w:szCs w:val="24"/>
        </w:rPr>
        <w:t>—</w:t>
      </w:r>
      <w:r w:rsidR="001514EC">
        <w:rPr>
          <w:sz w:val="24"/>
          <w:szCs w:val="24"/>
        </w:rPr>
        <w:t>to an extent</w:t>
      </w:r>
      <w:r w:rsidR="001514EC" w:rsidRPr="006442F6">
        <w:rPr>
          <w:sz w:val="24"/>
          <w:szCs w:val="24"/>
        </w:rPr>
        <w:t>—</w:t>
      </w:r>
      <w:r w:rsidR="001514EC">
        <w:rPr>
          <w:sz w:val="24"/>
          <w:szCs w:val="24"/>
        </w:rPr>
        <w:t xml:space="preserve">linked </w:t>
      </w:r>
      <w:r w:rsidR="00300F04">
        <w:rPr>
          <w:sz w:val="24"/>
          <w:szCs w:val="24"/>
        </w:rPr>
        <w:t>to the industrial dispute.</w:t>
      </w:r>
      <w:r w:rsidR="00994D09">
        <w:rPr>
          <w:sz w:val="24"/>
          <w:szCs w:val="24"/>
        </w:rPr>
        <w:t xml:space="preserve"> The damage to property was not entirely random, it was directed at those who were keeping property from the miners.</w:t>
      </w:r>
    </w:p>
    <w:p w14:paraId="51BB1C26" w14:textId="78954D2D" w:rsidR="00FF42A0" w:rsidRDefault="00994D09" w:rsidP="007E179C">
      <w:pPr>
        <w:spacing w:line="360" w:lineRule="auto"/>
        <w:ind w:firstLine="720"/>
        <w:jc w:val="both"/>
        <w:rPr>
          <w:sz w:val="24"/>
          <w:szCs w:val="24"/>
        </w:rPr>
      </w:pPr>
      <w:r>
        <w:rPr>
          <w:sz w:val="24"/>
          <w:szCs w:val="24"/>
        </w:rPr>
        <w:t xml:space="preserve">The persistence of </w:t>
      </w:r>
      <w:proofErr w:type="spellStart"/>
      <w:r>
        <w:rPr>
          <w:sz w:val="24"/>
          <w:szCs w:val="24"/>
        </w:rPr>
        <w:t>Tonypandy</w:t>
      </w:r>
      <w:proofErr w:type="spellEnd"/>
      <w:r>
        <w:rPr>
          <w:sz w:val="24"/>
          <w:szCs w:val="24"/>
        </w:rPr>
        <w:t xml:space="preserve"> in the public memory was also aided by </w:t>
      </w:r>
      <w:r w:rsidR="00FF42A0">
        <w:rPr>
          <w:sz w:val="24"/>
          <w:szCs w:val="24"/>
        </w:rPr>
        <w:t xml:space="preserve">Churchill’s involvement in </w:t>
      </w:r>
      <w:r>
        <w:rPr>
          <w:sz w:val="24"/>
          <w:szCs w:val="24"/>
        </w:rPr>
        <w:t>event, and his supposed actions</w:t>
      </w:r>
      <w:r w:rsidR="00FF42A0">
        <w:rPr>
          <w:sz w:val="24"/>
          <w:szCs w:val="24"/>
        </w:rPr>
        <w:t xml:space="preserve"> ha</w:t>
      </w:r>
      <w:r>
        <w:rPr>
          <w:sz w:val="24"/>
          <w:szCs w:val="24"/>
        </w:rPr>
        <w:t>ve</w:t>
      </w:r>
      <w:r w:rsidR="00FF42A0">
        <w:rPr>
          <w:sz w:val="24"/>
          <w:szCs w:val="24"/>
        </w:rPr>
        <w:t xml:space="preserve"> proved particularly contentious. Speaking in Cardiff during the general election campaign of 1950, he attempted to establish his own narrative of the events of forty years before, so bedevilled was he by ‘the cruel lie’ that had been fed to the people of Wales.</w:t>
      </w:r>
      <w:r w:rsidR="00FF42A0">
        <w:rPr>
          <w:rStyle w:val="FootnoteReference"/>
          <w:sz w:val="24"/>
          <w:szCs w:val="24"/>
        </w:rPr>
        <w:footnoteReference w:id="10"/>
      </w:r>
      <w:r w:rsidR="00FF42A0">
        <w:rPr>
          <w:sz w:val="24"/>
          <w:szCs w:val="24"/>
        </w:rPr>
        <w:t xml:space="preserve"> In its place, he attempted to insert a narrative in which he, conscientious and compassionate and seeking only to preserve life, had made the ‘unprecedented’ step of holding back the troops, keeping them in the background while the</w:t>
      </w:r>
      <w:r w:rsidR="00FF42A0" w:rsidRPr="006442F6">
        <w:rPr>
          <w:sz w:val="24"/>
          <w:szCs w:val="24"/>
        </w:rPr>
        <w:t>—</w:t>
      </w:r>
      <w:r w:rsidR="00FF42A0">
        <w:rPr>
          <w:sz w:val="24"/>
          <w:szCs w:val="24"/>
        </w:rPr>
        <w:t>entirely unarmed, holding only ‘rolled-up mackintoshes’</w:t>
      </w:r>
      <w:r w:rsidR="00FF42A0" w:rsidRPr="006442F6">
        <w:rPr>
          <w:sz w:val="24"/>
          <w:szCs w:val="24"/>
        </w:rPr>
        <w:t>—</w:t>
      </w:r>
      <w:r w:rsidR="00FF42A0">
        <w:rPr>
          <w:sz w:val="24"/>
          <w:szCs w:val="24"/>
        </w:rPr>
        <w:t>Metropolitan Police confronted the rioters and no life was lost.</w:t>
      </w:r>
      <w:r w:rsidR="00FF42A0">
        <w:rPr>
          <w:rStyle w:val="FootnoteReference"/>
          <w:sz w:val="24"/>
          <w:szCs w:val="24"/>
        </w:rPr>
        <w:footnoteReference w:id="11"/>
      </w:r>
      <w:r w:rsidR="00FF42A0">
        <w:rPr>
          <w:sz w:val="24"/>
          <w:szCs w:val="24"/>
        </w:rPr>
        <w:t xml:space="preserve"> This version of events is built by glossing over certain detail: while Churchill did hold back troops initially, he soon sent cavalry into the district on further request, and a telegram from 8 November suggests that his aim was not just the preservation </w:t>
      </w:r>
      <w:r w:rsidR="00FF42A0">
        <w:rPr>
          <w:sz w:val="24"/>
          <w:szCs w:val="24"/>
        </w:rPr>
        <w:lastRenderedPageBreak/>
        <w:t>of life but the ‘cessation of trouble’.</w:t>
      </w:r>
      <w:r w:rsidR="00FF42A0">
        <w:rPr>
          <w:rStyle w:val="FootnoteReference"/>
          <w:sz w:val="24"/>
          <w:szCs w:val="24"/>
        </w:rPr>
        <w:footnoteReference w:id="12"/>
      </w:r>
      <w:r w:rsidR="00FF42A0">
        <w:rPr>
          <w:sz w:val="24"/>
          <w:szCs w:val="24"/>
        </w:rPr>
        <w:t xml:space="preserve"> The more plain untruth here is the suggestion that nobody died, erasing as it does the death of the miner Samuel Rays after a clash with police</w:t>
      </w:r>
      <w:r w:rsidR="00FF42A0" w:rsidRPr="006442F6">
        <w:rPr>
          <w:sz w:val="24"/>
          <w:szCs w:val="24"/>
        </w:rPr>
        <w:t>—</w:t>
      </w:r>
      <w:r w:rsidR="00FF42A0">
        <w:rPr>
          <w:sz w:val="24"/>
          <w:szCs w:val="24"/>
        </w:rPr>
        <w:t>and it is difficult to conceive of how he might have died from the blow of a waterproof coat.</w:t>
      </w:r>
      <w:r w:rsidR="00FF42A0">
        <w:rPr>
          <w:rStyle w:val="FootnoteReference"/>
          <w:sz w:val="24"/>
          <w:szCs w:val="24"/>
        </w:rPr>
        <w:footnoteReference w:id="13"/>
      </w:r>
      <w:r w:rsidR="00FF42A0">
        <w:rPr>
          <w:sz w:val="24"/>
          <w:szCs w:val="24"/>
        </w:rPr>
        <w:t xml:space="preserve"> What Churchill’s narrative does establish it the central role he had come to have in the ‘myth’ of </w:t>
      </w:r>
      <w:proofErr w:type="spellStart"/>
      <w:r w:rsidR="00FF42A0">
        <w:rPr>
          <w:sz w:val="24"/>
          <w:szCs w:val="24"/>
        </w:rPr>
        <w:t>Tonypandy</w:t>
      </w:r>
      <w:proofErr w:type="spellEnd"/>
      <w:r w:rsidR="007F3F82">
        <w:rPr>
          <w:sz w:val="24"/>
          <w:szCs w:val="24"/>
        </w:rPr>
        <w:t>, in which he had become to many the villain of the piece.</w:t>
      </w:r>
      <w:r w:rsidR="00AA0253">
        <w:rPr>
          <w:sz w:val="24"/>
          <w:szCs w:val="24"/>
        </w:rPr>
        <w:t xml:space="preserve"> In the context of his belligerent rhetoric during the 1926 General Strike, it is clear why Churchill would seek to establish himself as always sympathetic to miners, </w:t>
      </w:r>
      <w:proofErr w:type="gramStart"/>
      <w:r w:rsidR="00AA0253">
        <w:rPr>
          <w:sz w:val="24"/>
          <w:szCs w:val="24"/>
        </w:rPr>
        <w:t>in order to</w:t>
      </w:r>
      <w:proofErr w:type="gramEnd"/>
      <w:r w:rsidR="00AA0253">
        <w:rPr>
          <w:sz w:val="24"/>
          <w:szCs w:val="24"/>
        </w:rPr>
        <w:t xml:space="preserve"> counteract the idea that he was anti-union.</w:t>
      </w:r>
      <w:r w:rsidR="00CD4A28">
        <w:rPr>
          <w:rStyle w:val="FootnoteReference"/>
          <w:sz w:val="24"/>
          <w:szCs w:val="24"/>
        </w:rPr>
        <w:footnoteReference w:id="14"/>
      </w:r>
      <w:r w:rsidR="00AA0253">
        <w:rPr>
          <w:sz w:val="24"/>
          <w:szCs w:val="24"/>
        </w:rPr>
        <w:t xml:space="preserve"> As such, as Churchill’s notoriety continued to persist and to grow, so did the memory of </w:t>
      </w:r>
      <w:proofErr w:type="spellStart"/>
      <w:r w:rsidR="00AA0253">
        <w:rPr>
          <w:sz w:val="24"/>
          <w:szCs w:val="24"/>
        </w:rPr>
        <w:t>Tonypandy</w:t>
      </w:r>
      <w:proofErr w:type="spellEnd"/>
      <w:r w:rsidR="005D2964">
        <w:rPr>
          <w:sz w:val="24"/>
          <w:szCs w:val="24"/>
        </w:rPr>
        <w:t>.</w:t>
      </w:r>
    </w:p>
    <w:p w14:paraId="57A0D8B3" w14:textId="76D3670B" w:rsidR="006442F6" w:rsidRDefault="00217CB7" w:rsidP="007E179C">
      <w:pPr>
        <w:spacing w:line="360" w:lineRule="auto"/>
        <w:ind w:firstLine="720"/>
        <w:jc w:val="both"/>
        <w:rPr>
          <w:sz w:val="24"/>
          <w:szCs w:val="24"/>
        </w:rPr>
      </w:pPr>
      <w:r>
        <w:rPr>
          <w:sz w:val="24"/>
          <w:szCs w:val="24"/>
        </w:rPr>
        <w:t xml:space="preserve">Events at </w:t>
      </w:r>
      <w:proofErr w:type="spellStart"/>
      <w:r>
        <w:rPr>
          <w:sz w:val="24"/>
          <w:szCs w:val="24"/>
        </w:rPr>
        <w:t>Tonypandy</w:t>
      </w:r>
      <w:proofErr w:type="spellEnd"/>
      <w:r>
        <w:rPr>
          <w:sz w:val="24"/>
          <w:szCs w:val="24"/>
        </w:rPr>
        <w:t xml:space="preserve"> reflected wider problems in industrial communities throughout Britain, but also ones that were particularly endemic to the south Wales coalfield. </w:t>
      </w:r>
      <w:r w:rsidR="006442F6">
        <w:rPr>
          <w:sz w:val="24"/>
          <w:szCs w:val="24"/>
        </w:rPr>
        <w:t>Summarising th</w:t>
      </w:r>
      <w:r w:rsidR="00CA43D8">
        <w:rPr>
          <w:sz w:val="24"/>
          <w:szCs w:val="24"/>
        </w:rPr>
        <w:t>e</w:t>
      </w:r>
      <w:r w:rsidR="006442F6">
        <w:rPr>
          <w:sz w:val="24"/>
          <w:szCs w:val="24"/>
        </w:rPr>
        <w:t xml:space="preserve"> 1917 Commission</w:t>
      </w:r>
      <w:r w:rsidR="00CA43D8">
        <w:rPr>
          <w:sz w:val="24"/>
          <w:szCs w:val="24"/>
        </w:rPr>
        <w:t xml:space="preserve"> into Industrial Unrest in Great Britain</w:t>
      </w:r>
      <w:r w:rsidR="006442F6">
        <w:rPr>
          <w:sz w:val="24"/>
          <w:szCs w:val="24"/>
        </w:rPr>
        <w:t>, Sir William Chance described industrial unrest as ‘almost a permanent condition’ within the south Wales coalfield.</w:t>
      </w:r>
      <w:r w:rsidR="006442F6">
        <w:rPr>
          <w:rStyle w:val="FootnoteReference"/>
          <w:sz w:val="24"/>
          <w:szCs w:val="24"/>
        </w:rPr>
        <w:footnoteReference w:id="15"/>
      </w:r>
      <w:r w:rsidR="006442F6">
        <w:rPr>
          <w:sz w:val="24"/>
          <w:szCs w:val="24"/>
        </w:rPr>
        <w:t xml:space="preserve"> While the blame for this was in part laid at the feet of intransigent owners, resisting concession</w:t>
      </w:r>
      <w:r w:rsidR="00CA2F69">
        <w:rPr>
          <w:sz w:val="24"/>
          <w:szCs w:val="24"/>
        </w:rPr>
        <w:t>s</w:t>
      </w:r>
      <w:r w:rsidR="006442F6">
        <w:rPr>
          <w:sz w:val="24"/>
          <w:szCs w:val="24"/>
        </w:rPr>
        <w:t xml:space="preserve"> to their workers at every step, and in part at the development of more radical thought among unions</w:t>
      </w:r>
      <w:r w:rsidR="006442F6" w:rsidRPr="006442F6">
        <w:rPr>
          <w:sz w:val="24"/>
          <w:szCs w:val="24"/>
        </w:rPr>
        <w:t>—</w:t>
      </w:r>
      <w:r w:rsidR="006442F6">
        <w:rPr>
          <w:sz w:val="24"/>
          <w:szCs w:val="24"/>
        </w:rPr>
        <w:t>issues not unique to this part of the country</w:t>
      </w:r>
      <w:r w:rsidR="006442F6" w:rsidRPr="006442F6">
        <w:rPr>
          <w:sz w:val="24"/>
          <w:szCs w:val="24"/>
        </w:rPr>
        <w:t>—</w:t>
      </w:r>
      <w:r w:rsidR="006442F6">
        <w:rPr>
          <w:sz w:val="24"/>
          <w:szCs w:val="24"/>
        </w:rPr>
        <w:t xml:space="preserve">it is suggested here that relations were improving throughout </w:t>
      </w:r>
      <w:r w:rsidR="00CA2F69">
        <w:rPr>
          <w:sz w:val="24"/>
          <w:szCs w:val="24"/>
        </w:rPr>
        <w:t>Britain</w:t>
      </w:r>
      <w:r w:rsidR="006442F6">
        <w:rPr>
          <w:sz w:val="24"/>
          <w:szCs w:val="24"/>
        </w:rPr>
        <w:t>, with the sole exception of Wales.</w:t>
      </w:r>
      <w:r w:rsidR="006442F6">
        <w:rPr>
          <w:rStyle w:val="FootnoteReference"/>
          <w:sz w:val="24"/>
          <w:szCs w:val="24"/>
        </w:rPr>
        <w:footnoteReference w:id="16"/>
      </w:r>
      <w:r w:rsidR="006442F6">
        <w:rPr>
          <w:sz w:val="24"/>
          <w:szCs w:val="24"/>
        </w:rPr>
        <w:t xml:space="preserve"> The report itself suggests that </w:t>
      </w:r>
      <w:r w:rsidR="00C159E1">
        <w:rPr>
          <w:sz w:val="24"/>
          <w:szCs w:val="24"/>
        </w:rPr>
        <w:t>the south Wales coalfield had particular circumstances that made negotiations between owners and workers difficult, as an accident of geology. The coalfield is described as having frequent ‘fault</w:t>
      </w:r>
      <w:r w:rsidR="00CA2F69">
        <w:rPr>
          <w:sz w:val="24"/>
          <w:szCs w:val="24"/>
        </w:rPr>
        <w:t>s</w:t>
      </w:r>
      <w:r w:rsidR="00C159E1">
        <w:rPr>
          <w:sz w:val="24"/>
          <w:szCs w:val="24"/>
        </w:rPr>
        <w:t>’, these being ‘fractures or displacements of the strata’, and ‘washouts’, in which the seam becomes ‘very thin or disappears altogether for a few yards’;</w:t>
      </w:r>
      <w:r w:rsidR="00EC4817">
        <w:rPr>
          <w:rStyle w:val="FootnoteReference"/>
          <w:sz w:val="24"/>
          <w:szCs w:val="24"/>
        </w:rPr>
        <w:footnoteReference w:id="17"/>
      </w:r>
      <w:r w:rsidR="00C159E1">
        <w:rPr>
          <w:sz w:val="24"/>
          <w:szCs w:val="24"/>
        </w:rPr>
        <w:t xml:space="preserve"> as such, the report considers the strata in south Wales to be ‘more disturbed than those of any other British coalfield’.</w:t>
      </w:r>
      <w:r w:rsidR="00EC4817">
        <w:rPr>
          <w:rStyle w:val="FootnoteReference"/>
          <w:sz w:val="24"/>
          <w:szCs w:val="24"/>
        </w:rPr>
        <w:footnoteReference w:id="18"/>
      </w:r>
      <w:r w:rsidR="00EC4817">
        <w:rPr>
          <w:sz w:val="24"/>
          <w:szCs w:val="24"/>
        </w:rPr>
        <w:t xml:space="preserve"> One result of this, the report suggests, is that introducing standardised rates in the mines in this area </w:t>
      </w:r>
      <w:r w:rsidR="00CA2F69">
        <w:rPr>
          <w:sz w:val="24"/>
          <w:szCs w:val="24"/>
        </w:rPr>
        <w:t>was</w:t>
      </w:r>
      <w:r w:rsidR="00EC4817">
        <w:rPr>
          <w:sz w:val="24"/>
          <w:szCs w:val="24"/>
        </w:rPr>
        <w:t xml:space="preserve"> more difficult, as the </w:t>
      </w:r>
      <w:r w:rsidR="00EC4817">
        <w:rPr>
          <w:sz w:val="24"/>
          <w:szCs w:val="24"/>
        </w:rPr>
        <w:lastRenderedPageBreak/>
        <w:t>amount of coal produced is more ‘speculative’</w:t>
      </w:r>
      <w:r w:rsidR="00CA2F69">
        <w:rPr>
          <w:sz w:val="24"/>
          <w:szCs w:val="24"/>
        </w:rPr>
        <w:t xml:space="preserve"> due to inconsistency.</w:t>
      </w:r>
      <w:r w:rsidR="00CA2F69">
        <w:rPr>
          <w:rStyle w:val="FootnoteReference"/>
          <w:sz w:val="24"/>
          <w:szCs w:val="24"/>
        </w:rPr>
        <w:footnoteReference w:id="19"/>
      </w:r>
      <w:r w:rsidR="00EC4817">
        <w:rPr>
          <w:sz w:val="24"/>
          <w:szCs w:val="24"/>
        </w:rPr>
        <w:t xml:space="preserve"> </w:t>
      </w:r>
      <w:r w:rsidR="00CA2F69">
        <w:rPr>
          <w:sz w:val="24"/>
          <w:szCs w:val="24"/>
        </w:rPr>
        <w:t>Reflecting on</w:t>
      </w:r>
      <w:r w:rsidR="00EC4817">
        <w:rPr>
          <w:sz w:val="24"/>
          <w:szCs w:val="24"/>
        </w:rPr>
        <w:t xml:space="preserve"> events surrounding </w:t>
      </w:r>
      <w:proofErr w:type="spellStart"/>
      <w:r w:rsidR="00EC4817">
        <w:rPr>
          <w:sz w:val="24"/>
          <w:szCs w:val="24"/>
        </w:rPr>
        <w:t>Tonypandy</w:t>
      </w:r>
      <w:proofErr w:type="spellEnd"/>
      <w:r w:rsidR="00EC4817">
        <w:rPr>
          <w:sz w:val="24"/>
          <w:szCs w:val="24"/>
        </w:rPr>
        <w:t xml:space="preserve"> at a much later date, </w:t>
      </w:r>
      <w:r w:rsidR="00CA2F69">
        <w:rPr>
          <w:sz w:val="24"/>
          <w:szCs w:val="24"/>
        </w:rPr>
        <w:t xml:space="preserve">the later trade union leader </w:t>
      </w:r>
      <w:r w:rsidR="00EC4817">
        <w:rPr>
          <w:sz w:val="24"/>
          <w:szCs w:val="24"/>
        </w:rPr>
        <w:t xml:space="preserve">Arthur Horner </w:t>
      </w:r>
      <w:r w:rsidR="00CA2F69">
        <w:rPr>
          <w:sz w:val="24"/>
          <w:szCs w:val="24"/>
        </w:rPr>
        <w:t>considers this issue central to unrest in the area, decrying piece work rates that were ‘imposed’ on miners</w:t>
      </w:r>
      <w:r w:rsidR="002324E7">
        <w:rPr>
          <w:sz w:val="24"/>
          <w:szCs w:val="24"/>
        </w:rPr>
        <w:t>.</w:t>
      </w:r>
      <w:r w:rsidR="00CA2F69">
        <w:rPr>
          <w:rStyle w:val="FootnoteReference"/>
          <w:sz w:val="24"/>
          <w:szCs w:val="24"/>
        </w:rPr>
        <w:footnoteReference w:id="20"/>
      </w:r>
      <w:r w:rsidR="00CA2F69">
        <w:rPr>
          <w:sz w:val="24"/>
          <w:szCs w:val="24"/>
        </w:rPr>
        <w:t xml:space="preserve"> </w:t>
      </w:r>
      <w:r w:rsidR="002324E7">
        <w:rPr>
          <w:sz w:val="24"/>
          <w:szCs w:val="24"/>
        </w:rPr>
        <w:t>He suggests that a worker might arbitrarily be given a section in which the seam had been crushed into smaller pieces of coal, and that such coal would not have been paid for at all in south Wales at the time, leaving him unable to eke out a subsistence wage.</w:t>
      </w:r>
      <w:r w:rsidR="002324E7">
        <w:rPr>
          <w:rStyle w:val="FootnoteReference"/>
          <w:sz w:val="24"/>
          <w:szCs w:val="24"/>
        </w:rPr>
        <w:footnoteReference w:id="21"/>
      </w:r>
      <w:r w:rsidR="00401698">
        <w:rPr>
          <w:sz w:val="24"/>
          <w:szCs w:val="24"/>
        </w:rPr>
        <w:t xml:space="preserve"> </w:t>
      </w:r>
      <w:r w:rsidR="00F80721">
        <w:rPr>
          <w:sz w:val="24"/>
          <w:szCs w:val="24"/>
        </w:rPr>
        <w:t>The dispute over wages that was occurring here had its own local context, but the issues driving it were common throughout south Wales.</w:t>
      </w:r>
      <w:r w:rsidR="007D0F7E">
        <w:rPr>
          <w:sz w:val="24"/>
          <w:szCs w:val="24"/>
        </w:rPr>
        <w:t xml:space="preserve"> </w:t>
      </w:r>
      <w:r w:rsidR="00E81E1E">
        <w:rPr>
          <w:sz w:val="24"/>
          <w:szCs w:val="24"/>
        </w:rPr>
        <w:t>Yet</w:t>
      </w:r>
      <w:r w:rsidR="00CA43D8">
        <w:rPr>
          <w:sz w:val="24"/>
          <w:szCs w:val="24"/>
        </w:rPr>
        <w:t xml:space="preserve"> these</w:t>
      </w:r>
      <w:r w:rsidR="007D0F7E">
        <w:rPr>
          <w:sz w:val="24"/>
          <w:szCs w:val="24"/>
        </w:rPr>
        <w:t xml:space="preserve"> issues were </w:t>
      </w:r>
      <w:r w:rsidR="00CA43D8">
        <w:rPr>
          <w:sz w:val="24"/>
          <w:szCs w:val="24"/>
        </w:rPr>
        <w:t xml:space="preserve">to some extent </w:t>
      </w:r>
      <w:r w:rsidR="007D0F7E">
        <w:rPr>
          <w:sz w:val="24"/>
          <w:szCs w:val="24"/>
        </w:rPr>
        <w:t>specific to south Wales, when compared to the rest of Britain.</w:t>
      </w:r>
      <w:r w:rsidR="00F80721">
        <w:rPr>
          <w:sz w:val="24"/>
          <w:szCs w:val="24"/>
        </w:rPr>
        <w:t xml:space="preserve"> </w:t>
      </w:r>
    </w:p>
    <w:p w14:paraId="2B0FD535" w14:textId="14E315E9" w:rsidR="002324E7" w:rsidRDefault="002324E7" w:rsidP="007E179C">
      <w:pPr>
        <w:spacing w:line="360" w:lineRule="auto"/>
        <w:jc w:val="both"/>
        <w:rPr>
          <w:sz w:val="24"/>
          <w:szCs w:val="24"/>
        </w:rPr>
      </w:pPr>
      <w:r>
        <w:rPr>
          <w:sz w:val="24"/>
          <w:szCs w:val="24"/>
        </w:rPr>
        <w:tab/>
        <w:t>While not his focus, Horner’s interpretation also hints at the danger involved in working in the mines of south Wales, which might require additional timbering to prevent falls.</w:t>
      </w:r>
      <w:r>
        <w:rPr>
          <w:rStyle w:val="FootnoteReference"/>
          <w:sz w:val="24"/>
          <w:szCs w:val="24"/>
        </w:rPr>
        <w:footnoteReference w:id="22"/>
      </w:r>
      <w:r>
        <w:rPr>
          <w:sz w:val="24"/>
          <w:szCs w:val="24"/>
        </w:rPr>
        <w:t xml:space="preserve"> The report of the Commission shows </w:t>
      </w:r>
      <w:r w:rsidR="003C7518">
        <w:rPr>
          <w:sz w:val="24"/>
          <w:szCs w:val="24"/>
        </w:rPr>
        <w:t>particular concern over such dangers, suggesting that ‘loose-jointed coal’ and rotten timbers were more frequent in south Wales than elsewhere</w:t>
      </w:r>
      <w:r w:rsidR="003C7518" w:rsidRPr="006442F6">
        <w:rPr>
          <w:sz w:val="24"/>
          <w:szCs w:val="24"/>
        </w:rPr>
        <w:t>—</w:t>
      </w:r>
      <w:r w:rsidR="003C7518">
        <w:rPr>
          <w:sz w:val="24"/>
          <w:szCs w:val="24"/>
        </w:rPr>
        <w:t>leading to more frequent, and frequently fatal, accidents</w:t>
      </w:r>
      <w:r w:rsidR="003C7518" w:rsidRPr="006442F6">
        <w:rPr>
          <w:sz w:val="24"/>
          <w:szCs w:val="24"/>
        </w:rPr>
        <w:t>—</w:t>
      </w:r>
      <w:r w:rsidR="003C7518">
        <w:rPr>
          <w:sz w:val="24"/>
          <w:szCs w:val="24"/>
        </w:rPr>
        <w:t>along with the ever-present danger of harsh coal dust, though this was most severe in anthracite mines in the southwest.</w:t>
      </w:r>
      <w:r w:rsidR="003C7518">
        <w:rPr>
          <w:rStyle w:val="FootnoteReference"/>
          <w:sz w:val="24"/>
          <w:szCs w:val="24"/>
        </w:rPr>
        <w:footnoteReference w:id="23"/>
      </w:r>
      <w:r w:rsidR="003C7518">
        <w:rPr>
          <w:sz w:val="24"/>
          <w:szCs w:val="24"/>
        </w:rPr>
        <w:t xml:space="preserve"> The result, it proclaims, was much higher death rates in south Wales tha</w:t>
      </w:r>
      <w:r w:rsidR="00351147">
        <w:rPr>
          <w:sz w:val="24"/>
          <w:szCs w:val="24"/>
        </w:rPr>
        <w:t>n in any other part of the country, totalling 1.78 per thousand men employed in the region compared to 1.35 per thousand in the country as a whole.</w:t>
      </w:r>
      <w:r w:rsidR="00351147">
        <w:rPr>
          <w:rStyle w:val="FootnoteReference"/>
          <w:sz w:val="24"/>
          <w:szCs w:val="24"/>
        </w:rPr>
        <w:footnoteReference w:id="24"/>
      </w:r>
      <w:r w:rsidR="0010689C">
        <w:rPr>
          <w:sz w:val="24"/>
          <w:szCs w:val="24"/>
        </w:rPr>
        <w:t xml:space="preserve"> The report </w:t>
      </w:r>
      <w:r w:rsidR="00756BB0">
        <w:rPr>
          <w:sz w:val="24"/>
          <w:szCs w:val="24"/>
        </w:rPr>
        <w:t xml:space="preserve">suggests a sense of frustration in the region was substantial at its time of writing, concluding: </w:t>
      </w:r>
      <w:r w:rsidR="0010689C">
        <w:rPr>
          <w:sz w:val="24"/>
          <w:szCs w:val="24"/>
        </w:rPr>
        <w:t>‘To what extent this excess may be due to preventable causes is a question that considerably exercises the minds of the miners’.</w:t>
      </w:r>
      <w:r w:rsidR="0010689C">
        <w:rPr>
          <w:rStyle w:val="FootnoteReference"/>
          <w:sz w:val="24"/>
          <w:szCs w:val="24"/>
        </w:rPr>
        <w:footnoteReference w:id="25"/>
      </w:r>
      <w:r w:rsidR="00756BB0">
        <w:rPr>
          <w:sz w:val="24"/>
          <w:szCs w:val="24"/>
        </w:rPr>
        <w:t xml:space="preserve"> In his investigation of events leading to </w:t>
      </w:r>
      <w:proofErr w:type="spellStart"/>
      <w:r w:rsidR="00756BB0">
        <w:rPr>
          <w:sz w:val="24"/>
          <w:szCs w:val="24"/>
        </w:rPr>
        <w:t>Tonypandy</w:t>
      </w:r>
      <w:proofErr w:type="spellEnd"/>
      <w:r w:rsidR="00756BB0">
        <w:rPr>
          <w:sz w:val="24"/>
          <w:szCs w:val="24"/>
        </w:rPr>
        <w:t xml:space="preserve">, David Smith has </w:t>
      </w:r>
      <w:r w:rsidR="00B47E4D">
        <w:rPr>
          <w:sz w:val="24"/>
          <w:szCs w:val="24"/>
        </w:rPr>
        <w:t>drawn attention</w:t>
      </w:r>
      <w:r w:rsidR="00756BB0">
        <w:rPr>
          <w:sz w:val="24"/>
          <w:szCs w:val="24"/>
        </w:rPr>
        <w:t xml:space="preserve"> disquieting events happening in the Ely pit in particular, noting that five deaths had occurred after a pit-cage crash in August of 1909 and a further death had resulted from the fall of an inadequately propped section on 1910;</w:t>
      </w:r>
      <w:r w:rsidR="00756BB0">
        <w:rPr>
          <w:rStyle w:val="FootnoteReference"/>
          <w:sz w:val="24"/>
          <w:szCs w:val="24"/>
        </w:rPr>
        <w:footnoteReference w:id="26"/>
      </w:r>
      <w:r w:rsidR="00756BB0">
        <w:rPr>
          <w:sz w:val="24"/>
          <w:szCs w:val="24"/>
        </w:rPr>
        <w:t xml:space="preserve"> in both instances, compensation for the families was dismissed and blame was placed on the individual who died.</w:t>
      </w:r>
      <w:r w:rsidR="005D2964">
        <w:rPr>
          <w:sz w:val="24"/>
          <w:szCs w:val="24"/>
        </w:rPr>
        <w:t xml:space="preserve"> </w:t>
      </w:r>
      <w:r w:rsidR="007D0F7E">
        <w:rPr>
          <w:sz w:val="24"/>
          <w:szCs w:val="24"/>
        </w:rPr>
        <w:t>Again, we can see here a local context contained within a wider one.</w:t>
      </w:r>
      <w:r w:rsidR="00CA43D8" w:rsidRPr="00CA43D8">
        <w:rPr>
          <w:sz w:val="24"/>
          <w:szCs w:val="24"/>
        </w:rPr>
        <w:t xml:space="preserve"> </w:t>
      </w:r>
      <w:r w:rsidR="00CA43D8">
        <w:rPr>
          <w:sz w:val="24"/>
          <w:szCs w:val="24"/>
        </w:rPr>
        <w:t xml:space="preserve">The difficulty of surviving and subsisting </w:t>
      </w:r>
      <w:r w:rsidR="00CA43D8">
        <w:rPr>
          <w:sz w:val="24"/>
          <w:szCs w:val="24"/>
        </w:rPr>
        <w:lastRenderedPageBreak/>
        <w:t xml:space="preserve">while working in the mines was difficult throughout the country, but </w:t>
      </w:r>
      <w:r w:rsidR="00F221A9">
        <w:rPr>
          <w:sz w:val="24"/>
          <w:szCs w:val="24"/>
        </w:rPr>
        <w:t xml:space="preserve">seemingly </w:t>
      </w:r>
      <w:r w:rsidR="00CA43D8">
        <w:rPr>
          <w:sz w:val="24"/>
          <w:szCs w:val="24"/>
        </w:rPr>
        <w:t>more so in south Wales</w:t>
      </w:r>
      <w:r w:rsidR="00F221A9">
        <w:rPr>
          <w:sz w:val="24"/>
          <w:szCs w:val="24"/>
        </w:rPr>
        <w:t xml:space="preserve">. </w:t>
      </w:r>
      <w:r w:rsidR="00E81E1E">
        <w:rPr>
          <w:sz w:val="24"/>
          <w:szCs w:val="24"/>
        </w:rPr>
        <w:t xml:space="preserve">Work in the mines of south Wales, as in </w:t>
      </w:r>
      <w:proofErr w:type="spellStart"/>
      <w:r w:rsidR="00E81E1E">
        <w:rPr>
          <w:sz w:val="24"/>
          <w:szCs w:val="24"/>
        </w:rPr>
        <w:t>Tonypandy</w:t>
      </w:r>
      <w:proofErr w:type="spellEnd"/>
      <w:r w:rsidR="00E81E1E">
        <w:rPr>
          <w:sz w:val="24"/>
          <w:szCs w:val="24"/>
        </w:rPr>
        <w:t xml:space="preserve"> was harder and more dangerous than elsewhere in Britain, and the situation was more static. </w:t>
      </w:r>
      <w:r w:rsidR="00CA43D8">
        <w:rPr>
          <w:sz w:val="24"/>
          <w:szCs w:val="24"/>
        </w:rPr>
        <w:t xml:space="preserve">As such, it was simple for </w:t>
      </w:r>
      <w:proofErr w:type="spellStart"/>
      <w:r w:rsidR="00CA43D8">
        <w:rPr>
          <w:sz w:val="24"/>
          <w:szCs w:val="24"/>
        </w:rPr>
        <w:t>Tonypandy</w:t>
      </w:r>
      <w:proofErr w:type="spellEnd"/>
      <w:r w:rsidR="00CA43D8">
        <w:rPr>
          <w:sz w:val="24"/>
          <w:szCs w:val="24"/>
        </w:rPr>
        <w:t xml:space="preserve"> to come to synecdochally represent the larger region, becoming a shorthand for wider unrest.</w:t>
      </w:r>
    </w:p>
    <w:p w14:paraId="5C8D6BD8" w14:textId="66CC360D" w:rsidR="00756BB0" w:rsidRDefault="007D6F87" w:rsidP="007E179C">
      <w:pPr>
        <w:spacing w:line="360" w:lineRule="auto"/>
        <w:jc w:val="both"/>
        <w:rPr>
          <w:sz w:val="24"/>
          <w:szCs w:val="24"/>
        </w:rPr>
      </w:pPr>
      <w:r>
        <w:rPr>
          <w:sz w:val="24"/>
          <w:szCs w:val="24"/>
        </w:rPr>
        <w:tab/>
      </w:r>
      <w:r w:rsidR="00F221A9">
        <w:rPr>
          <w:sz w:val="24"/>
          <w:szCs w:val="24"/>
        </w:rPr>
        <w:t xml:space="preserve">Events at </w:t>
      </w:r>
      <w:proofErr w:type="spellStart"/>
      <w:r w:rsidR="00F221A9">
        <w:rPr>
          <w:sz w:val="24"/>
          <w:szCs w:val="24"/>
        </w:rPr>
        <w:t>Tonypandy</w:t>
      </w:r>
      <w:proofErr w:type="spellEnd"/>
      <w:r w:rsidR="00F221A9">
        <w:rPr>
          <w:sz w:val="24"/>
          <w:szCs w:val="24"/>
        </w:rPr>
        <w:t xml:space="preserve"> also exist in the context of syndicalism. After all, the</w:t>
      </w:r>
      <w:r w:rsidR="001B135C">
        <w:rPr>
          <w:sz w:val="24"/>
          <w:szCs w:val="24"/>
        </w:rPr>
        <w:t xml:space="preserve"> manifesto</w:t>
      </w:r>
      <w:r w:rsidR="00F221A9">
        <w:rPr>
          <w:sz w:val="24"/>
          <w:szCs w:val="24"/>
        </w:rPr>
        <w:t xml:space="preserve"> that would lay out the vision of syndicalists</w:t>
      </w:r>
      <w:r w:rsidR="00801732">
        <w:rPr>
          <w:sz w:val="24"/>
          <w:szCs w:val="24"/>
        </w:rPr>
        <w:t xml:space="preserve">, </w:t>
      </w:r>
      <w:r w:rsidR="00801732" w:rsidRPr="00801732">
        <w:rPr>
          <w:i/>
          <w:sz w:val="24"/>
          <w:szCs w:val="24"/>
        </w:rPr>
        <w:t>The Miners’ Next Step</w:t>
      </w:r>
      <w:r w:rsidR="00801732" w:rsidRPr="00801732">
        <w:rPr>
          <w:sz w:val="24"/>
          <w:szCs w:val="24"/>
        </w:rPr>
        <w:t>,</w:t>
      </w:r>
      <w:r w:rsidR="00801732">
        <w:rPr>
          <w:sz w:val="24"/>
          <w:szCs w:val="24"/>
        </w:rPr>
        <w:t xml:space="preserve"> </w:t>
      </w:r>
      <w:r w:rsidR="00F221A9">
        <w:rPr>
          <w:sz w:val="24"/>
          <w:szCs w:val="24"/>
        </w:rPr>
        <w:t xml:space="preserve">was published in </w:t>
      </w:r>
      <w:proofErr w:type="spellStart"/>
      <w:r w:rsidR="00F221A9">
        <w:rPr>
          <w:sz w:val="24"/>
          <w:szCs w:val="24"/>
        </w:rPr>
        <w:t>Tonypandy</w:t>
      </w:r>
      <w:proofErr w:type="spellEnd"/>
      <w:r w:rsidR="00801732">
        <w:rPr>
          <w:sz w:val="24"/>
          <w:szCs w:val="24"/>
        </w:rPr>
        <w:t>.</w:t>
      </w:r>
      <w:r w:rsidR="00801732">
        <w:rPr>
          <w:rStyle w:val="FootnoteReference"/>
          <w:sz w:val="24"/>
          <w:szCs w:val="24"/>
        </w:rPr>
        <w:footnoteReference w:id="27"/>
      </w:r>
      <w:r w:rsidR="00801732">
        <w:rPr>
          <w:sz w:val="24"/>
          <w:szCs w:val="24"/>
        </w:rPr>
        <w:t xml:space="preserve"> </w:t>
      </w:r>
      <w:r w:rsidR="00F221A9">
        <w:rPr>
          <w:sz w:val="24"/>
          <w:szCs w:val="24"/>
        </w:rPr>
        <w:t>This vision</w:t>
      </w:r>
      <w:r w:rsidR="00801732">
        <w:rPr>
          <w:sz w:val="24"/>
          <w:szCs w:val="24"/>
        </w:rPr>
        <w:t xml:space="preserve"> involved the foundation of a single union</w:t>
      </w:r>
      <w:r w:rsidR="00801732" w:rsidRPr="006442F6">
        <w:rPr>
          <w:sz w:val="24"/>
          <w:szCs w:val="24"/>
        </w:rPr>
        <w:t>—</w:t>
      </w:r>
      <w:r w:rsidR="00801732">
        <w:rPr>
          <w:sz w:val="24"/>
          <w:szCs w:val="24"/>
        </w:rPr>
        <w:t>across even national borders</w:t>
      </w:r>
      <w:r w:rsidR="00801732" w:rsidRPr="006442F6">
        <w:rPr>
          <w:sz w:val="24"/>
          <w:szCs w:val="24"/>
        </w:rPr>
        <w:t>—</w:t>
      </w:r>
      <w:r w:rsidR="00801732">
        <w:rPr>
          <w:sz w:val="24"/>
          <w:szCs w:val="24"/>
        </w:rPr>
        <w:t>representing all workers the mining industry, led by these workers.</w:t>
      </w:r>
      <w:r w:rsidR="00FB72C6">
        <w:rPr>
          <w:rStyle w:val="FootnoteReference"/>
          <w:sz w:val="24"/>
          <w:szCs w:val="24"/>
        </w:rPr>
        <w:footnoteReference w:id="28"/>
      </w:r>
      <w:r w:rsidR="00FB72C6">
        <w:rPr>
          <w:sz w:val="24"/>
          <w:szCs w:val="24"/>
        </w:rPr>
        <w:t xml:space="preserve"> The differing interests of owners and employees were declared to be irreconcilable, and attempts to negotiate with them should be consigned to the past</w:t>
      </w:r>
      <w:r w:rsidR="00FB72C6" w:rsidRPr="006442F6">
        <w:rPr>
          <w:sz w:val="24"/>
          <w:szCs w:val="24"/>
        </w:rPr>
        <w:t>—</w:t>
      </w:r>
      <w:r w:rsidR="00FB72C6">
        <w:rPr>
          <w:sz w:val="24"/>
          <w:szCs w:val="24"/>
        </w:rPr>
        <w:t>the future lay in a policy of ‘open hostility’.</w:t>
      </w:r>
      <w:r w:rsidR="00FB72C6">
        <w:rPr>
          <w:rStyle w:val="FootnoteReference"/>
          <w:sz w:val="24"/>
          <w:szCs w:val="24"/>
        </w:rPr>
        <w:footnoteReference w:id="29"/>
      </w:r>
      <w:r w:rsidR="00FB72C6">
        <w:rPr>
          <w:sz w:val="24"/>
          <w:szCs w:val="24"/>
        </w:rPr>
        <w:t xml:space="preserve"> T</w:t>
      </w:r>
      <w:r w:rsidR="00801732">
        <w:rPr>
          <w:sz w:val="24"/>
          <w:szCs w:val="24"/>
        </w:rPr>
        <w:t>his was ‘real democracy’</w:t>
      </w:r>
      <w:r w:rsidR="00FB72C6">
        <w:rPr>
          <w:sz w:val="24"/>
          <w:szCs w:val="24"/>
        </w:rPr>
        <w:t>,</w:t>
      </w:r>
      <w:r w:rsidR="00801732">
        <w:rPr>
          <w:sz w:val="24"/>
          <w:szCs w:val="24"/>
        </w:rPr>
        <w:t xml:space="preserve"> it proclaimed.</w:t>
      </w:r>
      <w:r w:rsidR="00FB72C6">
        <w:rPr>
          <w:rStyle w:val="FootnoteReference"/>
          <w:sz w:val="24"/>
          <w:szCs w:val="24"/>
        </w:rPr>
        <w:footnoteReference w:id="30"/>
      </w:r>
      <w:r w:rsidR="00801732">
        <w:rPr>
          <w:sz w:val="24"/>
          <w:szCs w:val="24"/>
        </w:rPr>
        <w:t xml:space="preserve"> </w:t>
      </w:r>
      <w:r w:rsidR="009F00A5">
        <w:rPr>
          <w:sz w:val="24"/>
          <w:szCs w:val="24"/>
        </w:rPr>
        <w:t xml:space="preserve">By 1917, that report of the commission would note that </w:t>
      </w:r>
      <w:r w:rsidR="002D51F1">
        <w:rPr>
          <w:sz w:val="24"/>
          <w:szCs w:val="24"/>
        </w:rPr>
        <w:t>this movement had embedded itself in the mining communities of Glamorgan and Monmouthshire</w:t>
      </w:r>
      <w:r w:rsidR="002D51F1">
        <w:rPr>
          <w:rStyle w:val="FootnoteReference"/>
          <w:sz w:val="24"/>
          <w:szCs w:val="24"/>
        </w:rPr>
        <w:footnoteReference w:id="31"/>
      </w:r>
      <w:r w:rsidR="002D51F1">
        <w:rPr>
          <w:sz w:val="24"/>
          <w:szCs w:val="24"/>
        </w:rPr>
        <w:t>; certainly, s</w:t>
      </w:r>
      <w:r>
        <w:rPr>
          <w:sz w:val="24"/>
          <w:szCs w:val="24"/>
        </w:rPr>
        <w:t xml:space="preserve">yndicalism would come to have a prominent place in </w:t>
      </w:r>
      <w:r w:rsidR="00F14D4F">
        <w:rPr>
          <w:sz w:val="24"/>
          <w:szCs w:val="24"/>
        </w:rPr>
        <w:t xml:space="preserve">Wales’s </w:t>
      </w:r>
      <w:r>
        <w:rPr>
          <w:sz w:val="24"/>
          <w:szCs w:val="24"/>
        </w:rPr>
        <w:t xml:space="preserve">trade union </w:t>
      </w:r>
      <w:r w:rsidR="00F14D4F">
        <w:rPr>
          <w:sz w:val="24"/>
          <w:szCs w:val="24"/>
        </w:rPr>
        <w:t>movement</w:t>
      </w:r>
      <w:r>
        <w:rPr>
          <w:sz w:val="24"/>
          <w:szCs w:val="24"/>
        </w:rPr>
        <w:t xml:space="preserve"> in the years directly followed</w:t>
      </w:r>
      <w:r w:rsidR="00F14D4F">
        <w:rPr>
          <w:sz w:val="24"/>
          <w:szCs w:val="24"/>
        </w:rPr>
        <w:t xml:space="preserve"> </w:t>
      </w:r>
      <w:proofErr w:type="spellStart"/>
      <w:r w:rsidR="00F14D4F">
        <w:rPr>
          <w:sz w:val="24"/>
          <w:szCs w:val="24"/>
        </w:rPr>
        <w:t>Tonypandy</w:t>
      </w:r>
      <w:proofErr w:type="spellEnd"/>
      <w:r>
        <w:rPr>
          <w:sz w:val="24"/>
          <w:szCs w:val="24"/>
        </w:rPr>
        <w:t xml:space="preserve">, but it was not so at the time of events </w:t>
      </w:r>
      <w:r w:rsidR="00F14D4F">
        <w:rPr>
          <w:sz w:val="24"/>
          <w:szCs w:val="24"/>
        </w:rPr>
        <w:t>themselves</w:t>
      </w:r>
      <w:r w:rsidR="00F221A9">
        <w:rPr>
          <w:sz w:val="24"/>
          <w:szCs w:val="24"/>
        </w:rPr>
        <w:t xml:space="preserve">, and </w:t>
      </w:r>
      <w:r w:rsidR="00F221A9">
        <w:rPr>
          <w:i/>
          <w:sz w:val="24"/>
          <w:szCs w:val="24"/>
        </w:rPr>
        <w:t>Miners’ Next Step</w:t>
      </w:r>
      <w:r w:rsidR="00F221A9">
        <w:rPr>
          <w:sz w:val="24"/>
          <w:szCs w:val="24"/>
        </w:rPr>
        <w:t xml:space="preserve"> was not published until after the strike had ended</w:t>
      </w:r>
      <w:r w:rsidR="00F14D4F">
        <w:rPr>
          <w:sz w:val="24"/>
          <w:szCs w:val="24"/>
        </w:rPr>
        <w:t>. Further, David Smith has noted that the leaders of the striking miners were mostly not syndicalists.</w:t>
      </w:r>
      <w:r w:rsidR="00F14D4F">
        <w:rPr>
          <w:rStyle w:val="FootnoteReference"/>
          <w:sz w:val="24"/>
          <w:szCs w:val="24"/>
        </w:rPr>
        <w:footnoteReference w:id="32"/>
      </w:r>
      <w:r w:rsidR="00F14D4F">
        <w:rPr>
          <w:sz w:val="24"/>
          <w:szCs w:val="24"/>
        </w:rPr>
        <w:t xml:space="preserve">  Arthur Horner’s account notes that his own involvement in </w:t>
      </w:r>
      <w:proofErr w:type="spellStart"/>
      <w:r w:rsidR="00F14D4F">
        <w:rPr>
          <w:sz w:val="24"/>
          <w:szCs w:val="24"/>
        </w:rPr>
        <w:t>Tonypandy</w:t>
      </w:r>
      <w:proofErr w:type="spellEnd"/>
      <w:r w:rsidR="00F14D4F">
        <w:rPr>
          <w:sz w:val="24"/>
          <w:szCs w:val="24"/>
        </w:rPr>
        <w:t xml:space="preserve"> did not begin </w:t>
      </w:r>
      <w:r w:rsidR="00935C7F">
        <w:rPr>
          <w:sz w:val="24"/>
          <w:szCs w:val="24"/>
        </w:rPr>
        <w:t>until events had progressed to the riot, and he did not even set out for the area until he had heard word that the troops had been called in.</w:t>
      </w:r>
      <w:r w:rsidR="00935C7F">
        <w:rPr>
          <w:rStyle w:val="FootnoteReference"/>
          <w:sz w:val="24"/>
          <w:szCs w:val="24"/>
        </w:rPr>
        <w:footnoteReference w:id="33"/>
      </w:r>
      <w:r w:rsidR="00241CB3">
        <w:rPr>
          <w:sz w:val="24"/>
          <w:szCs w:val="24"/>
        </w:rPr>
        <w:t xml:space="preserve"> He then characterises the events of the riot as a ‘vicious alliance’ of the government and coal owners, supported by the police and the military.</w:t>
      </w:r>
      <w:r w:rsidR="00241CB3">
        <w:rPr>
          <w:rStyle w:val="FootnoteReference"/>
          <w:sz w:val="24"/>
          <w:szCs w:val="24"/>
        </w:rPr>
        <w:footnoteReference w:id="34"/>
      </w:r>
      <w:r w:rsidR="00241CB3">
        <w:rPr>
          <w:sz w:val="24"/>
          <w:szCs w:val="24"/>
        </w:rPr>
        <w:t xml:space="preserve"> However, this is a retrospective characterisation</w:t>
      </w:r>
      <w:r w:rsidR="004F5307">
        <w:rPr>
          <w:sz w:val="24"/>
          <w:szCs w:val="24"/>
        </w:rPr>
        <w:t>:</w:t>
      </w:r>
      <w:r w:rsidR="00F221A9">
        <w:rPr>
          <w:sz w:val="24"/>
          <w:szCs w:val="24"/>
        </w:rPr>
        <w:t xml:space="preserve"> </w:t>
      </w:r>
      <w:proofErr w:type="spellStart"/>
      <w:r w:rsidR="00F221A9">
        <w:rPr>
          <w:sz w:val="24"/>
          <w:szCs w:val="24"/>
        </w:rPr>
        <w:t>Tonypandy</w:t>
      </w:r>
      <w:proofErr w:type="spellEnd"/>
      <w:r w:rsidR="00F221A9">
        <w:rPr>
          <w:sz w:val="24"/>
          <w:szCs w:val="24"/>
        </w:rPr>
        <w:t xml:space="preserve"> became a useful symbol for radical thinkers in south Wales, particularly as they came to prominence from 1912 </w:t>
      </w:r>
      <w:r w:rsidR="004F5307">
        <w:rPr>
          <w:sz w:val="24"/>
          <w:szCs w:val="24"/>
        </w:rPr>
        <w:t>onwards, but it was not in itself syndicalist action.</w:t>
      </w:r>
    </w:p>
    <w:p w14:paraId="192DA0DC" w14:textId="7ADF2ECF" w:rsidR="004F5307" w:rsidRDefault="004F5307" w:rsidP="007E179C">
      <w:pPr>
        <w:spacing w:line="360" w:lineRule="auto"/>
        <w:jc w:val="both"/>
        <w:rPr>
          <w:sz w:val="24"/>
          <w:szCs w:val="24"/>
        </w:rPr>
      </w:pPr>
      <w:r>
        <w:rPr>
          <w:sz w:val="24"/>
          <w:szCs w:val="24"/>
        </w:rPr>
        <w:lastRenderedPageBreak/>
        <w:tab/>
      </w:r>
      <w:proofErr w:type="spellStart"/>
      <w:r w:rsidR="004F2066">
        <w:rPr>
          <w:sz w:val="24"/>
          <w:szCs w:val="24"/>
        </w:rPr>
        <w:t>Tonypandy’s</w:t>
      </w:r>
      <w:proofErr w:type="spellEnd"/>
      <w:r w:rsidR="004F2066">
        <w:rPr>
          <w:sz w:val="24"/>
          <w:szCs w:val="24"/>
        </w:rPr>
        <w:t xml:space="preserve"> presence in the public memory is the result of its easy adoption as a symbol for other conflicts and disputes</w:t>
      </w:r>
      <w:r w:rsidR="004F2066" w:rsidRPr="008C0874">
        <w:rPr>
          <w:rStyle w:val="Emphasis"/>
          <w:rFonts w:cstheme="minorHAnsi"/>
          <w:i w:val="0"/>
          <w:color w:val="2A2A2A"/>
          <w:sz w:val="24"/>
          <w:szCs w:val="24"/>
          <w:shd w:val="clear" w:color="auto" w:fill="FFFFFF"/>
        </w:rPr>
        <w:t>—</w:t>
      </w:r>
      <w:r w:rsidR="004F2066">
        <w:rPr>
          <w:rStyle w:val="Emphasis"/>
          <w:rFonts w:cstheme="minorHAnsi"/>
          <w:i w:val="0"/>
          <w:color w:val="2A2A2A"/>
          <w:sz w:val="24"/>
          <w:szCs w:val="24"/>
          <w:shd w:val="clear" w:color="auto" w:fill="FFFFFF"/>
        </w:rPr>
        <w:t xml:space="preserve">particularly those of unions. The positioning of </w:t>
      </w:r>
      <w:proofErr w:type="spellStart"/>
      <w:r w:rsidR="004F2066">
        <w:rPr>
          <w:rStyle w:val="Emphasis"/>
          <w:rFonts w:cstheme="minorHAnsi"/>
          <w:i w:val="0"/>
          <w:color w:val="2A2A2A"/>
          <w:sz w:val="24"/>
          <w:szCs w:val="24"/>
          <w:shd w:val="clear" w:color="auto" w:fill="FFFFFF"/>
        </w:rPr>
        <w:t>Tonypandy</w:t>
      </w:r>
      <w:proofErr w:type="spellEnd"/>
      <w:r w:rsidR="004F2066">
        <w:rPr>
          <w:rStyle w:val="Emphasis"/>
          <w:rFonts w:cstheme="minorHAnsi"/>
          <w:i w:val="0"/>
          <w:color w:val="2A2A2A"/>
          <w:sz w:val="24"/>
          <w:szCs w:val="24"/>
          <w:shd w:val="clear" w:color="auto" w:fill="FFFFFF"/>
        </w:rPr>
        <w:t xml:space="preserve"> at the root of syndicalism by </w:t>
      </w:r>
      <w:proofErr w:type="spellStart"/>
      <w:r w:rsidR="004F2066">
        <w:rPr>
          <w:rStyle w:val="Emphasis"/>
          <w:rFonts w:cstheme="minorHAnsi"/>
          <w:i w:val="0"/>
          <w:color w:val="2A2A2A"/>
          <w:sz w:val="24"/>
          <w:szCs w:val="24"/>
          <w:shd w:val="clear" w:color="auto" w:fill="FFFFFF"/>
        </w:rPr>
        <w:t>synidicalist</w:t>
      </w:r>
      <w:proofErr w:type="spellEnd"/>
      <w:r w:rsidR="004F2066">
        <w:rPr>
          <w:rStyle w:val="Emphasis"/>
          <w:rFonts w:cstheme="minorHAnsi"/>
          <w:i w:val="0"/>
          <w:color w:val="2A2A2A"/>
          <w:sz w:val="24"/>
          <w:szCs w:val="24"/>
          <w:shd w:val="clear" w:color="auto" w:fill="FFFFFF"/>
        </w:rPr>
        <w:t xml:space="preserve"> leaders, and the use of </w:t>
      </w:r>
      <w:proofErr w:type="spellStart"/>
      <w:r w:rsidR="004F2066">
        <w:rPr>
          <w:rStyle w:val="Emphasis"/>
          <w:rFonts w:cstheme="minorHAnsi"/>
          <w:i w:val="0"/>
          <w:color w:val="2A2A2A"/>
          <w:sz w:val="24"/>
          <w:szCs w:val="24"/>
          <w:shd w:val="clear" w:color="auto" w:fill="FFFFFF"/>
        </w:rPr>
        <w:t>Tonypandy</w:t>
      </w:r>
      <w:proofErr w:type="spellEnd"/>
      <w:r w:rsidR="004F2066">
        <w:rPr>
          <w:rStyle w:val="Emphasis"/>
          <w:rFonts w:cstheme="minorHAnsi"/>
          <w:i w:val="0"/>
          <w:color w:val="2A2A2A"/>
          <w:sz w:val="24"/>
          <w:szCs w:val="24"/>
          <w:shd w:val="clear" w:color="auto" w:fill="FFFFFF"/>
        </w:rPr>
        <w:t xml:space="preserve"> as a weapon against perceived anti-union sentiments have constructed a useful myth around the place. However, </w:t>
      </w:r>
      <w:proofErr w:type="spellStart"/>
      <w:r w:rsidR="004F2066">
        <w:rPr>
          <w:rStyle w:val="Emphasis"/>
          <w:rFonts w:cstheme="minorHAnsi"/>
          <w:i w:val="0"/>
          <w:color w:val="2A2A2A"/>
          <w:sz w:val="24"/>
          <w:szCs w:val="24"/>
          <w:shd w:val="clear" w:color="auto" w:fill="FFFFFF"/>
        </w:rPr>
        <w:t>Tonypandy</w:t>
      </w:r>
      <w:proofErr w:type="spellEnd"/>
      <w:r w:rsidR="004F2066">
        <w:rPr>
          <w:rStyle w:val="Emphasis"/>
          <w:rFonts w:cstheme="minorHAnsi"/>
          <w:i w:val="0"/>
          <w:color w:val="2A2A2A"/>
          <w:sz w:val="24"/>
          <w:szCs w:val="24"/>
          <w:shd w:val="clear" w:color="auto" w:fill="FFFFFF"/>
        </w:rPr>
        <w:t xml:space="preserve"> does also stand at the heart of the industrial situation in south Wales at the time, and the situation there was very much representative of the wider situation. By examining the facts of events, we can remove the murk of the fiction</w:t>
      </w:r>
      <w:r w:rsidR="007E179C">
        <w:rPr>
          <w:rStyle w:val="Emphasis"/>
          <w:rFonts w:cstheme="minorHAnsi"/>
          <w:i w:val="0"/>
          <w:color w:val="2A2A2A"/>
          <w:sz w:val="24"/>
          <w:szCs w:val="24"/>
          <w:shd w:val="clear" w:color="auto" w:fill="FFFFFF"/>
        </w:rPr>
        <w:t xml:space="preserve"> and continue to remember </w:t>
      </w:r>
      <w:proofErr w:type="spellStart"/>
      <w:r w:rsidR="007E179C">
        <w:rPr>
          <w:rStyle w:val="Emphasis"/>
          <w:rFonts w:cstheme="minorHAnsi"/>
          <w:i w:val="0"/>
          <w:color w:val="2A2A2A"/>
          <w:sz w:val="24"/>
          <w:szCs w:val="24"/>
          <w:shd w:val="clear" w:color="auto" w:fill="FFFFFF"/>
        </w:rPr>
        <w:t>Tonypandy</w:t>
      </w:r>
      <w:proofErr w:type="spellEnd"/>
      <w:r w:rsidR="007E179C">
        <w:rPr>
          <w:rStyle w:val="Emphasis"/>
          <w:rFonts w:cstheme="minorHAnsi"/>
          <w:i w:val="0"/>
          <w:color w:val="2A2A2A"/>
          <w:sz w:val="24"/>
          <w:szCs w:val="24"/>
          <w:shd w:val="clear" w:color="auto" w:fill="FFFFFF"/>
        </w:rPr>
        <w:t xml:space="preserve"> as we should.</w:t>
      </w:r>
    </w:p>
    <w:p w14:paraId="318B6469" w14:textId="194125DA" w:rsidR="00B47E4D" w:rsidRDefault="00B47E4D" w:rsidP="007E179C">
      <w:pPr>
        <w:spacing w:line="360" w:lineRule="auto"/>
        <w:jc w:val="both"/>
        <w:rPr>
          <w:sz w:val="24"/>
          <w:szCs w:val="24"/>
        </w:rPr>
      </w:pPr>
      <w:r>
        <w:rPr>
          <w:sz w:val="24"/>
          <w:szCs w:val="24"/>
        </w:rPr>
        <w:tab/>
      </w:r>
    </w:p>
    <w:p w14:paraId="5ADC797B" w14:textId="12A9AC39" w:rsidR="00890538" w:rsidRDefault="003C2B16" w:rsidP="007E179C">
      <w:pPr>
        <w:spacing w:line="360" w:lineRule="auto"/>
        <w:jc w:val="both"/>
        <w:rPr>
          <w:sz w:val="24"/>
          <w:szCs w:val="24"/>
        </w:rPr>
      </w:pPr>
      <w:r>
        <w:rPr>
          <w:sz w:val="24"/>
          <w:szCs w:val="24"/>
        </w:rPr>
        <w:tab/>
      </w:r>
    </w:p>
    <w:p w14:paraId="1240CB7F" w14:textId="77777777" w:rsidR="00890538" w:rsidRDefault="00890538" w:rsidP="007E179C">
      <w:pPr>
        <w:spacing w:line="360" w:lineRule="auto"/>
        <w:jc w:val="both"/>
        <w:rPr>
          <w:sz w:val="24"/>
          <w:szCs w:val="24"/>
        </w:rPr>
      </w:pPr>
      <w:r>
        <w:rPr>
          <w:sz w:val="24"/>
          <w:szCs w:val="24"/>
        </w:rPr>
        <w:br w:type="page"/>
      </w:r>
    </w:p>
    <w:p w14:paraId="68A81139" w14:textId="0EB79EBD" w:rsidR="00217CB7" w:rsidRDefault="00890538" w:rsidP="007E179C">
      <w:pPr>
        <w:spacing w:line="360" w:lineRule="auto"/>
        <w:jc w:val="center"/>
        <w:rPr>
          <w:b/>
          <w:sz w:val="28"/>
          <w:szCs w:val="28"/>
        </w:rPr>
      </w:pPr>
      <w:r>
        <w:rPr>
          <w:b/>
          <w:sz w:val="28"/>
          <w:szCs w:val="28"/>
        </w:rPr>
        <w:lastRenderedPageBreak/>
        <w:t>Bibliography</w:t>
      </w:r>
    </w:p>
    <w:p w14:paraId="35518098" w14:textId="1234414A" w:rsidR="00890538" w:rsidRDefault="00890538" w:rsidP="007E179C">
      <w:pPr>
        <w:spacing w:line="360" w:lineRule="auto"/>
        <w:jc w:val="both"/>
        <w:rPr>
          <w:sz w:val="24"/>
          <w:szCs w:val="24"/>
        </w:rPr>
      </w:pPr>
    </w:p>
    <w:p w14:paraId="79B95D3D" w14:textId="624E6F8B" w:rsidR="00890538" w:rsidRDefault="00890538" w:rsidP="007E179C">
      <w:pPr>
        <w:spacing w:line="360" w:lineRule="auto"/>
        <w:jc w:val="both"/>
        <w:rPr>
          <w:sz w:val="24"/>
          <w:szCs w:val="24"/>
        </w:rPr>
      </w:pPr>
      <w:r>
        <w:rPr>
          <w:b/>
          <w:sz w:val="24"/>
          <w:szCs w:val="24"/>
        </w:rPr>
        <w:t>Primary Sources</w:t>
      </w:r>
    </w:p>
    <w:p w14:paraId="07921786" w14:textId="7A7CE8BA" w:rsidR="00474442" w:rsidRDefault="00474442" w:rsidP="007E179C">
      <w:pPr>
        <w:spacing w:line="360" w:lineRule="auto"/>
        <w:ind w:left="426" w:hanging="426"/>
        <w:jc w:val="both"/>
      </w:pPr>
      <w:r>
        <w:t xml:space="preserve">Chance, Sir W., </w:t>
      </w:r>
      <w:r>
        <w:rPr>
          <w:i/>
        </w:rPr>
        <w:t>Industrial Unrest: The Report of the Commissioners (July 1917) Collated and Epitomised</w:t>
      </w:r>
      <w:r>
        <w:t xml:space="preserve"> (London: P. S. King and Son, Ltd., 1917)</w:t>
      </w:r>
    </w:p>
    <w:p w14:paraId="761A1F01" w14:textId="4AA3C38F" w:rsidR="00890538" w:rsidRDefault="00890538" w:rsidP="007E179C">
      <w:pPr>
        <w:spacing w:line="360" w:lineRule="auto"/>
        <w:ind w:left="426" w:hanging="426"/>
        <w:jc w:val="both"/>
      </w:pPr>
      <w:r>
        <w:t xml:space="preserve">Evans, D., </w:t>
      </w:r>
      <w:r>
        <w:rPr>
          <w:i/>
        </w:rPr>
        <w:t>Labour Strife in the South Wales Coalfield, 1910-1911</w:t>
      </w:r>
      <w:r>
        <w:t xml:space="preserve"> (Cardiff: Educational Publishing Co., 1911).</w:t>
      </w:r>
    </w:p>
    <w:p w14:paraId="6552AF56" w14:textId="45D484C8" w:rsidR="00890538" w:rsidRDefault="00890538" w:rsidP="007E179C">
      <w:pPr>
        <w:spacing w:line="360" w:lineRule="auto"/>
        <w:ind w:left="426" w:hanging="426"/>
        <w:jc w:val="both"/>
      </w:pPr>
      <w:r>
        <w:t xml:space="preserve">Macready, Sir </w:t>
      </w:r>
      <w:r w:rsidR="00D52EDE">
        <w:t>C</w:t>
      </w:r>
      <w:r>
        <w:t>.</w:t>
      </w:r>
      <w:r w:rsidR="00D52EDE">
        <w:t>, F., N.</w:t>
      </w:r>
      <w:r>
        <w:t xml:space="preserve">, </w:t>
      </w:r>
      <w:r>
        <w:rPr>
          <w:i/>
        </w:rPr>
        <w:t xml:space="preserve">Annals of an Active </w:t>
      </w:r>
      <w:r w:rsidRPr="00890538">
        <w:rPr>
          <w:i/>
        </w:rPr>
        <w:t>Life</w:t>
      </w:r>
      <w:r>
        <w:t xml:space="preserve"> (London: Hutchinson &amp; Company, 1924).</w:t>
      </w:r>
    </w:p>
    <w:p w14:paraId="04F6C0E1" w14:textId="1B0F2697" w:rsidR="00650765" w:rsidRDefault="00650765" w:rsidP="007E179C">
      <w:pPr>
        <w:spacing w:line="360" w:lineRule="auto"/>
        <w:ind w:left="426" w:hanging="426"/>
        <w:jc w:val="both"/>
        <w:rPr>
          <w:sz w:val="24"/>
          <w:szCs w:val="24"/>
        </w:rPr>
      </w:pPr>
      <w:r>
        <w:rPr>
          <w:i/>
          <w:sz w:val="24"/>
          <w:szCs w:val="24"/>
        </w:rPr>
        <w:t>Rhondda Leader</w:t>
      </w:r>
      <w:r>
        <w:rPr>
          <w:sz w:val="24"/>
          <w:szCs w:val="24"/>
        </w:rPr>
        <w:t>.</w:t>
      </w:r>
    </w:p>
    <w:p w14:paraId="2F483151" w14:textId="3DFA2AE8" w:rsidR="00775433" w:rsidRDefault="00775433" w:rsidP="007E179C">
      <w:pPr>
        <w:spacing w:line="360" w:lineRule="auto"/>
        <w:ind w:left="426" w:hanging="426"/>
        <w:jc w:val="both"/>
        <w:rPr>
          <w:i/>
          <w:sz w:val="24"/>
          <w:szCs w:val="24"/>
        </w:rPr>
      </w:pPr>
      <w:r>
        <w:rPr>
          <w:i/>
          <w:sz w:val="24"/>
          <w:szCs w:val="24"/>
        </w:rPr>
        <w:t>Western Mail.</w:t>
      </w:r>
    </w:p>
    <w:p w14:paraId="7B8E660C" w14:textId="77777777" w:rsidR="008B3A8A" w:rsidRDefault="008B3A8A" w:rsidP="007E179C">
      <w:pPr>
        <w:spacing w:line="360" w:lineRule="auto"/>
        <w:ind w:left="426" w:hanging="426"/>
        <w:jc w:val="both"/>
      </w:pPr>
      <w:r>
        <w:t xml:space="preserve">Telegram from Churchill to Lindsay, sent at 1.30pm on 8 November. </w:t>
      </w:r>
    </w:p>
    <w:p w14:paraId="414CE6B7" w14:textId="57301833" w:rsidR="008B3A8A" w:rsidRDefault="008B3A8A" w:rsidP="007E179C">
      <w:pPr>
        <w:spacing w:line="360" w:lineRule="auto"/>
        <w:ind w:left="426" w:hanging="426"/>
        <w:jc w:val="both"/>
      </w:pPr>
      <w:r>
        <w:t>Telegram from Churchill to Macready sent at 8.10pm on 8 November.</w:t>
      </w:r>
    </w:p>
    <w:p w14:paraId="6B1D4340" w14:textId="5CA9EF93" w:rsidR="00625887" w:rsidRDefault="00625887" w:rsidP="007E179C">
      <w:pPr>
        <w:spacing w:line="360" w:lineRule="auto"/>
        <w:ind w:left="426" w:hanging="426"/>
        <w:jc w:val="both"/>
      </w:pPr>
      <w:r>
        <w:t xml:space="preserve">Unofficial Reform Committee, </w:t>
      </w:r>
      <w:r>
        <w:rPr>
          <w:i/>
        </w:rPr>
        <w:t xml:space="preserve">The Miners’ Next Step </w:t>
      </w:r>
      <w:r>
        <w:t>(</w:t>
      </w:r>
      <w:proofErr w:type="spellStart"/>
      <w:r>
        <w:t>Tonypandy</w:t>
      </w:r>
      <w:proofErr w:type="spellEnd"/>
      <w:r>
        <w:t>: Robert Davies and Co., 1912).</w:t>
      </w:r>
    </w:p>
    <w:p w14:paraId="4B7A374B" w14:textId="2E4E09CD" w:rsidR="00AA31D4" w:rsidRPr="008B3A8A" w:rsidRDefault="00AA31D4" w:rsidP="007E179C">
      <w:pPr>
        <w:spacing w:line="360" w:lineRule="auto"/>
        <w:ind w:left="426" w:hanging="426"/>
        <w:jc w:val="both"/>
        <w:rPr>
          <w:sz w:val="24"/>
          <w:szCs w:val="24"/>
        </w:rPr>
      </w:pPr>
      <w:r>
        <w:t xml:space="preserve">U. S. Department of </w:t>
      </w:r>
      <w:proofErr w:type="spellStart"/>
      <w:r>
        <w:t>Labor</w:t>
      </w:r>
      <w:proofErr w:type="spellEnd"/>
      <w:r>
        <w:t xml:space="preserve">, </w:t>
      </w:r>
      <w:r>
        <w:rPr>
          <w:i/>
        </w:rPr>
        <w:t xml:space="preserve">Industrial Unrest in Great Britain </w:t>
      </w:r>
      <w:r>
        <w:t>(Washington: Government Printing Office, 1917).</w:t>
      </w:r>
    </w:p>
    <w:p w14:paraId="0551E441" w14:textId="31AE4251" w:rsidR="00890538" w:rsidRDefault="00890538" w:rsidP="007E179C">
      <w:pPr>
        <w:spacing w:line="360" w:lineRule="auto"/>
        <w:ind w:left="426" w:hanging="426"/>
        <w:jc w:val="both"/>
        <w:rPr>
          <w:sz w:val="24"/>
          <w:szCs w:val="24"/>
        </w:rPr>
      </w:pPr>
    </w:p>
    <w:p w14:paraId="0532F9D1" w14:textId="7A6581CD" w:rsidR="00890538" w:rsidRDefault="00890538" w:rsidP="007E179C">
      <w:pPr>
        <w:spacing w:line="360" w:lineRule="auto"/>
        <w:ind w:left="426" w:hanging="426"/>
        <w:jc w:val="both"/>
        <w:rPr>
          <w:sz w:val="24"/>
          <w:szCs w:val="24"/>
        </w:rPr>
      </w:pPr>
      <w:r>
        <w:rPr>
          <w:b/>
          <w:sz w:val="24"/>
          <w:szCs w:val="24"/>
        </w:rPr>
        <w:t>Secondary Sources</w:t>
      </w:r>
      <w:bookmarkStart w:id="0" w:name="_GoBack"/>
      <w:bookmarkEnd w:id="0"/>
    </w:p>
    <w:p w14:paraId="1A293290" w14:textId="496730C6" w:rsidR="0096536F" w:rsidRDefault="0096536F" w:rsidP="007E179C">
      <w:pPr>
        <w:spacing w:line="360" w:lineRule="auto"/>
        <w:ind w:left="426" w:hanging="426"/>
        <w:jc w:val="both"/>
      </w:pPr>
      <w:r>
        <w:t>Davies</w:t>
      </w:r>
      <w:r>
        <w:t>, J.</w:t>
      </w:r>
      <w:r>
        <w:t xml:space="preserve">, </w:t>
      </w:r>
      <w:r>
        <w:rPr>
          <w:i/>
        </w:rPr>
        <w:t xml:space="preserve">A History of Wales </w:t>
      </w:r>
      <w:r>
        <w:t>(reprint) (London: Penguin, 1994)</w:t>
      </w:r>
      <w:r>
        <w:t>.</w:t>
      </w:r>
    </w:p>
    <w:p w14:paraId="16C6F22D" w14:textId="7AA9B541" w:rsidR="0096536F" w:rsidRDefault="0096536F" w:rsidP="007E179C">
      <w:pPr>
        <w:spacing w:line="360" w:lineRule="auto"/>
        <w:ind w:left="426" w:hanging="426"/>
        <w:jc w:val="both"/>
      </w:pPr>
      <w:r>
        <w:t>Morgan,</w:t>
      </w:r>
      <w:r>
        <w:t xml:space="preserve"> K.,</w:t>
      </w:r>
      <w:r>
        <w:t xml:space="preserve"> </w:t>
      </w:r>
      <w:r>
        <w:rPr>
          <w:i/>
        </w:rPr>
        <w:t xml:space="preserve">Rebirth of a Nation </w:t>
      </w:r>
      <w:r>
        <w:t>(Oxford: Oxford University Press, 1987)</w:t>
      </w:r>
      <w:r>
        <w:t>.</w:t>
      </w:r>
    </w:p>
    <w:p w14:paraId="2331936E" w14:textId="3BBB43EA" w:rsidR="00890538" w:rsidRPr="00890538" w:rsidRDefault="00650765" w:rsidP="007E179C">
      <w:pPr>
        <w:spacing w:line="360" w:lineRule="auto"/>
        <w:ind w:left="426" w:hanging="426"/>
        <w:jc w:val="both"/>
        <w:rPr>
          <w:sz w:val="24"/>
          <w:szCs w:val="24"/>
        </w:rPr>
      </w:pPr>
      <w:r>
        <w:t>Smith, D., ‘</w:t>
      </w:r>
      <w:proofErr w:type="spellStart"/>
      <w:r>
        <w:t>Tonypandy</w:t>
      </w:r>
      <w:proofErr w:type="spellEnd"/>
      <w:r>
        <w:t xml:space="preserve"> 1910: Definitions of Community’, </w:t>
      </w:r>
      <w:r>
        <w:rPr>
          <w:i/>
        </w:rPr>
        <w:t xml:space="preserve">Past &amp; </w:t>
      </w:r>
      <w:r w:rsidRPr="00650765">
        <w:rPr>
          <w:i/>
        </w:rPr>
        <w:t>Present</w:t>
      </w:r>
      <w:r>
        <w:rPr>
          <w:i/>
        </w:rPr>
        <w:t xml:space="preserve">, </w:t>
      </w:r>
      <w:r w:rsidRPr="00650765">
        <w:t>no</w:t>
      </w:r>
      <w:r>
        <w:rPr>
          <w:i/>
        </w:rPr>
        <w:t xml:space="preserve">. </w:t>
      </w:r>
      <w:r>
        <w:t>87 (1980), 158-84.</w:t>
      </w:r>
    </w:p>
    <w:sectPr w:rsidR="00890538" w:rsidRPr="008905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90F60" w14:textId="77777777" w:rsidR="002A2083" w:rsidRDefault="002A2083" w:rsidP="006442F6">
      <w:pPr>
        <w:spacing w:after="0" w:line="240" w:lineRule="auto"/>
      </w:pPr>
      <w:r>
        <w:separator/>
      </w:r>
    </w:p>
  </w:endnote>
  <w:endnote w:type="continuationSeparator" w:id="0">
    <w:p w14:paraId="1C42A393" w14:textId="77777777" w:rsidR="002A2083" w:rsidRDefault="002A2083" w:rsidP="00644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97F19" w14:textId="77777777" w:rsidR="002A2083" w:rsidRDefault="002A2083" w:rsidP="006442F6">
      <w:pPr>
        <w:spacing w:after="0" w:line="240" w:lineRule="auto"/>
      </w:pPr>
      <w:r>
        <w:separator/>
      </w:r>
    </w:p>
  </w:footnote>
  <w:footnote w:type="continuationSeparator" w:id="0">
    <w:p w14:paraId="422B5A95" w14:textId="77777777" w:rsidR="002A2083" w:rsidRDefault="002A2083" w:rsidP="006442F6">
      <w:pPr>
        <w:spacing w:after="0" w:line="240" w:lineRule="auto"/>
      </w:pPr>
      <w:r>
        <w:continuationSeparator/>
      </w:r>
    </w:p>
  </w:footnote>
  <w:footnote w:id="1">
    <w:p w14:paraId="5F24AAE6" w14:textId="7FF3FBF2" w:rsidR="007F6CD7" w:rsidRDefault="007F6CD7" w:rsidP="00E81E1E">
      <w:pPr>
        <w:pStyle w:val="FootnoteText"/>
        <w:ind w:left="142" w:hanging="142"/>
      </w:pPr>
      <w:r>
        <w:rPr>
          <w:rStyle w:val="FootnoteReference"/>
        </w:rPr>
        <w:footnoteRef/>
      </w:r>
      <w:r>
        <w:t xml:space="preserve"> D. Evans, </w:t>
      </w:r>
      <w:r>
        <w:rPr>
          <w:i/>
        </w:rPr>
        <w:t>Labour Strife in the South Wales Coalfield, 1910-1911</w:t>
      </w:r>
      <w:r>
        <w:t xml:space="preserve"> (Cardiff: Educational Publishing Co., 1911), 46.</w:t>
      </w:r>
    </w:p>
  </w:footnote>
  <w:footnote w:id="2">
    <w:p w14:paraId="1CBD2262" w14:textId="4CE78EBD" w:rsidR="007F6CD7" w:rsidRDefault="007F6CD7" w:rsidP="00E81E1E">
      <w:pPr>
        <w:pStyle w:val="FootnoteText"/>
        <w:ind w:left="142" w:hanging="142"/>
      </w:pPr>
      <w:r>
        <w:rPr>
          <w:rStyle w:val="FootnoteReference"/>
        </w:rPr>
        <w:footnoteRef/>
      </w:r>
      <w:r>
        <w:t xml:space="preserve"> Sir C. Macready, </w:t>
      </w:r>
      <w:r>
        <w:rPr>
          <w:i/>
        </w:rPr>
        <w:t xml:space="preserve">Annals of an Active </w:t>
      </w:r>
      <w:r w:rsidRPr="00890538">
        <w:rPr>
          <w:i/>
        </w:rPr>
        <w:t>Life</w:t>
      </w:r>
      <w:r>
        <w:t xml:space="preserve"> (London: Hutchinson &amp; Company, 1924), 144-5.</w:t>
      </w:r>
    </w:p>
  </w:footnote>
  <w:footnote w:id="3">
    <w:p w14:paraId="1EDCC180" w14:textId="18ADD3B8" w:rsidR="007F6CD7" w:rsidRPr="00345D9C" w:rsidRDefault="007F6CD7" w:rsidP="00E81E1E">
      <w:pPr>
        <w:pStyle w:val="FootnoteText"/>
        <w:ind w:left="142" w:hanging="142"/>
      </w:pPr>
      <w:r>
        <w:rPr>
          <w:rStyle w:val="FootnoteReference"/>
        </w:rPr>
        <w:footnoteRef/>
      </w:r>
      <w:r>
        <w:t xml:space="preserve"> Evans, </w:t>
      </w:r>
      <w:r>
        <w:rPr>
          <w:i/>
        </w:rPr>
        <w:t>Labour</w:t>
      </w:r>
      <w:r>
        <w:t>, 48.</w:t>
      </w:r>
    </w:p>
  </w:footnote>
  <w:footnote w:id="4">
    <w:p w14:paraId="15F8124F" w14:textId="4F17FCB2" w:rsidR="007F6CD7" w:rsidRPr="00345D9C" w:rsidRDefault="007F6CD7" w:rsidP="00E81E1E">
      <w:pPr>
        <w:pStyle w:val="FootnoteText"/>
        <w:ind w:left="142" w:hanging="142"/>
      </w:pPr>
      <w:r>
        <w:rPr>
          <w:rStyle w:val="FootnoteReference"/>
        </w:rPr>
        <w:footnoteRef/>
      </w:r>
      <w:r>
        <w:t xml:space="preserve"> A. Horner, </w:t>
      </w:r>
      <w:r>
        <w:rPr>
          <w:i/>
        </w:rPr>
        <w:t xml:space="preserve">Incorrigible Rebel </w:t>
      </w:r>
      <w:r>
        <w:t xml:space="preserve">(London: </w:t>
      </w:r>
      <w:proofErr w:type="spellStart"/>
      <w:r>
        <w:t>McGibbon</w:t>
      </w:r>
      <w:proofErr w:type="spellEnd"/>
      <w:r>
        <w:t xml:space="preserve"> &amp; </w:t>
      </w:r>
      <w:proofErr w:type="spellStart"/>
      <w:r>
        <w:t>Kee</w:t>
      </w:r>
      <w:proofErr w:type="spellEnd"/>
      <w:r>
        <w:t>, 1960),</w:t>
      </w:r>
      <w:r w:rsidR="00E47E51">
        <w:t xml:space="preserve"> </w:t>
      </w:r>
      <w:r>
        <w:t>15-6.</w:t>
      </w:r>
    </w:p>
  </w:footnote>
  <w:footnote w:id="5">
    <w:p w14:paraId="6E4708F4" w14:textId="5C0BA562" w:rsidR="007F6CD7" w:rsidRPr="00930017" w:rsidRDefault="007F6CD7" w:rsidP="00E81E1E">
      <w:pPr>
        <w:pStyle w:val="FootnoteText"/>
        <w:ind w:left="142" w:hanging="142"/>
      </w:pPr>
      <w:r>
        <w:rPr>
          <w:rStyle w:val="FootnoteReference"/>
        </w:rPr>
        <w:footnoteRef/>
      </w:r>
      <w:r>
        <w:t xml:space="preserve"> ‘After the Strike’, </w:t>
      </w:r>
      <w:r>
        <w:rPr>
          <w:i/>
        </w:rPr>
        <w:t>Rhondda Leader</w:t>
      </w:r>
      <w:r>
        <w:t>, 9 September 1911, 4.</w:t>
      </w:r>
    </w:p>
  </w:footnote>
  <w:footnote w:id="6">
    <w:p w14:paraId="7AF0D31C" w14:textId="41D567B4" w:rsidR="008C0693" w:rsidRDefault="008C0693" w:rsidP="00E81E1E">
      <w:pPr>
        <w:pStyle w:val="FootnoteText"/>
        <w:ind w:left="142" w:hanging="142"/>
      </w:pPr>
      <w:r>
        <w:rPr>
          <w:rStyle w:val="FootnoteReference"/>
        </w:rPr>
        <w:footnoteRef/>
      </w:r>
      <w:r>
        <w:t xml:space="preserve"> </w:t>
      </w:r>
      <w:r>
        <w:t>D. Smith, ‘</w:t>
      </w:r>
      <w:proofErr w:type="spellStart"/>
      <w:r>
        <w:t>Tonypandy</w:t>
      </w:r>
      <w:proofErr w:type="spellEnd"/>
      <w:r>
        <w:t xml:space="preserve"> 1910: Definitions of Community’, </w:t>
      </w:r>
      <w:r>
        <w:rPr>
          <w:i/>
        </w:rPr>
        <w:t xml:space="preserve">Past &amp; </w:t>
      </w:r>
      <w:r w:rsidRPr="00650765">
        <w:rPr>
          <w:i/>
        </w:rPr>
        <w:t>Present</w:t>
      </w:r>
      <w:r>
        <w:rPr>
          <w:i/>
        </w:rPr>
        <w:t xml:space="preserve">, </w:t>
      </w:r>
      <w:r w:rsidRPr="00650765">
        <w:t>no</w:t>
      </w:r>
      <w:r>
        <w:rPr>
          <w:i/>
        </w:rPr>
        <w:t xml:space="preserve">. </w:t>
      </w:r>
      <w:r>
        <w:t>87 (1980),</w:t>
      </w:r>
      <w:r>
        <w:t xml:space="preserve"> 158-84.</w:t>
      </w:r>
    </w:p>
  </w:footnote>
  <w:footnote w:id="7">
    <w:p w14:paraId="0C0F64BB" w14:textId="47479F46" w:rsidR="007F6CD7" w:rsidRDefault="007F6CD7" w:rsidP="00E81E1E">
      <w:pPr>
        <w:pStyle w:val="FootnoteText"/>
        <w:ind w:left="142" w:hanging="142"/>
      </w:pPr>
      <w:r>
        <w:rPr>
          <w:rStyle w:val="FootnoteReference"/>
        </w:rPr>
        <w:footnoteRef/>
      </w:r>
      <w:r>
        <w:t xml:space="preserve"> </w:t>
      </w:r>
      <w:r w:rsidR="008C0693">
        <w:rPr>
          <w:i/>
        </w:rPr>
        <w:t>Ibid</w:t>
      </w:r>
      <w:r w:rsidR="008C0693">
        <w:t xml:space="preserve">, </w:t>
      </w:r>
      <w:r w:rsidRPr="00650765">
        <w:t>166-7</w:t>
      </w:r>
      <w:r>
        <w:t>.</w:t>
      </w:r>
    </w:p>
  </w:footnote>
  <w:footnote w:id="8">
    <w:p w14:paraId="21E0B129" w14:textId="77777777" w:rsidR="008C0693" w:rsidRDefault="008C0693" w:rsidP="00E81E1E">
      <w:pPr>
        <w:pStyle w:val="FootnoteText"/>
        <w:ind w:left="142" w:hanging="142"/>
      </w:pPr>
      <w:r>
        <w:rPr>
          <w:rStyle w:val="FootnoteReference"/>
        </w:rPr>
        <w:footnoteRef/>
      </w:r>
      <w:r>
        <w:t xml:space="preserve"> </w:t>
      </w:r>
      <w:r w:rsidRPr="00775433">
        <w:rPr>
          <w:i/>
        </w:rPr>
        <w:t>Ibid</w:t>
      </w:r>
      <w:r>
        <w:t>, 178.</w:t>
      </w:r>
    </w:p>
  </w:footnote>
  <w:footnote w:id="9">
    <w:p w14:paraId="0D9EA9CC" w14:textId="77777777" w:rsidR="008C0693" w:rsidRDefault="008C0693" w:rsidP="00E81E1E">
      <w:pPr>
        <w:pStyle w:val="FootnoteText"/>
        <w:ind w:left="142" w:hanging="142"/>
      </w:pPr>
      <w:r>
        <w:rPr>
          <w:rStyle w:val="FootnoteReference"/>
        </w:rPr>
        <w:footnoteRef/>
      </w:r>
      <w:r>
        <w:t xml:space="preserve"> </w:t>
      </w:r>
      <w:r w:rsidRPr="00775433">
        <w:rPr>
          <w:i/>
        </w:rPr>
        <w:t>Ibid</w:t>
      </w:r>
      <w:r>
        <w:t>, 172.</w:t>
      </w:r>
    </w:p>
  </w:footnote>
  <w:footnote w:id="10">
    <w:p w14:paraId="41822353" w14:textId="50F3263F" w:rsidR="007F6CD7" w:rsidRDefault="007F6CD7" w:rsidP="00E81E1E">
      <w:pPr>
        <w:pStyle w:val="FootnoteText"/>
        <w:ind w:left="142" w:hanging="142"/>
      </w:pPr>
      <w:r>
        <w:rPr>
          <w:rStyle w:val="FootnoteReference"/>
        </w:rPr>
        <w:footnoteRef/>
      </w:r>
      <w:r>
        <w:t xml:space="preserve"> W. Churchill, ‘Speech in Cardiff’ (1950), in </w:t>
      </w:r>
      <w:r>
        <w:rPr>
          <w:i/>
        </w:rPr>
        <w:t>Western Mail</w:t>
      </w:r>
      <w:r>
        <w:t>, 9 February 1950.</w:t>
      </w:r>
    </w:p>
  </w:footnote>
  <w:footnote w:id="11">
    <w:p w14:paraId="3891FD65" w14:textId="77777777" w:rsidR="007F6CD7" w:rsidRDefault="007F6CD7" w:rsidP="00E81E1E">
      <w:pPr>
        <w:pStyle w:val="FootnoteText"/>
        <w:ind w:left="142" w:hanging="142"/>
      </w:pPr>
      <w:r>
        <w:rPr>
          <w:rStyle w:val="FootnoteReference"/>
        </w:rPr>
        <w:footnoteRef/>
      </w:r>
      <w:r>
        <w:t xml:space="preserve"> </w:t>
      </w:r>
      <w:r w:rsidRPr="00775433">
        <w:rPr>
          <w:i/>
        </w:rPr>
        <w:t>Ibid.</w:t>
      </w:r>
    </w:p>
  </w:footnote>
  <w:footnote w:id="12">
    <w:p w14:paraId="53B2E827" w14:textId="17EEACAB" w:rsidR="007F6CD7" w:rsidRDefault="007F6CD7" w:rsidP="00E81E1E">
      <w:pPr>
        <w:pStyle w:val="FootnoteText"/>
        <w:ind w:left="142" w:hanging="142"/>
      </w:pPr>
      <w:r>
        <w:rPr>
          <w:rStyle w:val="FootnoteReference"/>
        </w:rPr>
        <w:footnoteRef/>
      </w:r>
      <w:r>
        <w:t xml:space="preserve"> Telegram from Churchill to Lindsay, sent at 1.30pm on 8 November. Telegram from Churchill to Macready sent at 8.10pm on 8 November.</w:t>
      </w:r>
    </w:p>
  </w:footnote>
  <w:footnote w:id="13">
    <w:p w14:paraId="1180FF8E" w14:textId="1596DF2A" w:rsidR="007F6CD7" w:rsidRDefault="007F6CD7" w:rsidP="00E81E1E">
      <w:pPr>
        <w:pStyle w:val="FootnoteText"/>
        <w:ind w:left="142" w:hanging="142"/>
      </w:pPr>
      <w:r>
        <w:rPr>
          <w:rStyle w:val="FootnoteReference"/>
        </w:rPr>
        <w:footnoteRef/>
      </w:r>
      <w:r>
        <w:t xml:space="preserve"> Smith</w:t>
      </w:r>
      <w:r w:rsidR="0096536F">
        <w:t>, ‘</w:t>
      </w:r>
      <w:proofErr w:type="spellStart"/>
      <w:r w:rsidR="0096536F">
        <w:t>Tonypandy</w:t>
      </w:r>
      <w:proofErr w:type="spellEnd"/>
      <w:r w:rsidR="0096536F">
        <w:t>’</w:t>
      </w:r>
      <w:r>
        <w:t xml:space="preserve">, 159-60. J. Davies, </w:t>
      </w:r>
      <w:r w:rsidR="0096536F">
        <w:rPr>
          <w:i/>
        </w:rPr>
        <w:t xml:space="preserve">A History of Wales </w:t>
      </w:r>
      <w:r w:rsidR="0096536F">
        <w:t>(reprint) (London: Penguin, 1994),</w:t>
      </w:r>
      <w:r>
        <w:t>492. K. Morgan,</w:t>
      </w:r>
      <w:r w:rsidR="0096536F">
        <w:t xml:space="preserve"> </w:t>
      </w:r>
      <w:r w:rsidR="0096536F">
        <w:rPr>
          <w:i/>
        </w:rPr>
        <w:t xml:space="preserve">Rebirth of a Nation </w:t>
      </w:r>
      <w:r w:rsidR="0096536F">
        <w:t>(Oxford: Oxford University Press, 1987),</w:t>
      </w:r>
      <w:r>
        <w:t xml:space="preserve"> 147</w:t>
      </w:r>
      <w:r w:rsidR="0096536F">
        <w:t>.</w:t>
      </w:r>
    </w:p>
  </w:footnote>
  <w:footnote w:id="14">
    <w:p w14:paraId="6ECDBB33" w14:textId="72C2978D" w:rsidR="00CD4A28" w:rsidRDefault="00CD4A28" w:rsidP="00E81E1E">
      <w:pPr>
        <w:pStyle w:val="FootnoteText"/>
        <w:ind w:left="142" w:hanging="142"/>
      </w:pPr>
      <w:r>
        <w:rPr>
          <w:rStyle w:val="FootnoteReference"/>
        </w:rPr>
        <w:footnoteRef/>
      </w:r>
      <w:r>
        <w:t xml:space="preserve"> Smith, ‘</w:t>
      </w:r>
      <w:proofErr w:type="spellStart"/>
      <w:r>
        <w:t>Tonypandy</w:t>
      </w:r>
      <w:proofErr w:type="spellEnd"/>
      <w:r>
        <w:t>’. 158-9.</w:t>
      </w:r>
    </w:p>
  </w:footnote>
  <w:footnote w:id="15">
    <w:p w14:paraId="1184BC99" w14:textId="57DD23AB" w:rsidR="007F6CD7" w:rsidRDefault="007F6CD7" w:rsidP="00E81E1E">
      <w:pPr>
        <w:pStyle w:val="FootnoteText"/>
        <w:ind w:left="142" w:hanging="142"/>
      </w:pPr>
      <w:r>
        <w:rPr>
          <w:rStyle w:val="FootnoteReference"/>
        </w:rPr>
        <w:footnoteRef/>
      </w:r>
      <w:r>
        <w:t xml:space="preserve"> Sir W. Chance, </w:t>
      </w:r>
      <w:r>
        <w:rPr>
          <w:i/>
        </w:rPr>
        <w:t>Industrial Unrest: The Report of the Commissioners (July 1917) Collated and Epitomised</w:t>
      </w:r>
      <w:r>
        <w:t xml:space="preserve"> (London: P. S. King and Son, Ltd., 1917), 7-8.</w:t>
      </w:r>
    </w:p>
  </w:footnote>
  <w:footnote w:id="16">
    <w:p w14:paraId="0082CC8E" w14:textId="0FAC9601" w:rsidR="007F6CD7" w:rsidRDefault="007F6CD7" w:rsidP="00E81E1E">
      <w:pPr>
        <w:pStyle w:val="FootnoteText"/>
        <w:ind w:left="142" w:hanging="142"/>
      </w:pPr>
      <w:r>
        <w:rPr>
          <w:rStyle w:val="FootnoteReference"/>
        </w:rPr>
        <w:footnoteRef/>
      </w:r>
      <w:r>
        <w:t xml:space="preserve"> </w:t>
      </w:r>
      <w:r w:rsidRPr="00AA31D4">
        <w:rPr>
          <w:i/>
        </w:rPr>
        <w:t>Ibid</w:t>
      </w:r>
      <w:r>
        <w:t>, 10-11.</w:t>
      </w:r>
    </w:p>
  </w:footnote>
  <w:footnote w:id="17">
    <w:p w14:paraId="5F588200" w14:textId="15054F66" w:rsidR="007F6CD7" w:rsidRPr="00AA31D4" w:rsidRDefault="007F6CD7" w:rsidP="00E81E1E">
      <w:pPr>
        <w:pStyle w:val="FootnoteText"/>
        <w:ind w:left="142" w:hanging="142"/>
      </w:pPr>
      <w:r>
        <w:rPr>
          <w:rStyle w:val="FootnoteReference"/>
        </w:rPr>
        <w:footnoteRef/>
      </w:r>
      <w:r>
        <w:t xml:space="preserve"> U. S. Department of </w:t>
      </w:r>
      <w:proofErr w:type="spellStart"/>
      <w:r>
        <w:t>Labor</w:t>
      </w:r>
      <w:proofErr w:type="spellEnd"/>
      <w:r>
        <w:t xml:space="preserve">, </w:t>
      </w:r>
      <w:r>
        <w:rPr>
          <w:i/>
        </w:rPr>
        <w:t xml:space="preserve">Industrial Unrest in Great Britain </w:t>
      </w:r>
      <w:r>
        <w:t>(Washington: Government Printing Office, 1917), 129. This is a reprint of the</w:t>
      </w:r>
      <w:r w:rsidR="0096536F">
        <w:t xml:space="preserve"> </w:t>
      </w:r>
      <w:r>
        <w:rPr>
          <w:i/>
        </w:rPr>
        <w:t xml:space="preserve">Report of the Commission of Inquiry into Industrial Unrest </w:t>
      </w:r>
      <w:r>
        <w:t xml:space="preserve">by the U. S. Department of </w:t>
      </w:r>
      <w:proofErr w:type="spellStart"/>
      <w:r>
        <w:t>Labor</w:t>
      </w:r>
      <w:proofErr w:type="spellEnd"/>
      <w:r>
        <w:t>.</w:t>
      </w:r>
    </w:p>
  </w:footnote>
  <w:footnote w:id="18">
    <w:p w14:paraId="7A4ADBE8" w14:textId="192A0E98" w:rsidR="007F6CD7" w:rsidRDefault="007F6CD7" w:rsidP="00E81E1E">
      <w:pPr>
        <w:pStyle w:val="FootnoteText"/>
        <w:ind w:left="142" w:hanging="142"/>
      </w:pPr>
      <w:r>
        <w:rPr>
          <w:rStyle w:val="FootnoteReference"/>
        </w:rPr>
        <w:footnoteRef/>
      </w:r>
      <w:r>
        <w:t xml:space="preserve"> </w:t>
      </w:r>
      <w:r w:rsidRPr="007F6CD7">
        <w:rPr>
          <w:i/>
        </w:rPr>
        <w:t>Ibid</w:t>
      </w:r>
      <w:r>
        <w:t>.</w:t>
      </w:r>
    </w:p>
  </w:footnote>
  <w:footnote w:id="19">
    <w:p w14:paraId="2845506C" w14:textId="47412CF9" w:rsidR="007F6CD7" w:rsidRDefault="007F6CD7" w:rsidP="00E81E1E">
      <w:pPr>
        <w:pStyle w:val="FootnoteText"/>
        <w:ind w:left="142" w:hanging="142"/>
      </w:pPr>
      <w:r>
        <w:rPr>
          <w:rStyle w:val="FootnoteReference"/>
        </w:rPr>
        <w:footnoteRef/>
      </w:r>
      <w:r>
        <w:t xml:space="preserve"> </w:t>
      </w:r>
      <w:r w:rsidRPr="007F6CD7">
        <w:rPr>
          <w:i/>
        </w:rPr>
        <w:t>Ibid</w:t>
      </w:r>
      <w:r>
        <w:t>.</w:t>
      </w:r>
    </w:p>
  </w:footnote>
  <w:footnote w:id="20">
    <w:p w14:paraId="3348B9AA" w14:textId="3B49AD78" w:rsidR="007F6CD7" w:rsidRPr="007F6CD7" w:rsidRDefault="007F6CD7" w:rsidP="00E81E1E">
      <w:pPr>
        <w:pStyle w:val="FootnoteText"/>
        <w:ind w:left="142" w:hanging="142"/>
      </w:pPr>
      <w:r>
        <w:rPr>
          <w:rStyle w:val="FootnoteReference"/>
        </w:rPr>
        <w:footnoteRef/>
      </w:r>
      <w:r>
        <w:t xml:space="preserve"> Horner, </w:t>
      </w:r>
      <w:r>
        <w:rPr>
          <w:i/>
        </w:rPr>
        <w:t>Incorrigible</w:t>
      </w:r>
      <w:r>
        <w:t>, 15-6.</w:t>
      </w:r>
    </w:p>
  </w:footnote>
  <w:footnote w:id="21">
    <w:p w14:paraId="592E05C9" w14:textId="6647CAA9" w:rsidR="007F6CD7" w:rsidRDefault="007F6CD7" w:rsidP="00E81E1E">
      <w:pPr>
        <w:pStyle w:val="FootnoteText"/>
        <w:ind w:left="142" w:hanging="142"/>
      </w:pPr>
      <w:r>
        <w:rPr>
          <w:rStyle w:val="FootnoteReference"/>
        </w:rPr>
        <w:footnoteRef/>
      </w:r>
      <w:r>
        <w:t xml:space="preserve"> </w:t>
      </w:r>
      <w:r w:rsidRPr="007F6CD7">
        <w:rPr>
          <w:i/>
        </w:rPr>
        <w:t>Ibid.</w:t>
      </w:r>
    </w:p>
  </w:footnote>
  <w:footnote w:id="22">
    <w:p w14:paraId="46574CA8" w14:textId="7CF42CD9" w:rsidR="007F6CD7" w:rsidRDefault="007F6CD7" w:rsidP="00E81E1E">
      <w:pPr>
        <w:pStyle w:val="FootnoteText"/>
        <w:ind w:left="142" w:hanging="142"/>
      </w:pPr>
      <w:r>
        <w:rPr>
          <w:rStyle w:val="FootnoteReference"/>
        </w:rPr>
        <w:footnoteRef/>
      </w:r>
      <w:r>
        <w:t xml:space="preserve"> </w:t>
      </w:r>
      <w:proofErr w:type="spellStart"/>
      <w:r>
        <w:t>Labor</w:t>
      </w:r>
      <w:proofErr w:type="spellEnd"/>
      <w:r>
        <w:t xml:space="preserve">, </w:t>
      </w:r>
      <w:r>
        <w:rPr>
          <w:i/>
        </w:rPr>
        <w:t>Industrial</w:t>
      </w:r>
      <w:r>
        <w:t>, 129-30.</w:t>
      </w:r>
    </w:p>
  </w:footnote>
  <w:footnote w:id="23">
    <w:p w14:paraId="0686A57D" w14:textId="2EF9650D" w:rsidR="007F6CD7" w:rsidRDefault="007F6CD7" w:rsidP="00E81E1E">
      <w:pPr>
        <w:pStyle w:val="FootnoteText"/>
        <w:ind w:left="142" w:hanging="142"/>
      </w:pPr>
      <w:r>
        <w:rPr>
          <w:rStyle w:val="FootnoteReference"/>
        </w:rPr>
        <w:footnoteRef/>
      </w:r>
      <w:r>
        <w:t xml:space="preserve"> </w:t>
      </w:r>
      <w:r w:rsidRPr="007F6CD7">
        <w:rPr>
          <w:i/>
        </w:rPr>
        <w:t>Ibid.</w:t>
      </w:r>
    </w:p>
  </w:footnote>
  <w:footnote w:id="24">
    <w:p w14:paraId="416D58C0" w14:textId="4A916F86" w:rsidR="007F6CD7" w:rsidRDefault="007F6CD7" w:rsidP="00E81E1E">
      <w:pPr>
        <w:pStyle w:val="FootnoteText"/>
        <w:ind w:left="142" w:hanging="142"/>
      </w:pPr>
      <w:r>
        <w:rPr>
          <w:rStyle w:val="FootnoteReference"/>
        </w:rPr>
        <w:footnoteRef/>
      </w:r>
      <w:r>
        <w:t xml:space="preserve"> </w:t>
      </w:r>
      <w:r w:rsidRPr="007F6CD7">
        <w:rPr>
          <w:i/>
        </w:rPr>
        <w:t>Ibid.</w:t>
      </w:r>
    </w:p>
  </w:footnote>
  <w:footnote w:id="25">
    <w:p w14:paraId="43F2FEAB" w14:textId="76CA9341" w:rsidR="007F6CD7" w:rsidRDefault="007F6CD7" w:rsidP="00E81E1E">
      <w:pPr>
        <w:pStyle w:val="FootnoteText"/>
        <w:ind w:left="142" w:hanging="142"/>
      </w:pPr>
      <w:r>
        <w:rPr>
          <w:rStyle w:val="FootnoteReference"/>
        </w:rPr>
        <w:footnoteRef/>
      </w:r>
      <w:r>
        <w:t xml:space="preserve"> </w:t>
      </w:r>
      <w:r w:rsidRPr="007F6CD7">
        <w:rPr>
          <w:i/>
        </w:rPr>
        <w:t>Ibid.</w:t>
      </w:r>
    </w:p>
  </w:footnote>
  <w:footnote w:id="26">
    <w:p w14:paraId="42E85B00" w14:textId="41C6F055" w:rsidR="007F6CD7" w:rsidRDefault="007F6CD7" w:rsidP="00E81E1E">
      <w:pPr>
        <w:pStyle w:val="FootnoteText"/>
        <w:ind w:left="142" w:hanging="142"/>
      </w:pPr>
      <w:r>
        <w:rPr>
          <w:rStyle w:val="FootnoteReference"/>
        </w:rPr>
        <w:footnoteRef/>
      </w:r>
      <w:r w:rsidR="0096536F">
        <w:t xml:space="preserve"> </w:t>
      </w:r>
      <w:r>
        <w:t>Smith, ‘</w:t>
      </w:r>
      <w:proofErr w:type="spellStart"/>
      <w:r>
        <w:t>Tonypandy</w:t>
      </w:r>
      <w:proofErr w:type="spellEnd"/>
      <w:r>
        <w:t>’, 176.</w:t>
      </w:r>
    </w:p>
  </w:footnote>
  <w:footnote w:id="27">
    <w:p w14:paraId="3F57B931" w14:textId="72BD17F5" w:rsidR="007F6CD7" w:rsidRPr="00625887" w:rsidRDefault="007F6CD7" w:rsidP="00E81E1E">
      <w:pPr>
        <w:pStyle w:val="FootnoteText"/>
        <w:ind w:left="142" w:hanging="142"/>
      </w:pPr>
      <w:r>
        <w:rPr>
          <w:rStyle w:val="FootnoteReference"/>
        </w:rPr>
        <w:footnoteRef/>
      </w:r>
      <w:r>
        <w:t xml:space="preserve"> </w:t>
      </w:r>
      <w:r w:rsidR="00625887">
        <w:t xml:space="preserve">Unofficial Reform Committee, </w:t>
      </w:r>
      <w:r w:rsidR="00625887">
        <w:rPr>
          <w:i/>
        </w:rPr>
        <w:t xml:space="preserve">The Miners’ Next Step </w:t>
      </w:r>
      <w:r w:rsidR="00625887">
        <w:t>(</w:t>
      </w:r>
      <w:proofErr w:type="spellStart"/>
      <w:r w:rsidR="00625887">
        <w:t>Tonypandy</w:t>
      </w:r>
      <w:proofErr w:type="spellEnd"/>
      <w:r w:rsidR="00625887">
        <w:t xml:space="preserve">: Robert Davies and Co., 1912). </w:t>
      </w:r>
    </w:p>
  </w:footnote>
  <w:footnote w:id="28">
    <w:p w14:paraId="4663C412" w14:textId="0CF3989D" w:rsidR="007F6CD7" w:rsidRDefault="007F6CD7" w:rsidP="00E81E1E">
      <w:pPr>
        <w:pStyle w:val="FootnoteText"/>
        <w:ind w:left="142" w:hanging="142"/>
      </w:pPr>
      <w:r>
        <w:rPr>
          <w:rStyle w:val="FootnoteReference"/>
        </w:rPr>
        <w:footnoteRef/>
      </w:r>
      <w:r>
        <w:t xml:space="preserve"> </w:t>
      </w:r>
      <w:r w:rsidRPr="0096536F">
        <w:rPr>
          <w:i/>
        </w:rPr>
        <w:t>Ibid.</w:t>
      </w:r>
    </w:p>
  </w:footnote>
  <w:footnote w:id="29">
    <w:p w14:paraId="41040CE9" w14:textId="06E23BAA" w:rsidR="007F6CD7" w:rsidRDefault="007F6CD7" w:rsidP="00E81E1E">
      <w:pPr>
        <w:pStyle w:val="FootnoteText"/>
        <w:ind w:left="142" w:hanging="142"/>
      </w:pPr>
      <w:r>
        <w:rPr>
          <w:rStyle w:val="FootnoteReference"/>
        </w:rPr>
        <w:footnoteRef/>
      </w:r>
      <w:r>
        <w:t xml:space="preserve"> </w:t>
      </w:r>
      <w:r w:rsidRPr="0096536F">
        <w:rPr>
          <w:i/>
        </w:rPr>
        <w:t>Ibid</w:t>
      </w:r>
      <w:r>
        <w:t>.</w:t>
      </w:r>
    </w:p>
  </w:footnote>
  <w:footnote w:id="30">
    <w:p w14:paraId="4D9889D6" w14:textId="2BC01BC7" w:rsidR="007F6CD7" w:rsidRDefault="007F6CD7" w:rsidP="00E81E1E">
      <w:pPr>
        <w:pStyle w:val="FootnoteText"/>
        <w:ind w:left="142" w:hanging="142"/>
      </w:pPr>
      <w:r>
        <w:rPr>
          <w:rStyle w:val="FootnoteReference"/>
        </w:rPr>
        <w:footnoteRef/>
      </w:r>
      <w:r>
        <w:t xml:space="preserve"> </w:t>
      </w:r>
      <w:r w:rsidRPr="0096536F">
        <w:rPr>
          <w:i/>
        </w:rPr>
        <w:t>Ibid</w:t>
      </w:r>
      <w:r>
        <w:t>.</w:t>
      </w:r>
    </w:p>
  </w:footnote>
  <w:footnote w:id="31">
    <w:p w14:paraId="21BBF8A0" w14:textId="73DE9C3E" w:rsidR="007F6CD7" w:rsidRDefault="007F6CD7" w:rsidP="00E81E1E">
      <w:pPr>
        <w:pStyle w:val="FootnoteText"/>
        <w:ind w:left="142" w:hanging="142"/>
      </w:pPr>
      <w:r>
        <w:rPr>
          <w:rStyle w:val="FootnoteReference"/>
        </w:rPr>
        <w:footnoteRef/>
      </w:r>
      <w:r>
        <w:t xml:space="preserve"> </w:t>
      </w:r>
      <w:proofErr w:type="spellStart"/>
      <w:r w:rsidR="0096536F">
        <w:t>Labor</w:t>
      </w:r>
      <w:proofErr w:type="spellEnd"/>
      <w:r w:rsidR="0096536F">
        <w:t xml:space="preserve">, </w:t>
      </w:r>
      <w:r w:rsidR="0096536F">
        <w:rPr>
          <w:i/>
        </w:rPr>
        <w:t>Industrial</w:t>
      </w:r>
      <w:r>
        <w:t>, 149-150.</w:t>
      </w:r>
    </w:p>
  </w:footnote>
  <w:footnote w:id="32">
    <w:p w14:paraId="592555DA" w14:textId="3FC1D453" w:rsidR="007F6CD7" w:rsidRDefault="007F6CD7" w:rsidP="00E81E1E">
      <w:pPr>
        <w:pStyle w:val="FootnoteText"/>
        <w:ind w:left="142" w:hanging="142"/>
      </w:pPr>
      <w:r>
        <w:rPr>
          <w:rStyle w:val="FootnoteReference"/>
        </w:rPr>
        <w:footnoteRef/>
      </w:r>
      <w:r>
        <w:t xml:space="preserve"> Smith</w:t>
      </w:r>
      <w:r w:rsidR="0096536F">
        <w:t>, ‘</w:t>
      </w:r>
      <w:proofErr w:type="spellStart"/>
      <w:r w:rsidR="0096536F">
        <w:t>Tonypandy</w:t>
      </w:r>
      <w:proofErr w:type="spellEnd"/>
      <w:r w:rsidR="0096536F">
        <w:t>’</w:t>
      </w:r>
      <w:r>
        <w:t>, 166.</w:t>
      </w:r>
    </w:p>
  </w:footnote>
  <w:footnote w:id="33">
    <w:p w14:paraId="38FC4BE3" w14:textId="2353FC98" w:rsidR="007F6CD7" w:rsidRPr="0096536F" w:rsidRDefault="007F6CD7" w:rsidP="00E81E1E">
      <w:pPr>
        <w:pStyle w:val="FootnoteText"/>
        <w:ind w:left="142" w:hanging="142"/>
      </w:pPr>
      <w:r>
        <w:rPr>
          <w:rStyle w:val="FootnoteReference"/>
        </w:rPr>
        <w:footnoteRef/>
      </w:r>
      <w:r>
        <w:t xml:space="preserve"> </w:t>
      </w:r>
      <w:r w:rsidR="0096536F">
        <w:t xml:space="preserve">Horner, </w:t>
      </w:r>
      <w:r w:rsidR="0096536F">
        <w:rPr>
          <w:i/>
        </w:rPr>
        <w:t xml:space="preserve">Incorrigible, </w:t>
      </w:r>
      <w:r w:rsidR="0096536F">
        <w:t>15-6.</w:t>
      </w:r>
    </w:p>
  </w:footnote>
  <w:footnote w:id="34">
    <w:p w14:paraId="7C7FB2BC" w14:textId="5D3C5EEB" w:rsidR="007F6CD7" w:rsidRDefault="007F6CD7" w:rsidP="00E81E1E">
      <w:pPr>
        <w:pStyle w:val="FootnoteText"/>
        <w:ind w:left="142" w:hanging="142"/>
      </w:pPr>
      <w:r>
        <w:rPr>
          <w:rStyle w:val="FootnoteReference"/>
        </w:rPr>
        <w:footnoteRef/>
      </w:r>
      <w:r>
        <w:t xml:space="preserve"> </w:t>
      </w:r>
      <w:r w:rsidRPr="0096536F">
        <w:rPr>
          <w:i/>
        </w:rPr>
        <w:t>Ibid.</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B44"/>
    <w:rsid w:val="0006642C"/>
    <w:rsid w:val="0010689C"/>
    <w:rsid w:val="001514EC"/>
    <w:rsid w:val="00171DFA"/>
    <w:rsid w:val="001B135C"/>
    <w:rsid w:val="001D6B44"/>
    <w:rsid w:val="001F26C4"/>
    <w:rsid w:val="00217CB7"/>
    <w:rsid w:val="002324E7"/>
    <w:rsid w:val="00241CB3"/>
    <w:rsid w:val="00247676"/>
    <w:rsid w:val="002A2083"/>
    <w:rsid w:val="002D51F1"/>
    <w:rsid w:val="00300F04"/>
    <w:rsid w:val="0030522F"/>
    <w:rsid w:val="00343D06"/>
    <w:rsid w:val="00345D9C"/>
    <w:rsid w:val="00351147"/>
    <w:rsid w:val="00352BFF"/>
    <w:rsid w:val="003717C0"/>
    <w:rsid w:val="003C2B16"/>
    <w:rsid w:val="003C7518"/>
    <w:rsid w:val="00401698"/>
    <w:rsid w:val="00403CAB"/>
    <w:rsid w:val="00474442"/>
    <w:rsid w:val="004863C6"/>
    <w:rsid w:val="004F2066"/>
    <w:rsid w:val="004F5307"/>
    <w:rsid w:val="00514E32"/>
    <w:rsid w:val="005A34D9"/>
    <w:rsid w:val="005D2964"/>
    <w:rsid w:val="00625887"/>
    <w:rsid w:val="006442F6"/>
    <w:rsid w:val="00650765"/>
    <w:rsid w:val="006837BF"/>
    <w:rsid w:val="00696C2E"/>
    <w:rsid w:val="007071E1"/>
    <w:rsid w:val="00756BB0"/>
    <w:rsid w:val="00775433"/>
    <w:rsid w:val="00793555"/>
    <w:rsid w:val="007A3F9F"/>
    <w:rsid w:val="007D0F7E"/>
    <w:rsid w:val="007D6F87"/>
    <w:rsid w:val="007E179C"/>
    <w:rsid w:val="007F3F82"/>
    <w:rsid w:val="007F6CD7"/>
    <w:rsid w:val="00801732"/>
    <w:rsid w:val="00814A14"/>
    <w:rsid w:val="008201A0"/>
    <w:rsid w:val="00890538"/>
    <w:rsid w:val="008B3A8A"/>
    <w:rsid w:val="008C0693"/>
    <w:rsid w:val="00922E9F"/>
    <w:rsid w:val="00930017"/>
    <w:rsid w:val="00935C7F"/>
    <w:rsid w:val="0096536F"/>
    <w:rsid w:val="00994D09"/>
    <w:rsid w:val="009F00A5"/>
    <w:rsid w:val="00A1228E"/>
    <w:rsid w:val="00A15655"/>
    <w:rsid w:val="00A827CB"/>
    <w:rsid w:val="00A8726B"/>
    <w:rsid w:val="00AA0253"/>
    <w:rsid w:val="00AA31D4"/>
    <w:rsid w:val="00B1085A"/>
    <w:rsid w:val="00B47E4D"/>
    <w:rsid w:val="00BB3AE5"/>
    <w:rsid w:val="00C159E1"/>
    <w:rsid w:val="00CA2F69"/>
    <w:rsid w:val="00CA43D8"/>
    <w:rsid w:val="00CD4A28"/>
    <w:rsid w:val="00CD5D26"/>
    <w:rsid w:val="00D20C6E"/>
    <w:rsid w:val="00D27EBA"/>
    <w:rsid w:val="00D413E8"/>
    <w:rsid w:val="00D52EDE"/>
    <w:rsid w:val="00DC537E"/>
    <w:rsid w:val="00E47E51"/>
    <w:rsid w:val="00E574CE"/>
    <w:rsid w:val="00E81E1E"/>
    <w:rsid w:val="00EC4817"/>
    <w:rsid w:val="00F14D4F"/>
    <w:rsid w:val="00F221A9"/>
    <w:rsid w:val="00F466DF"/>
    <w:rsid w:val="00F80721"/>
    <w:rsid w:val="00FB72C6"/>
    <w:rsid w:val="00FF42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92D1C"/>
  <w15:chartTrackingRefBased/>
  <w15:docId w15:val="{501D7A62-B82D-47EB-99D2-F5B2A5D17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6B4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442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42F6"/>
    <w:rPr>
      <w:sz w:val="20"/>
      <w:szCs w:val="20"/>
    </w:rPr>
  </w:style>
  <w:style w:type="character" w:styleId="FootnoteReference">
    <w:name w:val="footnote reference"/>
    <w:basedOn w:val="DefaultParagraphFont"/>
    <w:uiPriority w:val="99"/>
    <w:semiHidden/>
    <w:unhideWhenUsed/>
    <w:rsid w:val="006442F6"/>
    <w:rPr>
      <w:vertAlign w:val="superscript"/>
    </w:rPr>
  </w:style>
  <w:style w:type="character" w:styleId="Emphasis">
    <w:name w:val="Emphasis"/>
    <w:basedOn w:val="DefaultParagraphFont"/>
    <w:uiPriority w:val="20"/>
    <w:qFormat/>
    <w:rsid w:val="004F20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B9174-01AB-463E-ABEC-E4A502814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7</Pages>
  <Words>2288</Words>
  <Characters>10389</Characters>
  <Application>Microsoft Office Word</Application>
  <DocSecurity>0</DocSecurity>
  <Lines>451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dc:creator>
  <cp:keywords/>
  <dc:description/>
  <cp:lastModifiedBy>Steven -</cp:lastModifiedBy>
  <cp:revision>44</cp:revision>
  <dcterms:created xsi:type="dcterms:W3CDTF">2018-03-23T11:16:00Z</dcterms:created>
  <dcterms:modified xsi:type="dcterms:W3CDTF">2018-03-23T23:27:00Z</dcterms:modified>
</cp:coreProperties>
</file>