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88A5A2B" w14:textId="77777777" w:rsidR="00605C1F" w:rsidRPr="004C06DA" w:rsidRDefault="00605C1F" w:rsidP="00605C1F">
      <w:pPr>
        <w:pStyle w:val="Header"/>
        <w:jc w:val="right"/>
        <w:rPr>
          <w:b/>
          <w:bCs/>
          <w:color w:val="191919" w:themeColor="text1" w:themeTint="E6"/>
          <w:sz w:val="28"/>
          <w:szCs w:val="28"/>
        </w:rPr>
      </w:pPr>
      <w:r w:rsidRPr="004C06DA">
        <w:rPr>
          <w:noProof/>
          <w:color w:val="191919" w:themeColor="text1" w:themeTint="E6"/>
        </w:rPr>
        <w:drawing>
          <wp:anchor distT="0" distB="0" distL="114300" distR="114300" simplePos="0" relativeHeight="251658240" behindDoc="0" locked="0" layoutInCell="1" allowOverlap="1" wp14:anchorId="308ECC97" wp14:editId="714B9C5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4C06DA">
        <w:rPr>
          <w:color w:val="191919" w:themeColor="text1" w:themeTint="E6"/>
        </w:rPr>
        <w:t xml:space="preserve"> </w:t>
      </w:r>
      <w:r w:rsidRPr="004C06DA">
        <w:rPr>
          <w:color w:val="191919" w:themeColor="text1" w:themeTint="E6"/>
        </w:rPr>
        <w:br w:type="textWrapping" w:clear="all"/>
      </w:r>
      <w:r w:rsidRPr="004C06DA">
        <w:rPr>
          <w:b/>
          <w:bCs/>
          <w:color w:val="191919" w:themeColor="text1" w:themeTint="E6"/>
          <w:sz w:val="28"/>
          <w:szCs w:val="28"/>
        </w:rPr>
        <w:t>APPENDIX GA36c</w:t>
      </w:r>
    </w:p>
    <w:p w14:paraId="0EB1D1A1" w14:textId="77777777" w:rsidR="00605C1F" w:rsidRPr="004C06DA" w:rsidRDefault="00605C1F" w:rsidP="00605C1F">
      <w:pPr>
        <w:rPr>
          <w:color w:val="191919" w:themeColor="text1" w:themeTint="E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36"/>
      </w:tblGrid>
      <w:tr w:rsidR="004C06DA" w:rsidRPr="004C06DA" w14:paraId="31D6B27C" w14:textId="77777777" w:rsidTr="00C22688">
        <w:tc>
          <w:tcPr>
            <w:tcW w:w="9922" w:type="dxa"/>
            <w:shd w:val="clear" w:color="auto" w:fill="C0C0C0"/>
          </w:tcPr>
          <w:p w14:paraId="56C3D532" w14:textId="77777777" w:rsidR="00605C1F" w:rsidRPr="004C06DA" w:rsidRDefault="00605C1F" w:rsidP="00C22688">
            <w:pPr>
              <w:pStyle w:val="Heading4"/>
              <w:rPr>
                <w:b/>
                <w:bCs/>
                <w:color w:val="191919" w:themeColor="text1" w:themeTint="E6"/>
              </w:rPr>
            </w:pPr>
            <w:r w:rsidRPr="004C06DA">
              <w:rPr>
                <w:b/>
                <w:bCs/>
                <w:color w:val="191919" w:themeColor="text1" w:themeTint="E6"/>
              </w:rPr>
              <w:t xml:space="preserve">LEVEL 6 ASSESSMENT SPECIFICATION </w:t>
            </w:r>
          </w:p>
        </w:tc>
      </w:tr>
    </w:tbl>
    <w:p w14:paraId="148A184A" w14:textId="77777777" w:rsidR="00605C1F" w:rsidRPr="004C06DA" w:rsidRDefault="00605C1F" w:rsidP="00605C1F">
      <w:pPr>
        <w:jc w:val="center"/>
        <w:rPr>
          <w:b/>
          <w:i/>
          <w:color w:val="191919" w:themeColor="text1" w:themeTint="E6"/>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C06DA" w:rsidRPr="004C06DA" w14:paraId="15939BE9" w14:textId="77777777" w:rsidTr="00C22688">
        <w:tc>
          <w:tcPr>
            <w:tcW w:w="2093" w:type="dxa"/>
            <w:shd w:val="clear" w:color="auto" w:fill="auto"/>
          </w:tcPr>
          <w:p w14:paraId="10D28F2D" w14:textId="77777777" w:rsidR="00605C1F" w:rsidRPr="004C06DA" w:rsidRDefault="00605C1F" w:rsidP="00C22688">
            <w:pPr>
              <w:spacing w:before="120" w:after="120"/>
              <w:jc w:val="both"/>
              <w:rPr>
                <w:b/>
                <w:bCs/>
                <w:color w:val="191919" w:themeColor="text1" w:themeTint="E6"/>
                <w:sz w:val="22"/>
                <w:szCs w:val="22"/>
              </w:rPr>
            </w:pPr>
            <w:r w:rsidRPr="004C06DA">
              <w:rPr>
                <w:b/>
                <w:bCs/>
                <w:color w:val="191919" w:themeColor="text1" w:themeTint="E6"/>
                <w:sz w:val="22"/>
                <w:szCs w:val="22"/>
              </w:rPr>
              <w:t>Student name:</w:t>
            </w:r>
          </w:p>
        </w:tc>
        <w:tc>
          <w:tcPr>
            <w:tcW w:w="3293" w:type="dxa"/>
          </w:tcPr>
          <w:p w14:paraId="78CB5EFA" w14:textId="43C43BCC" w:rsidR="00605C1F" w:rsidRPr="004C06DA" w:rsidRDefault="00605C1F" w:rsidP="00C22688">
            <w:pPr>
              <w:spacing w:before="120" w:after="120"/>
              <w:jc w:val="both"/>
              <w:rPr>
                <w:b/>
                <w:color w:val="191919" w:themeColor="text1" w:themeTint="E6"/>
                <w:sz w:val="22"/>
                <w:szCs w:val="22"/>
              </w:rPr>
            </w:pPr>
            <w:r w:rsidRPr="004C06DA">
              <w:rPr>
                <w:b/>
                <w:color w:val="191919" w:themeColor="text1" w:themeTint="E6"/>
                <w:sz w:val="22"/>
                <w:szCs w:val="22"/>
              </w:rPr>
              <w:t>Kelly Jones</w:t>
            </w:r>
          </w:p>
        </w:tc>
        <w:tc>
          <w:tcPr>
            <w:tcW w:w="2268" w:type="dxa"/>
            <w:shd w:val="clear" w:color="auto" w:fill="D9D9D9" w:themeFill="background1" w:themeFillShade="D9"/>
          </w:tcPr>
          <w:p w14:paraId="2D078E6A" w14:textId="77777777" w:rsidR="00605C1F" w:rsidRPr="004C06DA" w:rsidRDefault="00605C1F" w:rsidP="00C22688">
            <w:pPr>
              <w:spacing w:before="120" w:after="120"/>
              <w:jc w:val="both"/>
              <w:rPr>
                <w:b/>
                <w:bCs/>
                <w:color w:val="191919" w:themeColor="text1" w:themeTint="E6"/>
                <w:sz w:val="22"/>
                <w:szCs w:val="22"/>
              </w:rPr>
            </w:pPr>
            <w:r w:rsidRPr="004C06DA">
              <w:rPr>
                <w:b/>
                <w:bCs/>
                <w:color w:val="191919" w:themeColor="text1" w:themeTint="E6"/>
                <w:sz w:val="22"/>
                <w:szCs w:val="22"/>
              </w:rPr>
              <w:t>Student ID number:</w:t>
            </w:r>
          </w:p>
        </w:tc>
        <w:tc>
          <w:tcPr>
            <w:tcW w:w="2268" w:type="dxa"/>
          </w:tcPr>
          <w:p w14:paraId="15EF3A13" w14:textId="4B4E3776" w:rsidR="00605C1F" w:rsidRPr="004C06DA" w:rsidRDefault="00605C1F" w:rsidP="00C22688">
            <w:pPr>
              <w:spacing w:before="120" w:after="120"/>
              <w:jc w:val="both"/>
              <w:rPr>
                <w:b/>
                <w:color w:val="191919" w:themeColor="text1" w:themeTint="E6"/>
                <w:sz w:val="22"/>
                <w:szCs w:val="22"/>
              </w:rPr>
            </w:pPr>
            <w:r w:rsidRPr="004C06DA">
              <w:rPr>
                <w:b/>
                <w:color w:val="191919" w:themeColor="text1" w:themeTint="E6"/>
                <w:sz w:val="22"/>
                <w:szCs w:val="22"/>
              </w:rPr>
              <w:t>1804366</w:t>
            </w:r>
          </w:p>
        </w:tc>
      </w:tr>
      <w:tr w:rsidR="004C06DA" w:rsidRPr="004C06DA" w14:paraId="3EE7C4CE" w14:textId="77777777" w:rsidTr="00C22688">
        <w:tc>
          <w:tcPr>
            <w:tcW w:w="2093" w:type="dxa"/>
            <w:shd w:val="clear" w:color="auto" w:fill="auto"/>
          </w:tcPr>
          <w:p w14:paraId="5AD0E52D" w14:textId="77777777" w:rsidR="00605C1F" w:rsidRPr="004C06DA" w:rsidRDefault="00605C1F" w:rsidP="00C22688">
            <w:pPr>
              <w:spacing w:before="120" w:after="120"/>
              <w:jc w:val="both"/>
              <w:rPr>
                <w:b/>
                <w:bCs/>
                <w:color w:val="191919" w:themeColor="text1" w:themeTint="E6"/>
                <w:sz w:val="22"/>
                <w:szCs w:val="22"/>
              </w:rPr>
            </w:pPr>
            <w:r w:rsidRPr="004C06DA">
              <w:rPr>
                <w:b/>
                <w:bCs/>
                <w:color w:val="191919" w:themeColor="text1" w:themeTint="E6"/>
                <w:sz w:val="22"/>
                <w:szCs w:val="22"/>
              </w:rPr>
              <w:t>Programme:</w:t>
            </w:r>
          </w:p>
        </w:tc>
        <w:tc>
          <w:tcPr>
            <w:tcW w:w="7829" w:type="dxa"/>
            <w:gridSpan w:val="3"/>
          </w:tcPr>
          <w:p w14:paraId="1AF4DDA5" w14:textId="77777777" w:rsidR="00605C1F" w:rsidRPr="004C06DA" w:rsidRDefault="00605C1F" w:rsidP="00C22688">
            <w:pPr>
              <w:spacing w:before="120" w:after="120"/>
              <w:jc w:val="both"/>
              <w:rPr>
                <w:b/>
                <w:color w:val="191919" w:themeColor="text1" w:themeTint="E6"/>
                <w:sz w:val="22"/>
                <w:szCs w:val="22"/>
              </w:rPr>
            </w:pPr>
            <w:r w:rsidRPr="004C06DA">
              <w:rPr>
                <w:b/>
                <w:color w:val="191919" w:themeColor="text1" w:themeTint="E6"/>
                <w:sz w:val="22"/>
                <w:szCs w:val="22"/>
              </w:rPr>
              <w:t>Secondary PGCE</w:t>
            </w:r>
          </w:p>
        </w:tc>
      </w:tr>
      <w:tr w:rsidR="004C06DA" w:rsidRPr="004C06DA" w14:paraId="3966CFE7" w14:textId="77777777" w:rsidTr="00C22688">
        <w:tc>
          <w:tcPr>
            <w:tcW w:w="2093" w:type="dxa"/>
            <w:shd w:val="clear" w:color="auto" w:fill="auto"/>
          </w:tcPr>
          <w:p w14:paraId="5C75DFB6" w14:textId="77777777" w:rsidR="00605C1F" w:rsidRPr="004C06DA" w:rsidRDefault="00605C1F" w:rsidP="00C22688">
            <w:pPr>
              <w:spacing w:before="120" w:after="120"/>
              <w:jc w:val="both"/>
              <w:rPr>
                <w:b/>
                <w:bCs/>
                <w:color w:val="191919" w:themeColor="text1" w:themeTint="E6"/>
                <w:sz w:val="22"/>
                <w:szCs w:val="22"/>
              </w:rPr>
            </w:pPr>
            <w:r w:rsidRPr="004C06DA">
              <w:rPr>
                <w:b/>
                <w:bCs/>
                <w:color w:val="191919" w:themeColor="text1" w:themeTint="E6"/>
                <w:sz w:val="22"/>
                <w:szCs w:val="22"/>
              </w:rPr>
              <w:t>Module:</w:t>
            </w:r>
          </w:p>
        </w:tc>
        <w:tc>
          <w:tcPr>
            <w:tcW w:w="7829" w:type="dxa"/>
            <w:gridSpan w:val="3"/>
            <w:shd w:val="clear" w:color="auto" w:fill="auto"/>
          </w:tcPr>
          <w:p w14:paraId="311430E5" w14:textId="77777777" w:rsidR="00605C1F" w:rsidRPr="004C06DA" w:rsidRDefault="00605C1F" w:rsidP="00C22688">
            <w:pPr>
              <w:spacing w:before="100" w:beforeAutospacing="1" w:after="100" w:afterAutospacing="1"/>
              <w:rPr>
                <w:color w:val="191919" w:themeColor="text1" w:themeTint="E6"/>
                <w:sz w:val="22"/>
                <w:szCs w:val="22"/>
              </w:rPr>
            </w:pPr>
            <w:r w:rsidRPr="004C06DA">
              <w:rPr>
                <w:b/>
                <w:bCs/>
                <w:color w:val="191919" w:themeColor="text1" w:themeTint="E6"/>
                <w:sz w:val="22"/>
                <w:szCs w:val="22"/>
              </w:rPr>
              <w:t>Investigating Contemporary Issues in Secondary Education</w:t>
            </w:r>
          </w:p>
          <w:p w14:paraId="6EA48A9E" w14:textId="77777777" w:rsidR="00605C1F" w:rsidRPr="004C06DA" w:rsidRDefault="00605C1F" w:rsidP="00C22688">
            <w:pPr>
              <w:spacing w:before="120" w:after="120"/>
              <w:jc w:val="both"/>
              <w:rPr>
                <w:b/>
                <w:color w:val="191919" w:themeColor="text1" w:themeTint="E6"/>
                <w:sz w:val="22"/>
                <w:szCs w:val="22"/>
              </w:rPr>
            </w:pPr>
          </w:p>
        </w:tc>
      </w:tr>
      <w:tr w:rsidR="004C06DA" w:rsidRPr="004C06DA" w14:paraId="5EE80170" w14:textId="77777777" w:rsidTr="00C22688">
        <w:tc>
          <w:tcPr>
            <w:tcW w:w="2093" w:type="dxa"/>
            <w:shd w:val="clear" w:color="auto" w:fill="auto"/>
          </w:tcPr>
          <w:p w14:paraId="3842982D" w14:textId="77777777" w:rsidR="00605C1F" w:rsidRPr="004C06DA" w:rsidRDefault="00605C1F" w:rsidP="00C22688">
            <w:pPr>
              <w:spacing w:before="120" w:after="120"/>
              <w:jc w:val="both"/>
              <w:rPr>
                <w:b/>
                <w:bCs/>
                <w:color w:val="191919" w:themeColor="text1" w:themeTint="E6"/>
                <w:sz w:val="22"/>
                <w:szCs w:val="22"/>
              </w:rPr>
            </w:pPr>
            <w:r w:rsidRPr="004C06DA">
              <w:rPr>
                <w:b/>
                <w:bCs/>
                <w:color w:val="191919" w:themeColor="text1" w:themeTint="E6"/>
                <w:sz w:val="22"/>
                <w:szCs w:val="22"/>
              </w:rPr>
              <w:t>Module code:</w:t>
            </w:r>
          </w:p>
        </w:tc>
        <w:tc>
          <w:tcPr>
            <w:tcW w:w="3293" w:type="dxa"/>
          </w:tcPr>
          <w:p w14:paraId="6DD4C638" w14:textId="77777777" w:rsidR="00605C1F" w:rsidRPr="004C06DA" w:rsidRDefault="00605C1F" w:rsidP="00C22688">
            <w:pPr>
              <w:spacing w:before="120" w:after="120"/>
              <w:jc w:val="both"/>
              <w:rPr>
                <w:b/>
                <w:color w:val="191919" w:themeColor="text1" w:themeTint="E6"/>
                <w:sz w:val="22"/>
                <w:szCs w:val="22"/>
              </w:rPr>
            </w:pPr>
            <w:r w:rsidRPr="004C06DA">
              <w:rPr>
                <w:b/>
                <w:color w:val="191919" w:themeColor="text1" w:themeTint="E6"/>
                <w:sz w:val="22"/>
                <w:szCs w:val="22"/>
              </w:rPr>
              <w:t>ECSP6003</w:t>
            </w:r>
          </w:p>
        </w:tc>
        <w:tc>
          <w:tcPr>
            <w:tcW w:w="2268" w:type="dxa"/>
            <w:shd w:val="clear" w:color="auto" w:fill="D9D9D9" w:themeFill="background1" w:themeFillShade="D9"/>
          </w:tcPr>
          <w:p w14:paraId="16C54450" w14:textId="77777777" w:rsidR="00605C1F" w:rsidRPr="004C06DA" w:rsidRDefault="00605C1F" w:rsidP="00C22688">
            <w:pPr>
              <w:pStyle w:val="Heading2"/>
              <w:rPr>
                <w:color w:val="191919" w:themeColor="text1" w:themeTint="E6"/>
                <w:sz w:val="22"/>
                <w:szCs w:val="22"/>
              </w:rPr>
            </w:pPr>
            <w:r w:rsidRPr="004C06DA">
              <w:rPr>
                <w:color w:val="191919" w:themeColor="text1" w:themeTint="E6"/>
                <w:sz w:val="22"/>
                <w:szCs w:val="22"/>
              </w:rPr>
              <w:t>Contribution to Overall Module Assessment (%):</w:t>
            </w:r>
          </w:p>
        </w:tc>
        <w:tc>
          <w:tcPr>
            <w:tcW w:w="2268" w:type="dxa"/>
          </w:tcPr>
          <w:p w14:paraId="28DA6F2E" w14:textId="77777777" w:rsidR="00605C1F" w:rsidRPr="004C06DA" w:rsidRDefault="00605C1F" w:rsidP="00C22688">
            <w:pPr>
              <w:spacing w:before="120" w:after="120"/>
              <w:jc w:val="both"/>
              <w:rPr>
                <w:b/>
                <w:color w:val="191919" w:themeColor="text1" w:themeTint="E6"/>
                <w:sz w:val="22"/>
                <w:szCs w:val="22"/>
              </w:rPr>
            </w:pPr>
            <w:r w:rsidRPr="004C06DA">
              <w:rPr>
                <w:b/>
                <w:color w:val="191919" w:themeColor="text1" w:themeTint="E6"/>
                <w:sz w:val="22"/>
                <w:szCs w:val="22"/>
              </w:rPr>
              <w:t>100%</w:t>
            </w:r>
          </w:p>
        </w:tc>
      </w:tr>
      <w:tr w:rsidR="004C06DA" w:rsidRPr="004C06DA" w14:paraId="140E6F87" w14:textId="77777777" w:rsidTr="00C22688">
        <w:tc>
          <w:tcPr>
            <w:tcW w:w="2093" w:type="dxa"/>
            <w:shd w:val="clear" w:color="auto" w:fill="auto"/>
          </w:tcPr>
          <w:p w14:paraId="058C1BB4" w14:textId="77777777" w:rsidR="00605C1F" w:rsidRPr="004C06DA" w:rsidRDefault="00605C1F" w:rsidP="00C22688">
            <w:pPr>
              <w:spacing w:before="120" w:after="120"/>
              <w:jc w:val="both"/>
              <w:rPr>
                <w:b/>
                <w:bCs/>
                <w:color w:val="191919" w:themeColor="text1" w:themeTint="E6"/>
                <w:sz w:val="22"/>
                <w:szCs w:val="22"/>
              </w:rPr>
            </w:pPr>
            <w:r w:rsidRPr="004C06DA">
              <w:rPr>
                <w:b/>
                <w:bCs/>
                <w:color w:val="191919" w:themeColor="text1" w:themeTint="E6"/>
                <w:sz w:val="22"/>
                <w:szCs w:val="22"/>
              </w:rPr>
              <w:t>Lecturer:</w:t>
            </w:r>
          </w:p>
        </w:tc>
        <w:tc>
          <w:tcPr>
            <w:tcW w:w="3293" w:type="dxa"/>
          </w:tcPr>
          <w:p w14:paraId="6B0F7F16" w14:textId="77777777" w:rsidR="00605C1F" w:rsidRPr="004C06DA" w:rsidRDefault="00605C1F" w:rsidP="00C22688">
            <w:pPr>
              <w:spacing w:before="120" w:after="120"/>
              <w:jc w:val="both"/>
              <w:rPr>
                <w:b/>
                <w:color w:val="191919" w:themeColor="text1" w:themeTint="E6"/>
                <w:sz w:val="22"/>
                <w:szCs w:val="22"/>
              </w:rPr>
            </w:pPr>
            <w:proofErr w:type="spellStart"/>
            <w:r w:rsidRPr="004C06DA">
              <w:rPr>
                <w:b/>
                <w:color w:val="191919" w:themeColor="text1" w:themeTint="E6"/>
                <w:sz w:val="22"/>
                <w:szCs w:val="22"/>
              </w:rPr>
              <w:t>Shân</w:t>
            </w:r>
            <w:proofErr w:type="spellEnd"/>
            <w:r w:rsidRPr="004C06DA">
              <w:rPr>
                <w:b/>
                <w:color w:val="191919" w:themeColor="text1" w:themeTint="E6"/>
                <w:sz w:val="22"/>
                <w:szCs w:val="22"/>
              </w:rPr>
              <w:t xml:space="preserve"> Samuel-Thomas</w:t>
            </w:r>
          </w:p>
        </w:tc>
        <w:tc>
          <w:tcPr>
            <w:tcW w:w="2268" w:type="dxa"/>
            <w:shd w:val="clear" w:color="auto" w:fill="D9D9D9" w:themeFill="background1" w:themeFillShade="D9"/>
          </w:tcPr>
          <w:p w14:paraId="4C8B5FC2" w14:textId="77777777" w:rsidR="00605C1F" w:rsidRPr="004C06DA" w:rsidRDefault="00605C1F" w:rsidP="00C22688">
            <w:pPr>
              <w:spacing w:before="120" w:after="120"/>
              <w:jc w:val="both"/>
              <w:rPr>
                <w:b/>
                <w:bCs/>
                <w:color w:val="191919" w:themeColor="text1" w:themeTint="E6"/>
                <w:sz w:val="22"/>
                <w:szCs w:val="22"/>
              </w:rPr>
            </w:pPr>
            <w:r w:rsidRPr="004C06DA">
              <w:rPr>
                <w:b/>
                <w:bCs/>
                <w:color w:val="191919" w:themeColor="text1" w:themeTint="E6"/>
                <w:sz w:val="22"/>
                <w:szCs w:val="22"/>
              </w:rPr>
              <w:t>Internal Verifier:</w:t>
            </w:r>
          </w:p>
        </w:tc>
        <w:tc>
          <w:tcPr>
            <w:tcW w:w="2268" w:type="dxa"/>
          </w:tcPr>
          <w:p w14:paraId="19E57D8E" w14:textId="77777777" w:rsidR="00605C1F" w:rsidRPr="004C06DA" w:rsidRDefault="00605C1F" w:rsidP="00C22688">
            <w:pPr>
              <w:spacing w:before="120" w:after="120"/>
              <w:jc w:val="both"/>
              <w:rPr>
                <w:b/>
                <w:color w:val="191919" w:themeColor="text1" w:themeTint="E6"/>
                <w:sz w:val="22"/>
                <w:szCs w:val="22"/>
              </w:rPr>
            </w:pPr>
          </w:p>
        </w:tc>
      </w:tr>
      <w:tr w:rsidR="004C06DA" w:rsidRPr="004C06DA" w14:paraId="1E3EA571" w14:textId="77777777" w:rsidTr="00C22688">
        <w:tc>
          <w:tcPr>
            <w:tcW w:w="2093" w:type="dxa"/>
            <w:shd w:val="clear" w:color="auto" w:fill="auto"/>
          </w:tcPr>
          <w:p w14:paraId="08D957B4" w14:textId="77777777" w:rsidR="00605C1F" w:rsidRPr="004C06DA" w:rsidRDefault="00605C1F" w:rsidP="00C22688">
            <w:pPr>
              <w:spacing w:before="120" w:after="120"/>
              <w:jc w:val="both"/>
              <w:rPr>
                <w:b/>
                <w:bCs/>
                <w:color w:val="191919" w:themeColor="text1" w:themeTint="E6"/>
                <w:sz w:val="22"/>
                <w:szCs w:val="22"/>
              </w:rPr>
            </w:pPr>
            <w:r w:rsidRPr="004C06DA">
              <w:rPr>
                <w:b/>
                <w:bCs/>
                <w:color w:val="191919" w:themeColor="text1" w:themeTint="E6"/>
                <w:sz w:val="22"/>
                <w:szCs w:val="22"/>
              </w:rPr>
              <w:t>Assignment Title:</w:t>
            </w:r>
          </w:p>
        </w:tc>
        <w:tc>
          <w:tcPr>
            <w:tcW w:w="3293" w:type="dxa"/>
          </w:tcPr>
          <w:p w14:paraId="150636B6" w14:textId="77777777" w:rsidR="00605C1F" w:rsidRPr="004C06DA" w:rsidRDefault="00605C1F" w:rsidP="00C22688">
            <w:pPr>
              <w:spacing w:before="100" w:beforeAutospacing="1" w:after="100" w:afterAutospacing="1"/>
              <w:rPr>
                <w:color w:val="191919" w:themeColor="text1" w:themeTint="E6"/>
                <w:sz w:val="22"/>
                <w:szCs w:val="22"/>
              </w:rPr>
            </w:pPr>
            <w:r w:rsidRPr="004C06DA">
              <w:rPr>
                <w:b/>
                <w:bCs/>
                <w:color w:val="191919" w:themeColor="text1" w:themeTint="E6"/>
                <w:sz w:val="22"/>
                <w:szCs w:val="22"/>
              </w:rPr>
              <w:t>Investigating Contemporary Issues in Secondary Education</w:t>
            </w:r>
          </w:p>
          <w:p w14:paraId="2A6D9EF0" w14:textId="77777777" w:rsidR="00605C1F" w:rsidRPr="004C06DA" w:rsidRDefault="00605C1F" w:rsidP="00C22688">
            <w:pPr>
              <w:spacing w:before="120" w:after="120"/>
              <w:jc w:val="both"/>
              <w:rPr>
                <w:b/>
                <w:color w:val="191919" w:themeColor="text1" w:themeTint="E6"/>
                <w:sz w:val="22"/>
                <w:szCs w:val="22"/>
              </w:rPr>
            </w:pPr>
          </w:p>
        </w:tc>
        <w:tc>
          <w:tcPr>
            <w:tcW w:w="2268" w:type="dxa"/>
            <w:shd w:val="clear" w:color="auto" w:fill="auto"/>
          </w:tcPr>
          <w:p w14:paraId="4A772737" w14:textId="77777777" w:rsidR="00605C1F" w:rsidRPr="004C06DA" w:rsidRDefault="00605C1F" w:rsidP="00C22688">
            <w:pPr>
              <w:spacing w:before="120" w:after="120"/>
              <w:jc w:val="both"/>
              <w:rPr>
                <w:b/>
                <w:bCs/>
                <w:color w:val="191919" w:themeColor="text1" w:themeTint="E6"/>
                <w:sz w:val="22"/>
                <w:szCs w:val="22"/>
              </w:rPr>
            </w:pPr>
            <w:r w:rsidRPr="004C06DA">
              <w:rPr>
                <w:b/>
                <w:bCs/>
                <w:color w:val="191919" w:themeColor="text1" w:themeTint="E6"/>
                <w:sz w:val="22"/>
                <w:szCs w:val="22"/>
              </w:rPr>
              <w:t>Word count (or equivalent):</w:t>
            </w:r>
          </w:p>
        </w:tc>
        <w:tc>
          <w:tcPr>
            <w:tcW w:w="2268" w:type="dxa"/>
          </w:tcPr>
          <w:p w14:paraId="58285480" w14:textId="77777777" w:rsidR="00605C1F" w:rsidRPr="004C06DA" w:rsidRDefault="00605C1F" w:rsidP="00C22688">
            <w:pPr>
              <w:spacing w:before="120" w:after="120"/>
              <w:jc w:val="both"/>
              <w:rPr>
                <w:b/>
                <w:color w:val="191919" w:themeColor="text1" w:themeTint="E6"/>
                <w:sz w:val="22"/>
                <w:szCs w:val="22"/>
              </w:rPr>
            </w:pPr>
            <w:r w:rsidRPr="004C06DA">
              <w:rPr>
                <w:b/>
                <w:color w:val="191919" w:themeColor="text1" w:themeTint="E6"/>
                <w:sz w:val="22"/>
                <w:szCs w:val="22"/>
              </w:rPr>
              <w:t>5,000 words</w:t>
            </w:r>
          </w:p>
        </w:tc>
      </w:tr>
      <w:tr w:rsidR="004C06DA" w:rsidRPr="004C06DA" w14:paraId="79B022FB" w14:textId="77777777" w:rsidTr="00C22688">
        <w:tc>
          <w:tcPr>
            <w:tcW w:w="2093" w:type="dxa"/>
            <w:shd w:val="clear" w:color="auto" w:fill="auto"/>
          </w:tcPr>
          <w:p w14:paraId="645DABF4" w14:textId="77777777" w:rsidR="00605C1F" w:rsidRPr="004C06DA" w:rsidRDefault="00605C1F" w:rsidP="00C22688">
            <w:pPr>
              <w:spacing w:before="120" w:after="120"/>
              <w:jc w:val="both"/>
              <w:rPr>
                <w:b/>
                <w:bCs/>
                <w:color w:val="191919" w:themeColor="text1" w:themeTint="E6"/>
                <w:sz w:val="22"/>
                <w:szCs w:val="22"/>
              </w:rPr>
            </w:pPr>
            <w:r w:rsidRPr="004C06DA">
              <w:rPr>
                <w:b/>
                <w:bCs/>
                <w:color w:val="191919" w:themeColor="text1" w:themeTint="E6"/>
                <w:sz w:val="22"/>
                <w:szCs w:val="22"/>
              </w:rPr>
              <w:t>Submission deadline:</w:t>
            </w:r>
          </w:p>
        </w:tc>
        <w:tc>
          <w:tcPr>
            <w:tcW w:w="3293" w:type="dxa"/>
            <w:shd w:val="clear" w:color="auto" w:fill="auto"/>
          </w:tcPr>
          <w:p w14:paraId="789A898D" w14:textId="77777777" w:rsidR="00605C1F" w:rsidRPr="004C06DA" w:rsidRDefault="00605C1F" w:rsidP="00C22688">
            <w:pPr>
              <w:spacing w:before="120" w:after="120"/>
              <w:jc w:val="both"/>
              <w:rPr>
                <w:b/>
                <w:color w:val="191919" w:themeColor="text1" w:themeTint="E6"/>
                <w:sz w:val="22"/>
                <w:szCs w:val="22"/>
              </w:rPr>
            </w:pPr>
            <w:r w:rsidRPr="004C06DA">
              <w:rPr>
                <w:b/>
                <w:color w:val="191919" w:themeColor="text1" w:themeTint="E6"/>
                <w:sz w:val="22"/>
                <w:szCs w:val="22"/>
              </w:rPr>
              <w:t>January 28th 2019</w:t>
            </w:r>
          </w:p>
          <w:p w14:paraId="5B9BE53A" w14:textId="77777777" w:rsidR="00605C1F" w:rsidRPr="004C06DA" w:rsidRDefault="00605C1F" w:rsidP="00C22688">
            <w:pPr>
              <w:spacing w:before="120" w:after="120"/>
              <w:jc w:val="both"/>
              <w:rPr>
                <w:b/>
                <w:color w:val="191919" w:themeColor="text1" w:themeTint="E6"/>
                <w:sz w:val="22"/>
                <w:szCs w:val="22"/>
              </w:rPr>
            </w:pPr>
          </w:p>
        </w:tc>
        <w:tc>
          <w:tcPr>
            <w:tcW w:w="2268" w:type="dxa"/>
            <w:shd w:val="clear" w:color="auto" w:fill="auto"/>
          </w:tcPr>
          <w:p w14:paraId="06B5B76B" w14:textId="77777777" w:rsidR="00605C1F" w:rsidRPr="004C06DA" w:rsidRDefault="00605C1F" w:rsidP="00C22688">
            <w:pPr>
              <w:spacing w:before="120" w:after="120"/>
              <w:jc w:val="both"/>
              <w:rPr>
                <w:b/>
                <w:bCs/>
                <w:color w:val="191919" w:themeColor="text1" w:themeTint="E6"/>
                <w:sz w:val="22"/>
                <w:szCs w:val="22"/>
              </w:rPr>
            </w:pPr>
            <w:r w:rsidRPr="004C06DA">
              <w:rPr>
                <w:b/>
                <w:bCs/>
                <w:color w:val="191919" w:themeColor="text1" w:themeTint="E6"/>
                <w:sz w:val="22"/>
                <w:szCs w:val="22"/>
              </w:rPr>
              <w:t>Return date of provisional marks &amp; written feedback:</w:t>
            </w:r>
          </w:p>
        </w:tc>
        <w:tc>
          <w:tcPr>
            <w:tcW w:w="2268" w:type="dxa"/>
          </w:tcPr>
          <w:p w14:paraId="044A3314" w14:textId="77777777" w:rsidR="00605C1F" w:rsidRPr="004C06DA" w:rsidRDefault="00605C1F" w:rsidP="00C22688">
            <w:pPr>
              <w:spacing w:before="120" w:after="120"/>
              <w:jc w:val="both"/>
              <w:rPr>
                <w:b/>
                <w:color w:val="191919" w:themeColor="text1" w:themeTint="E6"/>
                <w:sz w:val="22"/>
                <w:szCs w:val="22"/>
              </w:rPr>
            </w:pPr>
            <w:r w:rsidRPr="004C06DA">
              <w:rPr>
                <w:b/>
                <w:color w:val="191919" w:themeColor="text1" w:themeTint="E6"/>
                <w:sz w:val="22"/>
                <w:szCs w:val="22"/>
              </w:rPr>
              <w:t>February 19th 2019</w:t>
            </w:r>
          </w:p>
          <w:p w14:paraId="2D964A60" w14:textId="77777777" w:rsidR="00605C1F" w:rsidRPr="004C06DA" w:rsidRDefault="00605C1F" w:rsidP="00C22688">
            <w:pPr>
              <w:spacing w:before="120" w:after="120"/>
              <w:jc w:val="both"/>
              <w:rPr>
                <w:b/>
                <w:color w:val="191919" w:themeColor="text1" w:themeTint="E6"/>
                <w:sz w:val="22"/>
                <w:szCs w:val="22"/>
              </w:rPr>
            </w:pPr>
          </w:p>
        </w:tc>
      </w:tr>
      <w:tr w:rsidR="004C06DA" w:rsidRPr="004C06DA" w14:paraId="43B34821" w14:textId="77777777" w:rsidTr="00C22688">
        <w:tc>
          <w:tcPr>
            <w:tcW w:w="2093" w:type="dxa"/>
            <w:shd w:val="clear" w:color="auto" w:fill="auto"/>
          </w:tcPr>
          <w:p w14:paraId="753AFCC7" w14:textId="77777777" w:rsidR="00605C1F" w:rsidRPr="004C06DA" w:rsidRDefault="00605C1F" w:rsidP="00C22688">
            <w:pPr>
              <w:spacing w:before="120" w:after="120"/>
              <w:jc w:val="both"/>
              <w:rPr>
                <w:b/>
                <w:bCs/>
                <w:color w:val="191919" w:themeColor="text1" w:themeTint="E6"/>
                <w:sz w:val="22"/>
                <w:szCs w:val="22"/>
              </w:rPr>
            </w:pPr>
            <w:r w:rsidRPr="004C06DA">
              <w:rPr>
                <w:b/>
                <w:bCs/>
                <w:color w:val="191919" w:themeColor="text1" w:themeTint="E6"/>
                <w:sz w:val="22"/>
                <w:szCs w:val="22"/>
              </w:rPr>
              <w:t>Submission method:</w:t>
            </w:r>
          </w:p>
        </w:tc>
        <w:tc>
          <w:tcPr>
            <w:tcW w:w="7829" w:type="dxa"/>
            <w:gridSpan w:val="3"/>
            <w:shd w:val="clear" w:color="auto" w:fill="auto"/>
          </w:tcPr>
          <w:p w14:paraId="73005966" w14:textId="77777777" w:rsidR="00605C1F" w:rsidRPr="004C06DA" w:rsidRDefault="00605C1F" w:rsidP="00C22688">
            <w:pPr>
              <w:rPr>
                <w:color w:val="191919" w:themeColor="text1" w:themeTint="E6"/>
                <w:sz w:val="22"/>
                <w:szCs w:val="22"/>
              </w:rPr>
            </w:pPr>
            <w:r w:rsidRPr="004C06DA">
              <w:rPr>
                <w:color w:val="191919" w:themeColor="text1" w:themeTint="E6"/>
                <w:sz w:val="22"/>
                <w:szCs w:val="22"/>
              </w:rPr>
              <w:t xml:space="preserve">All written assessments, where practical and possible, must be submitted via </w:t>
            </w:r>
            <w:proofErr w:type="spellStart"/>
            <w:r w:rsidRPr="004C06DA">
              <w:rPr>
                <w:color w:val="191919" w:themeColor="text1" w:themeTint="E6"/>
                <w:sz w:val="22"/>
                <w:szCs w:val="22"/>
              </w:rPr>
              <w:t>Turnitin</w:t>
            </w:r>
            <w:proofErr w:type="spellEnd"/>
            <w:r w:rsidRPr="004C06DA">
              <w:rPr>
                <w:color w:val="191919" w:themeColor="text1" w:themeTint="E6"/>
                <w:sz w:val="22"/>
                <w:szCs w:val="22"/>
              </w:rPr>
              <w:t xml:space="preserve"> unless otherwise instructed by the Lecturer. (Please DO NOT put this assessment specification into </w:t>
            </w:r>
            <w:proofErr w:type="spellStart"/>
            <w:r w:rsidRPr="004C06DA">
              <w:rPr>
                <w:color w:val="191919" w:themeColor="text1" w:themeTint="E6"/>
                <w:sz w:val="22"/>
                <w:szCs w:val="22"/>
              </w:rPr>
              <w:t>Turnitin</w:t>
            </w:r>
            <w:proofErr w:type="spellEnd"/>
            <w:r w:rsidRPr="004C06DA">
              <w:rPr>
                <w:color w:val="191919" w:themeColor="text1" w:themeTint="E6"/>
                <w:sz w:val="22"/>
                <w:szCs w:val="22"/>
              </w:rPr>
              <w:t xml:space="preserve"> or it will match many similarities with other students’ submissions.)</w:t>
            </w:r>
          </w:p>
          <w:p w14:paraId="6F7288AD" w14:textId="77777777" w:rsidR="00605C1F" w:rsidRPr="004C06DA" w:rsidRDefault="00605C1F" w:rsidP="00C22688">
            <w:pPr>
              <w:spacing w:before="120" w:after="120"/>
              <w:jc w:val="both"/>
              <w:rPr>
                <w:b/>
                <w:bCs/>
                <w:color w:val="191919" w:themeColor="text1" w:themeTint="E6"/>
                <w:sz w:val="22"/>
                <w:szCs w:val="22"/>
              </w:rPr>
            </w:pPr>
            <w:r w:rsidRPr="004C06DA">
              <w:rPr>
                <w:b/>
                <w:bCs/>
                <w:color w:val="191919" w:themeColor="text1" w:themeTint="E6"/>
                <w:sz w:val="22"/>
                <w:szCs w:val="22"/>
              </w:rPr>
              <w:t xml:space="preserve">Alternative submission method (if applicable): </w:t>
            </w:r>
          </w:p>
          <w:p w14:paraId="17F240F9" w14:textId="77777777" w:rsidR="00605C1F" w:rsidRPr="004C06DA" w:rsidRDefault="00605C1F" w:rsidP="00C22688">
            <w:pPr>
              <w:spacing w:before="120" w:after="120"/>
              <w:jc w:val="both"/>
              <w:rPr>
                <w:b/>
                <w:bCs/>
                <w:color w:val="191919" w:themeColor="text1" w:themeTint="E6"/>
                <w:sz w:val="22"/>
                <w:szCs w:val="22"/>
              </w:rPr>
            </w:pPr>
            <w:r w:rsidRPr="004C06DA">
              <w:rPr>
                <w:b/>
                <w:bCs/>
                <w:color w:val="191919" w:themeColor="text1" w:themeTint="E6"/>
                <w:sz w:val="22"/>
                <w:szCs w:val="22"/>
              </w:rPr>
              <w:t xml:space="preserve">Late submission of the assessment will result in a late penalty mark.  </w:t>
            </w:r>
            <w:r w:rsidRPr="004C06DA">
              <w:rPr>
                <w:color w:val="191919" w:themeColor="text1" w:themeTint="E6"/>
                <w:sz w:val="22"/>
                <w:szCs w:val="22"/>
              </w:rPr>
              <w:t>Penalties for late submission: Up to one week late, maximum mark of 40%.  Over one week late, 0%.  Only the Extenuating Circumstances Panel may approve a change to submission dates.</w:t>
            </w:r>
          </w:p>
        </w:tc>
      </w:tr>
      <w:tr w:rsidR="00605C1F" w:rsidRPr="004C06DA" w14:paraId="206ED2A0" w14:textId="77777777" w:rsidTr="00C22688">
        <w:tc>
          <w:tcPr>
            <w:tcW w:w="2093" w:type="dxa"/>
            <w:shd w:val="clear" w:color="auto" w:fill="auto"/>
          </w:tcPr>
          <w:p w14:paraId="4FE2F241" w14:textId="77777777" w:rsidR="00605C1F" w:rsidRPr="004C06DA" w:rsidRDefault="00605C1F" w:rsidP="00C22688">
            <w:pPr>
              <w:spacing w:before="120" w:after="120"/>
              <w:rPr>
                <w:b/>
                <w:bCs/>
                <w:color w:val="191919" w:themeColor="text1" w:themeTint="E6"/>
                <w:sz w:val="22"/>
                <w:szCs w:val="22"/>
              </w:rPr>
            </w:pPr>
            <w:r w:rsidRPr="004C06DA">
              <w:rPr>
                <w:b/>
                <w:bCs/>
                <w:color w:val="191919" w:themeColor="text1" w:themeTint="E6"/>
                <w:sz w:val="22"/>
                <w:szCs w:val="22"/>
              </w:rPr>
              <w:t>Academic honesty / referencing:</w:t>
            </w:r>
          </w:p>
        </w:tc>
        <w:tc>
          <w:tcPr>
            <w:tcW w:w="7829" w:type="dxa"/>
            <w:gridSpan w:val="3"/>
            <w:shd w:val="clear" w:color="auto" w:fill="auto"/>
          </w:tcPr>
          <w:p w14:paraId="50748067" w14:textId="77777777" w:rsidR="00605C1F" w:rsidRPr="004C06DA" w:rsidRDefault="00605C1F" w:rsidP="00C22688">
            <w:pPr>
              <w:spacing w:before="120" w:after="120"/>
              <w:jc w:val="both"/>
              <w:rPr>
                <w:color w:val="191919" w:themeColor="text1" w:themeTint="E6"/>
                <w:sz w:val="22"/>
                <w:szCs w:val="22"/>
              </w:rPr>
            </w:pPr>
            <w:r w:rsidRPr="004C06DA">
              <w:rPr>
                <w:color w:val="191919" w:themeColor="text1" w:themeTint="E6"/>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6930A7B" w14:textId="77777777" w:rsidR="00605C1F" w:rsidRPr="004C06DA" w:rsidRDefault="00605C1F" w:rsidP="00605C1F">
      <w:pPr>
        <w:rPr>
          <w:color w:val="191919" w:themeColor="text1" w:themeTint="E6"/>
          <w:sz w:val="32"/>
        </w:rPr>
      </w:pPr>
    </w:p>
    <w:p w14:paraId="28D53BAA" w14:textId="4C6B99E8" w:rsidR="00605C1F" w:rsidRPr="004C06DA" w:rsidRDefault="00605C1F" w:rsidP="00605C1F">
      <w:pPr>
        <w:rPr>
          <w:color w:val="191919" w:themeColor="text1" w:themeTint="E6"/>
          <w:sz w:val="32"/>
        </w:rPr>
      </w:pPr>
    </w:p>
    <w:p w14:paraId="63CDB698" w14:textId="77777777" w:rsidR="00834645" w:rsidRPr="004C06DA" w:rsidRDefault="00834645">
      <w:pPr>
        <w:pStyle w:val="Body"/>
        <w:spacing w:line="360" w:lineRule="auto"/>
        <w:jc w:val="both"/>
        <w:rPr>
          <w:rFonts w:ascii="Times New Roman" w:hAnsi="Times New Roman" w:cs="Times New Roman"/>
          <w:color w:val="191919" w:themeColor="text1" w:themeTint="E6"/>
          <w:sz w:val="24"/>
          <w:szCs w:val="24"/>
        </w:rPr>
      </w:pPr>
    </w:p>
    <w:p w14:paraId="470A9125" w14:textId="77777777" w:rsidR="00834645" w:rsidRPr="004C06DA" w:rsidRDefault="00834645">
      <w:pPr>
        <w:rPr>
          <w:color w:val="191919" w:themeColor="text1" w:themeTint="E6"/>
          <w:lang w:eastAsia="en-GB"/>
        </w:rPr>
      </w:pPr>
      <w:r w:rsidRPr="004C06DA">
        <w:rPr>
          <w:color w:val="191919" w:themeColor="text1" w:themeTint="E6"/>
        </w:rPr>
        <w:br w:type="page"/>
      </w:r>
    </w:p>
    <w:p w14:paraId="50A8A88D" w14:textId="0EBE8B44" w:rsidR="00E13D6F" w:rsidRPr="004C06DA" w:rsidRDefault="0020437B">
      <w:pPr>
        <w:pStyle w:val="Body"/>
        <w:spacing w:line="360" w:lineRule="auto"/>
        <w:jc w:val="both"/>
        <w:rPr>
          <w:rFonts w:ascii="Times New Roman"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lastRenderedPageBreak/>
        <w:t xml:space="preserve">This paper will be looking at how strategic planning and implementation can affect a school’s improvement and what pupils have to gain from its efficient use. Using existing government policies and relevant literature to critically evaluate School X’s approach to tackling the issue of low numeracy skills in </w:t>
      </w:r>
      <w:r w:rsidR="00360E5A" w:rsidRPr="004C06DA">
        <w:rPr>
          <w:rFonts w:ascii="Times New Roman" w:hAnsi="Times New Roman" w:cs="Times New Roman"/>
          <w:color w:val="191919" w:themeColor="text1" w:themeTint="E6"/>
          <w:sz w:val="24"/>
          <w:szCs w:val="24"/>
        </w:rPr>
        <w:t>its</w:t>
      </w:r>
      <w:r w:rsidRPr="004C06DA">
        <w:rPr>
          <w:rFonts w:ascii="Times New Roman" w:hAnsi="Times New Roman" w:cs="Times New Roman"/>
          <w:color w:val="191919" w:themeColor="text1" w:themeTint="E6"/>
          <w:sz w:val="24"/>
          <w:szCs w:val="24"/>
        </w:rPr>
        <w:t xml:space="preserve"> pupils, looking at </w:t>
      </w:r>
      <w:r w:rsidR="00360E5A" w:rsidRPr="004C06DA">
        <w:rPr>
          <w:rFonts w:ascii="Times New Roman" w:hAnsi="Times New Roman" w:cs="Times New Roman"/>
          <w:color w:val="191919" w:themeColor="text1" w:themeTint="E6"/>
          <w:sz w:val="24"/>
          <w:szCs w:val="24"/>
        </w:rPr>
        <w:t>its</w:t>
      </w:r>
      <w:r w:rsidRPr="004C06DA">
        <w:rPr>
          <w:rFonts w:ascii="Times New Roman" w:hAnsi="Times New Roman" w:cs="Times New Roman"/>
          <w:color w:val="191919" w:themeColor="text1" w:themeTint="E6"/>
          <w:sz w:val="24"/>
          <w:szCs w:val="24"/>
        </w:rPr>
        <w:t xml:space="preserve"> current School Improvement Plan and the Expressive Arts and Vocational Studies’ Departmental Improvement Plan. In line with research guidelines for ethical education research provided by the British Educational Research Association, to keep the school’s identity confidential, it will be referred to as School X throughout (2018).</w:t>
      </w:r>
    </w:p>
    <w:p w14:paraId="715705AE" w14:textId="77777777" w:rsidR="00E13D6F" w:rsidRPr="004C06DA" w:rsidRDefault="00E13D6F">
      <w:pPr>
        <w:pStyle w:val="Body"/>
        <w:jc w:val="both"/>
        <w:rPr>
          <w:rFonts w:ascii="Times New Roman" w:eastAsia="Helvetica Neue" w:hAnsi="Times New Roman" w:cs="Times New Roman"/>
          <w:color w:val="191919" w:themeColor="text1" w:themeTint="E6"/>
          <w:sz w:val="24"/>
          <w:szCs w:val="24"/>
        </w:rPr>
      </w:pPr>
    </w:p>
    <w:p w14:paraId="3281E9F6" w14:textId="5FF5C550" w:rsidR="00E13D6F" w:rsidRPr="004C06DA" w:rsidRDefault="0020437B">
      <w:pPr>
        <w:pStyle w:val="Body"/>
        <w:spacing w:line="360" w:lineRule="auto"/>
        <w:jc w:val="both"/>
        <w:rPr>
          <w:rFonts w:ascii="Times New Roman"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School X is a co-educational community school that caters for an age range of 11 to 16 that is maintained by the local authority, in South Wales. There are 461 pupils, with 40 full-time members of teaching staff, which are supported by a number of part-time staff and teaching assistants. The main catchment areas for the school are both targeted areas of the local authority’s ‘Communities First’ programme, a programme that is focused on supporting the Welsh Government’s agenda to tackle poverty (</w:t>
      </w:r>
      <w:r w:rsidR="005952E6" w:rsidRPr="004C06DA">
        <w:rPr>
          <w:rFonts w:ascii="Times New Roman" w:hAnsi="Times New Roman" w:cs="Times New Roman"/>
          <w:color w:val="191919" w:themeColor="text1" w:themeTint="E6"/>
          <w:sz w:val="24"/>
          <w:szCs w:val="24"/>
        </w:rPr>
        <w:t>Local Authority</w:t>
      </w:r>
      <w:r w:rsidR="007F0960" w:rsidRPr="004C06DA">
        <w:rPr>
          <w:rFonts w:ascii="Times New Roman" w:hAnsi="Times New Roman" w:cs="Times New Roman"/>
          <w:color w:val="191919" w:themeColor="text1" w:themeTint="E6"/>
          <w:sz w:val="24"/>
          <w:szCs w:val="24"/>
        </w:rPr>
        <w:t>, 2018</w:t>
      </w:r>
      <w:r w:rsidRPr="004C06DA">
        <w:rPr>
          <w:rFonts w:ascii="Times New Roman" w:hAnsi="Times New Roman" w:cs="Times New Roman"/>
          <w:color w:val="191919" w:themeColor="text1" w:themeTint="E6"/>
          <w:sz w:val="24"/>
          <w:szCs w:val="24"/>
        </w:rPr>
        <w:t>). This is directly reflected in the number of pupils currently enlisted on the Free School Meals (FSM), which is currently at 49.8%, which is much higher than the national average of 16.6% and the local average of 18.3% (</w:t>
      </w:r>
      <w:r w:rsidR="005952E6" w:rsidRPr="004C06DA">
        <w:rPr>
          <w:rFonts w:ascii="Times New Roman" w:hAnsi="Times New Roman" w:cs="Times New Roman"/>
          <w:color w:val="191919" w:themeColor="text1" w:themeTint="E6"/>
          <w:sz w:val="24"/>
          <w:szCs w:val="24"/>
        </w:rPr>
        <w:t>WG</w:t>
      </w:r>
      <w:r w:rsidRPr="004C06DA">
        <w:rPr>
          <w:rFonts w:ascii="Times New Roman" w:hAnsi="Times New Roman" w:cs="Times New Roman"/>
          <w:color w:val="191919" w:themeColor="text1" w:themeTint="E6"/>
          <w:sz w:val="24"/>
          <w:szCs w:val="24"/>
        </w:rPr>
        <w:t>). At 63.3% the number of pupils who are recognised as Special Educational Needs (SEN) is also significantly higher than that of the local authority, 28.1%, and the national average, 2</w:t>
      </w:r>
      <w:r w:rsidR="006D33B1" w:rsidRPr="004C06DA">
        <w:rPr>
          <w:rFonts w:ascii="Times New Roman" w:hAnsi="Times New Roman" w:cs="Times New Roman"/>
          <w:color w:val="191919" w:themeColor="text1" w:themeTint="E6"/>
          <w:sz w:val="24"/>
          <w:szCs w:val="24"/>
        </w:rPr>
        <w:t>5</w:t>
      </w:r>
      <w:r w:rsidRPr="004C06DA">
        <w:rPr>
          <w:rFonts w:ascii="Times New Roman" w:hAnsi="Times New Roman" w:cs="Times New Roman"/>
          <w:color w:val="191919" w:themeColor="text1" w:themeTint="E6"/>
          <w:sz w:val="24"/>
          <w:szCs w:val="24"/>
        </w:rPr>
        <w:t>%. These two factors are likely to have a big impact on the school’s performance, as the pupils’ backgrounds and ability to cope will with standardised testing will affect the work they can produce. School X is well known in the area for having an excellent SEN unit located on school grounds that works very closely with the main school to integrate the SEN pupils into as many mainstream classes as possible.</w:t>
      </w:r>
    </w:p>
    <w:p w14:paraId="3CF93EAF" w14:textId="77777777" w:rsidR="00E13D6F" w:rsidRPr="004C06DA" w:rsidRDefault="00E13D6F">
      <w:pPr>
        <w:pStyle w:val="Body"/>
        <w:spacing w:line="360" w:lineRule="auto"/>
        <w:jc w:val="both"/>
        <w:rPr>
          <w:rFonts w:ascii="Times New Roman" w:hAnsi="Times New Roman" w:cs="Times New Roman"/>
          <w:color w:val="191919" w:themeColor="text1" w:themeTint="E6"/>
          <w:sz w:val="24"/>
          <w:szCs w:val="24"/>
        </w:rPr>
      </w:pPr>
    </w:p>
    <w:p w14:paraId="40E6A1E1" w14:textId="61859826"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 xml:space="preserve">Strategic planning in public and non-profit sectors </w:t>
      </w:r>
      <w:r w:rsidR="00673352" w:rsidRPr="004C06DA">
        <w:rPr>
          <w:rFonts w:ascii="Times New Roman" w:hAnsi="Times New Roman" w:cs="Times New Roman"/>
          <w:color w:val="191919" w:themeColor="text1" w:themeTint="E6"/>
          <w:sz w:val="24"/>
          <w:szCs w:val="24"/>
        </w:rPr>
        <w:t>is</w:t>
      </w:r>
      <w:r w:rsidRPr="004C06DA">
        <w:rPr>
          <w:rFonts w:ascii="Times New Roman" w:hAnsi="Times New Roman" w:cs="Times New Roman"/>
          <w:color w:val="191919" w:themeColor="text1" w:themeTint="E6"/>
          <w:sz w:val="24"/>
          <w:szCs w:val="24"/>
        </w:rPr>
        <w:t xml:space="preserve"> “a disciplined effort to produce fundamental decisions and actions that shape and guide what an organisation is, what it does, and why it does it” (Bryson, 1988, p5). It is often seen at a management level to be “the appropriate and reasonable integration of strategic planning and implementation across an organisation” (Bryson, 2010</w:t>
      </w:r>
      <w:r w:rsidR="006C5F40" w:rsidRPr="004C06DA">
        <w:rPr>
          <w:rFonts w:ascii="Times New Roman" w:hAnsi="Times New Roman" w:cs="Times New Roman"/>
          <w:color w:val="191919" w:themeColor="text1" w:themeTint="E6"/>
          <w:sz w:val="24"/>
          <w:szCs w:val="24"/>
        </w:rPr>
        <w:t>,</w:t>
      </w:r>
      <w:r w:rsidR="00340437" w:rsidRPr="004C06DA">
        <w:rPr>
          <w:rFonts w:ascii="Times New Roman" w:hAnsi="Times New Roman" w:cs="Times New Roman"/>
          <w:color w:val="191919" w:themeColor="text1" w:themeTint="E6"/>
          <w:sz w:val="24"/>
          <w:szCs w:val="24"/>
        </w:rPr>
        <w:t xml:space="preserve"> </w:t>
      </w:r>
      <w:r w:rsidR="006C5F40" w:rsidRPr="004C06DA">
        <w:rPr>
          <w:rFonts w:ascii="Times New Roman" w:hAnsi="Times New Roman" w:cs="Times New Roman"/>
          <w:color w:val="191919" w:themeColor="text1" w:themeTint="E6"/>
          <w:sz w:val="24"/>
          <w:szCs w:val="24"/>
        </w:rPr>
        <w:t>p</w:t>
      </w:r>
      <w:r w:rsidR="00E17D5A" w:rsidRPr="004C06DA">
        <w:rPr>
          <w:rFonts w:ascii="Times New Roman" w:hAnsi="Times New Roman" w:cs="Times New Roman"/>
          <w:color w:val="191919" w:themeColor="text1" w:themeTint="E6"/>
          <w:sz w:val="24"/>
          <w:szCs w:val="24"/>
        </w:rPr>
        <w:t>257</w:t>
      </w:r>
      <w:r w:rsidRPr="004C06DA">
        <w:rPr>
          <w:rFonts w:ascii="Times New Roman" w:hAnsi="Times New Roman" w:cs="Times New Roman"/>
          <w:color w:val="191919" w:themeColor="text1" w:themeTint="E6"/>
          <w:sz w:val="24"/>
          <w:szCs w:val="24"/>
        </w:rPr>
        <w:t>). But it is often mistaken for implementation, which is “learning to do and learning to understand something new” (Fullan, 1992, p</w:t>
      </w:r>
      <w:r w:rsidR="00E25852" w:rsidRPr="004C06DA">
        <w:rPr>
          <w:rFonts w:ascii="Times New Roman" w:hAnsi="Times New Roman" w:cs="Times New Roman"/>
          <w:color w:val="191919" w:themeColor="text1" w:themeTint="E6"/>
          <w:sz w:val="24"/>
          <w:szCs w:val="24"/>
        </w:rPr>
        <w:t>22</w:t>
      </w:r>
      <w:r w:rsidRPr="004C06DA">
        <w:rPr>
          <w:rFonts w:ascii="Times New Roman" w:hAnsi="Times New Roman" w:cs="Times New Roman"/>
          <w:color w:val="191919" w:themeColor="text1" w:themeTint="E6"/>
          <w:sz w:val="24"/>
          <w:szCs w:val="24"/>
        </w:rPr>
        <w:t xml:space="preserve">), however one cannot happen successfully without the other, as they are both orientated around action (Bryson, 2010). </w:t>
      </w:r>
    </w:p>
    <w:p w14:paraId="6ADD1A90"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3F5100BF" w14:textId="37DC9D4D"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 xml:space="preserve">In the context of a secondary school, effective strategic planning needs to have an understanding of what level the school is currently performing at, and where it wants to be, whilst keeping targets realistic for the timescale proposed for the achievement of the set targets, with good monitoring and continuous re-assessment of targets along the way. The timescale over which a school should be expected to set their targets has recently been expanded but this can make results less predictable. This then poses the question of how useful strategic planning can be, as it generally seen to be used </w:t>
      </w:r>
      <w:r w:rsidRPr="004C06DA">
        <w:rPr>
          <w:rFonts w:ascii="Times New Roman" w:hAnsi="Times New Roman" w:cs="Times New Roman"/>
          <w:color w:val="191919" w:themeColor="text1" w:themeTint="E6"/>
          <w:sz w:val="24"/>
          <w:szCs w:val="24"/>
        </w:rPr>
        <w:lastRenderedPageBreak/>
        <w:t>for more predictable and controllable circumstances during the planning stages (Davies and Ellison, 2003). This is when implementation should be taking precedent, as it “encompasses the ongoing effort to realise in practice an organisation’s mission, goals, and strategies” (Bryson, 2010</w:t>
      </w:r>
      <w:r w:rsidR="00E17D5A" w:rsidRPr="004C06DA">
        <w:rPr>
          <w:rFonts w:ascii="Times New Roman" w:hAnsi="Times New Roman" w:cs="Times New Roman"/>
          <w:color w:val="191919" w:themeColor="text1" w:themeTint="E6"/>
          <w:sz w:val="24"/>
          <w:szCs w:val="24"/>
        </w:rPr>
        <w:t>, p257</w:t>
      </w:r>
      <w:r w:rsidRPr="004C06DA">
        <w:rPr>
          <w:rFonts w:ascii="Times New Roman" w:hAnsi="Times New Roman" w:cs="Times New Roman"/>
          <w:color w:val="191919" w:themeColor="text1" w:themeTint="E6"/>
          <w:sz w:val="24"/>
          <w:szCs w:val="24"/>
        </w:rPr>
        <w:t xml:space="preserve">). In a school environment specifically, implementation should be core to all educators as “schools that foster a learning orientation among their staff as well as their students are more likely to bring about improvements” (Fullan, 1992, p23). However, without the explicit support of the headmaster and the senior leadership team, it is hard for any amount of strategic planning  or implementation to be successful, as found by Berman and McLaughlin in their 1977 study, which involved nearly 300 school districts, “projects having the </w:t>
      </w:r>
      <w:r w:rsidRPr="004C06DA">
        <w:rPr>
          <w:rFonts w:ascii="Times New Roman" w:hAnsi="Times New Roman" w:cs="Times New Roman"/>
          <w:i/>
          <w:iCs/>
          <w:color w:val="191919" w:themeColor="text1" w:themeTint="E6"/>
          <w:sz w:val="24"/>
          <w:szCs w:val="24"/>
        </w:rPr>
        <w:t>active</w:t>
      </w:r>
      <w:r w:rsidRPr="004C06DA">
        <w:rPr>
          <w:rFonts w:ascii="Times New Roman" w:hAnsi="Times New Roman" w:cs="Times New Roman"/>
          <w:color w:val="191919" w:themeColor="text1" w:themeTint="E6"/>
          <w:sz w:val="24"/>
          <w:szCs w:val="24"/>
        </w:rPr>
        <w:t xml:space="preserve"> support of the principle were most likely to fare well” (in Fullan, 1992:82). In later research Fullan also argues against this point, saying anything that is a change on a scale too large creates problems as “top-down change doesn’t work because it fails to garner ownership” (2007:11). A senior leadership team having enthusiasm does not guarantee results without the support of the teachers, as there is no singular person responsible for results, the onus is often left to the teachers to make ‘it’ happen. Without strategic planning and implementation, however, teachers would be left to try to identify and fix them on their own, where singular implementation of innovation “does not produce success on any scale” (Fullan, 2007:11). It can therefore be concluded that for lasting impact and change to be seen in schools it really must be a ‘whole school’ approach in attitude and not just in name, as supported by Fullan, “changes in beliefs and understanding are the foundation of achieving lasting reform” (2007:37).</w:t>
      </w:r>
    </w:p>
    <w:p w14:paraId="219671BC"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239604AD" w14:textId="77777777"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It is also integral that the leadership teams of schools, when planning where they would like to be by the end of the target achievement, should include the thoughts of the teachers, “to develop shared visions of what the school should be accomplishing for students” (Fullan, 1992:49). The success of the criteria is almost entirely reliant on the staff in the classrooms, therefore development of teaching and learning strategies need to be addressed. This means they need to be carefully considered when thinking of specific short-term strategies, and also in general terms when thinking of how teachers develop their individual strategies through their careers.</w:t>
      </w:r>
    </w:p>
    <w:p w14:paraId="4D3E3059"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65D19574" w14:textId="77777777"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 xml:space="preserve">Short-term implementation is often seen as innovation, and can be actioned in ways that involve no thinking or active engagement by the participants, taking away an educators autonomy in their own classroom, leaving them feeling out of control and despondent, and therefore the innovation having an overall negative or shallow effect (Fullan, 1992). In contrast, long-term development seems to garner much richer results, as teachers are in and of themselves innovators, “adding, subtracting, integrating and refining their practices and reflections” (Fullan, 1992:23). However, this can be problematic with the affects of strategic planning being less predictable over longer timescales, as previously mentioned. </w:t>
      </w:r>
    </w:p>
    <w:p w14:paraId="345F7C27"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4E2AA50E" w14:textId="77777777"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The effect of strategic planning in secondary schools is often seen in the success of the pupils’ external examination results, as the pupils’ learning is often intrinsically linked to the targets set, such as GCSE or A-Levels. As these are not released until August each year, it can be hard for a school to know whether their implementation of strategies has been successful, and which ones will then need to be reconsidered and revised for the next academic year. As a result of this many schools run their plans according to the calendar year rather than the academic year, giving themselves time to reflect on examination results.</w:t>
      </w:r>
    </w:p>
    <w:p w14:paraId="550AEF77"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1F9178DB" w14:textId="02BBBC84"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The School Improvement Plan (SIP) is a document used to clearly outline the areas in which a school needs to improve their performance. It should come with a clear set of deadlines, targets, success criteria and which key personnel are responsible for the achievement set targets. On the cover page of School X’s SIP for academic year starting 2018, there is a brief outline</w:t>
      </w:r>
      <w:r w:rsidR="00D83AD8" w:rsidRPr="004C06DA">
        <w:rPr>
          <w:rFonts w:ascii="Times New Roman" w:hAnsi="Times New Roman" w:cs="Times New Roman"/>
          <w:color w:val="191919" w:themeColor="text1" w:themeTint="E6"/>
          <w:sz w:val="24"/>
          <w:szCs w:val="24"/>
        </w:rPr>
        <w:t xml:space="preserve"> of</w:t>
      </w:r>
      <w:r w:rsidRPr="004C06DA">
        <w:rPr>
          <w:rFonts w:ascii="Times New Roman" w:hAnsi="Times New Roman" w:cs="Times New Roman"/>
          <w:color w:val="191919" w:themeColor="text1" w:themeTint="E6"/>
          <w:sz w:val="24"/>
          <w:szCs w:val="24"/>
        </w:rPr>
        <w:t xml:space="preserve"> five dates that run from the end of academic year 2017/18 to June 2019. This starts by setting a deadline by which they need to identify which priorities they need to take from July 2018 into the new academic year. There are 5 key areas the School X has chosen, and they have put them in order of priority, as shown in Appendix A. The top priority is ‘standards’, which is to say the school wants to “improve standards at the end of KS4 for all pupils”, (Appendix A). This is then divided into 5 sub-categories, number four being “improve Literacy and Numeracy skills, so that all pupils achieve at least a functioning level of literacy/numeracy by the end of KS3 and all pupils achieve recognised external qualifications by the end of Key Stage 4”, (Appendix A). This is a very vague and broad statement that is investigated further later in the document, but this too does not include any numeracy specific targets for the use of numeracy specific tasks that could be used in a cross-curricular way. Instead the focus is on a “withdrawal programme for pupils identified as requiring support”</w:t>
      </w:r>
      <w:r w:rsidR="00160CD5" w:rsidRPr="004C06DA">
        <w:rPr>
          <w:rFonts w:ascii="Times New Roman" w:hAnsi="Times New Roman" w:cs="Times New Roman"/>
          <w:color w:val="191919" w:themeColor="text1" w:themeTint="E6"/>
          <w:sz w:val="24"/>
          <w:szCs w:val="24"/>
        </w:rPr>
        <w:t xml:space="preserve"> (Appendix A)</w:t>
      </w:r>
      <w:r w:rsidRPr="004C06DA">
        <w:rPr>
          <w:rFonts w:ascii="Times New Roman" w:hAnsi="Times New Roman" w:cs="Times New Roman"/>
          <w:color w:val="191919" w:themeColor="text1" w:themeTint="E6"/>
          <w:sz w:val="24"/>
          <w:szCs w:val="24"/>
        </w:rPr>
        <w:t>, which comes with its own problems, as students who are chosen for this are then having to catch up on the lessons they are being withdrawn from. In professional conversation with colleagues they have expressed worries that those students being removed are, more often than not, removed during expressive arts subjects, and that often these are classes the students excel in, so to remove them from that can be detrimental to their well-being and overall performance.</w:t>
      </w:r>
    </w:p>
    <w:p w14:paraId="2AD62E1F"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75B41674" w14:textId="13D1354A"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 xml:space="preserve">There are two other strategies being used to tackle numeracy, but neither of them seem to be concerned with implementing numeracy across all areas of learning experiences (AOLE).  These are </w:t>
      </w:r>
      <w:r w:rsidR="00817E27" w:rsidRPr="004C06DA">
        <w:rPr>
          <w:rFonts w:ascii="Times New Roman" w:hAnsi="Times New Roman" w:cs="Times New Roman"/>
          <w:color w:val="191919" w:themeColor="text1" w:themeTint="E6"/>
          <w:sz w:val="24"/>
          <w:szCs w:val="24"/>
        </w:rPr>
        <w:t>stated in the SIP as “</w:t>
      </w:r>
      <w:r w:rsidRPr="004C06DA">
        <w:rPr>
          <w:rFonts w:ascii="Times New Roman" w:hAnsi="Times New Roman" w:cs="Times New Roman"/>
          <w:color w:val="191919" w:themeColor="text1" w:themeTint="E6"/>
          <w:sz w:val="24"/>
          <w:szCs w:val="24"/>
        </w:rPr>
        <w:t>weekly timetabled Numeracy tasks for Year 7 and 8 pupils” and “dedicated Maths and Numeracy support in form time”</w:t>
      </w:r>
      <w:r w:rsidR="00160CD5" w:rsidRPr="004C06DA">
        <w:rPr>
          <w:rFonts w:ascii="Times New Roman" w:hAnsi="Times New Roman" w:cs="Times New Roman"/>
          <w:color w:val="191919" w:themeColor="text1" w:themeTint="E6"/>
          <w:sz w:val="24"/>
          <w:szCs w:val="24"/>
        </w:rPr>
        <w:t xml:space="preserve"> (Appendix A)</w:t>
      </w:r>
      <w:r w:rsidRPr="004C06DA">
        <w:rPr>
          <w:rFonts w:ascii="Times New Roman" w:hAnsi="Times New Roman" w:cs="Times New Roman"/>
          <w:color w:val="191919" w:themeColor="text1" w:themeTint="E6"/>
          <w:sz w:val="24"/>
          <w:szCs w:val="24"/>
        </w:rPr>
        <w:t xml:space="preserve">. All three strategies have been assigned to two key personnel, with a start date of September 2018, however there is no end date given, no clear indication of what success would look like, monitoring and resource implications have also been left </w:t>
      </w:r>
      <w:r w:rsidRPr="004C06DA">
        <w:rPr>
          <w:rFonts w:ascii="Times New Roman" w:hAnsi="Times New Roman" w:cs="Times New Roman"/>
          <w:color w:val="191919" w:themeColor="text1" w:themeTint="E6"/>
          <w:sz w:val="24"/>
          <w:szCs w:val="24"/>
        </w:rPr>
        <w:lastRenderedPageBreak/>
        <w:t xml:space="preserve">blank, which could be crucial to the success of an development plan, as the perceptions of deadlines can have a negative </w:t>
      </w:r>
      <w:r w:rsidR="006373F5" w:rsidRPr="004C06DA">
        <w:rPr>
          <w:rFonts w:ascii="Times New Roman" w:hAnsi="Times New Roman" w:cs="Times New Roman"/>
          <w:color w:val="191919" w:themeColor="text1" w:themeTint="E6"/>
          <w:sz w:val="24"/>
          <w:szCs w:val="24"/>
        </w:rPr>
        <w:t>ef</w:t>
      </w:r>
      <w:r w:rsidRPr="004C06DA">
        <w:rPr>
          <w:rFonts w:ascii="Times New Roman" w:hAnsi="Times New Roman" w:cs="Times New Roman"/>
          <w:color w:val="191919" w:themeColor="text1" w:themeTint="E6"/>
          <w:sz w:val="24"/>
          <w:szCs w:val="24"/>
        </w:rPr>
        <w:t xml:space="preserve">fect on the success of a plan in any organisation (Waller et al, 2001). This suggests that although the issue of poor numeracy skills has been identified, and they have some schemes in place for the improvement of it across the school, that they have not properly considered how to test that these schemes are working and that targets are being met without relying on external examinations. To have no end point for the timescale gives no tangible deadline for when the standards must be improved by, it could be any time between the next set of external exams or over the next five years. </w:t>
      </w:r>
    </w:p>
    <w:p w14:paraId="18CE4D04"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3D6D4315" w14:textId="4C4529E1"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Literacy and Numeracy improvements are also covered in the third Priority of the SIP, ‘Teaching and Learning Experiences’. This is covered with more detail, with the targets being to use the data produced by the National Test to identify areas of weakness in Numeracy across the student body. The key personnel will also be attempting to train peer mentors who will develop their Literacy and Numeracy skills, and those they are paired with, by mentoring those that are less able. Again</w:t>
      </w:r>
      <w:r w:rsidR="005747A2" w:rsidRPr="004C06DA">
        <w:rPr>
          <w:rFonts w:ascii="Times New Roman" w:hAnsi="Times New Roman" w:cs="Times New Roman"/>
          <w:color w:val="191919" w:themeColor="text1" w:themeTint="E6"/>
          <w:sz w:val="24"/>
          <w:szCs w:val="24"/>
        </w:rPr>
        <w:t>,</w:t>
      </w:r>
      <w:r w:rsidRPr="004C06DA">
        <w:rPr>
          <w:rFonts w:ascii="Times New Roman" w:hAnsi="Times New Roman" w:cs="Times New Roman"/>
          <w:color w:val="191919" w:themeColor="text1" w:themeTint="E6"/>
          <w:sz w:val="24"/>
          <w:szCs w:val="24"/>
        </w:rPr>
        <w:t xml:space="preserve"> a start date is given but no end date, as the rest of the categories for success and monitoring are as vague or empty as with the previous priority discussed. Ensuring that Literacy and Numeracy targets are being achieved by all subjects in mentioned briefly, but there is no obvious infrastructure in place to implement this, and no real consideration for how this will be addressed or monitored. For this to be effective a deeper investigation is needed into the use and quality of numeracy tasks in all lessons.</w:t>
      </w:r>
    </w:p>
    <w:p w14:paraId="23B3520D"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315F72E6" w14:textId="187B75A7"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 xml:space="preserve">The departmental improvement plan (DIP) concerns the expressive arts and vocational studies department, which includes Art, Performing Arts, Work Skills and Health and Social Care. There is no mention of Literacy and Numeracy in the ‘whole faculty’ portion of the DIP, although the skills in the Literacy and Numeracy Framework (LNF) would only ever enhance a </w:t>
      </w:r>
      <w:r w:rsidR="00817E27" w:rsidRPr="004C06DA">
        <w:rPr>
          <w:rFonts w:ascii="Times New Roman" w:hAnsi="Times New Roman" w:cs="Times New Roman"/>
          <w:color w:val="191919" w:themeColor="text1" w:themeTint="E6"/>
          <w:sz w:val="24"/>
          <w:szCs w:val="24"/>
        </w:rPr>
        <w:t>pupil’s</w:t>
      </w:r>
      <w:r w:rsidRPr="004C06DA">
        <w:rPr>
          <w:rFonts w:ascii="Times New Roman" w:hAnsi="Times New Roman" w:cs="Times New Roman"/>
          <w:color w:val="191919" w:themeColor="text1" w:themeTint="E6"/>
          <w:sz w:val="24"/>
          <w:szCs w:val="24"/>
        </w:rPr>
        <w:t xml:space="preserve"> ability to achieve a fuller understanding of a subject. Within the Art targets Numeracy has been identified in vague terms once again, “add more group work, Numeracy and multiculturalism to scheme of work for Years 7 and 8” (Appendix B). Simply adding more numeracy tasks does not differentiate between what is a ‘good’ task that ensures and furthers a pupil’s understanding, and what is a ‘bad’ task that is simply there for the sake of box ticking, this could mean that the teacher is not ensuring that they are achieving the highest possible level of learning for their classes. Numeracy is not mentioned at all in the other subjects of this particular DIP, and as the SIP states that all subjects should be looking at raising the Literacy and Numeracy standards for all students, it can only be assumed that this is due to one of two reasons. The first is that the other subjects in the department are all achieving the required numeracy standards, and that it is only Art that has been singled out as lacking in this area. The second is that Art is the only subject taking the poor literacy and numeracy skills of the students seriously, and that the other subjects in this particular AOLE either do not know how to incorporate </w:t>
      </w:r>
      <w:r w:rsidRPr="004C06DA">
        <w:rPr>
          <w:rFonts w:ascii="Times New Roman" w:hAnsi="Times New Roman" w:cs="Times New Roman"/>
          <w:color w:val="191919" w:themeColor="text1" w:themeTint="E6"/>
          <w:sz w:val="24"/>
          <w:szCs w:val="24"/>
        </w:rPr>
        <w:lastRenderedPageBreak/>
        <w:t>numeracy into their lessons or do not deem numeracy tasks appropriate or valuable to their subject, despite it being a statutory requirement (</w:t>
      </w:r>
      <w:r w:rsidR="003058DD" w:rsidRPr="004C06DA">
        <w:rPr>
          <w:rFonts w:ascii="Times New Roman" w:hAnsi="Times New Roman" w:cs="Times New Roman"/>
          <w:color w:val="191919" w:themeColor="text1" w:themeTint="E6"/>
          <w:sz w:val="24"/>
          <w:szCs w:val="24"/>
        </w:rPr>
        <w:t>WG</w:t>
      </w:r>
      <w:r w:rsidRPr="004C06DA">
        <w:rPr>
          <w:rFonts w:ascii="Times New Roman" w:hAnsi="Times New Roman" w:cs="Times New Roman"/>
          <w:color w:val="191919" w:themeColor="text1" w:themeTint="E6"/>
          <w:sz w:val="24"/>
          <w:szCs w:val="24"/>
        </w:rPr>
        <w:t>, 2013).</w:t>
      </w:r>
    </w:p>
    <w:p w14:paraId="35C7A18B"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468D2FFB" w14:textId="4C94017A"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Wales’ performance in the 2009 PISA testing, where Wales underperformed compared to that of the other UK countries, reflecting similar results from the ‘</w:t>
      </w:r>
      <w:r w:rsidRPr="004C06DA">
        <w:rPr>
          <w:rFonts w:ascii="Times New Roman" w:hAnsi="Times New Roman" w:cs="Times New Roman"/>
          <w:color w:val="191919" w:themeColor="text1" w:themeTint="E6"/>
          <w:sz w:val="24"/>
          <w:szCs w:val="24"/>
          <w:lang w:val="de-DE"/>
        </w:rPr>
        <w:t>Millennium Cohort Study</w:t>
      </w:r>
      <w:r w:rsidRPr="004C06DA">
        <w:rPr>
          <w:rFonts w:ascii="Times New Roman" w:hAnsi="Times New Roman" w:cs="Times New Roman"/>
          <w:color w:val="191919" w:themeColor="text1" w:themeTint="E6"/>
          <w:sz w:val="24"/>
          <w:szCs w:val="24"/>
        </w:rPr>
        <w:t>’, (</w:t>
      </w:r>
      <w:proofErr w:type="spellStart"/>
      <w:r w:rsidRPr="004C06DA">
        <w:rPr>
          <w:rFonts w:ascii="Times New Roman" w:hAnsi="Times New Roman" w:cs="Times New Roman"/>
          <w:color w:val="191919" w:themeColor="text1" w:themeTint="E6"/>
          <w:sz w:val="24"/>
          <w:szCs w:val="24"/>
        </w:rPr>
        <w:t>Dauncey</w:t>
      </w:r>
      <w:proofErr w:type="spellEnd"/>
      <w:r w:rsidRPr="004C06DA">
        <w:rPr>
          <w:rFonts w:ascii="Times New Roman" w:hAnsi="Times New Roman" w:cs="Times New Roman"/>
          <w:color w:val="191919" w:themeColor="text1" w:themeTint="E6"/>
          <w:sz w:val="24"/>
          <w:szCs w:val="24"/>
        </w:rPr>
        <w:t>, 2013), and students in Wales were getting lower GCSE results in Mathematics and English Language. As a direct result of this the Welsh Government began the implementation of the Literacy and Numeracy Framework (LNF), after its initial announcement by the Minister for Education and Skills in 2011 (WG, 2013). In the documentation for the LNF the Welsh Government recognised that “literacy and numeracy skills are absolutely essential in order for young people to reach their potential” (WG, 2013</w:t>
      </w:r>
      <w:r w:rsidR="00BF0D74" w:rsidRPr="004C06DA">
        <w:rPr>
          <w:rFonts w:ascii="Times New Roman" w:hAnsi="Times New Roman" w:cs="Times New Roman"/>
          <w:color w:val="191919" w:themeColor="text1" w:themeTint="E6"/>
          <w:sz w:val="24"/>
          <w:szCs w:val="24"/>
        </w:rPr>
        <w:t>, p</w:t>
      </w:r>
      <w:r w:rsidR="003B5D4E" w:rsidRPr="004C06DA">
        <w:rPr>
          <w:rFonts w:ascii="Times New Roman" w:hAnsi="Times New Roman" w:cs="Times New Roman"/>
          <w:color w:val="191919" w:themeColor="text1" w:themeTint="E6"/>
          <w:sz w:val="24"/>
          <w:szCs w:val="24"/>
        </w:rPr>
        <w:t>2</w:t>
      </w:r>
      <w:r w:rsidRPr="004C06DA">
        <w:rPr>
          <w:rFonts w:ascii="Times New Roman" w:hAnsi="Times New Roman" w:cs="Times New Roman"/>
          <w:color w:val="191919" w:themeColor="text1" w:themeTint="E6"/>
          <w:sz w:val="24"/>
          <w:szCs w:val="24"/>
        </w:rPr>
        <w:t>), no matter what their future held. Although there was previously the non-statutory ‘Skills Framework for 3 to 19-year-olds in Wales’, introduced in 2008, an Estyn report into its performance found that it was ineffective in its purpose of developing pupils’ skills in thinking, communication, ICT &amp; number (</w:t>
      </w:r>
      <w:r w:rsidR="00785062" w:rsidRPr="004C06DA">
        <w:rPr>
          <w:rFonts w:ascii="Times New Roman" w:hAnsi="Times New Roman" w:cs="Times New Roman"/>
          <w:color w:val="191919" w:themeColor="text1" w:themeTint="E6"/>
          <w:sz w:val="24"/>
          <w:szCs w:val="24"/>
        </w:rPr>
        <w:t>Estyn, 2012</w:t>
      </w:r>
      <w:r w:rsidRPr="004C06DA">
        <w:rPr>
          <w:rFonts w:ascii="Times New Roman" w:hAnsi="Times New Roman" w:cs="Times New Roman"/>
          <w:color w:val="191919" w:themeColor="text1" w:themeTint="E6"/>
          <w:sz w:val="24"/>
          <w:szCs w:val="24"/>
        </w:rPr>
        <w:t>). Therefore the LNF was devised to replace it in September 2013, and became a statutory curriculum requirement, with assessment against it also becoming a statutory requirement as of September 2014.</w:t>
      </w:r>
    </w:p>
    <w:p w14:paraId="31768BE6"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2BE1B69F" w14:textId="28D91A2B"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The purpose of the LNF is first and foremost a planning tool for the curriculum, but it also produces data that schools are expected to use as part of their strategic planning and targets (WG, 2013). It is broken down into key features, with literacy dominating most of it and numeracy being reduced to “developing numerical reasoning, using number skills, using measuring skills and using data skills” (WG, 2013</w:t>
      </w:r>
      <w:r w:rsidR="003B5D4E" w:rsidRPr="004C06DA">
        <w:rPr>
          <w:rFonts w:ascii="Times New Roman" w:hAnsi="Times New Roman" w:cs="Times New Roman"/>
          <w:color w:val="191919" w:themeColor="text1" w:themeTint="E6"/>
          <w:sz w:val="24"/>
          <w:szCs w:val="24"/>
        </w:rPr>
        <w:t>, p4</w:t>
      </w:r>
      <w:r w:rsidRPr="004C06DA">
        <w:rPr>
          <w:rFonts w:ascii="Times New Roman" w:hAnsi="Times New Roman" w:cs="Times New Roman"/>
          <w:color w:val="191919" w:themeColor="text1" w:themeTint="E6"/>
          <w:sz w:val="24"/>
          <w:szCs w:val="24"/>
        </w:rPr>
        <w:t>). In these broad strokes it could be argued that these strands of numeracy are being used informally in most lessons, the challenge most non-mathematical teachers would face would be figuring out how to formally assess them.</w:t>
      </w:r>
    </w:p>
    <w:p w14:paraId="0D27B0DB"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46B872C9" w14:textId="7EABA340"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In 2013 a Numeracy coordinator would have been appointed at each school, usually a role given to an existing maths teacher, and often their biggest issue was to convince teachers from non-mathematical Areas of Learning Experience (AOLE) the numeracy was key to the pupils’ learning and that it was the responsibility of all teachers (Gough, 2007). Using the LNF they will have compiled a numeracy policy in much the same style as the literacy coordinator, typically that would start with a definition of numeracy that would be broad enough to ensure all teachers across all AOLEs could easily see how numeracy could be applied to their specialist subject. It would also include a timetable for how often teachers could meet with the numeracy coordinator to discuss issues and the needs of particular students. This would help encourage the creativity that all teaching requires (Wells, 20</w:t>
      </w:r>
      <w:r w:rsidR="00683C9B" w:rsidRPr="004C06DA">
        <w:rPr>
          <w:rFonts w:ascii="Times New Roman" w:hAnsi="Times New Roman" w:cs="Times New Roman"/>
          <w:color w:val="191919" w:themeColor="text1" w:themeTint="E6"/>
          <w:sz w:val="24"/>
          <w:szCs w:val="24"/>
        </w:rPr>
        <w:t>03</w:t>
      </w:r>
      <w:r w:rsidRPr="004C06DA">
        <w:rPr>
          <w:rFonts w:ascii="Times New Roman" w:hAnsi="Times New Roman" w:cs="Times New Roman"/>
          <w:color w:val="191919" w:themeColor="text1" w:themeTint="E6"/>
          <w:sz w:val="24"/>
          <w:szCs w:val="24"/>
        </w:rPr>
        <w:t xml:space="preserve">), tackle the problem of “a lack of coordinated cross-curricular approaches to numeracy” (Carter, </w:t>
      </w:r>
      <w:proofErr w:type="spellStart"/>
      <w:r w:rsidRPr="004C06DA">
        <w:rPr>
          <w:rFonts w:ascii="Times New Roman" w:hAnsi="Times New Roman" w:cs="Times New Roman"/>
          <w:color w:val="191919" w:themeColor="text1" w:themeTint="E6"/>
          <w:sz w:val="24"/>
          <w:szCs w:val="24"/>
        </w:rPr>
        <w:t>Klenowski</w:t>
      </w:r>
      <w:proofErr w:type="spellEnd"/>
      <w:r w:rsidRPr="004C06DA">
        <w:rPr>
          <w:rFonts w:ascii="Times New Roman" w:hAnsi="Times New Roman" w:cs="Times New Roman"/>
          <w:color w:val="191919" w:themeColor="text1" w:themeTint="E6"/>
          <w:sz w:val="24"/>
          <w:szCs w:val="24"/>
        </w:rPr>
        <w:t xml:space="preserve"> and Chalmers, 2015</w:t>
      </w:r>
      <w:r w:rsidR="00B07461" w:rsidRPr="004C06DA">
        <w:rPr>
          <w:rFonts w:ascii="Times New Roman" w:hAnsi="Times New Roman" w:cs="Times New Roman"/>
          <w:color w:val="191919" w:themeColor="text1" w:themeTint="E6"/>
          <w:sz w:val="24"/>
          <w:szCs w:val="24"/>
        </w:rPr>
        <w:t>, p</w:t>
      </w:r>
      <w:r w:rsidR="000D19C9" w:rsidRPr="004C06DA">
        <w:rPr>
          <w:rFonts w:ascii="Times New Roman" w:hAnsi="Times New Roman" w:cs="Times New Roman"/>
          <w:color w:val="191919" w:themeColor="text1" w:themeTint="E6"/>
          <w:sz w:val="24"/>
          <w:szCs w:val="24"/>
        </w:rPr>
        <w:t>610</w:t>
      </w:r>
      <w:r w:rsidRPr="004C06DA">
        <w:rPr>
          <w:rFonts w:ascii="Times New Roman" w:hAnsi="Times New Roman" w:cs="Times New Roman"/>
          <w:color w:val="191919" w:themeColor="text1" w:themeTint="E6"/>
          <w:sz w:val="24"/>
          <w:szCs w:val="24"/>
        </w:rPr>
        <w:t xml:space="preserve">), and provide an opportunity for </w:t>
      </w:r>
      <w:r w:rsidRPr="004C06DA">
        <w:rPr>
          <w:rFonts w:ascii="Times New Roman" w:hAnsi="Times New Roman" w:cs="Times New Roman"/>
          <w:color w:val="191919" w:themeColor="text1" w:themeTint="E6"/>
          <w:sz w:val="24"/>
          <w:szCs w:val="24"/>
        </w:rPr>
        <w:lastRenderedPageBreak/>
        <w:t>“mathem</w:t>
      </w:r>
      <w:r w:rsidR="007A3975" w:rsidRPr="004C06DA">
        <w:rPr>
          <w:rFonts w:ascii="Times New Roman" w:hAnsi="Times New Roman" w:cs="Times New Roman"/>
          <w:color w:val="191919" w:themeColor="text1" w:themeTint="E6"/>
          <w:sz w:val="24"/>
          <w:szCs w:val="24"/>
        </w:rPr>
        <w:t>atics specialist teachers...</w:t>
      </w:r>
      <w:r w:rsidRPr="004C06DA">
        <w:rPr>
          <w:rFonts w:ascii="Times New Roman" w:hAnsi="Times New Roman" w:cs="Times New Roman"/>
          <w:color w:val="191919" w:themeColor="text1" w:themeTint="E6"/>
          <w:sz w:val="24"/>
          <w:szCs w:val="24"/>
        </w:rPr>
        <w:t xml:space="preserve"> attempt to show the potential and sometimes necessary applicability of the mathematics they are teaching to non-mathematics contexts” (Gough, 2007</w:t>
      </w:r>
      <w:r w:rsidR="00683C9B" w:rsidRPr="004C06DA">
        <w:rPr>
          <w:rFonts w:ascii="Times New Roman" w:hAnsi="Times New Roman" w:cs="Times New Roman"/>
          <w:color w:val="191919" w:themeColor="text1" w:themeTint="E6"/>
          <w:sz w:val="24"/>
          <w:szCs w:val="24"/>
        </w:rPr>
        <w:t>, p33</w:t>
      </w:r>
      <w:r w:rsidRPr="004C06DA">
        <w:rPr>
          <w:rFonts w:ascii="Times New Roman" w:hAnsi="Times New Roman" w:cs="Times New Roman"/>
          <w:color w:val="191919" w:themeColor="text1" w:themeTint="E6"/>
          <w:sz w:val="24"/>
          <w:szCs w:val="24"/>
        </w:rPr>
        <w:t>).</w:t>
      </w:r>
    </w:p>
    <w:p w14:paraId="2D186FD3"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1D86AD39" w14:textId="48FECDEC"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So far the success of the LNF ca</w:t>
      </w:r>
      <w:r w:rsidR="005747A2" w:rsidRPr="004C06DA">
        <w:rPr>
          <w:rFonts w:ascii="Times New Roman" w:hAnsi="Times New Roman" w:cs="Times New Roman"/>
          <w:color w:val="191919" w:themeColor="text1" w:themeTint="E6"/>
          <w:sz w:val="24"/>
          <w:szCs w:val="24"/>
        </w:rPr>
        <w:t>n</w:t>
      </w:r>
      <w:r w:rsidRPr="004C06DA">
        <w:rPr>
          <w:rFonts w:ascii="Times New Roman" w:hAnsi="Times New Roman" w:cs="Times New Roman"/>
          <w:color w:val="191919" w:themeColor="text1" w:themeTint="E6"/>
          <w:sz w:val="24"/>
          <w:szCs w:val="24"/>
        </w:rPr>
        <w:t xml:space="preserve"> be assessed a number of ways, which the Welsh Government attempted to do in September 2017, in the ‘Evaluation of the National Literacy and Numeracy </w:t>
      </w:r>
      <w:proofErr w:type="spellStart"/>
      <w:r w:rsidRPr="004C06DA">
        <w:rPr>
          <w:rFonts w:ascii="Times New Roman" w:hAnsi="Times New Roman" w:cs="Times New Roman"/>
          <w:color w:val="191919" w:themeColor="text1" w:themeTint="E6"/>
          <w:sz w:val="24"/>
          <w:szCs w:val="24"/>
        </w:rPr>
        <w:t>Programmes</w:t>
      </w:r>
      <w:proofErr w:type="spellEnd"/>
      <w:r w:rsidRPr="004C06DA">
        <w:rPr>
          <w:rFonts w:ascii="Times New Roman" w:hAnsi="Times New Roman" w:cs="Times New Roman"/>
          <w:color w:val="191919" w:themeColor="text1" w:themeTint="E6"/>
          <w:sz w:val="24"/>
          <w:szCs w:val="24"/>
        </w:rPr>
        <w:t xml:space="preserve"> Final Report’ (2017). The main three objectives of the report was to measure whether the LNF was having a positive or negative impact on: the quality of teaching; supporting learning with the use of assessment data; and the collaboration quality and frequency between practitioners. Overall it claimed to have performed well against all three objectives, having a positive impact on all, and that the learning outcomes of pupils, from Key Stage 2 through to Key Stage 4, in 2015 showed “notable increases in the performance in English, Welsh and Maths” (WG, 2017</w:t>
      </w:r>
      <w:r w:rsidR="008A126F" w:rsidRPr="004C06DA">
        <w:rPr>
          <w:rFonts w:ascii="Times New Roman" w:hAnsi="Times New Roman" w:cs="Times New Roman"/>
          <w:color w:val="191919" w:themeColor="text1" w:themeTint="E6"/>
          <w:sz w:val="24"/>
          <w:szCs w:val="24"/>
        </w:rPr>
        <w:t>, p97</w:t>
      </w:r>
      <w:r w:rsidRPr="004C06DA">
        <w:rPr>
          <w:rFonts w:ascii="Times New Roman" w:hAnsi="Times New Roman" w:cs="Times New Roman"/>
          <w:color w:val="191919" w:themeColor="text1" w:themeTint="E6"/>
          <w:sz w:val="24"/>
          <w:szCs w:val="24"/>
        </w:rPr>
        <w:t>), compared to outcomes in 2011, however the same report did acknowledge that four years is too short a timescale to truly assess the impact of the LNF. The quality of teaching was considered to have had an improvement, although that had slower progress in secondary schools than primary schools, where teachers are used to teaching their specialist subjects and “are less familiar with teaching literacy and numeracy across the curriculum” (WG</w:t>
      </w:r>
      <w:r w:rsidR="008A126F" w:rsidRPr="004C06DA">
        <w:rPr>
          <w:rFonts w:ascii="Times New Roman" w:hAnsi="Times New Roman" w:cs="Times New Roman"/>
          <w:color w:val="191919" w:themeColor="text1" w:themeTint="E6"/>
          <w:sz w:val="24"/>
          <w:szCs w:val="24"/>
        </w:rPr>
        <w:t>,</w:t>
      </w:r>
      <w:r w:rsidRPr="004C06DA">
        <w:rPr>
          <w:rFonts w:ascii="Times New Roman" w:hAnsi="Times New Roman" w:cs="Times New Roman"/>
          <w:color w:val="191919" w:themeColor="text1" w:themeTint="E6"/>
          <w:sz w:val="24"/>
          <w:szCs w:val="24"/>
        </w:rPr>
        <w:t xml:space="preserve"> 2017</w:t>
      </w:r>
      <w:r w:rsidR="008A126F" w:rsidRPr="004C06DA">
        <w:rPr>
          <w:rFonts w:ascii="Times New Roman" w:hAnsi="Times New Roman" w:cs="Times New Roman"/>
          <w:color w:val="191919" w:themeColor="text1" w:themeTint="E6"/>
          <w:sz w:val="24"/>
          <w:szCs w:val="24"/>
        </w:rPr>
        <w:t xml:space="preserve">, </w:t>
      </w:r>
      <w:r w:rsidR="005F250B" w:rsidRPr="004C06DA">
        <w:rPr>
          <w:rFonts w:ascii="Times New Roman" w:hAnsi="Times New Roman" w:cs="Times New Roman"/>
          <w:color w:val="191919" w:themeColor="text1" w:themeTint="E6"/>
          <w:sz w:val="24"/>
          <w:szCs w:val="24"/>
        </w:rPr>
        <w:t>p</w:t>
      </w:r>
      <w:r w:rsidR="008A126F" w:rsidRPr="004C06DA">
        <w:rPr>
          <w:rFonts w:ascii="Times New Roman" w:hAnsi="Times New Roman" w:cs="Times New Roman"/>
          <w:color w:val="191919" w:themeColor="text1" w:themeTint="E6"/>
          <w:sz w:val="24"/>
          <w:szCs w:val="24"/>
        </w:rPr>
        <w:t>97</w:t>
      </w:r>
      <w:r w:rsidRPr="004C06DA">
        <w:rPr>
          <w:rFonts w:ascii="Times New Roman" w:hAnsi="Times New Roman" w:cs="Times New Roman"/>
          <w:color w:val="191919" w:themeColor="text1" w:themeTint="E6"/>
          <w:sz w:val="24"/>
          <w:szCs w:val="24"/>
        </w:rPr>
        <w:t>). This is where maths teachers should be showing the way, by supporting their colleagues and providing exemplars of how numeracy can be used in their subject areas (Gough</w:t>
      </w:r>
      <w:r w:rsidR="008A126F" w:rsidRPr="004C06DA">
        <w:rPr>
          <w:rFonts w:ascii="Times New Roman" w:hAnsi="Times New Roman" w:cs="Times New Roman"/>
          <w:color w:val="191919" w:themeColor="text1" w:themeTint="E6"/>
          <w:sz w:val="24"/>
          <w:szCs w:val="24"/>
        </w:rPr>
        <w:t>,</w:t>
      </w:r>
      <w:r w:rsidRPr="004C06DA">
        <w:rPr>
          <w:rFonts w:ascii="Times New Roman" w:hAnsi="Times New Roman" w:cs="Times New Roman"/>
          <w:color w:val="191919" w:themeColor="text1" w:themeTint="E6"/>
          <w:sz w:val="24"/>
          <w:szCs w:val="24"/>
        </w:rPr>
        <w:t xml:space="preserve"> 2017). </w:t>
      </w:r>
    </w:p>
    <w:p w14:paraId="52B026B1"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4AC93CFA" w14:textId="5DA0131D"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Schools using assessment data to support pupils’ learning was found to be difficult to judge, as they were left to their own devices as to how to use the data, some used it for strategic planning the school development, whilst others used it to target the needs of specific pupils (WG, 2017). There could be an argument that this data should be used as part of the national testing data that is used to build the national school league tables, however this is always met with the argument that league tables for schools should be abolished altogether and that we should be moving to “a system of minimum standards for all schools to meet” (Wells, 2011</w:t>
      </w:r>
      <w:r w:rsidR="004E2977" w:rsidRPr="004C06DA">
        <w:rPr>
          <w:rFonts w:ascii="Times New Roman" w:hAnsi="Times New Roman" w:cs="Times New Roman"/>
          <w:color w:val="191919" w:themeColor="text1" w:themeTint="E6"/>
          <w:sz w:val="24"/>
          <w:szCs w:val="24"/>
        </w:rPr>
        <w:t>, p</w:t>
      </w:r>
      <w:r w:rsidR="00AF644D" w:rsidRPr="004C06DA">
        <w:rPr>
          <w:rFonts w:ascii="Times New Roman" w:hAnsi="Times New Roman" w:cs="Times New Roman"/>
          <w:color w:val="191919" w:themeColor="text1" w:themeTint="E6"/>
          <w:sz w:val="24"/>
          <w:szCs w:val="24"/>
        </w:rPr>
        <w:t>10</w:t>
      </w:r>
      <w:r w:rsidRPr="004C06DA">
        <w:rPr>
          <w:rFonts w:ascii="Times New Roman" w:hAnsi="Times New Roman" w:cs="Times New Roman"/>
          <w:color w:val="191919" w:themeColor="text1" w:themeTint="E6"/>
          <w:sz w:val="24"/>
          <w:szCs w:val="24"/>
        </w:rPr>
        <w:t>). This would also mean re-fashioning targets to fit the minimum standards, not relying on simplistic standards, and for bottom-up development of targets, “after all teachers have used targets with individual children and groups of children for many years” (Wells, 2011</w:t>
      </w:r>
      <w:r w:rsidR="00AF644D" w:rsidRPr="004C06DA">
        <w:rPr>
          <w:rFonts w:ascii="Times New Roman" w:hAnsi="Times New Roman" w:cs="Times New Roman"/>
          <w:color w:val="191919" w:themeColor="text1" w:themeTint="E6"/>
          <w:sz w:val="24"/>
          <w:szCs w:val="24"/>
        </w:rPr>
        <w:t>, p10</w:t>
      </w:r>
      <w:r w:rsidRPr="004C06DA">
        <w:rPr>
          <w:rFonts w:ascii="Times New Roman" w:hAnsi="Times New Roman" w:cs="Times New Roman"/>
          <w:color w:val="191919" w:themeColor="text1" w:themeTint="E6"/>
          <w:sz w:val="24"/>
          <w:szCs w:val="24"/>
        </w:rPr>
        <w:t xml:space="preserve">). The final area of assessment that the report considered was the quality and frequency of collaborative activity between schools and teachers. It found that although there had been a positive impact and improvement in this area, most of that could be attributed to Consortia, who facilitated most of the activity (WG, 2017). This is something that will have to be improved upon further come the implementation in 2022 of Donaldson’s ‘Successful Futures’ Curriculum, which sees subjects within AOLEs collaborating to produce a greater theme of work, and also has pioneer schools teaching joining schools how to implement the new curriculum and how to therefore achieve the targets set (Donaldson, 2015). This will involve a change in pedagogy for many teachers, </w:t>
      </w:r>
      <w:r w:rsidRPr="004C06DA">
        <w:rPr>
          <w:rFonts w:ascii="Times New Roman" w:hAnsi="Times New Roman" w:cs="Times New Roman"/>
          <w:color w:val="191919" w:themeColor="text1" w:themeTint="E6"/>
          <w:sz w:val="24"/>
          <w:szCs w:val="24"/>
        </w:rPr>
        <w:lastRenderedPageBreak/>
        <w:t>encouraging creative teaching and therefore creative numeracy tasks, which Smith says is the key to Wales growing socially and economically in the new creative-led economy that Wales finds itself in, “ground a quality education in both creativity and practice” (2013:p3).</w:t>
      </w:r>
    </w:p>
    <w:p w14:paraId="25351325"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002C417F" w14:textId="142452C4"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 xml:space="preserve">The Warnock Committee found when they reported on ‘Special Educational Needs’ in 1978 that around 20% of children will need access to teaching and learning experiences that accommodate for special educational needs (SEN) at some point during their education, and that segregating those pupils did not have any real benefits, that they should be integrated into the mainstream schooling experience of their peer, </w:t>
      </w:r>
      <w:r w:rsidR="00BE7C4D" w:rsidRPr="004C06DA">
        <w:rPr>
          <w:rFonts w:ascii="Times New Roman" w:hAnsi="Times New Roman" w:cs="Times New Roman"/>
          <w:color w:val="191919" w:themeColor="text1" w:themeTint="E6"/>
          <w:sz w:val="24"/>
          <w:szCs w:val="24"/>
        </w:rPr>
        <w:t>through function, location and social circumstances</w:t>
      </w:r>
      <w:r w:rsidRPr="004C06DA">
        <w:rPr>
          <w:rFonts w:ascii="Times New Roman" w:hAnsi="Times New Roman" w:cs="Times New Roman"/>
          <w:color w:val="191919" w:themeColor="text1" w:themeTint="E6"/>
          <w:sz w:val="24"/>
          <w:szCs w:val="24"/>
        </w:rPr>
        <w:t xml:space="preserve"> (</w:t>
      </w:r>
      <w:proofErr w:type="spellStart"/>
      <w:r w:rsidRPr="004C06DA">
        <w:rPr>
          <w:rFonts w:ascii="Times New Roman" w:hAnsi="Times New Roman" w:cs="Times New Roman"/>
          <w:color w:val="191919" w:themeColor="text1" w:themeTint="E6"/>
          <w:sz w:val="24"/>
          <w:szCs w:val="24"/>
        </w:rPr>
        <w:t>Chitty</w:t>
      </w:r>
      <w:proofErr w:type="spellEnd"/>
      <w:r w:rsidRPr="004C06DA">
        <w:rPr>
          <w:rFonts w:ascii="Times New Roman" w:hAnsi="Times New Roman" w:cs="Times New Roman"/>
          <w:color w:val="191919" w:themeColor="text1" w:themeTint="E6"/>
          <w:sz w:val="24"/>
          <w:szCs w:val="24"/>
        </w:rPr>
        <w:t xml:space="preserve">, 2014) Although this is a tremendous task for some pupils, School X does this to great effect, with the most recent Estyn inspection report </w:t>
      </w:r>
      <w:proofErr w:type="spellStart"/>
      <w:r w:rsidRPr="004C06DA">
        <w:rPr>
          <w:rFonts w:ascii="Times New Roman" w:hAnsi="Times New Roman" w:cs="Times New Roman"/>
          <w:color w:val="191919" w:themeColor="text1" w:themeTint="E6"/>
          <w:sz w:val="24"/>
          <w:szCs w:val="24"/>
        </w:rPr>
        <w:t>recognising</w:t>
      </w:r>
      <w:proofErr w:type="spellEnd"/>
      <w:r w:rsidRPr="004C06DA">
        <w:rPr>
          <w:rFonts w:ascii="Times New Roman" w:hAnsi="Times New Roman" w:cs="Times New Roman"/>
          <w:color w:val="191919" w:themeColor="text1" w:themeTint="E6"/>
          <w:sz w:val="24"/>
          <w:szCs w:val="24"/>
        </w:rPr>
        <w:t xml:space="preserve"> the pupils ability to progress very well abasing their </w:t>
      </w:r>
      <w:proofErr w:type="spellStart"/>
      <w:r w:rsidRPr="004C06DA">
        <w:rPr>
          <w:rFonts w:ascii="Times New Roman" w:hAnsi="Times New Roman" w:cs="Times New Roman"/>
          <w:color w:val="191919" w:themeColor="text1" w:themeTint="E6"/>
          <w:sz w:val="24"/>
          <w:szCs w:val="24"/>
        </w:rPr>
        <w:t>personalised</w:t>
      </w:r>
      <w:proofErr w:type="spellEnd"/>
      <w:r w:rsidRPr="004C06DA">
        <w:rPr>
          <w:rFonts w:ascii="Times New Roman" w:hAnsi="Times New Roman" w:cs="Times New Roman"/>
          <w:color w:val="191919" w:themeColor="text1" w:themeTint="E6"/>
          <w:sz w:val="24"/>
          <w:szCs w:val="24"/>
        </w:rPr>
        <w:t xml:space="preserve"> targets (Estyn, 2016). When considering the number of SEN pupils at School X compared to that of other schools in the local authority and the national average, previously discussed in this report, this is a significant response. Especially when also considering the school’s banding in the relatively new ‘National School Categorisation System’ is built. It was introduced in September 2014 after the report, ‘The Future Delivery of Education Services in Wales’ found that “regional consortia should ac</w:t>
      </w:r>
      <w:r w:rsidR="007A3975" w:rsidRPr="004C06DA">
        <w:rPr>
          <w:rFonts w:ascii="Times New Roman" w:hAnsi="Times New Roman" w:cs="Times New Roman"/>
          <w:color w:val="191919" w:themeColor="text1" w:themeTint="E6"/>
          <w:sz w:val="24"/>
          <w:szCs w:val="24"/>
        </w:rPr>
        <w:t>hieve a common understanding of</w:t>
      </w:r>
      <w:r w:rsidRPr="004C06DA">
        <w:rPr>
          <w:rFonts w:ascii="Times New Roman" w:hAnsi="Times New Roman" w:cs="Times New Roman"/>
          <w:color w:val="191919" w:themeColor="text1" w:themeTint="E6"/>
          <w:sz w:val="24"/>
          <w:szCs w:val="24"/>
        </w:rPr>
        <w:t xml:space="preserve"> how to apply a four-level categorisation to measure school’s performance” (Hill, 201</w:t>
      </w:r>
      <w:r w:rsidR="00487A43" w:rsidRPr="004C06DA">
        <w:rPr>
          <w:rFonts w:ascii="Times New Roman" w:hAnsi="Times New Roman" w:cs="Times New Roman"/>
          <w:color w:val="191919" w:themeColor="text1" w:themeTint="E6"/>
          <w:sz w:val="24"/>
          <w:szCs w:val="24"/>
        </w:rPr>
        <w:t>3</w:t>
      </w:r>
      <w:r w:rsidR="003113E7" w:rsidRPr="004C06DA">
        <w:rPr>
          <w:rFonts w:ascii="Times New Roman" w:hAnsi="Times New Roman" w:cs="Times New Roman"/>
          <w:color w:val="191919" w:themeColor="text1" w:themeTint="E6"/>
          <w:sz w:val="24"/>
          <w:szCs w:val="24"/>
        </w:rPr>
        <w:t>, p93</w:t>
      </w:r>
      <w:r w:rsidRPr="004C06DA">
        <w:rPr>
          <w:rFonts w:ascii="Times New Roman" w:hAnsi="Times New Roman" w:cs="Times New Roman"/>
          <w:color w:val="191919" w:themeColor="text1" w:themeTint="E6"/>
          <w:sz w:val="24"/>
          <w:szCs w:val="24"/>
        </w:rPr>
        <w:t>). This meant that the standards groups that schools were previously placed in have been abolished and they are now evaluated against a much broader set of data that, considered alongside local context, is then used to be placed in a support band. The support bands are divided into four categories, as had been advised, red, amber, yellow and green. The banding a school is placed in will then dictate the maximum amount of support a school will receive from its challenge advisor, with green requiring the least amount of support and red getting intensive support. The challenge advisor will then “determine the nature of the support package to be provided to each school according to need” (WG, 2018</w:t>
      </w:r>
      <w:r w:rsidR="00477479" w:rsidRPr="004C06DA">
        <w:rPr>
          <w:rFonts w:ascii="Times New Roman" w:hAnsi="Times New Roman" w:cs="Times New Roman"/>
          <w:color w:val="191919" w:themeColor="text1" w:themeTint="E6"/>
          <w:sz w:val="24"/>
          <w:szCs w:val="24"/>
        </w:rPr>
        <w:t>, p17</w:t>
      </w:r>
      <w:r w:rsidRPr="004C06DA">
        <w:rPr>
          <w:rFonts w:ascii="Times New Roman" w:hAnsi="Times New Roman" w:cs="Times New Roman"/>
          <w:color w:val="191919" w:themeColor="text1" w:themeTint="E6"/>
          <w:sz w:val="24"/>
          <w:szCs w:val="24"/>
        </w:rPr>
        <w:t>). Since the implementation of this system School X’s categorisation has improved from amber in 2014 after initial assessment, to yellow in 2015 where it has stayed in every year following. Showing this kind of improvement shows that strategic planning and implementation can have significant impact, however it does question whether the system’s grading process is too slim. There are provisions made for the pupils who receive FSM, another group of pupils whose numbers at School X far outweigh the numbers of any other school in the local authority and the national average,  however there is no mention of SEN pupils.</w:t>
      </w:r>
    </w:p>
    <w:p w14:paraId="3CD94A74"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770A0926" w14:textId="77777777"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Wells argues that most ways of categorisation, in both Wales and England, are too binary, looking too much at the reading or numeracy age of a pupil compared to their actual age and not considering the progress that the pupil has made,</w:t>
      </w:r>
    </w:p>
    <w:p w14:paraId="570DEA31"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4BDE4F83" w14:textId="77777777" w:rsidR="00E13D6F" w:rsidRPr="004C06DA" w:rsidRDefault="0020437B">
      <w:pPr>
        <w:pStyle w:val="Body"/>
        <w:spacing w:line="360" w:lineRule="auto"/>
        <w:jc w:val="both"/>
        <w:rPr>
          <w:rFonts w:ascii="Times New Roman" w:eastAsia="Helvetica Neue" w:hAnsi="Times New Roman" w:cs="Times New Roman"/>
          <w:i/>
          <w:iCs/>
          <w:color w:val="191919" w:themeColor="text1" w:themeTint="E6"/>
          <w:sz w:val="24"/>
          <w:szCs w:val="24"/>
        </w:rPr>
      </w:pPr>
      <w:r w:rsidRPr="004C06DA">
        <w:rPr>
          <w:rFonts w:ascii="Times New Roman" w:eastAsia="Helvetica Neue" w:hAnsi="Times New Roman" w:cs="Times New Roman"/>
          <w:color w:val="191919" w:themeColor="text1" w:themeTint="E6"/>
          <w:sz w:val="24"/>
          <w:szCs w:val="24"/>
        </w:rPr>
        <w:lastRenderedPageBreak/>
        <w:tab/>
      </w:r>
      <w:r w:rsidRPr="004C06DA">
        <w:rPr>
          <w:rFonts w:ascii="Times New Roman" w:hAnsi="Times New Roman" w:cs="Times New Roman"/>
          <w:i/>
          <w:iCs/>
          <w:color w:val="191919" w:themeColor="text1" w:themeTint="E6"/>
          <w:sz w:val="24"/>
          <w:szCs w:val="24"/>
        </w:rPr>
        <w:t>“at present if a child works really hard, is taught exceptionally well and progresses from Level 2 to Level 3 at Key Stage 2, they don’t count. This can’t be right. ‘Profile’ or ‘points score’ targets would be far better and would make it clear that all children count not just those that get to the magical Level 4”</w:t>
      </w:r>
      <w:r w:rsidRPr="004C06DA">
        <w:rPr>
          <w:rFonts w:ascii="Times New Roman" w:hAnsi="Times New Roman" w:cs="Times New Roman"/>
          <w:i/>
          <w:iCs/>
          <w:color w:val="191919" w:themeColor="text1" w:themeTint="E6"/>
          <w:sz w:val="24"/>
          <w:szCs w:val="24"/>
        </w:rPr>
        <w:tab/>
        <w:t>(Wells, 2003:11)</w:t>
      </w:r>
    </w:p>
    <w:p w14:paraId="2A9D3C24" w14:textId="77777777" w:rsidR="00E13D6F" w:rsidRPr="004C06DA" w:rsidRDefault="00E13D6F">
      <w:pPr>
        <w:pStyle w:val="Body"/>
        <w:spacing w:line="360" w:lineRule="auto"/>
        <w:jc w:val="both"/>
        <w:rPr>
          <w:rFonts w:ascii="Times New Roman" w:eastAsia="Helvetica Neue" w:hAnsi="Times New Roman" w:cs="Times New Roman"/>
          <w:i/>
          <w:iCs/>
          <w:color w:val="191919" w:themeColor="text1" w:themeTint="E6"/>
          <w:sz w:val="24"/>
          <w:szCs w:val="24"/>
        </w:rPr>
      </w:pPr>
    </w:p>
    <w:p w14:paraId="6D190BF7" w14:textId="6B8EEC6C"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Therefore it would seem that there needs to be a larger reform in successful outcome indicators or assessment. Harlen states that the past twenty years of assessment has made it clear that the relationship between assessment and curriculum is far more complex than one leading while the other follows, and that the idea that a teachers assessment is unreliable needs to be reassessed itself (2011). This could certainly work well for a number of pupils but especially those identified as SEN, as the setting of formal and controlled, often paper-based, examinations can be a cause of anxiety and often the pupil is then unable to properly communicate themselves (Harlen, 2011). A teacher’s formative assessment is already assumed to be a reliable source for schools and parents to refer to for a pupil’s performance. There is no reason why this could not be extended to being used as a summative assessment, if given the appropriate guidelines and moderation, as in already in existence on Art and Design GCSE and A Level coursework and examination assessment, where a “the reliability of a teachers judgements is comparable to that of tests” (Harlen, 200</w:t>
      </w:r>
      <w:r w:rsidR="000154CA" w:rsidRPr="004C06DA">
        <w:rPr>
          <w:rFonts w:ascii="Times New Roman" w:hAnsi="Times New Roman" w:cs="Times New Roman"/>
          <w:color w:val="191919" w:themeColor="text1" w:themeTint="E6"/>
          <w:sz w:val="24"/>
          <w:szCs w:val="24"/>
        </w:rPr>
        <w:t xml:space="preserve">4, cited in </w:t>
      </w:r>
      <w:r w:rsidR="001370BA" w:rsidRPr="004C06DA">
        <w:rPr>
          <w:rFonts w:ascii="Times New Roman" w:hAnsi="Times New Roman" w:cs="Times New Roman"/>
          <w:color w:val="191919" w:themeColor="text1" w:themeTint="E6"/>
          <w:sz w:val="24"/>
          <w:szCs w:val="24"/>
        </w:rPr>
        <w:t>Harlen 2011, p</w:t>
      </w:r>
      <w:r w:rsidR="008A31B8" w:rsidRPr="004C06DA">
        <w:rPr>
          <w:rFonts w:ascii="Times New Roman" w:hAnsi="Times New Roman" w:cs="Times New Roman"/>
          <w:color w:val="191919" w:themeColor="text1" w:themeTint="E6"/>
          <w:sz w:val="24"/>
          <w:szCs w:val="24"/>
        </w:rPr>
        <w:t>68</w:t>
      </w:r>
      <w:r w:rsidRPr="004C06DA">
        <w:rPr>
          <w:rFonts w:ascii="Times New Roman" w:hAnsi="Times New Roman" w:cs="Times New Roman"/>
          <w:color w:val="191919" w:themeColor="text1" w:themeTint="E6"/>
          <w:sz w:val="24"/>
          <w:szCs w:val="24"/>
        </w:rPr>
        <w:t>).</w:t>
      </w:r>
    </w:p>
    <w:p w14:paraId="74ECE93B"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3FBC68DB" w14:textId="77777777"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In 1986 Fuchs and Fuchs researched the performance of children with mild handicaps, and found that “quantitative evidence of learning gains was obtained... through formative assessment to show that innovations that include strengthening the practice of formative assessment produce significant... learning gains” (Black and William, 1998:3). It could therefore be argued that if instruction and formative assessment have such strong correlation, there is no reason for summative assessment to be the only form of assessment that is regularly used in external examinations and when thinking of school categorisation.</w:t>
      </w:r>
    </w:p>
    <w:p w14:paraId="3A0F6D1B"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7CD96C96" w14:textId="77777777"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The Art Department team of School X has especially noticed the high success rates of SEN pupils when completing numeracy tasks in Art lessons. Although no formal research has been done to formally measure this particular success, in professional dialogue with the Maths Department it was found that some of these particular pupils routinely struggled with tasks of the same caliber and using the same processes presented differently, during Maths lessons but completed with relative ease in Art lessons, and often with the teacher acting only as facilitator. This could be due to a number of factors which could include, but not be limited to, the following: the different presentation of the same information; the inherently different atmosphere of an Art classroom to that of Maths; and a pupil’s existing confidence in a ‘creative’ AOLE compared to their confidence in a ‘scientific’ one.</w:t>
      </w:r>
    </w:p>
    <w:p w14:paraId="3C27B725"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5AA9DBA2" w14:textId="484E60FB"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lastRenderedPageBreak/>
        <w:t>School X employs the use of learning walks, both formal and informal, with relative frequency and as part of their strategic planning (Appendix A). Learning walks have in recent years been adopted by many as a key strategy for performance management. Page describes them as when members of the senior management team visit the classrooms of their school, during the school day for a short period of time, to observe the teaching and learning taking place (201</w:t>
      </w:r>
      <w:r w:rsidR="00BD457D" w:rsidRPr="004C06DA">
        <w:rPr>
          <w:rFonts w:ascii="Times New Roman" w:hAnsi="Times New Roman" w:cs="Times New Roman"/>
          <w:color w:val="191919" w:themeColor="text1" w:themeTint="E6"/>
          <w:sz w:val="24"/>
          <w:szCs w:val="24"/>
        </w:rPr>
        <w:t>6</w:t>
      </w:r>
      <w:r w:rsidRPr="004C06DA">
        <w:rPr>
          <w:rFonts w:ascii="Times New Roman" w:hAnsi="Times New Roman" w:cs="Times New Roman"/>
          <w:color w:val="191919" w:themeColor="text1" w:themeTint="E6"/>
          <w:sz w:val="24"/>
          <w:szCs w:val="24"/>
        </w:rPr>
        <w:t>). This can be part of a general standards check up or sometimes when looking for the adherence to specific frameworks or certain strategies. They are often fixed, for example to a weekly rota, but senior leaders are making more use of them being unscheduled, with one headteacher in a recent study saying that he says to his colleagues, “you realise [every time] I come in your room I’m looking... but that’s not performance management so much that’s more standards” (Page, 201</w:t>
      </w:r>
      <w:r w:rsidR="00284805" w:rsidRPr="004C06DA">
        <w:rPr>
          <w:rFonts w:ascii="Times New Roman" w:hAnsi="Times New Roman" w:cs="Times New Roman"/>
          <w:color w:val="191919" w:themeColor="text1" w:themeTint="E6"/>
          <w:sz w:val="24"/>
          <w:szCs w:val="24"/>
        </w:rPr>
        <w:t>6, p</w:t>
      </w:r>
      <w:r w:rsidRPr="004C06DA">
        <w:rPr>
          <w:rFonts w:ascii="Times New Roman" w:hAnsi="Times New Roman" w:cs="Times New Roman"/>
          <w:color w:val="191919" w:themeColor="text1" w:themeTint="E6"/>
          <w:sz w:val="24"/>
          <w:szCs w:val="24"/>
        </w:rPr>
        <w:t xml:space="preserve">172). A recent learning walk at School X had a focus on numeracy tasks, and was actioned by the numeracy coordinator, found the Art Department to be excelling in the quality and delivery of the numeracy tasks being used for every lesson. </w:t>
      </w:r>
    </w:p>
    <w:p w14:paraId="415BC3D9"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7875282E" w14:textId="77777777"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To this end the first recommendation of this paper would be to make time for the sharing of numeracy tasks and ideas between subjects and AOLEs, building on the teaching staff’s confidence in numeracy and how it can be applied to their subjects. This would, in turn, help the school prepare for the execution of the new curriculum in 2022 that expects AOLEs to have a much more collaborative approach to teaching than previous curriculums (Donaldson, 2015).</w:t>
      </w:r>
    </w:p>
    <w:p w14:paraId="4193706F"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504D38C0" w14:textId="1B5349F4"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The second advisory measure would be to have a much more defined and structured SIP and DIP in terms of timescales and success criteria</w:t>
      </w:r>
      <w:r w:rsidR="002E51F6" w:rsidRPr="004C06DA">
        <w:rPr>
          <w:rFonts w:ascii="Times New Roman" w:hAnsi="Times New Roman" w:cs="Times New Roman"/>
          <w:color w:val="191919" w:themeColor="text1" w:themeTint="E6"/>
          <w:sz w:val="24"/>
          <w:szCs w:val="24"/>
        </w:rPr>
        <w:t>, as having both short and long term targets</w:t>
      </w:r>
      <w:r w:rsidR="00FA776B" w:rsidRPr="004C06DA">
        <w:rPr>
          <w:rFonts w:ascii="Times New Roman" w:hAnsi="Times New Roman" w:cs="Times New Roman"/>
          <w:color w:val="191919" w:themeColor="text1" w:themeTint="E6"/>
          <w:sz w:val="24"/>
          <w:szCs w:val="24"/>
        </w:rPr>
        <w:t xml:space="preserve"> with ways for monitoring and measuring the success of strategies could motivate staff to </w:t>
      </w:r>
      <w:r w:rsidR="00F05E44" w:rsidRPr="004C06DA">
        <w:rPr>
          <w:rFonts w:ascii="Times New Roman" w:hAnsi="Times New Roman" w:cs="Times New Roman"/>
          <w:color w:val="191919" w:themeColor="text1" w:themeTint="E6"/>
          <w:sz w:val="24"/>
          <w:szCs w:val="24"/>
        </w:rPr>
        <w:t xml:space="preserve">implement them more and make targets more accessible. </w:t>
      </w:r>
      <w:r w:rsidR="005C286C" w:rsidRPr="004C06DA">
        <w:rPr>
          <w:rFonts w:ascii="Times New Roman" w:hAnsi="Times New Roman" w:cs="Times New Roman"/>
          <w:color w:val="191919" w:themeColor="text1" w:themeTint="E6"/>
          <w:sz w:val="24"/>
          <w:szCs w:val="24"/>
        </w:rPr>
        <w:t xml:space="preserve">Incorporating these items will break the issues down into more achievable </w:t>
      </w:r>
      <w:r w:rsidR="004C06DA" w:rsidRPr="004C06DA">
        <w:rPr>
          <w:rFonts w:ascii="Times New Roman" w:hAnsi="Times New Roman" w:cs="Times New Roman"/>
          <w:color w:val="191919" w:themeColor="text1" w:themeTint="E6"/>
          <w:sz w:val="24"/>
          <w:szCs w:val="24"/>
        </w:rPr>
        <w:t>chunks for staff to digest and embrace, giving them less risk for failure.</w:t>
      </w:r>
    </w:p>
    <w:p w14:paraId="3D870334"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bookmarkStart w:id="0" w:name="_GoBack"/>
      <w:bookmarkEnd w:id="0"/>
    </w:p>
    <w:p w14:paraId="7F92B97A" w14:textId="77777777" w:rsidR="00E13D6F" w:rsidRPr="004C06DA" w:rsidRDefault="0020437B">
      <w:pPr>
        <w:pStyle w:val="Body"/>
        <w:spacing w:line="360" w:lineRule="auto"/>
        <w:jc w:val="both"/>
        <w:rPr>
          <w:rFonts w:ascii="Times New Roman" w:eastAsia="Helvetica Neue"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When looking at the so-called ‘bigger picture’, this study would recommend a review in the assessment and success outcomes of pupil achievement, with particular focus on SEN pupils. Considering progress and performance over a longer timescale than the time it takes to complete a written examination in numeracy has the potential to give more qualitative analysis of a school’s ability to give the pupils the transferable numeracy skills they need to move beyond their schooling careers.</w:t>
      </w:r>
    </w:p>
    <w:p w14:paraId="3AE28A7C" w14:textId="77777777" w:rsidR="00E13D6F" w:rsidRPr="004C06DA" w:rsidRDefault="00E13D6F">
      <w:pPr>
        <w:pStyle w:val="Body"/>
        <w:spacing w:line="360" w:lineRule="auto"/>
        <w:jc w:val="both"/>
        <w:rPr>
          <w:rFonts w:ascii="Times New Roman" w:eastAsia="Helvetica Neue" w:hAnsi="Times New Roman" w:cs="Times New Roman"/>
          <w:color w:val="191919" w:themeColor="text1" w:themeTint="E6"/>
          <w:sz w:val="24"/>
          <w:szCs w:val="24"/>
        </w:rPr>
      </w:pPr>
    </w:p>
    <w:p w14:paraId="65A30145" w14:textId="77777777" w:rsidR="00817E27" w:rsidRPr="004C06DA" w:rsidRDefault="0020437B">
      <w:pPr>
        <w:pStyle w:val="Body"/>
        <w:spacing w:line="360" w:lineRule="auto"/>
        <w:jc w:val="both"/>
        <w:rPr>
          <w:rFonts w:ascii="Times New Roman"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 xml:space="preserve">Having studied School X’s DIP and SIP and their links to current government policies, relevant literature and research, comparing it to what I have experienced there professionally, it would seem that although they have correctly identified an area of weakness that will require considerable </w:t>
      </w:r>
      <w:r w:rsidRPr="004C06DA">
        <w:rPr>
          <w:rFonts w:ascii="Times New Roman" w:hAnsi="Times New Roman" w:cs="Times New Roman"/>
          <w:color w:val="191919" w:themeColor="text1" w:themeTint="E6"/>
          <w:sz w:val="24"/>
          <w:szCs w:val="24"/>
        </w:rPr>
        <w:lastRenderedPageBreak/>
        <w:t>strategic planning and implementation of innovations, the school is not using strategic planning to it’s full potential to reach the targets set. A good start has been made in developing the numeracy skills of pupils, evidenced in the improved examination results, however more structure in the deadlines of milestones and more detailed planning could yield even better results. As discussed, investment in more learning walks and the creation of a platform where teachers can share their teaching techniques</w:t>
      </w:r>
      <w:r w:rsidR="00817E27" w:rsidRPr="004C06DA">
        <w:rPr>
          <w:rFonts w:ascii="Times New Roman" w:hAnsi="Times New Roman" w:cs="Times New Roman"/>
          <w:color w:val="191919" w:themeColor="text1" w:themeTint="E6"/>
          <w:sz w:val="24"/>
          <w:szCs w:val="24"/>
        </w:rPr>
        <w:t xml:space="preserve"> should be strongly considered.</w:t>
      </w:r>
    </w:p>
    <w:p w14:paraId="4B7CC086" w14:textId="77777777" w:rsidR="00817E27" w:rsidRPr="004C06DA" w:rsidRDefault="00817E27">
      <w:pPr>
        <w:rPr>
          <w:color w:val="191919" w:themeColor="text1" w:themeTint="E6"/>
          <w:lang w:eastAsia="en-GB"/>
        </w:rPr>
      </w:pPr>
      <w:r w:rsidRPr="004C06DA">
        <w:rPr>
          <w:color w:val="191919" w:themeColor="text1" w:themeTint="E6"/>
        </w:rPr>
        <w:br w:type="page"/>
      </w:r>
    </w:p>
    <w:p w14:paraId="12E4982C" w14:textId="6851EF84" w:rsidR="00E13D6F" w:rsidRPr="004C06DA" w:rsidRDefault="0020437B" w:rsidP="00A712FB">
      <w:pPr>
        <w:pStyle w:val="Body"/>
        <w:spacing w:line="360" w:lineRule="auto"/>
        <w:rPr>
          <w:rFonts w:ascii="Times New Roman" w:eastAsia="Helvetica Neue" w:hAnsi="Times New Roman" w:cs="Times New Roman"/>
          <w:b/>
          <w:bCs/>
          <w:color w:val="191919" w:themeColor="text1" w:themeTint="E6"/>
          <w:sz w:val="24"/>
          <w:szCs w:val="24"/>
        </w:rPr>
      </w:pPr>
      <w:r w:rsidRPr="004C06DA">
        <w:rPr>
          <w:rFonts w:ascii="Times New Roman" w:hAnsi="Times New Roman" w:cs="Times New Roman"/>
          <w:b/>
          <w:bCs/>
          <w:color w:val="191919" w:themeColor="text1" w:themeTint="E6"/>
          <w:sz w:val="24"/>
          <w:szCs w:val="24"/>
        </w:rPr>
        <w:lastRenderedPageBreak/>
        <w:t>Reference List</w:t>
      </w:r>
    </w:p>
    <w:p w14:paraId="7CA5AE83" w14:textId="40B5D554" w:rsidR="00032E68" w:rsidRPr="004C06DA" w:rsidRDefault="00032E68" w:rsidP="00A712FB">
      <w:pPr>
        <w:pStyle w:val="Body"/>
        <w:spacing w:line="360" w:lineRule="auto"/>
        <w:rPr>
          <w:rFonts w:ascii="Times New Roman" w:hAnsi="Times New Roman" w:cs="Times New Roman"/>
          <w:color w:val="191919" w:themeColor="text1" w:themeTint="E6"/>
          <w:sz w:val="24"/>
          <w:szCs w:val="24"/>
        </w:rPr>
      </w:pPr>
    </w:p>
    <w:p w14:paraId="1AC5DFF8" w14:textId="69414705" w:rsidR="00032E68" w:rsidRPr="004C06DA" w:rsidRDefault="008F1F06" w:rsidP="00A712FB">
      <w:pPr>
        <w:pStyle w:val="Body"/>
        <w:spacing w:line="360" w:lineRule="auto"/>
        <w:rPr>
          <w:rFonts w:ascii="Times New Roman"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British Educational Research Association [BERA] (2018). Ethical Guidelines for Educational Research (Fourth Edition). London: BERA.</w:t>
      </w:r>
    </w:p>
    <w:p w14:paraId="28A6BC12" w14:textId="6ADE2AE4" w:rsidR="00032E68" w:rsidRPr="004C06DA" w:rsidRDefault="00032E68" w:rsidP="00A712FB">
      <w:pPr>
        <w:pStyle w:val="Body"/>
        <w:spacing w:line="360" w:lineRule="auto"/>
        <w:rPr>
          <w:rFonts w:ascii="Times New Roman" w:hAnsi="Times New Roman" w:cs="Times New Roman"/>
          <w:color w:val="191919" w:themeColor="text1" w:themeTint="E6"/>
          <w:sz w:val="24"/>
          <w:szCs w:val="24"/>
        </w:rPr>
      </w:pPr>
    </w:p>
    <w:p w14:paraId="448BB6E5" w14:textId="6E2FB56D" w:rsidR="00870635" w:rsidRPr="004C06DA" w:rsidRDefault="00F06414" w:rsidP="00A712FB">
      <w:pPr>
        <w:pStyle w:val="Body"/>
        <w:spacing w:line="360" w:lineRule="auto"/>
        <w:rPr>
          <w:rFonts w:ascii="Times New Roman"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shd w:val="clear" w:color="auto" w:fill="FFFFFF"/>
        </w:rPr>
        <w:t>Black, P. &amp;</w:t>
      </w:r>
      <w:r w:rsidR="00870635" w:rsidRPr="004C06DA">
        <w:rPr>
          <w:rFonts w:ascii="Times New Roman" w:hAnsi="Times New Roman" w:cs="Times New Roman"/>
          <w:color w:val="191919" w:themeColor="text1" w:themeTint="E6"/>
          <w:sz w:val="24"/>
          <w:szCs w:val="24"/>
          <w:shd w:val="clear" w:color="auto" w:fill="FFFFFF"/>
        </w:rPr>
        <w:t xml:space="preserve"> Wi</w:t>
      </w:r>
      <w:r w:rsidR="00AA4EF1" w:rsidRPr="004C06DA">
        <w:rPr>
          <w:rFonts w:ascii="Times New Roman" w:hAnsi="Times New Roman" w:cs="Times New Roman"/>
          <w:color w:val="191919" w:themeColor="text1" w:themeTint="E6"/>
          <w:sz w:val="24"/>
          <w:szCs w:val="24"/>
          <w:shd w:val="clear" w:color="auto" w:fill="FFFFFF"/>
        </w:rPr>
        <w:t>l</w:t>
      </w:r>
      <w:r w:rsidR="00870635" w:rsidRPr="004C06DA">
        <w:rPr>
          <w:rFonts w:ascii="Times New Roman" w:hAnsi="Times New Roman" w:cs="Times New Roman"/>
          <w:color w:val="191919" w:themeColor="text1" w:themeTint="E6"/>
          <w:sz w:val="24"/>
          <w:szCs w:val="24"/>
          <w:shd w:val="clear" w:color="auto" w:fill="FFFFFF"/>
        </w:rPr>
        <w:t xml:space="preserve">liam, D. </w:t>
      </w:r>
      <w:r w:rsidRPr="004C06DA">
        <w:rPr>
          <w:rFonts w:ascii="Times New Roman" w:hAnsi="Times New Roman" w:cs="Times New Roman"/>
          <w:color w:val="191919" w:themeColor="text1" w:themeTint="E6"/>
          <w:sz w:val="24"/>
          <w:szCs w:val="24"/>
          <w:shd w:val="clear" w:color="auto" w:fill="FFFFFF"/>
        </w:rPr>
        <w:t>(1998)</w:t>
      </w:r>
      <w:r w:rsidR="00870635" w:rsidRPr="004C06DA">
        <w:rPr>
          <w:rFonts w:ascii="Times New Roman" w:hAnsi="Times New Roman" w:cs="Times New Roman"/>
          <w:color w:val="191919" w:themeColor="text1" w:themeTint="E6"/>
          <w:sz w:val="24"/>
          <w:szCs w:val="24"/>
          <w:shd w:val="clear" w:color="auto" w:fill="FFFFFF"/>
        </w:rPr>
        <w:t xml:space="preserve">. </w:t>
      </w:r>
      <w:r w:rsidR="00870635" w:rsidRPr="004C06DA">
        <w:rPr>
          <w:rFonts w:ascii="Times New Roman" w:hAnsi="Times New Roman" w:cs="Times New Roman"/>
          <w:iCs/>
          <w:color w:val="191919" w:themeColor="text1" w:themeTint="E6"/>
          <w:sz w:val="24"/>
          <w:szCs w:val="24"/>
          <w:shd w:val="clear" w:color="auto" w:fill="FFFFFF"/>
        </w:rPr>
        <w:t>Inside the black box : raising standards through classroom assessment</w:t>
      </w:r>
      <w:r w:rsidRPr="004C06DA">
        <w:rPr>
          <w:rFonts w:ascii="Times New Roman" w:hAnsi="Times New Roman" w:cs="Times New Roman"/>
          <w:color w:val="191919" w:themeColor="text1" w:themeTint="E6"/>
          <w:sz w:val="24"/>
          <w:szCs w:val="24"/>
          <w:shd w:val="clear" w:color="auto" w:fill="FFFFFF"/>
        </w:rPr>
        <w:t>. London: King’s College London.</w:t>
      </w:r>
    </w:p>
    <w:p w14:paraId="1B6E82A8" w14:textId="77777777" w:rsidR="00F06414" w:rsidRPr="004C06DA" w:rsidRDefault="00F06414" w:rsidP="00A712FB">
      <w:pPr>
        <w:pStyle w:val="Body"/>
        <w:spacing w:line="360" w:lineRule="auto"/>
        <w:rPr>
          <w:rFonts w:ascii="Times New Roman" w:hAnsi="Times New Roman" w:cs="Times New Roman"/>
          <w:color w:val="191919" w:themeColor="text1" w:themeTint="E6"/>
          <w:sz w:val="24"/>
          <w:szCs w:val="24"/>
        </w:rPr>
      </w:pPr>
    </w:p>
    <w:p w14:paraId="10E3E6B1" w14:textId="162592D8" w:rsidR="00360E5A" w:rsidRPr="004C06DA" w:rsidRDefault="00AA4EF1" w:rsidP="00A712FB">
      <w:pPr>
        <w:pStyle w:val="Body"/>
        <w:spacing w:line="360" w:lineRule="auto"/>
        <w:rPr>
          <w:rFonts w:ascii="Times New Roman"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rPr>
        <w:t>Bryson, J. (1988)</w:t>
      </w:r>
      <w:r w:rsidRPr="004C06DA">
        <w:rPr>
          <w:rFonts w:ascii="Times New Roman" w:hAnsi="Times New Roman" w:cs="Times New Roman"/>
          <w:color w:val="191919" w:themeColor="text1" w:themeTint="E6"/>
          <w:sz w:val="24"/>
          <w:szCs w:val="24"/>
          <w:shd w:val="clear" w:color="auto" w:fill="FFFFFF"/>
        </w:rPr>
        <w:t xml:space="preserve"> "A Strategic Planning Process for Public and Non -- Profit Organizations." </w:t>
      </w:r>
      <w:r w:rsidRPr="004C06DA">
        <w:rPr>
          <w:rFonts w:ascii="Times New Roman" w:hAnsi="Times New Roman" w:cs="Times New Roman"/>
          <w:iCs/>
          <w:color w:val="191919" w:themeColor="text1" w:themeTint="E6"/>
          <w:sz w:val="24"/>
          <w:szCs w:val="24"/>
          <w:shd w:val="clear" w:color="auto" w:fill="FFFFFF"/>
        </w:rPr>
        <w:t>Long Range Planning</w:t>
      </w:r>
      <w:r w:rsidRPr="004C06DA">
        <w:rPr>
          <w:rFonts w:ascii="Times New Roman" w:hAnsi="Times New Roman" w:cs="Times New Roman"/>
          <w:color w:val="191919" w:themeColor="text1" w:themeTint="E6"/>
          <w:sz w:val="24"/>
          <w:szCs w:val="24"/>
          <w:shd w:val="clear" w:color="auto" w:fill="FFFFFF"/>
        </w:rPr>
        <w:t> 21, (1), pp.73-82. </w:t>
      </w:r>
    </w:p>
    <w:p w14:paraId="542665E1" w14:textId="77777777" w:rsidR="00360E5A" w:rsidRPr="004C06DA" w:rsidRDefault="00360E5A" w:rsidP="00A712FB">
      <w:pPr>
        <w:pStyle w:val="Body"/>
        <w:spacing w:line="360" w:lineRule="auto"/>
        <w:rPr>
          <w:rFonts w:ascii="Times New Roman" w:hAnsi="Times New Roman" w:cs="Times New Roman"/>
          <w:color w:val="191919" w:themeColor="text1" w:themeTint="E6"/>
          <w:sz w:val="24"/>
          <w:szCs w:val="24"/>
        </w:rPr>
      </w:pPr>
    </w:p>
    <w:p w14:paraId="522F3DEF" w14:textId="4250452A" w:rsidR="00E13D6F" w:rsidRPr="004C06DA" w:rsidRDefault="00AA4EF1"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Bryson, J.</w:t>
      </w:r>
      <w:r w:rsidR="00032E68" w:rsidRPr="004C06DA">
        <w:rPr>
          <w:rFonts w:ascii="Times New Roman" w:hAnsi="Times New Roman" w:cs="Times New Roman"/>
          <w:color w:val="191919" w:themeColor="text1" w:themeTint="E6"/>
          <w:sz w:val="24"/>
          <w:szCs w:val="24"/>
          <w:shd w:val="clear" w:color="auto" w:fill="FFFFFF"/>
        </w:rPr>
        <w:t xml:space="preserve"> </w:t>
      </w:r>
      <w:r w:rsidR="00360E5A" w:rsidRPr="004C06DA">
        <w:rPr>
          <w:rFonts w:ascii="Times New Roman" w:hAnsi="Times New Roman" w:cs="Times New Roman"/>
          <w:color w:val="191919" w:themeColor="text1" w:themeTint="E6"/>
          <w:sz w:val="24"/>
          <w:szCs w:val="24"/>
          <w:shd w:val="clear" w:color="auto" w:fill="FFFFFF"/>
        </w:rPr>
        <w:t>(</w:t>
      </w:r>
      <w:r w:rsidR="00032E68" w:rsidRPr="004C06DA">
        <w:rPr>
          <w:rFonts w:ascii="Times New Roman" w:hAnsi="Times New Roman" w:cs="Times New Roman"/>
          <w:color w:val="191919" w:themeColor="text1" w:themeTint="E6"/>
          <w:sz w:val="24"/>
          <w:szCs w:val="24"/>
          <w:shd w:val="clear" w:color="auto" w:fill="FFFFFF"/>
        </w:rPr>
        <w:t>2010</w:t>
      </w:r>
      <w:r w:rsidR="00360E5A" w:rsidRPr="004C06DA">
        <w:rPr>
          <w:rFonts w:ascii="Times New Roman" w:hAnsi="Times New Roman" w:cs="Times New Roman"/>
          <w:color w:val="191919" w:themeColor="text1" w:themeTint="E6"/>
          <w:sz w:val="24"/>
          <w:szCs w:val="24"/>
          <w:shd w:val="clear" w:color="auto" w:fill="FFFFFF"/>
        </w:rPr>
        <w:t>)</w:t>
      </w:r>
      <w:r w:rsidR="00032E68" w:rsidRPr="004C06DA">
        <w:rPr>
          <w:rFonts w:ascii="Times New Roman" w:hAnsi="Times New Roman" w:cs="Times New Roman"/>
          <w:color w:val="191919" w:themeColor="text1" w:themeTint="E6"/>
          <w:sz w:val="24"/>
          <w:szCs w:val="24"/>
          <w:shd w:val="clear" w:color="auto" w:fill="FFFFFF"/>
        </w:rPr>
        <w:t>. The Future of Public and Nonprofit Strategic Planning in the United States. </w:t>
      </w:r>
      <w:r w:rsidR="00032E68" w:rsidRPr="004C06DA">
        <w:rPr>
          <w:rFonts w:ascii="Times New Roman" w:hAnsi="Times New Roman" w:cs="Times New Roman"/>
          <w:iCs/>
          <w:color w:val="191919" w:themeColor="text1" w:themeTint="E6"/>
          <w:sz w:val="24"/>
          <w:szCs w:val="24"/>
          <w:shd w:val="clear" w:color="auto" w:fill="FFFFFF"/>
        </w:rPr>
        <w:t>Public Administration Review</w:t>
      </w:r>
      <w:r w:rsidR="00032E68" w:rsidRPr="004C06DA">
        <w:rPr>
          <w:rFonts w:ascii="Times New Roman" w:hAnsi="Times New Roman" w:cs="Times New Roman"/>
          <w:color w:val="191919" w:themeColor="text1" w:themeTint="E6"/>
          <w:sz w:val="24"/>
          <w:szCs w:val="24"/>
          <w:shd w:val="clear" w:color="auto" w:fill="FFFFFF"/>
        </w:rPr>
        <w:t>, 70(S1), pp.S255–S267.</w:t>
      </w:r>
    </w:p>
    <w:p w14:paraId="00B7568D" w14:textId="77777777" w:rsidR="00360E5A" w:rsidRPr="004C06DA" w:rsidRDefault="00360E5A"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68D456BE" w14:textId="45BD0CC1" w:rsidR="00360E5A" w:rsidRPr="004C06DA" w:rsidRDefault="00360E5A"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 xml:space="preserve">Carter, M., </w:t>
      </w:r>
      <w:proofErr w:type="spellStart"/>
      <w:r w:rsidRPr="004C06DA">
        <w:rPr>
          <w:rFonts w:ascii="Times New Roman" w:hAnsi="Times New Roman" w:cs="Times New Roman"/>
          <w:color w:val="191919" w:themeColor="text1" w:themeTint="E6"/>
          <w:sz w:val="24"/>
          <w:szCs w:val="24"/>
          <w:shd w:val="clear" w:color="auto" w:fill="FFFFFF"/>
        </w:rPr>
        <w:t>Klenowski</w:t>
      </w:r>
      <w:proofErr w:type="spellEnd"/>
      <w:r w:rsidRPr="004C06DA">
        <w:rPr>
          <w:rFonts w:ascii="Times New Roman" w:hAnsi="Times New Roman" w:cs="Times New Roman"/>
          <w:color w:val="191919" w:themeColor="text1" w:themeTint="E6"/>
          <w:sz w:val="24"/>
          <w:szCs w:val="24"/>
          <w:shd w:val="clear" w:color="auto" w:fill="FFFFFF"/>
        </w:rPr>
        <w:t>, V. &amp; Chalmers, C. (2015). Challenges in Embedding Numeracy throughout the Curriculum in Three Queensland Secondary Schools. </w:t>
      </w:r>
      <w:r w:rsidRPr="004C06DA">
        <w:rPr>
          <w:rFonts w:ascii="Times New Roman" w:hAnsi="Times New Roman" w:cs="Times New Roman"/>
          <w:iCs/>
          <w:color w:val="191919" w:themeColor="text1" w:themeTint="E6"/>
          <w:sz w:val="24"/>
          <w:szCs w:val="24"/>
          <w:shd w:val="clear" w:color="auto" w:fill="FFFFFF"/>
        </w:rPr>
        <w:t>Australian Educational Researcher</w:t>
      </w:r>
      <w:r w:rsidRPr="004C06DA">
        <w:rPr>
          <w:rFonts w:ascii="Times New Roman" w:hAnsi="Times New Roman" w:cs="Times New Roman"/>
          <w:color w:val="191919" w:themeColor="text1" w:themeTint="E6"/>
          <w:sz w:val="24"/>
          <w:szCs w:val="24"/>
          <w:shd w:val="clear" w:color="auto" w:fill="FFFFFF"/>
        </w:rPr>
        <w:t>, 42(5), pp.595–611.</w:t>
      </w:r>
    </w:p>
    <w:p w14:paraId="4165E3A8" w14:textId="16EEB459" w:rsidR="00DE3D9A" w:rsidRPr="004C06DA" w:rsidRDefault="00DE3D9A"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5E8979B8" w14:textId="0F8D16A0" w:rsidR="00DE3D9A" w:rsidRPr="004C06DA" w:rsidRDefault="00DE3D9A" w:rsidP="00A712FB">
      <w:pPr>
        <w:pStyle w:val="Body"/>
        <w:spacing w:line="360" w:lineRule="auto"/>
        <w:rPr>
          <w:rFonts w:ascii="Times New Roman" w:hAnsi="Times New Roman" w:cs="Times New Roman"/>
          <w:color w:val="191919" w:themeColor="text1" w:themeTint="E6"/>
          <w:sz w:val="24"/>
          <w:szCs w:val="24"/>
          <w:shd w:val="clear" w:color="auto" w:fill="FFFFFF"/>
        </w:rPr>
      </w:pPr>
      <w:proofErr w:type="spellStart"/>
      <w:r w:rsidRPr="004C06DA">
        <w:rPr>
          <w:rFonts w:ascii="Times New Roman" w:hAnsi="Times New Roman" w:cs="Times New Roman"/>
          <w:color w:val="191919" w:themeColor="text1" w:themeTint="E6"/>
          <w:sz w:val="24"/>
          <w:szCs w:val="24"/>
          <w:shd w:val="clear" w:color="auto" w:fill="FFFFFF"/>
        </w:rPr>
        <w:t>Chitty</w:t>
      </w:r>
      <w:proofErr w:type="spellEnd"/>
      <w:r w:rsidRPr="004C06DA">
        <w:rPr>
          <w:rFonts w:ascii="Times New Roman" w:hAnsi="Times New Roman" w:cs="Times New Roman"/>
          <w:color w:val="191919" w:themeColor="text1" w:themeTint="E6"/>
          <w:sz w:val="24"/>
          <w:szCs w:val="24"/>
          <w:shd w:val="clear" w:color="auto" w:fill="FFFFFF"/>
        </w:rPr>
        <w:t>, C</w:t>
      </w:r>
      <w:r w:rsidR="00AA4EF1" w:rsidRPr="004C06DA">
        <w:rPr>
          <w:rFonts w:ascii="Times New Roman" w:hAnsi="Times New Roman" w:cs="Times New Roman"/>
          <w:color w:val="191919" w:themeColor="text1" w:themeTint="E6"/>
          <w:sz w:val="24"/>
          <w:szCs w:val="24"/>
          <w:shd w:val="clear" w:color="auto" w:fill="FFFFFF"/>
        </w:rPr>
        <w:t>.</w:t>
      </w:r>
      <w:r w:rsidRPr="004C06DA">
        <w:rPr>
          <w:rFonts w:ascii="Times New Roman" w:hAnsi="Times New Roman" w:cs="Times New Roman"/>
          <w:color w:val="191919" w:themeColor="text1" w:themeTint="E6"/>
          <w:sz w:val="24"/>
          <w:szCs w:val="24"/>
          <w:shd w:val="clear" w:color="auto" w:fill="FFFFFF"/>
        </w:rPr>
        <w:t xml:space="preserve"> (2014). Education Policy in Britain (Third edition). Basingstoke: Palgrave Macmillan</w:t>
      </w:r>
    </w:p>
    <w:p w14:paraId="182B18D6" w14:textId="225BCD0C" w:rsidR="00360E5A" w:rsidRPr="004C06DA" w:rsidRDefault="00360E5A"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5654F41E" w14:textId="7F7D1AE6" w:rsidR="00AC3D40" w:rsidRPr="004C06DA" w:rsidRDefault="00AC3D40"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Davies, B &amp; Ellison, L. (2003) Strategic Direction and Development of the School (Second Edition). London: Routledge.</w:t>
      </w:r>
    </w:p>
    <w:p w14:paraId="65CF6F77" w14:textId="42CB291F" w:rsidR="00360E5A" w:rsidRPr="004C06DA" w:rsidRDefault="00360E5A"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62F1A717" w14:textId="03CF5E9A" w:rsidR="00AC3D40" w:rsidRPr="004C06DA" w:rsidRDefault="00AC3D40" w:rsidP="00A712FB">
      <w:pPr>
        <w:pStyle w:val="Body"/>
        <w:spacing w:line="360" w:lineRule="auto"/>
        <w:rPr>
          <w:rFonts w:ascii="Times New Roman" w:hAnsi="Times New Roman" w:cs="Times New Roman"/>
          <w:color w:val="191919" w:themeColor="text1" w:themeTint="E6"/>
          <w:sz w:val="24"/>
          <w:szCs w:val="24"/>
          <w:shd w:val="clear" w:color="auto" w:fill="FFFFFF"/>
        </w:rPr>
      </w:pPr>
      <w:proofErr w:type="spellStart"/>
      <w:r w:rsidRPr="004C06DA">
        <w:rPr>
          <w:rFonts w:ascii="Times New Roman" w:hAnsi="Times New Roman" w:cs="Times New Roman"/>
          <w:color w:val="191919" w:themeColor="text1" w:themeTint="E6"/>
          <w:sz w:val="24"/>
          <w:szCs w:val="24"/>
          <w:shd w:val="clear" w:color="auto" w:fill="FFFFFF"/>
        </w:rPr>
        <w:t>Dauncey</w:t>
      </w:r>
      <w:proofErr w:type="spellEnd"/>
      <w:r w:rsidRPr="004C06DA">
        <w:rPr>
          <w:rFonts w:ascii="Times New Roman" w:hAnsi="Times New Roman" w:cs="Times New Roman"/>
          <w:color w:val="191919" w:themeColor="text1" w:themeTint="E6"/>
          <w:sz w:val="24"/>
          <w:szCs w:val="24"/>
          <w:shd w:val="clear" w:color="auto" w:fill="FFFFFF"/>
        </w:rPr>
        <w:t>, M. (2013) Literacy and Numeracy in Wales. Cardiff: Welsh Government.</w:t>
      </w:r>
    </w:p>
    <w:p w14:paraId="0134BA19" w14:textId="6E05B728" w:rsidR="00360E5A" w:rsidRPr="004C06DA" w:rsidRDefault="00360E5A"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65835DE1" w14:textId="3AA97465" w:rsidR="001D24D6" w:rsidRPr="004C06DA" w:rsidRDefault="001D24D6"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Donaldson, G. (2015)</w:t>
      </w:r>
      <w:r w:rsidR="00DE3D9A" w:rsidRPr="004C06DA">
        <w:rPr>
          <w:rFonts w:ascii="Times New Roman" w:hAnsi="Times New Roman" w:cs="Times New Roman"/>
          <w:color w:val="191919" w:themeColor="text1" w:themeTint="E6"/>
          <w:sz w:val="24"/>
          <w:szCs w:val="24"/>
          <w:shd w:val="clear" w:color="auto" w:fill="FFFFFF"/>
        </w:rPr>
        <w:t>.</w:t>
      </w:r>
      <w:r w:rsidRPr="004C06DA">
        <w:rPr>
          <w:rFonts w:ascii="Times New Roman" w:hAnsi="Times New Roman" w:cs="Times New Roman"/>
          <w:color w:val="191919" w:themeColor="text1" w:themeTint="E6"/>
          <w:sz w:val="24"/>
          <w:szCs w:val="24"/>
          <w:shd w:val="clear" w:color="auto" w:fill="FFFFFF"/>
        </w:rPr>
        <w:t xml:space="preserve"> Successful Futures: </w:t>
      </w:r>
      <w:r w:rsidR="00AA4EF1" w:rsidRPr="004C06DA">
        <w:rPr>
          <w:rFonts w:ascii="Times New Roman" w:hAnsi="Times New Roman" w:cs="Times New Roman"/>
          <w:color w:val="191919" w:themeColor="text1" w:themeTint="E6"/>
          <w:sz w:val="24"/>
          <w:szCs w:val="24"/>
          <w:shd w:val="clear" w:color="auto" w:fill="FFFFFF"/>
        </w:rPr>
        <w:t>Independent</w:t>
      </w:r>
      <w:r w:rsidR="00DE3D9A" w:rsidRPr="004C06DA">
        <w:rPr>
          <w:rFonts w:ascii="Times New Roman" w:hAnsi="Times New Roman" w:cs="Times New Roman"/>
          <w:color w:val="191919" w:themeColor="text1" w:themeTint="E6"/>
          <w:sz w:val="24"/>
          <w:szCs w:val="24"/>
          <w:shd w:val="clear" w:color="auto" w:fill="FFFFFF"/>
        </w:rPr>
        <w:t xml:space="preserve"> Review of Curriculum and Assessment Arr</w:t>
      </w:r>
      <w:r w:rsidR="008F1F06" w:rsidRPr="004C06DA">
        <w:rPr>
          <w:rFonts w:ascii="Times New Roman" w:hAnsi="Times New Roman" w:cs="Times New Roman"/>
          <w:color w:val="191919" w:themeColor="text1" w:themeTint="E6"/>
          <w:sz w:val="24"/>
          <w:szCs w:val="24"/>
          <w:shd w:val="clear" w:color="auto" w:fill="FFFFFF"/>
        </w:rPr>
        <w:t>angements in Wales. Cardiff: Welsh Government.</w:t>
      </w:r>
    </w:p>
    <w:p w14:paraId="7AB9964E" w14:textId="18444417" w:rsidR="00360E5A" w:rsidRPr="004C06DA" w:rsidRDefault="00360E5A"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0DF4E00E" w14:textId="68A8EA83" w:rsidR="00360E5A" w:rsidRPr="004C06DA" w:rsidRDefault="00360E5A"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E</w:t>
      </w:r>
      <w:r w:rsidR="00AC7153" w:rsidRPr="004C06DA">
        <w:rPr>
          <w:rFonts w:ascii="Times New Roman" w:hAnsi="Times New Roman" w:cs="Times New Roman"/>
          <w:color w:val="191919" w:themeColor="text1" w:themeTint="E6"/>
          <w:sz w:val="24"/>
          <w:szCs w:val="24"/>
          <w:shd w:val="clear" w:color="auto" w:fill="FFFFFF"/>
        </w:rPr>
        <w:t>styn, (2016). A report on School X.</w:t>
      </w:r>
    </w:p>
    <w:p w14:paraId="09759141" w14:textId="0847651C" w:rsidR="00360E5A" w:rsidRPr="004C06DA" w:rsidRDefault="00360E5A"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35FE8F9B" w14:textId="37C6D9C0" w:rsidR="00360E5A" w:rsidRPr="004C06DA" w:rsidRDefault="00A712FB"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Estyn, (2012). The Skills Framework at key stage 3: An evaluation of the impact of the non-statutory Skills framework for 3 to 19-year-olds at key stage 3</w:t>
      </w:r>
      <w:r w:rsidR="00F06414" w:rsidRPr="004C06DA">
        <w:rPr>
          <w:rFonts w:ascii="Times New Roman" w:hAnsi="Times New Roman" w:cs="Times New Roman"/>
          <w:color w:val="191919" w:themeColor="text1" w:themeTint="E6"/>
          <w:sz w:val="24"/>
          <w:szCs w:val="24"/>
          <w:shd w:val="clear" w:color="auto" w:fill="FFFFFF"/>
        </w:rPr>
        <w:t>. Cardiff: Welsh Government.</w:t>
      </w:r>
    </w:p>
    <w:p w14:paraId="655439E2" w14:textId="45991708" w:rsidR="00360E5A" w:rsidRPr="004C06DA" w:rsidRDefault="00360E5A"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765357EC" w14:textId="40637D52" w:rsidR="00870635" w:rsidRPr="004C06DA" w:rsidRDefault="00870635"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 xml:space="preserve">Fullan, M., </w:t>
      </w:r>
      <w:r w:rsidR="00DE3D9A" w:rsidRPr="004C06DA">
        <w:rPr>
          <w:rFonts w:ascii="Times New Roman" w:hAnsi="Times New Roman" w:cs="Times New Roman"/>
          <w:color w:val="191919" w:themeColor="text1" w:themeTint="E6"/>
          <w:sz w:val="24"/>
          <w:szCs w:val="24"/>
          <w:shd w:val="clear" w:color="auto" w:fill="FFFFFF"/>
        </w:rPr>
        <w:t>(</w:t>
      </w:r>
      <w:r w:rsidRPr="004C06DA">
        <w:rPr>
          <w:rFonts w:ascii="Times New Roman" w:hAnsi="Times New Roman" w:cs="Times New Roman"/>
          <w:color w:val="191919" w:themeColor="text1" w:themeTint="E6"/>
          <w:sz w:val="24"/>
          <w:szCs w:val="24"/>
          <w:shd w:val="clear" w:color="auto" w:fill="FFFFFF"/>
        </w:rPr>
        <w:t>1992</w:t>
      </w:r>
      <w:r w:rsidR="00DE3D9A" w:rsidRPr="004C06DA">
        <w:rPr>
          <w:rFonts w:ascii="Times New Roman" w:hAnsi="Times New Roman" w:cs="Times New Roman"/>
          <w:color w:val="191919" w:themeColor="text1" w:themeTint="E6"/>
          <w:sz w:val="24"/>
          <w:szCs w:val="24"/>
          <w:shd w:val="clear" w:color="auto" w:fill="FFFFFF"/>
        </w:rPr>
        <w:t>).</w:t>
      </w:r>
      <w:r w:rsidRPr="004C06DA">
        <w:rPr>
          <w:rFonts w:ascii="Times New Roman" w:hAnsi="Times New Roman" w:cs="Times New Roman"/>
          <w:color w:val="191919" w:themeColor="text1" w:themeTint="E6"/>
          <w:sz w:val="24"/>
          <w:szCs w:val="24"/>
          <w:shd w:val="clear" w:color="auto" w:fill="FFFFFF"/>
        </w:rPr>
        <w:t> </w:t>
      </w:r>
      <w:r w:rsidRPr="004C06DA">
        <w:rPr>
          <w:rFonts w:ascii="Times New Roman" w:hAnsi="Times New Roman" w:cs="Times New Roman"/>
          <w:iCs/>
          <w:color w:val="191919" w:themeColor="text1" w:themeTint="E6"/>
          <w:sz w:val="24"/>
          <w:szCs w:val="24"/>
          <w:shd w:val="clear" w:color="auto" w:fill="FFFFFF"/>
        </w:rPr>
        <w:t>Successful school improvemen</w:t>
      </w:r>
      <w:r w:rsidR="004B0617" w:rsidRPr="004C06DA">
        <w:rPr>
          <w:rFonts w:ascii="Times New Roman" w:hAnsi="Times New Roman" w:cs="Times New Roman"/>
          <w:iCs/>
          <w:color w:val="191919" w:themeColor="text1" w:themeTint="E6"/>
          <w:sz w:val="24"/>
          <w:szCs w:val="24"/>
          <w:shd w:val="clear" w:color="auto" w:fill="FFFFFF"/>
        </w:rPr>
        <w:t>t</w:t>
      </w:r>
      <w:r w:rsidRPr="004C06DA">
        <w:rPr>
          <w:rFonts w:ascii="Times New Roman" w:hAnsi="Times New Roman" w:cs="Times New Roman"/>
          <w:iCs/>
          <w:color w:val="191919" w:themeColor="text1" w:themeTint="E6"/>
          <w:sz w:val="24"/>
          <w:szCs w:val="24"/>
          <w:shd w:val="clear" w:color="auto" w:fill="FFFFFF"/>
        </w:rPr>
        <w:t>: the implementation perspective and beyond</w:t>
      </w:r>
      <w:r w:rsidRPr="004C06DA">
        <w:rPr>
          <w:rFonts w:ascii="Times New Roman" w:hAnsi="Times New Roman" w:cs="Times New Roman"/>
          <w:color w:val="191919" w:themeColor="text1" w:themeTint="E6"/>
          <w:sz w:val="24"/>
          <w:szCs w:val="24"/>
          <w:shd w:val="clear" w:color="auto" w:fill="FFFFFF"/>
        </w:rPr>
        <w:t>, Buckingham: Open University Press.</w:t>
      </w:r>
    </w:p>
    <w:p w14:paraId="5B51FB79" w14:textId="77777777" w:rsidR="00870635" w:rsidRPr="004C06DA" w:rsidRDefault="00870635"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02A13707" w14:textId="664774E4" w:rsidR="00DE3D9A" w:rsidRPr="004C06DA" w:rsidRDefault="00870635"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lastRenderedPageBreak/>
        <w:t xml:space="preserve">Fullan, M., </w:t>
      </w:r>
      <w:r w:rsidR="00DE3D9A" w:rsidRPr="004C06DA">
        <w:rPr>
          <w:rFonts w:ascii="Times New Roman" w:hAnsi="Times New Roman" w:cs="Times New Roman"/>
          <w:color w:val="191919" w:themeColor="text1" w:themeTint="E6"/>
          <w:sz w:val="24"/>
          <w:szCs w:val="24"/>
          <w:shd w:val="clear" w:color="auto" w:fill="FFFFFF"/>
        </w:rPr>
        <w:t>(</w:t>
      </w:r>
      <w:r w:rsidRPr="004C06DA">
        <w:rPr>
          <w:rFonts w:ascii="Times New Roman" w:hAnsi="Times New Roman" w:cs="Times New Roman"/>
          <w:color w:val="191919" w:themeColor="text1" w:themeTint="E6"/>
          <w:sz w:val="24"/>
          <w:szCs w:val="24"/>
          <w:shd w:val="clear" w:color="auto" w:fill="FFFFFF"/>
        </w:rPr>
        <w:t>2007</w:t>
      </w:r>
      <w:r w:rsidR="00DE3D9A" w:rsidRPr="004C06DA">
        <w:rPr>
          <w:rFonts w:ascii="Times New Roman" w:hAnsi="Times New Roman" w:cs="Times New Roman"/>
          <w:color w:val="191919" w:themeColor="text1" w:themeTint="E6"/>
          <w:sz w:val="24"/>
          <w:szCs w:val="24"/>
          <w:shd w:val="clear" w:color="auto" w:fill="FFFFFF"/>
        </w:rPr>
        <w:t>).</w:t>
      </w:r>
      <w:r w:rsidRPr="004C06DA">
        <w:rPr>
          <w:rFonts w:ascii="Times New Roman" w:hAnsi="Times New Roman" w:cs="Times New Roman"/>
          <w:color w:val="191919" w:themeColor="text1" w:themeTint="E6"/>
          <w:sz w:val="24"/>
          <w:szCs w:val="24"/>
          <w:shd w:val="clear" w:color="auto" w:fill="FFFFFF"/>
        </w:rPr>
        <w:t> </w:t>
      </w:r>
      <w:r w:rsidRPr="004C06DA">
        <w:rPr>
          <w:rFonts w:ascii="Times New Roman" w:hAnsi="Times New Roman" w:cs="Times New Roman"/>
          <w:iCs/>
          <w:color w:val="191919" w:themeColor="text1" w:themeTint="E6"/>
          <w:sz w:val="24"/>
          <w:szCs w:val="24"/>
          <w:shd w:val="clear" w:color="auto" w:fill="FFFFFF"/>
        </w:rPr>
        <w:t>The new meaning of educational change</w:t>
      </w:r>
      <w:r w:rsidR="00AC3D40" w:rsidRPr="004C06DA">
        <w:rPr>
          <w:rFonts w:ascii="Times New Roman" w:hAnsi="Times New Roman" w:cs="Times New Roman"/>
          <w:iCs/>
          <w:color w:val="191919" w:themeColor="text1" w:themeTint="E6"/>
          <w:sz w:val="24"/>
          <w:szCs w:val="24"/>
          <w:shd w:val="clear" w:color="auto" w:fill="FFFFFF"/>
        </w:rPr>
        <w:t>,</w:t>
      </w:r>
      <w:r w:rsidRPr="004C06DA">
        <w:rPr>
          <w:rFonts w:ascii="Times New Roman" w:hAnsi="Times New Roman" w:cs="Times New Roman"/>
          <w:color w:val="191919" w:themeColor="text1" w:themeTint="E6"/>
          <w:sz w:val="24"/>
          <w:szCs w:val="24"/>
          <w:shd w:val="clear" w:color="auto" w:fill="FFFFFF"/>
        </w:rPr>
        <w:t> 4th ed., London: Routledge.</w:t>
      </w:r>
    </w:p>
    <w:p w14:paraId="62331060" w14:textId="77777777" w:rsidR="00F06414" w:rsidRPr="004C06DA" w:rsidRDefault="00F06414"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33005225" w14:textId="55F1BECA" w:rsidR="00F06414" w:rsidRPr="004C06DA" w:rsidRDefault="00F06414"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 xml:space="preserve">Gough, J., (2017). Educating career guidance practitioners in the twenty-first century, British Journal of </w:t>
      </w:r>
      <w:r w:rsidR="00AA4EF1" w:rsidRPr="004C06DA">
        <w:rPr>
          <w:rFonts w:ascii="Times New Roman" w:hAnsi="Times New Roman" w:cs="Times New Roman"/>
          <w:color w:val="191919" w:themeColor="text1" w:themeTint="E6"/>
          <w:sz w:val="24"/>
          <w:szCs w:val="24"/>
          <w:shd w:val="clear" w:color="auto" w:fill="FFFFFF"/>
        </w:rPr>
        <w:t>Guidance</w:t>
      </w:r>
      <w:r w:rsidRPr="004C06DA">
        <w:rPr>
          <w:rFonts w:ascii="Times New Roman" w:hAnsi="Times New Roman" w:cs="Times New Roman"/>
          <w:color w:val="191919" w:themeColor="text1" w:themeTint="E6"/>
          <w:sz w:val="24"/>
          <w:szCs w:val="24"/>
          <w:shd w:val="clear" w:color="auto" w:fill="FFFFFF"/>
        </w:rPr>
        <w:t xml:space="preserve"> &amp; </w:t>
      </w:r>
      <w:proofErr w:type="spellStart"/>
      <w:r w:rsidRPr="004C06DA">
        <w:rPr>
          <w:rFonts w:ascii="Times New Roman" w:hAnsi="Times New Roman" w:cs="Times New Roman"/>
          <w:color w:val="191919" w:themeColor="text1" w:themeTint="E6"/>
          <w:sz w:val="24"/>
          <w:szCs w:val="24"/>
          <w:shd w:val="clear" w:color="auto" w:fill="FFFFFF"/>
        </w:rPr>
        <w:t>Counselling</w:t>
      </w:r>
      <w:proofErr w:type="spellEnd"/>
      <w:r w:rsidRPr="004C06DA">
        <w:rPr>
          <w:rFonts w:ascii="Times New Roman" w:hAnsi="Times New Roman" w:cs="Times New Roman"/>
          <w:color w:val="191919" w:themeColor="text1" w:themeTint="E6"/>
          <w:sz w:val="24"/>
          <w:szCs w:val="24"/>
          <w:shd w:val="clear" w:color="auto" w:fill="FFFFFF"/>
        </w:rPr>
        <w:t>, 29, (2), pp.199-207.</w:t>
      </w:r>
    </w:p>
    <w:p w14:paraId="7FBBA150" w14:textId="77777777" w:rsidR="00F06414" w:rsidRPr="004C06DA" w:rsidRDefault="00F06414"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6DB34567" w14:textId="18201D56" w:rsidR="00360E5A" w:rsidRPr="004C06DA" w:rsidRDefault="00870635"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Gough, J.</w:t>
      </w:r>
      <w:r w:rsidR="00360E5A" w:rsidRPr="004C06DA">
        <w:rPr>
          <w:rFonts w:ascii="Times New Roman" w:hAnsi="Times New Roman" w:cs="Times New Roman"/>
          <w:color w:val="191919" w:themeColor="text1" w:themeTint="E6"/>
          <w:sz w:val="24"/>
          <w:szCs w:val="24"/>
          <w:shd w:val="clear" w:color="auto" w:fill="FFFFFF"/>
        </w:rPr>
        <w:t xml:space="preserve"> (2007). Make your school's numeracy-across-the-curriculum policy. </w:t>
      </w:r>
      <w:r w:rsidR="00360E5A" w:rsidRPr="004C06DA">
        <w:rPr>
          <w:rFonts w:ascii="Times New Roman" w:hAnsi="Times New Roman" w:cs="Times New Roman"/>
          <w:iCs/>
          <w:color w:val="191919" w:themeColor="text1" w:themeTint="E6"/>
          <w:sz w:val="24"/>
          <w:szCs w:val="24"/>
          <w:shd w:val="clear" w:color="auto" w:fill="FFFFFF"/>
        </w:rPr>
        <w:t>Australian Mathematics Teacher</w:t>
      </w:r>
      <w:r w:rsidR="00360E5A" w:rsidRPr="004C06DA">
        <w:rPr>
          <w:rFonts w:ascii="Times New Roman" w:hAnsi="Times New Roman" w:cs="Times New Roman"/>
          <w:color w:val="191919" w:themeColor="text1" w:themeTint="E6"/>
          <w:sz w:val="24"/>
          <w:szCs w:val="24"/>
          <w:shd w:val="clear" w:color="auto" w:fill="FFFFFF"/>
        </w:rPr>
        <w:t>, 63(3), pp.31–40.</w:t>
      </w:r>
    </w:p>
    <w:p w14:paraId="741B14B2" w14:textId="050C5FBA" w:rsidR="00360E5A" w:rsidRPr="004C06DA" w:rsidRDefault="00360E5A"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3FED1A41" w14:textId="1C197812" w:rsidR="00360E5A" w:rsidRPr="004C06DA" w:rsidRDefault="00870635"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Harlen, W.</w:t>
      </w:r>
      <w:r w:rsidR="00360E5A" w:rsidRPr="004C06DA">
        <w:rPr>
          <w:rFonts w:ascii="Times New Roman" w:hAnsi="Times New Roman" w:cs="Times New Roman"/>
          <w:color w:val="191919" w:themeColor="text1" w:themeTint="E6"/>
          <w:sz w:val="24"/>
          <w:szCs w:val="24"/>
          <w:shd w:val="clear" w:color="auto" w:fill="FFFFFF"/>
        </w:rPr>
        <w:t xml:space="preserve"> (2011). Taking charge of assessment. </w:t>
      </w:r>
      <w:r w:rsidR="00360E5A" w:rsidRPr="004C06DA">
        <w:rPr>
          <w:rFonts w:ascii="Times New Roman" w:hAnsi="Times New Roman" w:cs="Times New Roman"/>
          <w:iCs/>
          <w:color w:val="191919" w:themeColor="text1" w:themeTint="E6"/>
          <w:sz w:val="24"/>
          <w:szCs w:val="24"/>
          <w:shd w:val="clear" w:color="auto" w:fill="FFFFFF"/>
        </w:rPr>
        <w:t>Education Review</w:t>
      </w:r>
      <w:r w:rsidR="00360E5A" w:rsidRPr="004C06DA">
        <w:rPr>
          <w:rFonts w:ascii="Times New Roman" w:hAnsi="Times New Roman" w:cs="Times New Roman"/>
          <w:color w:val="191919" w:themeColor="text1" w:themeTint="E6"/>
          <w:sz w:val="24"/>
          <w:szCs w:val="24"/>
          <w:shd w:val="clear" w:color="auto" w:fill="FFFFFF"/>
        </w:rPr>
        <w:t>, 24(1), pp.65–73</w:t>
      </w:r>
    </w:p>
    <w:p w14:paraId="79B5F44A" w14:textId="24FE706E" w:rsidR="00870635" w:rsidRPr="004C06DA" w:rsidRDefault="00870635"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502BFF35" w14:textId="74E40513" w:rsidR="00CC0152" w:rsidRPr="004C06DA" w:rsidRDefault="00CC0152"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Harlen, W.</w:t>
      </w:r>
      <w:r w:rsidR="00033920" w:rsidRPr="004C06DA">
        <w:rPr>
          <w:rFonts w:ascii="Times New Roman" w:hAnsi="Times New Roman" w:cs="Times New Roman"/>
          <w:color w:val="191919" w:themeColor="text1" w:themeTint="E6"/>
          <w:sz w:val="24"/>
          <w:szCs w:val="24"/>
          <w:shd w:val="clear" w:color="auto" w:fill="FFFFFF"/>
        </w:rPr>
        <w:t xml:space="preserve"> (2004).</w:t>
      </w:r>
      <w:r w:rsidR="00C85EE1" w:rsidRPr="004C06DA">
        <w:rPr>
          <w:rFonts w:ascii="Times New Roman" w:hAnsi="Times New Roman" w:cs="Times New Roman"/>
          <w:color w:val="191919" w:themeColor="text1" w:themeTint="E6"/>
          <w:sz w:val="24"/>
          <w:szCs w:val="24"/>
          <w:shd w:val="clear" w:color="auto" w:fill="FFFFFF"/>
        </w:rPr>
        <w:t xml:space="preserve"> </w:t>
      </w:r>
      <w:r w:rsidR="00033920" w:rsidRPr="004C06DA">
        <w:rPr>
          <w:rFonts w:ascii="Times New Roman" w:hAnsi="Times New Roman" w:cs="Times New Roman"/>
          <w:color w:val="191919" w:themeColor="text1" w:themeTint="E6"/>
          <w:sz w:val="24"/>
          <w:szCs w:val="24"/>
          <w:shd w:val="clear" w:color="auto" w:fill="FFFFFF"/>
        </w:rPr>
        <w:t>A system</w:t>
      </w:r>
      <w:r w:rsidR="00C85EE1" w:rsidRPr="004C06DA">
        <w:rPr>
          <w:rFonts w:ascii="Times New Roman" w:hAnsi="Times New Roman" w:cs="Times New Roman"/>
          <w:color w:val="191919" w:themeColor="text1" w:themeTint="E6"/>
          <w:sz w:val="24"/>
          <w:szCs w:val="24"/>
          <w:shd w:val="clear" w:color="auto" w:fill="FFFFFF"/>
        </w:rPr>
        <w:t xml:space="preserve">atic review of the reliability </w:t>
      </w:r>
      <w:r w:rsidR="00F839DA" w:rsidRPr="004C06DA">
        <w:rPr>
          <w:rFonts w:ascii="Times New Roman" w:hAnsi="Times New Roman" w:cs="Times New Roman"/>
          <w:color w:val="191919" w:themeColor="text1" w:themeTint="E6"/>
          <w:sz w:val="24"/>
          <w:szCs w:val="24"/>
          <w:shd w:val="clear" w:color="auto" w:fill="FFFFFF"/>
        </w:rPr>
        <w:t>and validity of assessment by teachers used for</w:t>
      </w:r>
      <w:r w:rsidR="0057304A" w:rsidRPr="004C06DA">
        <w:rPr>
          <w:rFonts w:ascii="Times New Roman" w:hAnsi="Times New Roman" w:cs="Times New Roman"/>
          <w:color w:val="191919" w:themeColor="text1" w:themeTint="E6"/>
          <w:sz w:val="24"/>
          <w:szCs w:val="24"/>
          <w:shd w:val="clear" w:color="auto" w:fill="FFFFFF"/>
        </w:rPr>
        <w:t xml:space="preserve"> summative purposes. Research Evidence in Education Library. London: University of London.</w:t>
      </w:r>
    </w:p>
    <w:p w14:paraId="455D3D1E" w14:textId="77777777" w:rsidR="00CC0152" w:rsidRPr="004C06DA" w:rsidRDefault="00CC0152"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02F1C8B6" w14:textId="27FC7B78" w:rsidR="00360E5A" w:rsidRPr="004C06DA" w:rsidRDefault="00360E5A"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Harlen, W</w:t>
      </w:r>
      <w:r w:rsidR="00870635" w:rsidRPr="004C06DA">
        <w:rPr>
          <w:rFonts w:ascii="Times New Roman" w:hAnsi="Times New Roman" w:cs="Times New Roman"/>
          <w:color w:val="191919" w:themeColor="text1" w:themeTint="E6"/>
          <w:sz w:val="24"/>
          <w:szCs w:val="24"/>
          <w:shd w:val="clear" w:color="auto" w:fill="FFFFFF"/>
        </w:rPr>
        <w:t>.</w:t>
      </w:r>
      <w:r w:rsidRPr="004C06DA">
        <w:rPr>
          <w:rFonts w:ascii="Times New Roman" w:hAnsi="Times New Roman" w:cs="Times New Roman"/>
          <w:color w:val="191919" w:themeColor="text1" w:themeTint="E6"/>
          <w:sz w:val="24"/>
          <w:szCs w:val="24"/>
          <w:shd w:val="clear" w:color="auto" w:fill="FFFFFF"/>
        </w:rPr>
        <w:t xml:space="preserve"> (2003). The inequitable impacts of high stakes testing. </w:t>
      </w:r>
      <w:r w:rsidRPr="004C06DA">
        <w:rPr>
          <w:rFonts w:ascii="Times New Roman" w:hAnsi="Times New Roman" w:cs="Times New Roman"/>
          <w:iCs/>
          <w:color w:val="191919" w:themeColor="text1" w:themeTint="E6"/>
          <w:sz w:val="24"/>
          <w:szCs w:val="24"/>
          <w:shd w:val="clear" w:color="auto" w:fill="FFFFFF"/>
        </w:rPr>
        <w:t>Education Review</w:t>
      </w:r>
      <w:r w:rsidRPr="004C06DA">
        <w:rPr>
          <w:rFonts w:ascii="Times New Roman" w:hAnsi="Times New Roman" w:cs="Times New Roman"/>
          <w:color w:val="191919" w:themeColor="text1" w:themeTint="E6"/>
          <w:sz w:val="24"/>
          <w:szCs w:val="24"/>
          <w:shd w:val="clear" w:color="auto" w:fill="FFFFFF"/>
        </w:rPr>
        <w:t>, 17(1), pp.43–51.</w:t>
      </w:r>
    </w:p>
    <w:p w14:paraId="7F5610C8" w14:textId="4EC81F7B" w:rsidR="00870635" w:rsidRPr="004C06DA" w:rsidRDefault="00870635"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6E6C87C6" w14:textId="23123B12" w:rsidR="00870635" w:rsidRPr="004C06DA" w:rsidRDefault="00AC7153"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 xml:space="preserve">Hill, R. (2013). </w:t>
      </w:r>
      <w:r w:rsidRPr="004C06DA">
        <w:rPr>
          <w:rFonts w:ascii="Times New Roman" w:hAnsi="Times New Roman" w:cs="Times New Roman"/>
          <w:color w:val="191919" w:themeColor="text1" w:themeTint="E6"/>
          <w:sz w:val="24"/>
          <w:szCs w:val="24"/>
        </w:rPr>
        <w:t>The future delivery of education services in Wales. Cardiff: Welsh Government.</w:t>
      </w:r>
    </w:p>
    <w:p w14:paraId="764D1982" w14:textId="56C9EE43" w:rsidR="00870635" w:rsidRPr="004C06DA" w:rsidRDefault="00870635"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1BC66306" w14:textId="102C94A1" w:rsidR="00870635" w:rsidRPr="004C06DA" w:rsidRDefault="00870635"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L</w:t>
      </w:r>
      <w:r w:rsidR="004356D3" w:rsidRPr="004C06DA">
        <w:rPr>
          <w:rFonts w:ascii="Times New Roman" w:hAnsi="Times New Roman" w:cs="Times New Roman"/>
          <w:color w:val="191919" w:themeColor="text1" w:themeTint="E6"/>
          <w:sz w:val="24"/>
          <w:szCs w:val="24"/>
          <w:shd w:val="clear" w:color="auto" w:fill="FFFFFF"/>
        </w:rPr>
        <w:t>ocal Authority</w:t>
      </w:r>
      <w:r w:rsidR="004B0617" w:rsidRPr="004C06DA">
        <w:rPr>
          <w:rFonts w:ascii="Times New Roman" w:hAnsi="Times New Roman" w:cs="Times New Roman"/>
          <w:color w:val="191919" w:themeColor="text1" w:themeTint="E6"/>
          <w:sz w:val="24"/>
          <w:szCs w:val="24"/>
          <w:shd w:val="clear" w:color="auto" w:fill="FFFFFF"/>
        </w:rPr>
        <w:t>, (2018). Communities First. Available at: local authority website. (accessed: 12 January 2019)</w:t>
      </w:r>
    </w:p>
    <w:p w14:paraId="6BC8FFAC" w14:textId="2136A130" w:rsidR="00870635" w:rsidRPr="004C06DA" w:rsidRDefault="00870635"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49ABA6C6" w14:textId="0D70D851" w:rsidR="00870635" w:rsidRPr="004C06DA" w:rsidRDefault="00870635" w:rsidP="00A712F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191919" w:themeColor="text1" w:themeTint="E6"/>
          <w:bdr w:val="none" w:sz="0" w:space="0" w:color="auto"/>
          <w:lang w:val="en-GB" w:eastAsia="en-GB"/>
        </w:rPr>
      </w:pPr>
      <w:r w:rsidRPr="004C06DA">
        <w:rPr>
          <w:rFonts w:eastAsia="Times New Roman"/>
          <w:color w:val="191919" w:themeColor="text1" w:themeTint="E6"/>
          <w:bdr w:val="none" w:sz="0" w:space="0" w:color="auto"/>
          <w:lang w:val="en-GB" w:eastAsia="en-GB"/>
        </w:rPr>
        <w:t>Page, D. (2016). Understanding performance management in schools: a dialectical approach. </w:t>
      </w:r>
      <w:r w:rsidRPr="004C06DA">
        <w:rPr>
          <w:rFonts w:eastAsia="Times New Roman"/>
          <w:iCs/>
          <w:color w:val="191919" w:themeColor="text1" w:themeTint="E6"/>
          <w:bdr w:val="none" w:sz="0" w:space="0" w:color="auto"/>
          <w:lang w:val="en-GB" w:eastAsia="en-GB"/>
        </w:rPr>
        <w:t>The International Journal of Educational Management</w:t>
      </w:r>
      <w:r w:rsidRPr="004C06DA">
        <w:rPr>
          <w:rFonts w:eastAsia="Times New Roman"/>
          <w:color w:val="191919" w:themeColor="text1" w:themeTint="E6"/>
          <w:bdr w:val="none" w:sz="0" w:space="0" w:color="auto"/>
          <w:lang w:val="en-GB" w:eastAsia="en-GB"/>
        </w:rPr>
        <w:t>, 30(2), pp.166–176.</w:t>
      </w:r>
    </w:p>
    <w:p w14:paraId="29FCAA55" w14:textId="48452371" w:rsidR="00870635" w:rsidRPr="004C06DA" w:rsidRDefault="00870635" w:rsidP="00A712FB">
      <w:pPr>
        <w:pStyle w:val="Body"/>
        <w:spacing w:line="360" w:lineRule="auto"/>
        <w:rPr>
          <w:rFonts w:ascii="Times New Roman" w:eastAsia="Times New Roman" w:hAnsi="Times New Roman" w:cs="Times New Roman"/>
          <w:color w:val="191919" w:themeColor="text1" w:themeTint="E6"/>
          <w:sz w:val="24"/>
          <w:szCs w:val="24"/>
          <w:bdr w:val="none" w:sz="0" w:space="0" w:color="auto"/>
          <w:lang w:val="en-GB"/>
        </w:rPr>
      </w:pPr>
    </w:p>
    <w:p w14:paraId="1279366A" w14:textId="3D27466F" w:rsidR="009D1BA8" w:rsidRPr="004C06DA" w:rsidRDefault="009D1BA8" w:rsidP="00A712F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191919" w:themeColor="text1" w:themeTint="E6"/>
          <w:bdr w:val="none" w:sz="0" w:space="0" w:color="auto"/>
          <w:lang w:val="en-GB" w:eastAsia="en-GB"/>
        </w:rPr>
      </w:pPr>
      <w:r w:rsidRPr="004C06DA">
        <w:rPr>
          <w:rFonts w:eastAsia="Times New Roman"/>
          <w:color w:val="191919" w:themeColor="text1" w:themeTint="E6"/>
          <w:bdr w:val="none" w:sz="0" w:space="0" w:color="auto"/>
          <w:lang w:val="en-GB" w:eastAsia="en-GB"/>
        </w:rPr>
        <w:t>Smith, D. (2013)</w:t>
      </w:r>
      <w:r w:rsidR="001D24D6" w:rsidRPr="004C06DA">
        <w:rPr>
          <w:rFonts w:eastAsia="Times New Roman"/>
          <w:color w:val="191919" w:themeColor="text1" w:themeTint="E6"/>
          <w:bdr w:val="none" w:sz="0" w:space="0" w:color="auto"/>
          <w:lang w:val="en-GB" w:eastAsia="en-GB"/>
        </w:rPr>
        <w:t xml:space="preserve">. An </w:t>
      </w:r>
      <w:r w:rsidR="00DE3D9A" w:rsidRPr="004C06DA">
        <w:rPr>
          <w:rFonts w:eastAsia="Times New Roman"/>
          <w:color w:val="191919" w:themeColor="text1" w:themeTint="E6"/>
          <w:bdr w:val="none" w:sz="0" w:space="0" w:color="auto"/>
          <w:lang w:val="en-GB" w:eastAsia="en-GB"/>
        </w:rPr>
        <w:t>independent</w:t>
      </w:r>
      <w:r w:rsidR="001D24D6" w:rsidRPr="004C06DA">
        <w:rPr>
          <w:rFonts w:eastAsia="Times New Roman"/>
          <w:color w:val="191919" w:themeColor="text1" w:themeTint="E6"/>
          <w:bdr w:val="none" w:sz="0" w:space="0" w:color="auto"/>
          <w:lang w:val="en-GB" w:eastAsia="en-GB"/>
        </w:rPr>
        <w:t xml:space="preserve"> report for the Welsh Government into Arts Education in the Schools of Wales. Cardiff: Welsh Government.</w:t>
      </w:r>
    </w:p>
    <w:p w14:paraId="1A772BCC" w14:textId="77777777" w:rsidR="00870635" w:rsidRPr="004C06DA" w:rsidRDefault="00870635" w:rsidP="00A712F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191919" w:themeColor="text1" w:themeTint="E6"/>
          <w:bdr w:val="none" w:sz="0" w:space="0" w:color="auto"/>
          <w:lang w:val="en-GB" w:eastAsia="en-GB"/>
        </w:rPr>
      </w:pPr>
    </w:p>
    <w:p w14:paraId="7A70D2A7" w14:textId="09782C05" w:rsidR="00870635" w:rsidRPr="004C06DA" w:rsidRDefault="00A712FB" w:rsidP="0003392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191919" w:themeColor="text1" w:themeTint="E6"/>
          <w:bdr w:val="none" w:sz="0" w:space="0" w:color="auto"/>
          <w:lang w:val="en-GB" w:eastAsia="en-GB"/>
        </w:rPr>
      </w:pPr>
      <w:r w:rsidRPr="004C06DA">
        <w:rPr>
          <w:rFonts w:eastAsia="Times New Roman"/>
          <w:color w:val="191919" w:themeColor="text1" w:themeTint="E6"/>
          <w:bdr w:val="none" w:sz="0" w:space="0" w:color="auto"/>
          <w:lang w:val="en-GB" w:eastAsia="en-GB"/>
        </w:rPr>
        <w:t xml:space="preserve">Waller, M., </w:t>
      </w:r>
      <w:r w:rsidR="000E040D" w:rsidRPr="004C06DA">
        <w:rPr>
          <w:color w:val="191919" w:themeColor="text1" w:themeTint="E6"/>
          <w:shd w:val="clear" w:color="auto" w:fill="FFFFFF"/>
        </w:rPr>
        <w:t>Conte,</w:t>
      </w:r>
      <w:r w:rsidRPr="004C06DA">
        <w:rPr>
          <w:color w:val="191919" w:themeColor="text1" w:themeTint="E6"/>
          <w:shd w:val="clear" w:color="auto" w:fill="FFFFFF"/>
        </w:rPr>
        <w:t xml:space="preserve"> J.,</w:t>
      </w:r>
      <w:r w:rsidR="000E040D" w:rsidRPr="004C06DA">
        <w:rPr>
          <w:color w:val="191919" w:themeColor="text1" w:themeTint="E6"/>
          <w:shd w:val="clear" w:color="auto" w:fill="FFFFFF"/>
        </w:rPr>
        <w:t xml:space="preserve"> Gibson</w:t>
      </w:r>
      <w:r w:rsidRPr="004C06DA">
        <w:rPr>
          <w:color w:val="191919" w:themeColor="text1" w:themeTint="E6"/>
          <w:shd w:val="clear" w:color="auto" w:fill="FFFFFF"/>
        </w:rPr>
        <w:t>, C., &amp;</w:t>
      </w:r>
      <w:r w:rsidR="000E040D" w:rsidRPr="004C06DA">
        <w:rPr>
          <w:color w:val="191919" w:themeColor="text1" w:themeTint="E6"/>
          <w:shd w:val="clear" w:color="auto" w:fill="FFFFFF"/>
        </w:rPr>
        <w:t xml:space="preserve"> Carpenter</w:t>
      </w:r>
      <w:r w:rsidRPr="004C06DA">
        <w:rPr>
          <w:color w:val="191919" w:themeColor="text1" w:themeTint="E6"/>
          <w:shd w:val="clear" w:color="auto" w:fill="FFFFFF"/>
        </w:rPr>
        <w:t>, M.</w:t>
      </w:r>
      <w:r w:rsidR="000E040D" w:rsidRPr="004C06DA">
        <w:rPr>
          <w:rFonts w:eastAsia="Times New Roman"/>
          <w:color w:val="191919" w:themeColor="text1" w:themeTint="E6"/>
          <w:bdr w:val="none" w:sz="0" w:space="0" w:color="auto"/>
          <w:lang w:val="en-GB" w:eastAsia="en-GB"/>
        </w:rPr>
        <w:t xml:space="preserve"> </w:t>
      </w:r>
      <w:r w:rsidR="00DE3D9A" w:rsidRPr="004C06DA">
        <w:rPr>
          <w:rFonts w:eastAsia="Times New Roman"/>
          <w:color w:val="191919" w:themeColor="text1" w:themeTint="E6"/>
          <w:bdr w:val="none" w:sz="0" w:space="0" w:color="auto"/>
          <w:lang w:val="en-GB" w:eastAsia="en-GB"/>
        </w:rPr>
        <w:t>(</w:t>
      </w:r>
      <w:r w:rsidR="00870635" w:rsidRPr="004C06DA">
        <w:rPr>
          <w:rFonts w:eastAsia="Times New Roman"/>
          <w:color w:val="191919" w:themeColor="text1" w:themeTint="E6"/>
          <w:bdr w:val="none" w:sz="0" w:space="0" w:color="auto"/>
          <w:lang w:val="en-GB" w:eastAsia="en-GB"/>
        </w:rPr>
        <w:t>2001</w:t>
      </w:r>
      <w:r w:rsidR="00DE3D9A" w:rsidRPr="004C06DA">
        <w:rPr>
          <w:rFonts w:eastAsia="Times New Roman"/>
          <w:color w:val="191919" w:themeColor="text1" w:themeTint="E6"/>
          <w:bdr w:val="none" w:sz="0" w:space="0" w:color="auto"/>
          <w:lang w:val="en-GB" w:eastAsia="en-GB"/>
        </w:rPr>
        <w:t>)</w:t>
      </w:r>
      <w:r w:rsidR="00870635" w:rsidRPr="004C06DA">
        <w:rPr>
          <w:rFonts w:eastAsia="Times New Roman"/>
          <w:color w:val="191919" w:themeColor="text1" w:themeTint="E6"/>
          <w:bdr w:val="none" w:sz="0" w:space="0" w:color="auto"/>
          <w:lang w:val="en-GB" w:eastAsia="en-GB"/>
        </w:rPr>
        <w:t>. The Effect of Individual Perceptions of Deadlines on Team Performance. </w:t>
      </w:r>
      <w:r w:rsidR="00870635" w:rsidRPr="004C06DA">
        <w:rPr>
          <w:rFonts w:eastAsia="Times New Roman"/>
          <w:iCs/>
          <w:color w:val="191919" w:themeColor="text1" w:themeTint="E6"/>
          <w:bdr w:val="none" w:sz="0" w:space="0" w:color="auto"/>
          <w:lang w:val="en-GB" w:eastAsia="en-GB"/>
        </w:rPr>
        <w:t>The Academy of Management Review</w:t>
      </w:r>
      <w:r w:rsidR="00870635" w:rsidRPr="004C06DA">
        <w:rPr>
          <w:rFonts w:eastAsia="Times New Roman"/>
          <w:color w:val="191919" w:themeColor="text1" w:themeTint="E6"/>
          <w:bdr w:val="none" w:sz="0" w:space="0" w:color="auto"/>
          <w:lang w:val="en-GB" w:eastAsia="en-GB"/>
        </w:rPr>
        <w:t>, 26(4), pp.586–600.</w:t>
      </w:r>
    </w:p>
    <w:p w14:paraId="4B720BE3" w14:textId="77777777" w:rsidR="00870635" w:rsidRPr="004C06DA" w:rsidRDefault="00870635" w:rsidP="00A712FB">
      <w:pPr>
        <w:pStyle w:val="Body"/>
        <w:spacing w:line="360" w:lineRule="auto"/>
        <w:rPr>
          <w:rFonts w:ascii="Times New Roman" w:eastAsia="Times New Roman" w:hAnsi="Times New Roman" w:cs="Times New Roman"/>
          <w:color w:val="191919" w:themeColor="text1" w:themeTint="E6"/>
          <w:sz w:val="24"/>
          <w:szCs w:val="24"/>
          <w:bdr w:val="none" w:sz="0" w:space="0" w:color="auto"/>
          <w:lang w:val="en-GB"/>
        </w:rPr>
      </w:pPr>
    </w:p>
    <w:p w14:paraId="61AD1E99" w14:textId="3F07BCAF" w:rsidR="00870635" w:rsidRPr="004C06DA" w:rsidRDefault="00A712FB"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Wells, A.</w:t>
      </w:r>
      <w:r w:rsidR="00870635" w:rsidRPr="004C06DA">
        <w:rPr>
          <w:rFonts w:ascii="Times New Roman" w:hAnsi="Times New Roman" w:cs="Times New Roman"/>
          <w:color w:val="191919" w:themeColor="text1" w:themeTint="E6"/>
          <w:sz w:val="24"/>
          <w:szCs w:val="24"/>
          <w:shd w:val="clear" w:color="auto" w:fill="FFFFFF"/>
        </w:rPr>
        <w:t xml:space="preserve">, </w:t>
      </w:r>
      <w:r w:rsidRPr="004C06DA">
        <w:rPr>
          <w:rFonts w:ascii="Times New Roman" w:hAnsi="Times New Roman" w:cs="Times New Roman"/>
          <w:color w:val="191919" w:themeColor="text1" w:themeTint="E6"/>
          <w:sz w:val="24"/>
          <w:szCs w:val="24"/>
          <w:shd w:val="clear" w:color="auto" w:fill="FFFFFF"/>
        </w:rPr>
        <w:t>(</w:t>
      </w:r>
      <w:r w:rsidR="00870635" w:rsidRPr="004C06DA">
        <w:rPr>
          <w:rFonts w:ascii="Times New Roman" w:hAnsi="Times New Roman" w:cs="Times New Roman"/>
          <w:color w:val="191919" w:themeColor="text1" w:themeTint="E6"/>
          <w:sz w:val="24"/>
          <w:szCs w:val="24"/>
          <w:shd w:val="clear" w:color="auto" w:fill="FFFFFF"/>
        </w:rPr>
        <w:t>2003</w:t>
      </w:r>
      <w:r w:rsidRPr="004C06DA">
        <w:rPr>
          <w:rFonts w:ascii="Times New Roman" w:hAnsi="Times New Roman" w:cs="Times New Roman"/>
          <w:color w:val="191919" w:themeColor="text1" w:themeTint="E6"/>
          <w:sz w:val="24"/>
          <w:szCs w:val="24"/>
          <w:shd w:val="clear" w:color="auto" w:fill="FFFFFF"/>
        </w:rPr>
        <w:t>)</w:t>
      </w:r>
      <w:r w:rsidR="00870635" w:rsidRPr="004C06DA">
        <w:rPr>
          <w:rFonts w:ascii="Times New Roman" w:hAnsi="Times New Roman" w:cs="Times New Roman"/>
          <w:color w:val="191919" w:themeColor="text1" w:themeTint="E6"/>
          <w:sz w:val="24"/>
          <w:szCs w:val="24"/>
          <w:shd w:val="clear" w:color="auto" w:fill="FFFFFF"/>
        </w:rPr>
        <w:t>. Getting the right literacy and numeracy skills for the 21st century. </w:t>
      </w:r>
      <w:r w:rsidR="00870635" w:rsidRPr="004C06DA">
        <w:rPr>
          <w:rFonts w:ascii="Times New Roman" w:hAnsi="Times New Roman" w:cs="Times New Roman"/>
          <w:iCs/>
          <w:color w:val="191919" w:themeColor="text1" w:themeTint="E6"/>
          <w:sz w:val="24"/>
          <w:szCs w:val="24"/>
          <w:shd w:val="clear" w:color="auto" w:fill="FFFFFF"/>
        </w:rPr>
        <w:t>Education Review</w:t>
      </w:r>
      <w:r w:rsidR="00870635" w:rsidRPr="004C06DA">
        <w:rPr>
          <w:rFonts w:ascii="Times New Roman" w:hAnsi="Times New Roman" w:cs="Times New Roman"/>
          <w:color w:val="191919" w:themeColor="text1" w:themeTint="E6"/>
          <w:sz w:val="24"/>
          <w:szCs w:val="24"/>
          <w:shd w:val="clear" w:color="auto" w:fill="FFFFFF"/>
        </w:rPr>
        <w:t>, 16(2), pp.8–13.</w:t>
      </w:r>
    </w:p>
    <w:p w14:paraId="5DC663A5" w14:textId="3279B12C" w:rsidR="00870635" w:rsidRPr="004C06DA" w:rsidRDefault="00870635"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018EBAA2" w14:textId="60DC2E3D" w:rsidR="00113CDB" w:rsidRPr="004C06DA" w:rsidRDefault="00113CDB"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 xml:space="preserve">Welsh Government, (2018). </w:t>
      </w:r>
      <w:r w:rsidR="00640B13" w:rsidRPr="004C06DA">
        <w:rPr>
          <w:rFonts w:ascii="Times New Roman" w:hAnsi="Times New Roman" w:cs="Times New Roman"/>
          <w:color w:val="191919" w:themeColor="text1" w:themeTint="E6"/>
          <w:sz w:val="24"/>
          <w:szCs w:val="24"/>
          <w:shd w:val="clear" w:color="auto" w:fill="FFFFFF"/>
        </w:rPr>
        <w:t>School X. Available at: http://mylocalschool.wales.gov.uk [accessed: 12 January 2019).</w:t>
      </w:r>
    </w:p>
    <w:p w14:paraId="15089A50" w14:textId="77777777" w:rsidR="00113CDB" w:rsidRPr="004C06DA" w:rsidRDefault="00113CDB"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37E4A4B3" w14:textId="1D81BBA6" w:rsidR="00870635" w:rsidRPr="004C06DA" w:rsidRDefault="00870635"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Welsh Government</w:t>
      </w:r>
      <w:r w:rsidR="00A712FB" w:rsidRPr="004C06DA">
        <w:rPr>
          <w:rFonts w:ascii="Times New Roman" w:hAnsi="Times New Roman" w:cs="Times New Roman"/>
          <w:color w:val="191919" w:themeColor="text1" w:themeTint="E6"/>
          <w:sz w:val="24"/>
          <w:szCs w:val="24"/>
          <w:shd w:val="clear" w:color="auto" w:fill="FFFFFF"/>
        </w:rPr>
        <w:t>,</w:t>
      </w:r>
      <w:r w:rsidRPr="004C06DA">
        <w:rPr>
          <w:rFonts w:ascii="Times New Roman" w:hAnsi="Times New Roman" w:cs="Times New Roman"/>
          <w:color w:val="191919" w:themeColor="text1" w:themeTint="E6"/>
          <w:sz w:val="24"/>
          <w:szCs w:val="24"/>
          <w:shd w:val="clear" w:color="auto" w:fill="FFFFFF"/>
        </w:rPr>
        <w:t xml:space="preserve"> (2018)</w:t>
      </w:r>
      <w:r w:rsidR="00F06414" w:rsidRPr="004C06DA">
        <w:rPr>
          <w:rFonts w:ascii="Times New Roman" w:hAnsi="Times New Roman" w:cs="Times New Roman"/>
          <w:color w:val="191919" w:themeColor="text1" w:themeTint="E6"/>
          <w:sz w:val="24"/>
          <w:szCs w:val="24"/>
          <w:shd w:val="clear" w:color="auto" w:fill="FFFFFF"/>
        </w:rPr>
        <w:t>.</w:t>
      </w:r>
      <w:r w:rsidRPr="004C06DA">
        <w:rPr>
          <w:rFonts w:ascii="Times New Roman" w:hAnsi="Times New Roman" w:cs="Times New Roman"/>
          <w:color w:val="191919" w:themeColor="text1" w:themeTint="E6"/>
          <w:sz w:val="24"/>
          <w:szCs w:val="24"/>
          <w:shd w:val="clear" w:color="auto" w:fill="FFFFFF"/>
        </w:rPr>
        <w:t xml:space="preserve"> </w:t>
      </w:r>
      <w:r w:rsidR="00F06414" w:rsidRPr="004C06DA">
        <w:rPr>
          <w:rFonts w:ascii="Times New Roman" w:hAnsi="Times New Roman" w:cs="Times New Roman"/>
          <w:color w:val="191919" w:themeColor="text1" w:themeTint="E6"/>
          <w:sz w:val="24"/>
          <w:szCs w:val="24"/>
          <w:shd w:val="clear" w:color="auto" w:fill="FFFFFF"/>
        </w:rPr>
        <w:t>National</w:t>
      </w:r>
      <w:r w:rsidRPr="004C06DA">
        <w:rPr>
          <w:rFonts w:ascii="Times New Roman" w:hAnsi="Times New Roman" w:cs="Times New Roman"/>
          <w:color w:val="191919" w:themeColor="text1" w:themeTint="E6"/>
          <w:sz w:val="24"/>
          <w:szCs w:val="24"/>
          <w:shd w:val="clear" w:color="auto" w:fill="FFFFFF"/>
        </w:rPr>
        <w:t xml:space="preserve"> School </w:t>
      </w:r>
      <w:r w:rsidR="00E85692" w:rsidRPr="004C06DA">
        <w:rPr>
          <w:rFonts w:ascii="Times New Roman" w:hAnsi="Times New Roman" w:cs="Times New Roman"/>
          <w:color w:val="191919" w:themeColor="text1" w:themeTint="E6"/>
          <w:sz w:val="24"/>
          <w:szCs w:val="24"/>
          <w:shd w:val="clear" w:color="auto" w:fill="FFFFFF"/>
        </w:rPr>
        <w:t>Categorisation: Guidance. Cardiff: Welsh Government.</w:t>
      </w:r>
    </w:p>
    <w:p w14:paraId="363BCF7A" w14:textId="77777777" w:rsidR="00870635" w:rsidRPr="004C06DA" w:rsidRDefault="00870635"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21EFAC82" w14:textId="150D0146" w:rsidR="00870635" w:rsidRPr="004C06DA" w:rsidRDefault="00870635" w:rsidP="00A712FB">
      <w:pPr>
        <w:pStyle w:val="Body"/>
        <w:spacing w:line="360" w:lineRule="auto"/>
        <w:rPr>
          <w:rFonts w:ascii="Times New Roman" w:hAnsi="Times New Roman" w:cs="Times New Roman"/>
          <w:color w:val="191919" w:themeColor="text1" w:themeTint="E6"/>
          <w:sz w:val="24"/>
          <w:szCs w:val="24"/>
        </w:rPr>
      </w:pPr>
      <w:r w:rsidRPr="004C06DA">
        <w:rPr>
          <w:rFonts w:ascii="Times New Roman" w:hAnsi="Times New Roman" w:cs="Times New Roman"/>
          <w:color w:val="191919" w:themeColor="text1" w:themeTint="E6"/>
          <w:sz w:val="24"/>
          <w:szCs w:val="24"/>
          <w:shd w:val="clear" w:color="auto" w:fill="FFFFFF"/>
        </w:rPr>
        <w:t>Welsh Government</w:t>
      </w:r>
      <w:r w:rsidR="00A712FB" w:rsidRPr="004C06DA">
        <w:rPr>
          <w:rFonts w:ascii="Times New Roman" w:hAnsi="Times New Roman" w:cs="Times New Roman"/>
          <w:color w:val="191919" w:themeColor="text1" w:themeTint="E6"/>
          <w:sz w:val="24"/>
          <w:szCs w:val="24"/>
          <w:shd w:val="clear" w:color="auto" w:fill="FFFFFF"/>
        </w:rPr>
        <w:t>,</w:t>
      </w:r>
      <w:r w:rsidRPr="004C06DA">
        <w:rPr>
          <w:rFonts w:ascii="Times New Roman" w:hAnsi="Times New Roman" w:cs="Times New Roman"/>
          <w:color w:val="191919" w:themeColor="text1" w:themeTint="E6"/>
          <w:sz w:val="24"/>
          <w:szCs w:val="24"/>
          <w:shd w:val="clear" w:color="auto" w:fill="FFFFFF"/>
        </w:rPr>
        <w:t xml:space="preserve"> (2017)</w:t>
      </w:r>
      <w:r w:rsidR="00E85692" w:rsidRPr="004C06DA">
        <w:rPr>
          <w:rFonts w:ascii="Times New Roman" w:hAnsi="Times New Roman" w:cs="Times New Roman"/>
          <w:color w:val="191919" w:themeColor="text1" w:themeTint="E6"/>
          <w:sz w:val="24"/>
          <w:szCs w:val="24"/>
          <w:shd w:val="clear" w:color="auto" w:fill="FFFFFF"/>
        </w:rPr>
        <w:t xml:space="preserve">. </w:t>
      </w:r>
      <w:r w:rsidR="00E85692" w:rsidRPr="004C06DA">
        <w:rPr>
          <w:rFonts w:ascii="Times New Roman" w:hAnsi="Times New Roman" w:cs="Times New Roman"/>
          <w:color w:val="191919" w:themeColor="text1" w:themeTint="E6"/>
          <w:sz w:val="24"/>
          <w:szCs w:val="24"/>
        </w:rPr>
        <w:t xml:space="preserve">Evaluation of the National Literacy and Numeracy </w:t>
      </w:r>
      <w:proofErr w:type="spellStart"/>
      <w:r w:rsidR="00E85692" w:rsidRPr="004C06DA">
        <w:rPr>
          <w:rFonts w:ascii="Times New Roman" w:hAnsi="Times New Roman" w:cs="Times New Roman"/>
          <w:color w:val="191919" w:themeColor="text1" w:themeTint="E6"/>
          <w:sz w:val="24"/>
          <w:szCs w:val="24"/>
        </w:rPr>
        <w:t>Programmes</w:t>
      </w:r>
      <w:proofErr w:type="spellEnd"/>
      <w:r w:rsidR="00E85692" w:rsidRPr="004C06DA">
        <w:rPr>
          <w:rFonts w:ascii="Times New Roman" w:hAnsi="Times New Roman" w:cs="Times New Roman"/>
          <w:color w:val="191919" w:themeColor="text1" w:themeTint="E6"/>
          <w:sz w:val="24"/>
          <w:szCs w:val="24"/>
        </w:rPr>
        <w:t xml:space="preserve"> Final Report. Cardiff.</w:t>
      </w:r>
    </w:p>
    <w:p w14:paraId="2EF6AA01" w14:textId="77777777" w:rsidR="00E85692" w:rsidRPr="004C06DA" w:rsidRDefault="00E85692"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14B49F83" w14:textId="2A31FE3F" w:rsidR="00870635" w:rsidRPr="004C06DA" w:rsidRDefault="00870635"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Welsh Government</w:t>
      </w:r>
      <w:r w:rsidR="00A712FB" w:rsidRPr="004C06DA">
        <w:rPr>
          <w:rFonts w:ascii="Times New Roman" w:hAnsi="Times New Roman" w:cs="Times New Roman"/>
          <w:color w:val="191919" w:themeColor="text1" w:themeTint="E6"/>
          <w:sz w:val="24"/>
          <w:szCs w:val="24"/>
          <w:shd w:val="clear" w:color="auto" w:fill="FFFFFF"/>
        </w:rPr>
        <w:t>,</w:t>
      </w:r>
      <w:r w:rsidRPr="004C06DA">
        <w:rPr>
          <w:rFonts w:ascii="Times New Roman" w:hAnsi="Times New Roman" w:cs="Times New Roman"/>
          <w:color w:val="191919" w:themeColor="text1" w:themeTint="E6"/>
          <w:sz w:val="24"/>
          <w:szCs w:val="24"/>
          <w:shd w:val="clear" w:color="auto" w:fill="FFFFFF"/>
        </w:rPr>
        <w:t xml:space="preserve"> (2013</w:t>
      </w:r>
      <w:r w:rsidR="00A712FB" w:rsidRPr="004C06DA">
        <w:rPr>
          <w:rFonts w:ascii="Times New Roman" w:hAnsi="Times New Roman" w:cs="Times New Roman"/>
          <w:color w:val="191919" w:themeColor="text1" w:themeTint="E6"/>
          <w:sz w:val="24"/>
          <w:szCs w:val="24"/>
          <w:shd w:val="clear" w:color="auto" w:fill="FFFFFF"/>
        </w:rPr>
        <w:t>). National Literacy and Numeracy Framework. Cardiff: Welsh Government.</w:t>
      </w:r>
    </w:p>
    <w:p w14:paraId="5FEF994D" w14:textId="41D4F8E9" w:rsidR="00AC7153" w:rsidRPr="004C06DA" w:rsidRDefault="00AC7153"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6590606A" w14:textId="647AF962" w:rsidR="00870635" w:rsidRPr="004C06DA" w:rsidRDefault="00870635" w:rsidP="00A712FB">
      <w:pPr>
        <w:pStyle w:val="Body"/>
        <w:spacing w:line="360" w:lineRule="auto"/>
        <w:rPr>
          <w:rFonts w:ascii="Times New Roman" w:hAnsi="Times New Roman" w:cs="Times New Roman"/>
          <w:color w:val="191919" w:themeColor="text1" w:themeTint="E6"/>
          <w:sz w:val="24"/>
          <w:szCs w:val="24"/>
          <w:shd w:val="clear" w:color="auto" w:fill="FFFFFF"/>
        </w:rPr>
      </w:pPr>
      <w:r w:rsidRPr="004C06DA">
        <w:rPr>
          <w:rFonts w:ascii="Times New Roman" w:hAnsi="Times New Roman" w:cs="Times New Roman"/>
          <w:color w:val="191919" w:themeColor="text1" w:themeTint="E6"/>
          <w:sz w:val="24"/>
          <w:szCs w:val="24"/>
          <w:shd w:val="clear" w:color="auto" w:fill="FFFFFF"/>
        </w:rPr>
        <w:t>Welsh Government</w:t>
      </w:r>
      <w:r w:rsidR="00A712FB" w:rsidRPr="004C06DA">
        <w:rPr>
          <w:rFonts w:ascii="Times New Roman" w:hAnsi="Times New Roman" w:cs="Times New Roman"/>
          <w:color w:val="191919" w:themeColor="text1" w:themeTint="E6"/>
          <w:sz w:val="24"/>
          <w:szCs w:val="24"/>
          <w:shd w:val="clear" w:color="auto" w:fill="FFFFFF"/>
        </w:rPr>
        <w:t>,</w:t>
      </w:r>
      <w:r w:rsidRPr="004C06DA">
        <w:rPr>
          <w:rFonts w:ascii="Times New Roman" w:hAnsi="Times New Roman" w:cs="Times New Roman"/>
          <w:color w:val="191919" w:themeColor="text1" w:themeTint="E6"/>
          <w:sz w:val="24"/>
          <w:szCs w:val="24"/>
          <w:shd w:val="clear" w:color="auto" w:fill="FFFFFF"/>
        </w:rPr>
        <w:t xml:space="preserve"> (2008)</w:t>
      </w:r>
      <w:r w:rsidR="00F06414" w:rsidRPr="004C06DA">
        <w:rPr>
          <w:rFonts w:ascii="Times New Roman" w:hAnsi="Times New Roman" w:cs="Times New Roman"/>
          <w:color w:val="191919" w:themeColor="text1" w:themeTint="E6"/>
          <w:sz w:val="24"/>
          <w:szCs w:val="24"/>
          <w:shd w:val="clear" w:color="auto" w:fill="FFFFFF"/>
        </w:rPr>
        <w:t>. Skills framework for 3 to 19-year-olds in Wales. Cardiff: Welsh Government.</w:t>
      </w:r>
    </w:p>
    <w:p w14:paraId="5CBE093B" w14:textId="76B0D515" w:rsidR="00113CDB" w:rsidRPr="004C06DA" w:rsidRDefault="00113CDB" w:rsidP="00A712FB">
      <w:pPr>
        <w:pStyle w:val="Body"/>
        <w:spacing w:line="360" w:lineRule="auto"/>
        <w:rPr>
          <w:rFonts w:ascii="Times New Roman" w:hAnsi="Times New Roman" w:cs="Times New Roman"/>
          <w:color w:val="191919" w:themeColor="text1" w:themeTint="E6"/>
          <w:sz w:val="24"/>
          <w:szCs w:val="24"/>
          <w:shd w:val="clear" w:color="auto" w:fill="FFFFFF"/>
        </w:rPr>
      </w:pPr>
    </w:p>
    <w:p w14:paraId="6FACA35C" w14:textId="77777777" w:rsidR="00113CDB" w:rsidRPr="004C06DA" w:rsidRDefault="00113CDB" w:rsidP="00113CDB">
      <w:pPr>
        <w:pStyle w:val="Body"/>
        <w:spacing w:line="360" w:lineRule="auto"/>
        <w:rPr>
          <w:rFonts w:ascii="Times New Roman" w:hAnsi="Times New Roman" w:cs="Times New Roman"/>
          <w:color w:val="191919" w:themeColor="text1" w:themeTint="E6"/>
          <w:sz w:val="24"/>
          <w:szCs w:val="24"/>
          <w:shd w:val="clear" w:color="auto" w:fill="FFFFFF"/>
        </w:rPr>
      </w:pPr>
    </w:p>
    <w:p w14:paraId="78EB8867" w14:textId="77777777" w:rsidR="00113CDB" w:rsidRPr="004C06DA" w:rsidRDefault="00113CDB" w:rsidP="00A712FB">
      <w:pPr>
        <w:pStyle w:val="Body"/>
        <w:spacing w:line="360" w:lineRule="auto"/>
        <w:rPr>
          <w:rFonts w:ascii="Times New Roman" w:hAnsi="Times New Roman" w:cs="Times New Roman"/>
          <w:color w:val="191919" w:themeColor="text1" w:themeTint="E6"/>
          <w:sz w:val="24"/>
          <w:szCs w:val="24"/>
          <w:shd w:val="clear" w:color="auto" w:fill="FFFFFF"/>
        </w:rPr>
      </w:pPr>
    </w:p>
    <w:sectPr w:rsidR="00113CDB" w:rsidRPr="004C06DA">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850"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89FAAF" w14:textId="77777777" w:rsidR="00D618BC" w:rsidRDefault="00D618BC">
      <w:r>
        <w:separator/>
      </w:r>
    </w:p>
  </w:endnote>
  <w:endnote w:type="continuationSeparator" w:id="0">
    <w:p w14:paraId="1C04AE4B" w14:textId="77777777" w:rsidR="00D618BC" w:rsidRDefault="00D61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Segoe UI">
    <w:panose1 w:val="020B0604020202020204"/>
    <w:charset w:val="00"/>
    <w:family w:val="swiss"/>
    <w:pitch w:val="variable"/>
    <w:sig w:usb0="E4002EFF" w:usb1="C000E47F" w:usb2="00000009" w:usb3="00000000" w:csb0="000001FF" w:csb1="00000000"/>
  </w:font>
  <w:font w:name="Helvetica Neue">
    <w:altName w:val="Myriad Pro"/>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325C7" w14:textId="77777777" w:rsidR="00904461" w:rsidRDefault="009044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8B03B" w14:textId="29CD4721" w:rsidR="00E13D6F" w:rsidRDefault="0020437B">
    <w:pPr>
      <w:pStyle w:val="HeaderFooter"/>
      <w:tabs>
        <w:tab w:val="clear" w:pos="9020"/>
        <w:tab w:val="center" w:pos="4819"/>
        <w:tab w:val="right" w:pos="9638"/>
      </w:tabs>
    </w:pPr>
    <w:r>
      <w:tab/>
    </w:r>
    <w:r>
      <w:fldChar w:fldCharType="begin"/>
    </w:r>
    <w:r>
      <w:instrText xml:space="preserve"> PAGE </w:instrText>
    </w:r>
    <w:r>
      <w:fldChar w:fldCharType="separate"/>
    </w:r>
    <w:r w:rsidR="005952E6">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20718" w14:textId="77777777" w:rsidR="00904461" w:rsidRDefault="00904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FFA4" w14:textId="77777777" w:rsidR="00D618BC" w:rsidRDefault="00D618BC">
      <w:r>
        <w:separator/>
      </w:r>
    </w:p>
  </w:footnote>
  <w:footnote w:type="continuationSeparator" w:id="0">
    <w:p w14:paraId="171D302E" w14:textId="77777777" w:rsidR="00D618BC" w:rsidRDefault="00D618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1A85A" w14:textId="77777777" w:rsidR="00904461" w:rsidRDefault="009044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99413" w14:textId="77777777" w:rsidR="00E13D6F" w:rsidRDefault="00E13D6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7A3F5" w14:textId="77777777" w:rsidR="00904461" w:rsidRDefault="009044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4A3FFF"/>
    <w:multiLevelType w:val="multilevel"/>
    <w:tmpl w:val="C0DC3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isplayBackgroundShap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D6F"/>
    <w:rsid w:val="000154CA"/>
    <w:rsid w:val="00032E68"/>
    <w:rsid w:val="00033920"/>
    <w:rsid w:val="000D19C9"/>
    <w:rsid w:val="000E040D"/>
    <w:rsid w:val="00113CDB"/>
    <w:rsid w:val="001370BA"/>
    <w:rsid w:val="00160CD5"/>
    <w:rsid w:val="001B0733"/>
    <w:rsid w:val="001C49D3"/>
    <w:rsid w:val="001D24D6"/>
    <w:rsid w:val="0020437B"/>
    <w:rsid w:val="00284805"/>
    <w:rsid w:val="002B53A8"/>
    <w:rsid w:val="002E51F6"/>
    <w:rsid w:val="002E6BEC"/>
    <w:rsid w:val="002F7A6D"/>
    <w:rsid w:val="003058DD"/>
    <w:rsid w:val="003113E7"/>
    <w:rsid w:val="00333096"/>
    <w:rsid w:val="00340437"/>
    <w:rsid w:val="00360E5A"/>
    <w:rsid w:val="003B5D4E"/>
    <w:rsid w:val="004356D3"/>
    <w:rsid w:val="00477479"/>
    <w:rsid w:val="0048576C"/>
    <w:rsid w:val="00487A43"/>
    <w:rsid w:val="004B0617"/>
    <w:rsid w:val="004C06DA"/>
    <w:rsid w:val="004E2977"/>
    <w:rsid w:val="004E2CE3"/>
    <w:rsid w:val="0050582A"/>
    <w:rsid w:val="00554AE9"/>
    <w:rsid w:val="0057304A"/>
    <w:rsid w:val="005747A2"/>
    <w:rsid w:val="005952E6"/>
    <w:rsid w:val="005C286C"/>
    <w:rsid w:val="005F250B"/>
    <w:rsid w:val="00605C1F"/>
    <w:rsid w:val="006373F5"/>
    <w:rsid w:val="00640B13"/>
    <w:rsid w:val="00640D7A"/>
    <w:rsid w:val="006603E8"/>
    <w:rsid w:val="00673352"/>
    <w:rsid w:val="00683C9B"/>
    <w:rsid w:val="006C5F40"/>
    <w:rsid w:val="006D33B1"/>
    <w:rsid w:val="00785062"/>
    <w:rsid w:val="007A3975"/>
    <w:rsid w:val="007E4E93"/>
    <w:rsid w:val="007F0960"/>
    <w:rsid w:val="00817E27"/>
    <w:rsid w:val="00834645"/>
    <w:rsid w:val="00870635"/>
    <w:rsid w:val="008A126F"/>
    <w:rsid w:val="008A31B8"/>
    <w:rsid w:val="008E6842"/>
    <w:rsid w:val="008F1F06"/>
    <w:rsid w:val="00904461"/>
    <w:rsid w:val="009D1BA8"/>
    <w:rsid w:val="009D7FD8"/>
    <w:rsid w:val="00A33985"/>
    <w:rsid w:val="00A712FB"/>
    <w:rsid w:val="00AA4EF1"/>
    <w:rsid w:val="00AC3D40"/>
    <w:rsid w:val="00AC7153"/>
    <w:rsid w:val="00AF644D"/>
    <w:rsid w:val="00B07461"/>
    <w:rsid w:val="00B605E2"/>
    <w:rsid w:val="00BA5564"/>
    <w:rsid w:val="00BD457D"/>
    <w:rsid w:val="00BE7C4D"/>
    <w:rsid w:val="00BF0D74"/>
    <w:rsid w:val="00C85EE1"/>
    <w:rsid w:val="00CC0152"/>
    <w:rsid w:val="00D163D2"/>
    <w:rsid w:val="00D618BC"/>
    <w:rsid w:val="00D83AD8"/>
    <w:rsid w:val="00D86580"/>
    <w:rsid w:val="00DE3D9A"/>
    <w:rsid w:val="00E04C20"/>
    <w:rsid w:val="00E13D6F"/>
    <w:rsid w:val="00E17D5A"/>
    <w:rsid w:val="00E25852"/>
    <w:rsid w:val="00E85692"/>
    <w:rsid w:val="00F05E44"/>
    <w:rsid w:val="00F06414"/>
    <w:rsid w:val="00F839DA"/>
    <w:rsid w:val="00FA776B"/>
    <w:rsid w:val="00FC3C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55F3D6"/>
  <w15:docId w15:val="{C868C3C7-C479-B64F-9D53-DCFEAF12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605C1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outlineLvl w:val="0"/>
    </w:pPr>
    <w:rPr>
      <w:rFonts w:asciiTheme="majorHAnsi" w:eastAsiaTheme="majorEastAsia" w:hAnsiTheme="majorHAnsi" w:cstheme="majorBidi"/>
      <w:color w:val="2F759E" w:themeColor="accent1" w:themeShade="BF"/>
      <w:sz w:val="32"/>
      <w:szCs w:val="32"/>
      <w:bdr w:val="none" w:sz="0" w:space="0" w:color="auto"/>
    </w:rPr>
  </w:style>
  <w:style w:type="paragraph" w:styleId="Heading2">
    <w:name w:val="heading 2"/>
    <w:basedOn w:val="Normal"/>
    <w:next w:val="Normal"/>
    <w:link w:val="Heading2Char"/>
    <w:qFormat/>
    <w:rsid w:val="00605C1F"/>
    <w:pPr>
      <w:keepNext/>
      <w:pBdr>
        <w:top w:val="none" w:sz="0" w:space="0" w:color="auto"/>
        <w:left w:val="none" w:sz="0" w:space="0" w:color="auto"/>
        <w:bottom w:val="none" w:sz="0" w:space="0" w:color="auto"/>
        <w:right w:val="none" w:sz="0" w:space="0" w:color="auto"/>
        <w:between w:val="none" w:sz="0" w:space="0" w:color="auto"/>
        <w:bar w:val="none" w:sz="0" w:color="auto"/>
      </w:pBdr>
      <w:jc w:val="both"/>
      <w:outlineLvl w:val="1"/>
    </w:pPr>
    <w:rPr>
      <w:rFonts w:eastAsia="Times New Roman"/>
      <w:b/>
      <w:szCs w:val="20"/>
      <w:bdr w:val="none" w:sz="0" w:space="0" w:color="auto"/>
      <w:lang w:val="en-GB" w:eastAsia="en-GB"/>
    </w:rPr>
  </w:style>
  <w:style w:type="paragraph" w:styleId="Heading3">
    <w:name w:val="heading 3"/>
    <w:basedOn w:val="Normal"/>
    <w:next w:val="Normal"/>
    <w:link w:val="Heading3Char"/>
    <w:uiPriority w:val="9"/>
    <w:semiHidden/>
    <w:unhideWhenUsed/>
    <w:qFormat/>
    <w:rsid w:val="00DE3D9A"/>
    <w:pPr>
      <w:keepNext/>
      <w:keepLines/>
      <w:spacing w:before="40"/>
      <w:outlineLvl w:val="2"/>
    </w:pPr>
    <w:rPr>
      <w:rFonts w:asciiTheme="majorHAnsi" w:eastAsiaTheme="majorEastAsia" w:hAnsiTheme="majorHAnsi" w:cstheme="majorBidi"/>
      <w:color w:val="1F4E69" w:themeColor="accent1" w:themeShade="7F"/>
    </w:rPr>
  </w:style>
  <w:style w:type="paragraph" w:styleId="Heading4">
    <w:name w:val="heading 4"/>
    <w:basedOn w:val="Normal"/>
    <w:next w:val="Normal"/>
    <w:link w:val="Heading4Char"/>
    <w:qFormat/>
    <w:rsid w:val="00605C1F"/>
    <w:pPr>
      <w:keepNext/>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outlineLvl w:val="3"/>
    </w:pPr>
    <w:rPr>
      <w:rFonts w:eastAsia="Times New Roman"/>
      <w:sz w:val="40"/>
      <w:szCs w:val="20"/>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rPr>
      <w:rFonts w:ascii="Helvetica" w:hAnsi="Helvetica" w:cs="Arial Unicode MS"/>
      <w:color w:val="000000"/>
      <w:sz w:val="22"/>
      <w:szCs w:val="22"/>
      <w:lang w:val="en-US"/>
    </w:rPr>
  </w:style>
  <w:style w:type="paragraph" w:customStyle="1" w:styleId="Default">
    <w:name w:val="Default"/>
    <w:rPr>
      <w:rFonts w:ascii="Helvetica" w:eastAsia="Helvetica" w:hAnsi="Helvetica" w:cs="Helvetica"/>
      <w:color w:val="000000"/>
      <w:sz w:val="22"/>
      <w:szCs w:val="22"/>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nhideWhenUsed/>
    <w:rsid w:val="00904461"/>
    <w:pPr>
      <w:tabs>
        <w:tab w:val="center" w:pos="4513"/>
        <w:tab w:val="right" w:pos="9026"/>
      </w:tabs>
    </w:pPr>
  </w:style>
  <w:style w:type="character" w:customStyle="1" w:styleId="HeaderChar">
    <w:name w:val="Header Char"/>
    <w:basedOn w:val="DefaultParagraphFont"/>
    <w:link w:val="Header"/>
    <w:rsid w:val="00904461"/>
    <w:rPr>
      <w:sz w:val="24"/>
      <w:szCs w:val="24"/>
      <w:lang w:val="en-US" w:eastAsia="en-US"/>
    </w:rPr>
  </w:style>
  <w:style w:type="paragraph" w:styleId="Footer">
    <w:name w:val="footer"/>
    <w:basedOn w:val="Normal"/>
    <w:link w:val="FooterChar"/>
    <w:uiPriority w:val="99"/>
    <w:unhideWhenUsed/>
    <w:rsid w:val="00904461"/>
    <w:pPr>
      <w:tabs>
        <w:tab w:val="center" w:pos="4513"/>
        <w:tab w:val="right" w:pos="9026"/>
      </w:tabs>
    </w:pPr>
  </w:style>
  <w:style w:type="character" w:customStyle="1" w:styleId="FooterChar">
    <w:name w:val="Footer Char"/>
    <w:basedOn w:val="DefaultParagraphFont"/>
    <w:link w:val="Footer"/>
    <w:uiPriority w:val="99"/>
    <w:rsid w:val="00904461"/>
    <w:rPr>
      <w:sz w:val="24"/>
      <w:szCs w:val="24"/>
      <w:lang w:val="en-US" w:eastAsia="en-US"/>
    </w:rPr>
  </w:style>
  <w:style w:type="paragraph" w:styleId="BalloonText">
    <w:name w:val="Balloon Text"/>
    <w:basedOn w:val="Normal"/>
    <w:link w:val="BalloonTextChar"/>
    <w:uiPriority w:val="99"/>
    <w:semiHidden/>
    <w:unhideWhenUsed/>
    <w:rsid w:val="00605C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5C1F"/>
    <w:rPr>
      <w:rFonts w:ascii="Segoe UI" w:hAnsi="Segoe UI" w:cs="Segoe UI"/>
      <w:sz w:val="18"/>
      <w:szCs w:val="18"/>
      <w:lang w:val="en-US" w:eastAsia="en-US"/>
    </w:rPr>
  </w:style>
  <w:style w:type="character" w:customStyle="1" w:styleId="Heading2Char">
    <w:name w:val="Heading 2 Char"/>
    <w:basedOn w:val="DefaultParagraphFont"/>
    <w:link w:val="Heading2"/>
    <w:rsid w:val="00605C1F"/>
    <w:rPr>
      <w:rFonts w:eastAsia="Times New Roman"/>
      <w:b/>
      <w:sz w:val="24"/>
      <w:bdr w:val="none" w:sz="0" w:space="0" w:color="auto"/>
    </w:rPr>
  </w:style>
  <w:style w:type="character" w:customStyle="1" w:styleId="Heading4Char">
    <w:name w:val="Heading 4 Char"/>
    <w:basedOn w:val="DefaultParagraphFont"/>
    <w:link w:val="Heading4"/>
    <w:rsid w:val="00605C1F"/>
    <w:rPr>
      <w:rFonts w:eastAsia="Times New Roman"/>
      <w:sz w:val="40"/>
      <w:bdr w:val="none" w:sz="0" w:space="0" w:color="auto"/>
    </w:rPr>
  </w:style>
  <w:style w:type="character" w:customStyle="1" w:styleId="Heading1Char">
    <w:name w:val="Heading 1 Char"/>
    <w:basedOn w:val="DefaultParagraphFont"/>
    <w:link w:val="Heading1"/>
    <w:uiPriority w:val="9"/>
    <w:rsid w:val="00605C1F"/>
    <w:rPr>
      <w:rFonts w:asciiTheme="majorHAnsi" w:eastAsiaTheme="majorEastAsia" w:hAnsiTheme="majorHAnsi" w:cstheme="majorBidi"/>
      <w:color w:val="2F759E" w:themeColor="accent1" w:themeShade="BF"/>
      <w:sz w:val="32"/>
      <w:szCs w:val="32"/>
      <w:bdr w:val="none" w:sz="0" w:space="0" w:color="auto"/>
      <w:lang w:val="en-US" w:eastAsia="en-US"/>
    </w:rPr>
  </w:style>
  <w:style w:type="character" w:customStyle="1" w:styleId="Heading3Char">
    <w:name w:val="Heading 3 Char"/>
    <w:basedOn w:val="DefaultParagraphFont"/>
    <w:link w:val="Heading3"/>
    <w:uiPriority w:val="9"/>
    <w:semiHidden/>
    <w:rsid w:val="00DE3D9A"/>
    <w:rPr>
      <w:rFonts w:asciiTheme="majorHAnsi" w:eastAsiaTheme="majorEastAsia" w:hAnsiTheme="majorHAnsi" w:cstheme="majorBidi"/>
      <w:color w:val="1F4E69" w:themeColor="accent1" w:themeShade="7F"/>
      <w:sz w:val="24"/>
      <w:szCs w:val="24"/>
      <w:lang w:val="en-US" w:eastAsia="en-US"/>
    </w:rPr>
  </w:style>
  <w:style w:type="character" w:customStyle="1" w:styleId="media-delimiter">
    <w:name w:val="media-delimiter"/>
    <w:basedOn w:val="DefaultParagraphFont"/>
    <w:rsid w:val="00DE3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706138">
      <w:bodyDiv w:val="1"/>
      <w:marLeft w:val="0"/>
      <w:marRight w:val="0"/>
      <w:marTop w:val="0"/>
      <w:marBottom w:val="0"/>
      <w:divBdr>
        <w:top w:val="none" w:sz="0" w:space="0" w:color="auto"/>
        <w:left w:val="none" w:sz="0" w:space="0" w:color="auto"/>
        <w:bottom w:val="none" w:sz="0" w:space="0" w:color="auto"/>
        <w:right w:val="none" w:sz="0" w:space="0" w:color="auto"/>
      </w:divBdr>
      <w:divsChild>
        <w:div w:id="1023701794">
          <w:marLeft w:val="0"/>
          <w:marRight w:val="0"/>
          <w:marTop w:val="0"/>
          <w:marBottom w:val="0"/>
          <w:divBdr>
            <w:top w:val="none" w:sz="0" w:space="0" w:color="auto"/>
            <w:left w:val="none" w:sz="0" w:space="0" w:color="auto"/>
            <w:bottom w:val="none" w:sz="0" w:space="0" w:color="auto"/>
            <w:right w:val="none" w:sz="0" w:space="0" w:color="auto"/>
          </w:divBdr>
        </w:div>
        <w:div w:id="321931283">
          <w:marLeft w:val="0"/>
          <w:marRight w:val="0"/>
          <w:marTop w:val="0"/>
          <w:marBottom w:val="0"/>
          <w:divBdr>
            <w:top w:val="none" w:sz="0" w:space="0" w:color="auto"/>
            <w:left w:val="none" w:sz="0" w:space="0" w:color="auto"/>
            <w:bottom w:val="none" w:sz="0" w:space="0" w:color="auto"/>
            <w:right w:val="none" w:sz="0" w:space="0" w:color="auto"/>
          </w:divBdr>
        </w:div>
      </w:divsChild>
    </w:div>
    <w:div w:id="1795556519">
      <w:bodyDiv w:val="1"/>
      <w:marLeft w:val="0"/>
      <w:marRight w:val="0"/>
      <w:marTop w:val="0"/>
      <w:marBottom w:val="0"/>
      <w:divBdr>
        <w:top w:val="none" w:sz="0" w:space="0" w:color="auto"/>
        <w:left w:val="none" w:sz="0" w:space="0" w:color="auto"/>
        <w:bottom w:val="none" w:sz="0" w:space="0" w:color="auto"/>
        <w:right w:val="none" w:sz="0" w:space="0" w:color="auto"/>
      </w:divBdr>
      <w:divsChild>
        <w:div w:id="1614946079">
          <w:marLeft w:val="0"/>
          <w:marRight w:val="0"/>
          <w:marTop w:val="0"/>
          <w:marBottom w:val="0"/>
          <w:divBdr>
            <w:top w:val="none" w:sz="0" w:space="0" w:color="auto"/>
            <w:left w:val="none" w:sz="0" w:space="0" w:color="auto"/>
            <w:bottom w:val="none" w:sz="0" w:space="0" w:color="auto"/>
            <w:right w:val="none" w:sz="0" w:space="0" w:color="auto"/>
          </w:divBdr>
          <w:divsChild>
            <w:div w:id="12014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591142">
      <w:bodyDiv w:val="1"/>
      <w:marLeft w:val="0"/>
      <w:marRight w:val="0"/>
      <w:marTop w:val="0"/>
      <w:marBottom w:val="0"/>
      <w:divBdr>
        <w:top w:val="none" w:sz="0" w:space="0" w:color="auto"/>
        <w:left w:val="none" w:sz="0" w:space="0" w:color="auto"/>
        <w:bottom w:val="none" w:sz="0" w:space="0" w:color="auto"/>
        <w:right w:val="none" w:sz="0" w:space="0" w:color="auto"/>
      </w:divBdr>
      <w:divsChild>
        <w:div w:id="1908496737">
          <w:marLeft w:val="0"/>
          <w:marRight w:val="0"/>
          <w:marTop w:val="0"/>
          <w:marBottom w:val="0"/>
          <w:divBdr>
            <w:top w:val="none" w:sz="0" w:space="0" w:color="auto"/>
            <w:left w:val="none" w:sz="0" w:space="0" w:color="auto"/>
            <w:bottom w:val="none" w:sz="0" w:space="0" w:color="auto"/>
            <w:right w:val="none" w:sz="0" w:space="0" w:color="auto"/>
          </w:divBdr>
          <w:divsChild>
            <w:div w:id="208170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3.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B1E6F1B-A39B-644E-BE03-F2CCC20A6F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5090</Words>
  <Characters>29013</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Jones (1804366)</dc:creator>
  <cp:lastModifiedBy>Kelly Jones (1804366)</cp:lastModifiedBy>
  <cp:revision>2</cp:revision>
  <dcterms:created xsi:type="dcterms:W3CDTF">2019-01-28T00:42:00Z</dcterms:created>
  <dcterms:modified xsi:type="dcterms:W3CDTF">2019-01-28T00:42:00Z</dcterms:modified>
</cp:coreProperties>
</file>