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C3F63EA">
      <w:pPr>
        <w:spacing w:line="360" w:lineRule="auto"/>
        <w:jc w:val="center"/>
        <w:rPr>
          <w:rFonts w:ascii="Arial" w:hAnsi="Arial" w:cs="Arial"/>
          <w:b/>
          <w:sz w:val="36"/>
          <w:szCs w:val="36"/>
        </w:rPr>
      </w:pPr>
      <w:bookmarkStart w:id="41" w:name="_GoBack"/>
      <w:bookmarkEnd w:id="41"/>
      <w:r>
        <w:rPr>
          <w:lang w:eastAsia="en-GB"/>
        </w:rPr>
        <w:drawing>
          <wp:anchor distT="0" distB="0" distL="114300" distR="114300" simplePos="0" relativeHeight="251659264" behindDoc="0" locked="0" layoutInCell="1" allowOverlap="1">
            <wp:simplePos x="0" y="0"/>
            <wp:positionH relativeFrom="margin">
              <wp:posOffset>1913255</wp:posOffset>
            </wp:positionH>
            <wp:positionV relativeFrom="page">
              <wp:posOffset>245745</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p>
    <w:p w14:paraId="7851BBCB">
      <w:pPr>
        <w:spacing w:line="360" w:lineRule="auto"/>
        <w:jc w:val="center"/>
        <w:rPr>
          <w:rFonts w:ascii="Arial" w:hAnsi="Arial" w:cs="Arial"/>
          <w:b/>
          <w:sz w:val="36"/>
          <w:szCs w:val="36"/>
        </w:rPr>
      </w:pPr>
    </w:p>
    <w:p w14:paraId="5645CF2E">
      <w:pPr>
        <w:spacing w:line="360" w:lineRule="auto"/>
        <w:jc w:val="center"/>
        <w:rPr>
          <w:rFonts w:ascii="Arial" w:hAnsi="Arial" w:cs="Arial"/>
          <w:b/>
          <w:sz w:val="36"/>
          <w:szCs w:val="36"/>
        </w:rPr>
      </w:pPr>
      <w:r>
        <w:rPr>
          <w:rFonts w:ascii="Arial" w:hAnsi="Arial" w:cs="Arial"/>
          <w:b/>
          <w:sz w:val="36"/>
          <w:szCs w:val="36"/>
        </w:rPr>
        <w:t>The impact of corporate governance on the financial performance in the times of COVID-19 pandemic: An investigation from India</w:t>
      </w:r>
    </w:p>
    <w:p w14:paraId="7FAB852E">
      <w:pPr>
        <w:spacing w:line="360" w:lineRule="auto"/>
        <w:jc w:val="both"/>
        <w:rPr>
          <w:rFonts w:ascii="Arial" w:hAnsi="Arial" w:cs="Arial"/>
          <w:b/>
          <w:sz w:val="24"/>
          <w:szCs w:val="24"/>
        </w:rPr>
      </w:pPr>
    </w:p>
    <w:p w14:paraId="134426F9">
      <w:pPr>
        <w:jc w:val="center"/>
      </w:pPr>
    </w:p>
    <w:p w14:paraId="250079D3">
      <w:pPr>
        <w:jc w:val="center"/>
        <w:rPr>
          <w:rFonts w:ascii="Arial" w:hAnsi="Arial" w:cs="Arial"/>
          <w:sz w:val="20"/>
          <w:szCs w:val="20"/>
        </w:rPr>
      </w:pPr>
      <w:r>
        <w:rPr>
          <w:rFonts w:ascii="Arial" w:hAnsi="Arial" w:cs="Arial"/>
          <w:sz w:val="20"/>
          <w:szCs w:val="20"/>
        </w:rPr>
        <w:t>Submitted by:</w:t>
      </w:r>
    </w:p>
    <w:p w14:paraId="43728FCA">
      <w:pPr>
        <w:jc w:val="center"/>
        <w:rPr>
          <w:rFonts w:ascii="Arial" w:hAnsi="Arial" w:cs="Arial"/>
          <w:b/>
          <w:sz w:val="32"/>
          <w:szCs w:val="32"/>
        </w:rPr>
      </w:pPr>
      <w:r>
        <w:rPr>
          <w:rFonts w:ascii="Arial" w:hAnsi="Arial" w:cs="Arial"/>
          <w:b/>
          <w:sz w:val="32"/>
          <w:szCs w:val="32"/>
        </w:rPr>
        <w:t>Nirmal Kaur</w:t>
      </w:r>
    </w:p>
    <w:p w14:paraId="18CFB605">
      <w:pPr>
        <w:jc w:val="center"/>
        <w:rPr>
          <w:rFonts w:ascii="Arial" w:hAnsi="Arial" w:cs="Arial"/>
          <w:sz w:val="24"/>
          <w:szCs w:val="24"/>
        </w:rPr>
      </w:pPr>
    </w:p>
    <w:p w14:paraId="34492C77">
      <w:pPr>
        <w:jc w:val="center"/>
        <w:rPr>
          <w:rFonts w:ascii="Arial" w:hAnsi="Arial" w:cs="Arial"/>
          <w:sz w:val="20"/>
          <w:szCs w:val="20"/>
        </w:rPr>
      </w:pPr>
      <w:r>
        <w:rPr>
          <w:rFonts w:ascii="Arial" w:hAnsi="Arial" w:cs="Arial"/>
          <w:sz w:val="20"/>
          <w:szCs w:val="20"/>
        </w:rPr>
        <w:t>Student ID:</w:t>
      </w:r>
    </w:p>
    <w:p w14:paraId="73542780">
      <w:pPr>
        <w:jc w:val="center"/>
        <w:rPr>
          <w:rFonts w:ascii="Arial" w:hAnsi="Arial" w:cs="Arial"/>
          <w:b/>
        </w:rPr>
      </w:pPr>
      <w:r>
        <w:rPr>
          <w:rFonts w:ascii="Arial" w:hAnsi="Arial" w:cs="Arial"/>
          <w:b/>
        </w:rPr>
        <w:t>2417486</w:t>
      </w:r>
    </w:p>
    <w:p w14:paraId="17C476CB">
      <w:pPr>
        <w:jc w:val="center"/>
        <w:rPr>
          <w:rFonts w:ascii="Arial" w:hAnsi="Arial" w:cs="Arial"/>
          <w:b/>
          <w:sz w:val="24"/>
          <w:szCs w:val="24"/>
        </w:rPr>
      </w:pPr>
    </w:p>
    <w:p w14:paraId="5915362C">
      <w:pPr>
        <w:jc w:val="center"/>
        <w:rPr>
          <w:rFonts w:ascii="Arial" w:hAnsi="Arial" w:cs="Arial"/>
          <w:sz w:val="20"/>
          <w:szCs w:val="20"/>
        </w:rPr>
      </w:pPr>
      <w:r>
        <w:rPr>
          <w:rFonts w:ascii="Arial" w:hAnsi="Arial" w:cs="Arial"/>
          <w:sz w:val="20"/>
          <w:szCs w:val="20"/>
        </w:rPr>
        <w:t>Degree Title:</w:t>
      </w:r>
    </w:p>
    <w:p w14:paraId="22425835">
      <w:pPr>
        <w:jc w:val="center"/>
        <w:rPr>
          <w:rFonts w:ascii="Arial" w:hAnsi="Arial" w:cs="Arial"/>
          <w:b/>
          <w:sz w:val="32"/>
          <w:szCs w:val="32"/>
        </w:rPr>
      </w:pPr>
      <w:r>
        <w:rPr>
          <w:rFonts w:ascii="Arial" w:hAnsi="Arial" w:cs="Arial"/>
          <w:b/>
          <w:sz w:val="32"/>
          <w:szCs w:val="32"/>
        </w:rPr>
        <w:t>MBA International Business</w:t>
      </w:r>
    </w:p>
    <w:p w14:paraId="4994B70A">
      <w:pPr>
        <w:jc w:val="center"/>
        <w:rPr>
          <w:rFonts w:ascii="Arial" w:hAnsi="Arial" w:cs="Arial"/>
          <w:sz w:val="24"/>
          <w:szCs w:val="24"/>
        </w:rPr>
      </w:pPr>
    </w:p>
    <w:p w14:paraId="0AA3107F">
      <w:pPr>
        <w:jc w:val="center"/>
        <w:rPr>
          <w:rFonts w:ascii="Arial" w:hAnsi="Arial" w:cs="Arial"/>
          <w:sz w:val="20"/>
          <w:szCs w:val="20"/>
        </w:rPr>
      </w:pPr>
      <w:r>
        <w:rPr>
          <w:rFonts w:ascii="Arial" w:hAnsi="Arial" w:cs="Arial"/>
          <w:sz w:val="20"/>
          <w:szCs w:val="20"/>
        </w:rPr>
        <w:t>Submitted to:</w:t>
      </w:r>
    </w:p>
    <w:p w14:paraId="50BF4C85">
      <w:pPr>
        <w:jc w:val="center"/>
        <w:rPr>
          <w:rFonts w:ascii="Arial" w:hAnsi="Arial" w:cs="Arial"/>
          <w:b/>
          <w:sz w:val="32"/>
          <w:szCs w:val="32"/>
        </w:rPr>
      </w:pPr>
      <w:r>
        <w:rPr>
          <w:rFonts w:ascii="Arial" w:hAnsi="Arial" w:cs="Arial"/>
          <w:b/>
          <w:sz w:val="32"/>
          <w:szCs w:val="32"/>
        </w:rPr>
        <w:t>Isaiah Oina</w:t>
      </w:r>
    </w:p>
    <w:p w14:paraId="5EA03BC7">
      <w:pPr>
        <w:spacing w:line="360" w:lineRule="auto"/>
        <w:jc w:val="both"/>
        <w:rPr>
          <w:rFonts w:ascii="Arial" w:hAnsi="Arial" w:cs="Arial"/>
          <w:b/>
          <w:sz w:val="24"/>
          <w:szCs w:val="24"/>
        </w:rPr>
      </w:pPr>
    </w:p>
    <w:p w14:paraId="6544F2E6">
      <w:pPr>
        <w:spacing w:line="360" w:lineRule="auto"/>
        <w:jc w:val="both"/>
        <w:rPr>
          <w:rFonts w:ascii="Arial" w:hAnsi="Arial" w:cs="Arial"/>
          <w:b/>
          <w:sz w:val="24"/>
          <w:szCs w:val="24"/>
        </w:rPr>
      </w:pPr>
    </w:p>
    <w:p w14:paraId="5095D503">
      <w:pPr>
        <w:spacing w:line="360" w:lineRule="auto"/>
        <w:jc w:val="both"/>
        <w:rPr>
          <w:rFonts w:ascii="Arial" w:hAnsi="Arial" w:cs="Arial"/>
          <w:b/>
          <w:sz w:val="24"/>
          <w:szCs w:val="24"/>
        </w:rPr>
      </w:pPr>
    </w:p>
    <w:p w14:paraId="2D44CE26">
      <w:pPr>
        <w:spacing w:line="360" w:lineRule="auto"/>
        <w:jc w:val="both"/>
        <w:rPr>
          <w:rFonts w:ascii="Arial" w:hAnsi="Arial" w:cs="Arial"/>
          <w:b/>
          <w:sz w:val="24"/>
          <w:szCs w:val="24"/>
        </w:rPr>
      </w:pPr>
    </w:p>
    <w:p w14:paraId="4DFB5D9F">
      <w:pPr>
        <w:spacing w:line="360" w:lineRule="auto"/>
        <w:jc w:val="both"/>
        <w:rPr>
          <w:rFonts w:ascii="Arial" w:hAnsi="Arial" w:cs="Arial"/>
          <w:b/>
          <w:sz w:val="24"/>
          <w:szCs w:val="24"/>
        </w:rPr>
      </w:pPr>
    </w:p>
    <w:p w14:paraId="3A683A61">
      <w:pPr>
        <w:spacing w:line="360" w:lineRule="auto"/>
        <w:jc w:val="both"/>
        <w:rPr>
          <w:rFonts w:ascii="Arial" w:hAnsi="Arial" w:cs="Arial"/>
          <w:b/>
          <w:sz w:val="24"/>
          <w:szCs w:val="24"/>
        </w:rPr>
      </w:pPr>
    </w:p>
    <w:p w14:paraId="05150C8A">
      <w:pPr>
        <w:spacing w:line="360" w:lineRule="auto"/>
        <w:jc w:val="both"/>
        <w:rPr>
          <w:rFonts w:ascii="Arial" w:hAnsi="Arial" w:cs="Arial"/>
          <w:b/>
          <w:sz w:val="24"/>
          <w:szCs w:val="24"/>
        </w:rPr>
      </w:pPr>
    </w:p>
    <w:p w14:paraId="279C8398">
      <w:pPr>
        <w:spacing w:after="120"/>
        <w:rPr>
          <w:rFonts w:ascii="Arial" w:hAnsi="Arial" w:cs="Arial"/>
          <w:b/>
        </w:rPr>
      </w:pPr>
    </w:p>
    <w:p w14:paraId="31406D46">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lang w:eastAsia="en-GB"/>
        </w:rPr>
        <w:drawing>
          <wp:inline distT="0" distB="0" distL="0" distR="0">
            <wp:extent cx="2849880" cy="116586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849880" cy="1165860"/>
                    </a:xfrm>
                    <a:prstGeom prst="rect">
                      <a:avLst/>
                    </a:prstGeom>
                    <a:noFill/>
                    <a:ln>
                      <a:noFill/>
                    </a:ln>
                  </pic:spPr>
                </pic:pic>
              </a:graphicData>
            </a:graphic>
          </wp:inline>
        </w:drawing>
      </w:r>
    </w:p>
    <w:p w14:paraId="6457DFCF">
      <w:pPr>
        <w:pBdr>
          <w:top w:val="single" w:color="auto" w:sz="4" w:space="1"/>
          <w:left w:val="single" w:color="auto" w:sz="4" w:space="4"/>
          <w:bottom w:val="single" w:color="auto" w:sz="4" w:space="1"/>
          <w:right w:val="single" w:color="auto" w:sz="4" w:space="4"/>
        </w:pBdr>
        <w:spacing w:after="120"/>
        <w:jc w:val="center"/>
        <w:rPr>
          <w:rFonts w:ascii="Arial" w:hAnsi="Arial" w:cs="Arial"/>
          <w:b/>
          <w:sz w:val="28"/>
          <w:szCs w:val="28"/>
        </w:rPr>
      </w:pPr>
    </w:p>
    <w:p w14:paraId="20C4C0B6">
      <w:pPr>
        <w:pBdr>
          <w:top w:val="single" w:color="auto" w:sz="4" w:space="1"/>
          <w:left w:val="single" w:color="auto" w:sz="4" w:space="4"/>
          <w:bottom w:val="single" w:color="auto" w:sz="4" w:space="1"/>
          <w:right w:val="single" w:color="auto" w:sz="4" w:space="4"/>
        </w:pBdr>
        <w:spacing w:after="120"/>
        <w:jc w:val="center"/>
        <w:rPr>
          <w:rFonts w:ascii="Arial" w:hAnsi="Arial" w:cs="Arial"/>
          <w:sz w:val="28"/>
          <w:szCs w:val="28"/>
        </w:rPr>
      </w:pPr>
      <w:r>
        <w:rPr>
          <w:rFonts w:ascii="Arial" w:hAnsi="Arial" w:cs="Arial"/>
          <w:b/>
          <w:sz w:val="28"/>
          <w:szCs w:val="28"/>
        </w:rPr>
        <w:t>Master’s Degrees by Examination and Dissertation</w:t>
      </w:r>
    </w:p>
    <w:p w14:paraId="577E464E">
      <w:pPr>
        <w:pBdr>
          <w:top w:val="single" w:color="auto" w:sz="4" w:space="1"/>
          <w:left w:val="single" w:color="auto" w:sz="4" w:space="4"/>
          <w:bottom w:val="single" w:color="auto" w:sz="4" w:space="1"/>
          <w:right w:val="single" w:color="auto" w:sz="4" w:space="4"/>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7B01A68E">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p>
    <w:p w14:paraId="160AF572">
      <w:pPr>
        <w:pBdr>
          <w:top w:val="single" w:color="auto" w:sz="4" w:space="1"/>
          <w:left w:val="single" w:color="auto" w:sz="4" w:space="4"/>
          <w:bottom w:val="single" w:color="auto" w:sz="4" w:space="1"/>
          <w:right w:val="single" w:color="auto" w:sz="4" w:space="4"/>
        </w:pBdr>
        <w:spacing w:after="120" w:line="480" w:lineRule="auto"/>
        <w:jc w:val="both"/>
        <w:rPr>
          <w:rFonts w:ascii="Arial" w:hAnsi="Arial" w:cs="Arial"/>
        </w:rPr>
      </w:pPr>
      <w:r>
        <w:rPr>
          <w:rFonts w:ascii="Arial" w:hAnsi="Arial" w:cs="Arial"/>
        </w:rPr>
        <w:t xml:space="preserve">I, Nirmal Kaur,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26F293F">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 xml:space="preserve"> </w:t>
      </w:r>
    </w:p>
    <w:p w14:paraId="6122BDAC">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Signature: ………</w:t>
      </w:r>
      <w:r>
        <w:rPr>
          <w:rFonts w:hint="default" w:ascii="Arial" w:hAnsi="Arial" w:cs="Arial"/>
          <w:lang w:val="en-IN"/>
        </w:rPr>
        <w:t>Nirmalkaur</w:t>
      </w:r>
      <w:r>
        <w:rPr>
          <w:rFonts w:ascii="Arial" w:hAnsi="Arial" w:cs="Arial"/>
        </w:rPr>
        <w:t>………………………............................</w:t>
      </w:r>
    </w:p>
    <w:p w14:paraId="1B4C5657">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 xml:space="preserve"> </w:t>
      </w:r>
    </w:p>
    <w:p w14:paraId="2A775AAA">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Date:         ………………</w:t>
      </w:r>
      <w:r>
        <w:rPr>
          <w:rFonts w:hint="default" w:ascii="Arial" w:hAnsi="Arial" w:cs="Arial"/>
          <w:lang w:val="en-IN"/>
        </w:rPr>
        <w:t>01/02/2026</w:t>
      </w:r>
      <w:r>
        <w:rPr>
          <w:rFonts w:ascii="Arial" w:hAnsi="Arial" w:cs="Arial"/>
        </w:rPr>
        <w:t>………………............................</w:t>
      </w:r>
    </w:p>
    <w:p w14:paraId="0F780E58">
      <w:pPr>
        <w:pBdr>
          <w:top w:val="single" w:color="auto" w:sz="4" w:space="1"/>
          <w:left w:val="single" w:color="auto" w:sz="4" w:space="4"/>
          <w:bottom w:val="single" w:color="auto" w:sz="4" w:space="1"/>
          <w:right w:val="single" w:color="auto" w:sz="4" w:space="4"/>
        </w:pBdr>
        <w:spacing w:after="120"/>
        <w:rPr>
          <w:rFonts w:ascii="Arial" w:hAnsi="Arial" w:cs="Arial"/>
        </w:rPr>
      </w:pPr>
    </w:p>
    <w:p w14:paraId="0DB5F08E">
      <w:pPr>
        <w:spacing w:line="360" w:lineRule="auto"/>
        <w:jc w:val="both"/>
        <w:rPr>
          <w:rFonts w:ascii="Arial" w:hAnsi="Arial" w:cs="Arial"/>
          <w:b/>
          <w:sz w:val="24"/>
          <w:szCs w:val="24"/>
        </w:rPr>
      </w:pPr>
    </w:p>
    <w:p w14:paraId="4CE8BDA4">
      <w:pPr>
        <w:spacing w:line="360" w:lineRule="auto"/>
        <w:jc w:val="both"/>
        <w:rPr>
          <w:rFonts w:ascii="Arial" w:hAnsi="Arial" w:cs="Arial"/>
          <w:b/>
          <w:sz w:val="24"/>
          <w:szCs w:val="24"/>
        </w:rPr>
      </w:pPr>
    </w:p>
    <w:p w14:paraId="5D71B06C">
      <w:pPr>
        <w:spacing w:line="360" w:lineRule="auto"/>
        <w:jc w:val="both"/>
        <w:rPr>
          <w:rFonts w:ascii="Arial" w:hAnsi="Arial" w:cs="Arial"/>
          <w:b/>
          <w:sz w:val="24"/>
          <w:szCs w:val="24"/>
        </w:rPr>
      </w:pPr>
    </w:p>
    <w:p w14:paraId="3025E2EB">
      <w:pPr>
        <w:spacing w:line="360" w:lineRule="auto"/>
        <w:jc w:val="both"/>
        <w:rPr>
          <w:rFonts w:ascii="Arial" w:hAnsi="Arial" w:cs="Arial"/>
          <w:b/>
          <w:sz w:val="24"/>
          <w:szCs w:val="24"/>
        </w:rPr>
      </w:pPr>
    </w:p>
    <w:p w14:paraId="25904957">
      <w:pPr>
        <w:spacing w:line="360" w:lineRule="auto"/>
        <w:jc w:val="both"/>
        <w:rPr>
          <w:rFonts w:ascii="Arial" w:hAnsi="Arial" w:cs="Arial"/>
          <w:b/>
          <w:sz w:val="24"/>
          <w:szCs w:val="24"/>
        </w:rPr>
      </w:pPr>
    </w:p>
    <w:p w14:paraId="177D3C52">
      <w:pPr>
        <w:spacing w:line="360" w:lineRule="auto"/>
        <w:jc w:val="both"/>
        <w:rPr>
          <w:rFonts w:ascii="Arial" w:hAnsi="Arial" w:cs="Arial"/>
          <w:b/>
          <w:sz w:val="24"/>
          <w:szCs w:val="24"/>
        </w:rPr>
      </w:pPr>
    </w:p>
    <w:p w14:paraId="36B0399F">
      <w:pPr>
        <w:spacing w:line="360" w:lineRule="auto"/>
        <w:jc w:val="both"/>
        <w:rPr>
          <w:rFonts w:ascii="Arial" w:hAnsi="Arial" w:cs="Arial"/>
          <w:b/>
          <w:sz w:val="24"/>
          <w:szCs w:val="24"/>
        </w:rPr>
      </w:pPr>
    </w:p>
    <w:p w14:paraId="4CDF96BC">
      <w:pPr>
        <w:spacing w:line="360" w:lineRule="auto"/>
        <w:jc w:val="both"/>
        <w:rPr>
          <w:rFonts w:ascii="Arial" w:hAnsi="Arial" w:cs="Arial"/>
          <w:b/>
          <w:sz w:val="24"/>
          <w:szCs w:val="24"/>
        </w:rPr>
      </w:pPr>
    </w:p>
    <w:p w14:paraId="7B275364">
      <w:pPr>
        <w:spacing w:line="360" w:lineRule="auto"/>
        <w:jc w:val="both"/>
        <w:rPr>
          <w:rFonts w:ascii="Arial" w:hAnsi="Arial" w:cs="Arial"/>
          <w:b/>
          <w:sz w:val="24"/>
          <w:szCs w:val="24"/>
        </w:rPr>
      </w:pPr>
      <w:r>
        <w:rPr>
          <w:rFonts w:ascii="Arial" w:hAnsi="Arial" w:cs="Arial"/>
          <w:b/>
          <w:sz w:val="24"/>
          <w:szCs w:val="24"/>
        </w:rPr>
        <w:t>Acknowledgements</w:t>
      </w:r>
    </w:p>
    <w:p w14:paraId="2A9E79BB">
      <w:pPr>
        <w:spacing w:line="360" w:lineRule="auto"/>
        <w:jc w:val="both"/>
        <w:rPr>
          <w:rFonts w:ascii="Arial" w:hAnsi="Arial" w:cs="Arial"/>
          <w:sz w:val="24"/>
          <w:szCs w:val="24"/>
        </w:rPr>
      </w:pPr>
      <w:r>
        <w:rPr>
          <w:rFonts w:ascii="Arial" w:hAnsi="Arial" w:cs="Arial"/>
          <w:sz w:val="24"/>
          <w:szCs w:val="24"/>
        </w:rPr>
        <w:t xml:space="preserve">I want to express my sincere appreciation to my supervisor Isaiah Oina, for their continuous support and constructive guidance during this research. I would want to thank the Faculty of Business at University of Wales Trinity Saint David, London Campus for providing me with all the resources and knowledge that assisted me to learn during Master of Business Administration Programme and contributed towards the successful completion of this postgraduate dissertation. </w:t>
      </w:r>
    </w:p>
    <w:p w14:paraId="60633A9A">
      <w:pPr>
        <w:spacing w:line="360" w:lineRule="auto"/>
        <w:jc w:val="both"/>
        <w:rPr>
          <w:rFonts w:ascii="Arial" w:hAnsi="Arial" w:cs="Arial"/>
          <w:sz w:val="24"/>
          <w:szCs w:val="24"/>
        </w:rPr>
      </w:pPr>
      <w:r>
        <w:rPr>
          <w:rFonts w:ascii="Arial" w:hAnsi="Arial" w:cs="Arial"/>
          <w:sz w:val="24"/>
          <w:szCs w:val="24"/>
        </w:rPr>
        <w:t>I would like to thank my parents Narinder Kaur and Sukhdev Singh for their support, trust and encouragement throughout my life and during my postgraduate journey. This played a significant role in helping me to remain focused and motivated throughout the research process.</w:t>
      </w:r>
    </w:p>
    <w:p w14:paraId="674AE5CF">
      <w:pPr>
        <w:spacing w:line="360" w:lineRule="auto"/>
        <w:jc w:val="both"/>
        <w:rPr>
          <w:rFonts w:ascii="Arial" w:hAnsi="Arial" w:cs="Arial"/>
          <w:sz w:val="24"/>
          <w:szCs w:val="24"/>
        </w:rPr>
      </w:pPr>
      <w:r>
        <w:rPr>
          <w:rFonts w:ascii="Arial" w:hAnsi="Arial" w:cs="Arial"/>
          <w:sz w:val="24"/>
          <w:szCs w:val="24"/>
        </w:rPr>
        <w:t xml:space="preserve">Lastly, I would like to acknowledge the sources of information that are publicly available, including secondary data sources and annual reports which made this research study possible. </w:t>
      </w:r>
    </w:p>
    <w:p w14:paraId="430C8B30">
      <w:pPr>
        <w:spacing w:line="360" w:lineRule="auto"/>
        <w:jc w:val="both"/>
        <w:rPr>
          <w:rFonts w:ascii="Arial" w:hAnsi="Arial" w:cs="Arial"/>
          <w:sz w:val="24"/>
          <w:szCs w:val="24"/>
        </w:rPr>
      </w:pPr>
    </w:p>
    <w:p w14:paraId="3DA025EB">
      <w:pPr>
        <w:spacing w:line="360" w:lineRule="auto"/>
        <w:jc w:val="both"/>
        <w:rPr>
          <w:rFonts w:ascii="Arial" w:hAnsi="Arial" w:cs="Arial"/>
          <w:sz w:val="24"/>
          <w:szCs w:val="24"/>
        </w:rPr>
      </w:pPr>
    </w:p>
    <w:p w14:paraId="785CF709">
      <w:pPr>
        <w:spacing w:line="360" w:lineRule="auto"/>
        <w:jc w:val="both"/>
        <w:rPr>
          <w:rFonts w:ascii="Arial" w:hAnsi="Arial" w:cs="Arial"/>
          <w:sz w:val="24"/>
          <w:szCs w:val="24"/>
        </w:rPr>
      </w:pPr>
    </w:p>
    <w:p w14:paraId="1527454A">
      <w:pPr>
        <w:spacing w:line="360" w:lineRule="auto"/>
        <w:jc w:val="both"/>
        <w:rPr>
          <w:rFonts w:ascii="Arial" w:hAnsi="Arial" w:cs="Arial"/>
          <w:sz w:val="24"/>
          <w:szCs w:val="24"/>
        </w:rPr>
      </w:pPr>
    </w:p>
    <w:p w14:paraId="2B247BCF">
      <w:pPr>
        <w:spacing w:line="360" w:lineRule="auto"/>
        <w:jc w:val="both"/>
        <w:rPr>
          <w:rFonts w:ascii="Arial" w:hAnsi="Arial" w:cs="Arial"/>
          <w:sz w:val="24"/>
          <w:szCs w:val="24"/>
        </w:rPr>
      </w:pPr>
    </w:p>
    <w:p w14:paraId="3B238D9D">
      <w:pPr>
        <w:spacing w:line="360" w:lineRule="auto"/>
        <w:jc w:val="both"/>
        <w:rPr>
          <w:rFonts w:ascii="Arial" w:hAnsi="Arial" w:cs="Arial"/>
          <w:sz w:val="24"/>
          <w:szCs w:val="24"/>
        </w:rPr>
      </w:pPr>
    </w:p>
    <w:p w14:paraId="362FA759">
      <w:pPr>
        <w:spacing w:line="360" w:lineRule="auto"/>
        <w:jc w:val="both"/>
        <w:rPr>
          <w:rFonts w:ascii="Arial" w:hAnsi="Arial" w:cs="Arial"/>
          <w:sz w:val="24"/>
          <w:szCs w:val="24"/>
        </w:rPr>
      </w:pPr>
    </w:p>
    <w:p w14:paraId="78B9D322">
      <w:pPr>
        <w:spacing w:line="360" w:lineRule="auto"/>
        <w:jc w:val="both"/>
        <w:rPr>
          <w:rFonts w:ascii="Arial" w:hAnsi="Arial" w:cs="Arial"/>
          <w:sz w:val="24"/>
          <w:szCs w:val="24"/>
        </w:rPr>
      </w:pPr>
    </w:p>
    <w:p w14:paraId="62C523E7">
      <w:pPr>
        <w:spacing w:line="360" w:lineRule="auto"/>
        <w:jc w:val="both"/>
        <w:rPr>
          <w:rFonts w:ascii="Arial" w:hAnsi="Arial" w:cs="Arial"/>
          <w:sz w:val="24"/>
          <w:szCs w:val="24"/>
        </w:rPr>
      </w:pPr>
    </w:p>
    <w:p w14:paraId="3B519167">
      <w:pPr>
        <w:spacing w:line="360" w:lineRule="auto"/>
        <w:jc w:val="both"/>
        <w:rPr>
          <w:rFonts w:ascii="Arial" w:hAnsi="Arial" w:cs="Arial"/>
          <w:sz w:val="24"/>
          <w:szCs w:val="24"/>
        </w:rPr>
      </w:pPr>
    </w:p>
    <w:p w14:paraId="494F52F5">
      <w:pPr>
        <w:spacing w:line="360" w:lineRule="auto"/>
        <w:jc w:val="both"/>
        <w:rPr>
          <w:rFonts w:ascii="Arial" w:hAnsi="Arial" w:cs="Arial"/>
          <w:sz w:val="24"/>
          <w:szCs w:val="24"/>
        </w:rPr>
      </w:pPr>
    </w:p>
    <w:p w14:paraId="4F1A2419">
      <w:pPr>
        <w:spacing w:line="360" w:lineRule="auto"/>
        <w:jc w:val="both"/>
        <w:rPr>
          <w:rFonts w:ascii="Arial" w:hAnsi="Arial" w:cs="Arial"/>
          <w:sz w:val="24"/>
          <w:szCs w:val="24"/>
        </w:rPr>
      </w:pPr>
    </w:p>
    <w:p w14:paraId="25208E03">
      <w:pPr>
        <w:spacing w:line="360" w:lineRule="auto"/>
        <w:jc w:val="both"/>
        <w:rPr>
          <w:rFonts w:ascii="Arial" w:hAnsi="Arial" w:cs="Arial"/>
          <w:sz w:val="24"/>
          <w:szCs w:val="24"/>
        </w:rPr>
      </w:pPr>
    </w:p>
    <w:p w14:paraId="5AD795BE">
      <w:pPr>
        <w:rPr>
          <w:rFonts w:ascii="Arial" w:hAnsi="Arial" w:cs="Arial"/>
          <w:b/>
          <w:sz w:val="24"/>
          <w:szCs w:val="24"/>
        </w:rPr>
      </w:pPr>
      <w:r>
        <w:rPr>
          <w:rFonts w:ascii="Arial" w:hAnsi="Arial" w:cs="Arial"/>
          <w:b/>
          <w:sz w:val="24"/>
          <w:szCs w:val="24"/>
        </w:rPr>
        <w:t>Abstract</w:t>
      </w:r>
    </w:p>
    <w:p w14:paraId="6E912863">
      <w:pPr>
        <w:spacing w:line="360" w:lineRule="auto"/>
        <w:jc w:val="both"/>
        <w:rPr>
          <w:rFonts w:ascii="Arial" w:hAnsi="Arial" w:cs="Arial"/>
          <w:sz w:val="24"/>
          <w:szCs w:val="24"/>
        </w:rPr>
      </w:pPr>
      <w:r>
        <w:rPr>
          <w:rFonts w:ascii="Arial" w:hAnsi="Arial" w:cs="Arial"/>
          <w:sz w:val="24"/>
          <w:szCs w:val="24"/>
        </w:rPr>
        <w:t>Understanding the role of corporate governance in maintaining the performance of an organisation in times of crisis is vital, as the COVID-19 pandemic caused major operational disruption and economic uncertainty for businesses worldwide. This study examines how corporate governance practices influenced the financial performance of Indian automobile manufacturers listed on National Stock Exchange (NSE) both before and after the outbreak of the COVID-19. In order to collect data, secondary sources such as annual reports for FY 2019-2020 (before COVID-19) and FY 2020-2021 (after COVID-19) has been used. To examine the financial performance, Tobin’s Q, Return on Equity (ROE) and Return on Assets (ROA) are utilized. To measure corporate governance, audit committee meetings, audit committee size, board meetings, gender diversity, financial literacy, board size and independence has been used. To fulfil the objectives of this research, the study has used panel Ordinary Least Squares (OLS) regression, correlation analysis, paired sample t-tests and descriptive statistics. The results illustrate that there is a significantly negative relationship between the COVID-19 pandemic and accounting based financial performance, whereas; market based performance remained comparatively resilient. In the times of crisis, larger boards may enhance access to knowledge and resources, as evident by a positive and strong relationship between board size and business performance, particularly during the COVID-19. However, there is an insignificant or negative relationship between audit committee characteristics, board meetings, board gender diversity, board independence and business performance. Thus, the findings highlights the significance of flexible and adaptable governance structures in the times of economic disruption, it also demonstrates that the effectiveness of corporate governance practices differs in such circumstances as well.</w:t>
      </w:r>
    </w:p>
    <w:p w14:paraId="56D416AB">
      <w:pPr>
        <w:spacing w:line="360" w:lineRule="auto"/>
        <w:jc w:val="both"/>
        <w:rPr>
          <w:rFonts w:ascii="Times New Roman" w:hAnsi="Times New Roman" w:cs="Times New Roman"/>
          <w:sz w:val="24"/>
          <w:szCs w:val="24"/>
        </w:rPr>
      </w:pPr>
    </w:p>
    <w:p w14:paraId="5A20C966">
      <w:pPr>
        <w:spacing w:line="360" w:lineRule="auto"/>
        <w:jc w:val="both"/>
        <w:rPr>
          <w:rFonts w:ascii="Times New Roman" w:hAnsi="Times New Roman" w:cs="Times New Roman"/>
          <w:sz w:val="24"/>
          <w:szCs w:val="24"/>
        </w:rPr>
      </w:pPr>
    </w:p>
    <w:p w14:paraId="21646584">
      <w:pPr>
        <w:spacing w:line="360" w:lineRule="auto"/>
        <w:jc w:val="both"/>
        <w:rPr>
          <w:rFonts w:ascii="Times New Roman" w:hAnsi="Times New Roman" w:cs="Times New Roman"/>
          <w:sz w:val="24"/>
          <w:szCs w:val="24"/>
        </w:rPr>
      </w:pPr>
    </w:p>
    <w:p w14:paraId="7D181272">
      <w:pPr>
        <w:spacing w:line="360" w:lineRule="auto"/>
        <w:jc w:val="both"/>
        <w:rPr>
          <w:rFonts w:ascii="Times New Roman" w:hAnsi="Times New Roman" w:cs="Times New Roman"/>
          <w:sz w:val="24"/>
          <w:szCs w:val="24"/>
        </w:rPr>
      </w:pPr>
    </w:p>
    <w:p w14:paraId="084C2AE2">
      <w:pPr>
        <w:spacing w:line="360" w:lineRule="auto"/>
        <w:jc w:val="both"/>
        <w:rPr>
          <w:rFonts w:ascii="Arial" w:hAnsi="Arial" w:cs="Arial"/>
          <w:sz w:val="24"/>
          <w:szCs w:val="24"/>
        </w:rPr>
      </w:pPr>
    </w:p>
    <w:p w14:paraId="578B6F6E">
      <w:pPr>
        <w:spacing w:line="360" w:lineRule="auto"/>
        <w:jc w:val="both"/>
        <w:rPr>
          <w:rFonts w:ascii="Arial" w:hAnsi="Arial" w:cs="Arial"/>
          <w:sz w:val="24"/>
          <w:szCs w:val="24"/>
        </w:rPr>
      </w:pPr>
    </w:p>
    <w:sdt>
      <w:sdtPr>
        <w:rPr>
          <w:rFonts w:asciiTheme="minorHAnsi" w:hAnsiTheme="minorHAnsi" w:eastAsiaTheme="minorHAnsi" w:cstheme="minorBidi"/>
          <w:color w:val="auto"/>
          <w:kern w:val="2"/>
          <w:sz w:val="22"/>
          <w:szCs w:val="22"/>
          <w:lang w:eastAsia="en-US"/>
          <w14:ligatures w14:val="standardContextual"/>
        </w:rPr>
        <w:id w:val="1743055918"/>
        <w:docPartObj>
          <w:docPartGallery w:val="Table of Contents"/>
          <w:docPartUnique/>
        </w:docPartObj>
      </w:sdtPr>
      <w:sdtEndPr>
        <w:rPr>
          <w:rFonts w:ascii="Arial" w:hAnsi="Arial" w:cs="Arial" w:eastAsiaTheme="minorHAnsi"/>
          <w:bCs/>
          <w:color w:val="auto"/>
          <w:kern w:val="2"/>
          <w:sz w:val="24"/>
          <w:szCs w:val="24"/>
          <w:lang w:eastAsia="en-US"/>
          <w14:ligatures w14:val="standardContextual"/>
        </w:rPr>
      </w:sdtEndPr>
      <w:sdtContent>
        <w:p w14:paraId="20EBE52A">
          <w:pPr>
            <w:pStyle w:val="22"/>
            <w:spacing w:line="360" w:lineRule="auto"/>
            <w:jc w:val="both"/>
            <w:rPr>
              <w:rFonts w:ascii="Arial" w:hAnsi="Arial" w:cs="Arial"/>
              <w:b/>
              <w:color w:val="auto"/>
              <w:sz w:val="24"/>
              <w:szCs w:val="24"/>
            </w:rPr>
          </w:pPr>
          <w:r>
            <w:rPr>
              <w:rFonts w:ascii="Arial" w:hAnsi="Arial" w:cs="Arial"/>
              <w:b/>
              <w:color w:val="auto"/>
              <w:sz w:val="24"/>
              <w:szCs w:val="24"/>
            </w:rPr>
            <w:t>Table of Contents</w:t>
          </w:r>
        </w:p>
        <w:p w14:paraId="3B2B460C">
          <w:pPr>
            <w:pStyle w:val="13"/>
            <w:tabs>
              <w:tab w:val="right" w:leader="dot" w:pos="9016"/>
            </w:tabs>
            <w:spacing w:line="360" w:lineRule="auto"/>
            <w:rPr>
              <w:rFonts w:ascii="Arial" w:hAnsi="Arial" w:cs="Arial"/>
              <w:sz w:val="24"/>
              <w:szCs w:val="24"/>
            </w:rPr>
          </w:pPr>
        </w:p>
        <w:p w14:paraId="413B1A9D">
          <w:pPr>
            <w:pStyle w:val="13"/>
            <w:tabs>
              <w:tab w:val="right" w:leader="dot" w:pos="9016"/>
            </w:tabs>
            <w:spacing w:line="360" w:lineRule="auto"/>
            <w:rPr>
              <w:rFonts w:ascii="Arial" w:hAnsi="Arial" w:cs="Arial" w:eastAsiaTheme="minorEastAsia"/>
              <w:kern w:val="0"/>
              <w:sz w:val="24"/>
              <w:szCs w:val="24"/>
              <w:lang w:eastAsia="en-GB"/>
              <w14:ligatures w14:val="none"/>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"_Toc220693641" </w:instrText>
          </w:r>
          <w:r>
            <w:fldChar w:fldCharType="separate"/>
          </w:r>
          <w:r>
            <w:rPr>
              <w:rStyle w:val="9"/>
              <w:rFonts w:ascii="Arial" w:hAnsi="Arial" w:cs="Arial"/>
              <w:sz w:val="24"/>
              <w:szCs w:val="24"/>
            </w:rPr>
            <w:t>Chapter 01: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_Toc220693641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14:paraId="6D282E90">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"_Toc220693642" </w:instrText>
          </w:r>
          <w:r>
            <w:fldChar w:fldCharType="separate"/>
          </w:r>
          <w:r>
            <w:rPr>
              <w:rStyle w:val="9"/>
              <w:rFonts w:ascii="Arial" w:hAnsi="Arial" w:cs="Arial"/>
              <w:sz w:val="24"/>
              <w:szCs w:val="24"/>
            </w:rPr>
            <w:t>1.1Background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_Toc220693642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14:paraId="2FEF2130">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"_Toc220693643" </w:instrText>
          </w:r>
          <w:r>
            <w:fldChar w:fldCharType="separate"/>
          </w:r>
          <w:r>
            <w:rPr>
              <w:rStyle w:val="9"/>
              <w:rFonts w:ascii="Arial" w:hAnsi="Arial" w:cs="Arial"/>
              <w:sz w:val="24"/>
              <w:szCs w:val="24"/>
            </w:rPr>
            <w:t>1.2 Background and Context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_Toc220693643 \h </w:instrText>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r>
            <w:rPr>
              <w:rFonts w:ascii="Arial" w:hAnsi="Arial" w:cs="Arial"/>
              <w:sz w:val="24"/>
              <w:szCs w:val="24"/>
            </w:rPr>
            <w:fldChar w:fldCharType="end"/>
          </w:r>
        </w:p>
        <w:p w14:paraId="65D5481A">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"_Toc220693644" </w:instrText>
          </w:r>
          <w:r>
            <w:fldChar w:fldCharType="separate"/>
          </w:r>
          <w:r>
            <w:rPr>
              <w:rStyle w:val="9"/>
              <w:rFonts w:ascii="Arial" w:hAnsi="Arial" w:cs="Arial"/>
              <w:sz w:val="24"/>
              <w:szCs w:val="24"/>
            </w:rPr>
            <w:t>1.3 Aim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_Toc220693644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041E63D1">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"_Toc220693645" </w:instrText>
          </w:r>
          <w:r>
            <w:fldChar w:fldCharType="separate"/>
          </w:r>
          <w:r>
            <w:rPr>
              <w:rStyle w:val="9"/>
              <w:rFonts w:ascii="Arial" w:hAnsi="Arial" w:cs="Arial"/>
              <w:sz w:val="24"/>
              <w:szCs w:val="24"/>
            </w:rPr>
            <w:t>1.4 Research Questions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_Toc220693645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0A400A0E">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"_Toc220693646" </w:instrText>
          </w:r>
          <w:r>
            <w:fldChar w:fldCharType="separate"/>
          </w:r>
          <w:r>
            <w:rPr>
              <w:rStyle w:val="9"/>
              <w:rFonts w:ascii="Arial" w:hAnsi="Arial" w:cs="Arial"/>
              <w:sz w:val="24"/>
              <w:szCs w:val="24"/>
            </w:rPr>
            <w:t>1.5 Research Objectives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_Toc220693646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5E011244">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"_Toc220693647" </w:instrText>
          </w:r>
          <w:r>
            <w:fldChar w:fldCharType="separate"/>
          </w:r>
          <w:r>
            <w:rPr>
              <w:rStyle w:val="9"/>
              <w:rFonts w:ascii="Arial" w:hAnsi="Arial" w:cs="Arial"/>
              <w:sz w:val="24"/>
              <w:szCs w:val="24"/>
            </w:rPr>
            <w:t>1.6 Research Significance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_Toc220693647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37D3309E">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"_Toc220693648" </w:instrText>
          </w:r>
          <w:r>
            <w:fldChar w:fldCharType="separate"/>
          </w:r>
          <w:r>
            <w:rPr>
              <w:rStyle w:val="9"/>
              <w:rFonts w:ascii="Arial" w:hAnsi="Arial" w:cs="Arial"/>
              <w:sz w:val="24"/>
              <w:szCs w:val="24"/>
            </w:rPr>
            <w:t>1.7 Overview of the dissertation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_Toc220693648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14:paraId="7B678D87">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"_Toc220693649" </w:instrText>
          </w:r>
          <w:r>
            <w:fldChar w:fldCharType="separate"/>
          </w:r>
          <w:r>
            <w:rPr>
              <w:rStyle w:val="9"/>
              <w:rFonts w:ascii="Arial" w:hAnsi="Arial" w:cs="Arial"/>
              <w:sz w:val="24"/>
              <w:szCs w:val="24"/>
            </w:rPr>
            <w:t>1.8 Theoretical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_Toc220693649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14:paraId="3A788F63">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"_Toc220693650" </w:instrText>
          </w:r>
          <w:r>
            <w:fldChar w:fldCharType="separate"/>
          </w:r>
          <w:r>
            <w:rPr>
              <w:rStyle w:val="9"/>
              <w:rFonts w:ascii="Arial" w:hAnsi="Arial" w:cs="Arial"/>
              <w:sz w:val="24"/>
              <w:szCs w:val="24"/>
            </w:rPr>
            <w:t>Chapter 02: Literature Review</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_Toc220693650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50DD55DE">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"_Toc220693651" </w:instrText>
          </w:r>
          <w:r>
            <w:fldChar w:fldCharType="separate"/>
          </w:r>
          <w:r>
            <w:rPr>
              <w:rStyle w:val="9"/>
              <w:rFonts w:ascii="Arial" w:hAnsi="Arial" w:cs="Arial"/>
              <w:sz w:val="24"/>
              <w:szCs w:val="24"/>
            </w:rPr>
            <w:t>2.0 Review of  Literature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_Toc220693651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5D25BD31">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"_Toc220693652" </w:instrText>
          </w:r>
          <w:r>
            <w:fldChar w:fldCharType="separate"/>
          </w:r>
          <w:r>
            <w:rPr>
              <w:rStyle w:val="9"/>
              <w:rFonts w:ascii="Arial" w:hAnsi="Arial" w:cs="Arial"/>
              <w:sz w:val="24"/>
              <w:szCs w:val="24"/>
            </w:rPr>
            <w:t>2.1 Impact of COVID-19 on the world economy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_Toc220693652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2BE2A30A">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"_Toc220693653" </w:instrText>
          </w:r>
          <w:r>
            <w:fldChar w:fldCharType="separate"/>
          </w:r>
          <w:r>
            <w:rPr>
              <w:rStyle w:val="9"/>
              <w:rFonts w:ascii="Arial" w:hAnsi="Arial" w:cs="Arial"/>
              <w:sz w:val="24"/>
              <w:szCs w:val="24"/>
            </w:rPr>
            <w:t>2.2 Impact of COVID-19 on Indian economy and business activities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_Toc220693653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6EB9CDE8">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"_Toc220693654" </w:instrText>
          </w:r>
          <w:r>
            <w:fldChar w:fldCharType="separate"/>
          </w:r>
          <w:r>
            <w:rPr>
              <w:rStyle w:val="9"/>
              <w:rFonts w:ascii="Arial" w:hAnsi="Arial" w:cs="Arial"/>
              <w:sz w:val="24"/>
              <w:szCs w:val="24"/>
            </w:rPr>
            <w:t>2.3 Financial performance and corporate governance prior to COVID-19</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_Toc220693654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14:paraId="7C9A0657">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"_Toc220693655" </w:instrText>
          </w:r>
          <w:r>
            <w:fldChar w:fldCharType="separate"/>
          </w:r>
          <w:r>
            <w:rPr>
              <w:rStyle w:val="9"/>
              <w:rFonts w:ascii="Arial" w:hAnsi="Arial" w:cs="Arial"/>
              <w:sz w:val="24"/>
              <w:szCs w:val="24"/>
            </w:rPr>
            <w:t>2.4 Financial performance and corporate governance in the times of COVID-19</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_Toc220693655 \h </w:instrText>
          </w:r>
          <w:r>
            <w:rPr>
              <w:rFonts w:ascii="Arial" w:hAnsi="Arial" w:cs="Arial"/>
              <w:sz w:val="24"/>
              <w:szCs w:val="24"/>
            </w:rPr>
            <w:fldChar w:fldCharType="separate"/>
          </w:r>
          <w:r>
            <w:rPr>
              <w:rFonts w:ascii="Arial" w:hAnsi="Arial" w:cs="Arial"/>
              <w:sz w:val="24"/>
              <w:szCs w:val="24"/>
            </w:rPr>
            <w:t>9</w:t>
          </w:r>
          <w:r>
            <w:rPr>
              <w:rFonts w:ascii="Arial" w:hAnsi="Arial" w:cs="Arial"/>
              <w:sz w:val="24"/>
              <w:szCs w:val="24"/>
            </w:rPr>
            <w:fldChar w:fldCharType="end"/>
          </w:r>
          <w:r>
            <w:rPr>
              <w:rFonts w:ascii="Arial" w:hAnsi="Arial" w:cs="Arial"/>
              <w:sz w:val="24"/>
              <w:szCs w:val="24"/>
            </w:rPr>
            <w:fldChar w:fldCharType="end"/>
          </w:r>
        </w:p>
        <w:p w14:paraId="60A63884">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"_Toc220693656" </w:instrText>
          </w:r>
          <w:r>
            <w:fldChar w:fldCharType="separate"/>
          </w:r>
          <w:r>
            <w:rPr>
              <w:rStyle w:val="9"/>
              <w:rFonts w:ascii="Arial" w:hAnsi="Arial" w:cs="Arial"/>
              <w:sz w:val="24"/>
              <w:szCs w:val="24"/>
            </w:rPr>
            <w:t>2.5 Size of the board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_Toc220693656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14:paraId="125B314C">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"_Toc220693657" </w:instrText>
          </w:r>
          <w:r>
            <w:fldChar w:fldCharType="separate"/>
          </w:r>
          <w:r>
            <w:rPr>
              <w:rStyle w:val="9"/>
              <w:rFonts w:ascii="Arial" w:hAnsi="Arial" w:cs="Arial"/>
              <w:sz w:val="24"/>
              <w:szCs w:val="24"/>
            </w:rPr>
            <w:t>2.6 Independence of the board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_Toc220693657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14:paraId="07E56AB3">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"_Toc220693658" </w:instrText>
          </w:r>
          <w:r>
            <w:fldChar w:fldCharType="separate"/>
          </w:r>
          <w:r>
            <w:rPr>
              <w:rStyle w:val="9"/>
              <w:rFonts w:ascii="Arial" w:hAnsi="Arial" w:cs="Arial"/>
              <w:sz w:val="24"/>
              <w:szCs w:val="24"/>
            </w:rPr>
            <w:t>2.7 Financial literacy of the board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_Toc220693658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14:paraId="2DCBCBB8">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"_Toc220693659" </w:instrText>
          </w:r>
          <w:r>
            <w:fldChar w:fldCharType="separate"/>
          </w:r>
          <w:r>
            <w:rPr>
              <w:rStyle w:val="9"/>
              <w:rFonts w:ascii="Arial" w:hAnsi="Arial" w:cs="Arial"/>
              <w:sz w:val="24"/>
              <w:szCs w:val="24"/>
            </w:rPr>
            <w:t>2.8 Gender diversity on the board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_Toc220693659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14:paraId="52568DE7">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"_Toc220693660" </w:instrText>
          </w:r>
          <w:r>
            <w:fldChar w:fldCharType="separate"/>
          </w:r>
          <w:r>
            <w:rPr>
              <w:rStyle w:val="9"/>
              <w:rFonts w:ascii="Arial" w:hAnsi="Arial" w:cs="Arial"/>
              <w:sz w:val="24"/>
              <w:szCs w:val="24"/>
            </w:rPr>
            <w:t>2.9 Meetings of the board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_Toc220693660 \h </w:instrText>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r>
            <w:rPr>
              <w:rFonts w:ascii="Arial" w:hAnsi="Arial" w:cs="Arial"/>
              <w:sz w:val="24"/>
              <w:szCs w:val="24"/>
            </w:rPr>
            <w:fldChar w:fldCharType="end"/>
          </w:r>
        </w:p>
        <w:p w14:paraId="0DF16DCB">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"_Toc220693661" </w:instrText>
          </w:r>
          <w:r>
            <w:fldChar w:fldCharType="separate"/>
          </w:r>
          <w:r>
            <w:rPr>
              <w:rStyle w:val="9"/>
              <w:rFonts w:ascii="Arial" w:hAnsi="Arial" w:cs="Arial"/>
              <w:sz w:val="24"/>
              <w:szCs w:val="24"/>
            </w:rPr>
            <w:t>2.10 Characteristics of audit committee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_Toc220693661 \h </w:instrText>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r>
            <w:rPr>
              <w:rFonts w:ascii="Arial" w:hAnsi="Arial" w:cs="Arial"/>
              <w:sz w:val="24"/>
              <w:szCs w:val="24"/>
            </w:rPr>
            <w:fldChar w:fldCharType="end"/>
          </w:r>
        </w:p>
        <w:p w14:paraId="690C1DA2">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"_Toc220693662" </w:instrText>
          </w:r>
          <w:r>
            <w:fldChar w:fldCharType="separate"/>
          </w:r>
          <w:r>
            <w:rPr>
              <w:rStyle w:val="9"/>
              <w:rFonts w:ascii="Arial" w:hAnsi="Arial" w:cs="Arial"/>
              <w:sz w:val="24"/>
              <w:szCs w:val="24"/>
            </w:rPr>
            <w:t>Chapter 03: Research Methodology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_Toc220693662 \h </w:instrText>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r>
            <w:rPr>
              <w:rFonts w:ascii="Arial" w:hAnsi="Arial" w:cs="Arial"/>
              <w:sz w:val="24"/>
              <w:szCs w:val="24"/>
            </w:rPr>
            <w:fldChar w:fldCharType="end"/>
          </w:r>
        </w:p>
        <w:p w14:paraId="1E146D9E">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"_Toc220693663" </w:instrText>
          </w:r>
          <w:r>
            <w:fldChar w:fldCharType="separate"/>
          </w:r>
          <w:r>
            <w:rPr>
              <w:rStyle w:val="9"/>
              <w:rFonts w:ascii="Arial" w:hAnsi="Arial" w:cs="Arial"/>
              <w:sz w:val="24"/>
              <w:szCs w:val="24"/>
            </w:rPr>
            <w:t>3.1 Philosophical perspectives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_Toc220693663 \h </w:instrText>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r>
            <w:rPr>
              <w:rFonts w:ascii="Arial" w:hAnsi="Arial" w:cs="Arial"/>
              <w:sz w:val="24"/>
              <w:szCs w:val="24"/>
            </w:rPr>
            <w:fldChar w:fldCharType="end"/>
          </w:r>
        </w:p>
        <w:p w14:paraId="359511B1">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"_Toc220693664" </w:instrText>
          </w:r>
          <w:r>
            <w:fldChar w:fldCharType="separate"/>
          </w:r>
          <w:r>
            <w:rPr>
              <w:rStyle w:val="9"/>
              <w:rFonts w:ascii="Arial" w:hAnsi="Arial" w:cs="Arial"/>
              <w:sz w:val="24"/>
              <w:szCs w:val="24"/>
            </w:rPr>
            <w:t>3.2 Research Design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_Toc220693664 \h </w:instrText>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r>
            <w:rPr>
              <w:rFonts w:ascii="Arial" w:hAnsi="Arial" w:cs="Arial"/>
              <w:sz w:val="24"/>
              <w:szCs w:val="24"/>
            </w:rPr>
            <w:fldChar w:fldCharType="end"/>
          </w:r>
        </w:p>
        <w:p w14:paraId="7FF8D90E">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"_Toc220693665" </w:instrText>
          </w:r>
          <w:r>
            <w:fldChar w:fldCharType="separate"/>
          </w:r>
          <w:r>
            <w:rPr>
              <w:rStyle w:val="9"/>
              <w:rFonts w:ascii="Arial" w:hAnsi="Arial" w:cs="Arial"/>
              <w:sz w:val="24"/>
              <w:szCs w:val="24"/>
            </w:rPr>
            <w:t>3.3 Research methods and tools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_Toc220693665 \h </w:instrText>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r>
            <w:rPr>
              <w:rFonts w:ascii="Arial" w:hAnsi="Arial" w:cs="Arial"/>
              <w:sz w:val="24"/>
              <w:szCs w:val="24"/>
            </w:rPr>
            <w:fldChar w:fldCharType="end"/>
          </w:r>
        </w:p>
        <w:p w14:paraId="7B80AFEA">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"_Toc220693666" </w:instrText>
          </w:r>
          <w:r>
            <w:fldChar w:fldCharType="separate"/>
          </w:r>
          <w:r>
            <w:rPr>
              <w:rStyle w:val="9"/>
              <w:rFonts w:ascii="Arial" w:hAnsi="Arial" w:cs="Arial"/>
              <w:sz w:val="24"/>
              <w:szCs w:val="24"/>
            </w:rPr>
            <w:t>3.4  Regression model and measurements of variables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_Toc220693666 \h </w:instrText>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r>
            <w:rPr>
              <w:rFonts w:ascii="Arial" w:hAnsi="Arial" w:cs="Arial"/>
              <w:sz w:val="24"/>
              <w:szCs w:val="24"/>
            </w:rPr>
            <w:fldChar w:fldCharType="end"/>
          </w:r>
        </w:p>
        <w:p w14:paraId="2BCC91FD">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"_Toc220693667" </w:instrText>
          </w:r>
          <w:r>
            <w:fldChar w:fldCharType="separate"/>
          </w:r>
          <w:r>
            <w:rPr>
              <w:rStyle w:val="9"/>
              <w:rFonts w:ascii="Arial" w:hAnsi="Arial" w:cs="Arial"/>
              <w:sz w:val="24"/>
              <w:szCs w:val="24"/>
            </w:rPr>
            <w:t>3.5 Hypothesis of the research</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_Toc220693667 \h </w:instrText>
          </w:r>
          <w:r>
            <w:rPr>
              <w:rFonts w:ascii="Arial" w:hAnsi="Arial" w:cs="Arial"/>
              <w:sz w:val="24"/>
              <w:szCs w:val="24"/>
            </w:rPr>
            <w:fldChar w:fldCharType="separate"/>
          </w:r>
          <w:r>
            <w:rPr>
              <w:rFonts w:ascii="Arial" w:hAnsi="Arial" w:cs="Arial"/>
              <w:sz w:val="24"/>
              <w:szCs w:val="24"/>
            </w:rPr>
            <w:t>21</w:t>
          </w:r>
          <w:r>
            <w:rPr>
              <w:rFonts w:ascii="Arial" w:hAnsi="Arial" w:cs="Arial"/>
              <w:sz w:val="24"/>
              <w:szCs w:val="24"/>
            </w:rPr>
            <w:fldChar w:fldCharType="end"/>
          </w:r>
          <w:r>
            <w:rPr>
              <w:rFonts w:ascii="Arial" w:hAnsi="Arial" w:cs="Arial"/>
              <w:sz w:val="24"/>
              <w:szCs w:val="24"/>
            </w:rPr>
            <w:fldChar w:fldCharType="end"/>
          </w:r>
        </w:p>
        <w:p w14:paraId="3DD2D3B1">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"_Toc220693668" </w:instrText>
          </w:r>
          <w:r>
            <w:fldChar w:fldCharType="separate"/>
          </w:r>
          <w:r>
            <w:rPr>
              <w:rStyle w:val="9"/>
              <w:rFonts w:ascii="Arial" w:hAnsi="Arial" w:cs="Arial"/>
              <w:sz w:val="24"/>
              <w:szCs w:val="24"/>
            </w:rPr>
            <w:t>3.6 Ethical concerns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_Toc220693668 \h </w:instrText>
          </w:r>
          <w:r>
            <w:rPr>
              <w:rFonts w:ascii="Arial" w:hAnsi="Arial" w:cs="Arial"/>
              <w:sz w:val="24"/>
              <w:szCs w:val="24"/>
            </w:rPr>
            <w:fldChar w:fldCharType="separate"/>
          </w:r>
          <w:r>
            <w:rPr>
              <w:rFonts w:ascii="Arial" w:hAnsi="Arial" w:cs="Arial"/>
              <w:sz w:val="24"/>
              <w:szCs w:val="24"/>
            </w:rPr>
            <w:t>22</w:t>
          </w:r>
          <w:r>
            <w:rPr>
              <w:rFonts w:ascii="Arial" w:hAnsi="Arial" w:cs="Arial"/>
              <w:sz w:val="24"/>
              <w:szCs w:val="24"/>
            </w:rPr>
            <w:fldChar w:fldCharType="end"/>
          </w:r>
          <w:r>
            <w:rPr>
              <w:rFonts w:ascii="Arial" w:hAnsi="Arial" w:cs="Arial"/>
              <w:sz w:val="24"/>
              <w:szCs w:val="24"/>
            </w:rPr>
            <w:fldChar w:fldCharType="end"/>
          </w:r>
        </w:p>
        <w:p w14:paraId="26F4D0FC">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"_Toc220693669" </w:instrText>
          </w:r>
          <w:r>
            <w:fldChar w:fldCharType="separate"/>
          </w:r>
          <w:r>
            <w:rPr>
              <w:rStyle w:val="9"/>
              <w:rFonts w:ascii="Arial" w:hAnsi="Arial" w:cs="Arial"/>
              <w:sz w:val="24"/>
              <w:szCs w:val="24"/>
            </w:rPr>
            <w:t>Chapter 04: Data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_Toc220693669 \h </w:instrText>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r>
            <w:rPr>
              <w:rFonts w:ascii="Arial" w:hAnsi="Arial" w:cs="Arial"/>
              <w:sz w:val="24"/>
              <w:szCs w:val="24"/>
            </w:rPr>
            <w:fldChar w:fldCharType="end"/>
          </w:r>
        </w:p>
        <w:p w14:paraId="462822DF">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"_Toc220693670" </w:instrText>
          </w:r>
          <w:r>
            <w:fldChar w:fldCharType="separate"/>
          </w:r>
          <w:r>
            <w:rPr>
              <w:rStyle w:val="9"/>
              <w:rFonts w:ascii="Arial" w:hAnsi="Arial" w:cs="Arial"/>
              <w:sz w:val="24"/>
              <w:szCs w:val="24"/>
            </w:rPr>
            <w:t>4.1 Descriptive Statistics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_Toc220693670 \h </w:instrText>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r>
            <w:rPr>
              <w:rFonts w:ascii="Arial" w:hAnsi="Arial" w:cs="Arial"/>
              <w:sz w:val="24"/>
              <w:szCs w:val="24"/>
            </w:rPr>
            <w:fldChar w:fldCharType="end"/>
          </w:r>
        </w:p>
        <w:p w14:paraId="06DAAE0F">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"_Toc220693671" </w:instrText>
          </w:r>
          <w:r>
            <w:fldChar w:fldCharType="separate"/>
          </w:r>
          <w:r>
            <w:rPr>
              <w:rStyle w:val="9"/>
              <w:rFonts w:ascii="Arial" w:hAnsi="Arial" w:cs="Arial"/>
              <w:sz w:val="24"/>
              <w:szCs w:val="24"/>
            </w:rPr>
            <w:t>4.2 Correlation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_Toc220693671 \h </w:instrText>
          </w:r>
          <w:r>
            <w:rPr>
              <w:rFonts w:ascii="Arial" w:hAnsi="Arial" w:cs="Arial"/>
              <w:sz w:val="24"/>
              <w:szCs w:val="24"/>
            </w:rPr>
            <w:fldChar w:fldCharType="separate"/>
          </w:r>
          <w:r>
            <w:rPr>
              <w:rFonts w:ascii="Arial" w:hAnsi="Arial" w:cs="Arial"/>
              <w:sz w:val="24"/>
              <w:szCs w:val="24"/>
            </w:rPr>
            <w:t>24</w:t>
          </w:r>
          <w:r>
            <w:rPr>
              <w:rFonts w:ascii="Arial" w:hAnsi="Arial" w:cs="Arial"/>
              <w:sz w:val="24"/>
              <w:szCs w:val="24"/>
            </w:rPr>
            <w:fldChar w:fldCharType="end"/>
          </w:r>
          <w:r>
            <w:rPr>
              <w:rFonts w:ascii="Arial" w:hAnsi="Arial" w:cs="Arial"/>
              <w:sz w:val="24"/>
              <w:szCs w:val="24"/>
            </w:rPr>
            <w:fldChar w:fldCharType="end"/>
          </w:r>
        </w:p>
        <w:p w14:paraId="320DF3CF">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"_Toc220693672" </w:instrText>
          </w:r>
          <w:r>
            <w:fldChar w:fldCharType="separate"/>
          </w:r>
          <w:r>
            <w:rPr>
              <w:rStyle w:val="9"/>
              <w:rFonts w:ascii="Arial" w:hAnsi="Arial" w:cs="Arial"/>
              <w:sz w:val="24"/>
              <w:szCs w:val="24"/>
            </w:rPr>
            <w:t>4.3 t-test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_Toc220693672 \h </w:instrText>
          </w:r>
          <w:r>
            <w:rPr>
              <w:rFonts w:ascii="Arial" w:hAnsi="Arial" w:cs="Arial"/>
              <w:sz w:val="24"/>
              <w:szCs w:val="24"/>
            </w:rPr>
            <w:fldChar w:fldCharType="separate"/>
          </w:r>
          <w:r>
            <w:rPr>
              <w:rFonts w:ascii="Arial" w:hAnsi="Arial" w:cs="Arial"/>
              <w:sz w:val="24"/>
              <w:szCs w:val="24"/>
            </w:rPr>
            <w:t>25</w:t>
          </w:r>
          <w:r>
            <w:rPr>
              <w:rFonts w:ascii="Arial" w:hAnsi="Arial" w:cs="Arial"/>
              <w:sz w:val="24"/>
              <w:szCs w:val="24"/>
            </w:rPr>
            <w:fldChar w:fldCharType="end"/>
          </w:r>
          <w:r>
            <w:rPr>
              <w:rFonts w:ascii="Arial" w:hAnsi="Arial" w:cs="Arial"/>
              <w:sz w:val="24"/>
              <w:szCs w:val="24"/>
            </w:rPr>
            <w:fldChar w:fldCharType="end"/>
          </w:r>
        </w:p>
        <w:p w14:paraId="4336E276">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"_Toc220693673" </w:instrText>
          </w:r>
          <w:r>
            <w:fldChar w:fldCharType="separate"/>
          </w:r>
          <w:r>
            <w:rPr>
              <w:rStyle w:val="9"/>
              <w:rFonts w:ascii="Arial" w:hAnsi="Arial" w:cs="Arial"/>
              <w:bCs/>
              <w:sz w:val="24"/>
              <w:szCs w:val="24"/>
            </w:rPr>
            <w:t>4.4 Panel OLS Regression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_Toc220693673 \h </w:instrText>
          </w:r>
          <w:r>
            <w:rPr>
              <w:rFonts w:ascii="Arial" w:hAnsi="Arial" w:cs="Arial"/>
              <w:sz w:val="24"/>
              <w:szCs w:val="24"/>
            </w:rPr>
            <w:fldChar w:fldCharType="separate"/>
          </w:r>
          <w:r>
            <w:rPr>
              <w:rFonts w:ascii="Arial" w:hAnsi="Arial" w:cs="Arial"/>
              <w:sz w:val="24"/>
              <w:szCs w:val="24"/>
            </w:rPr>
            <w:t>27</w:t>
          </w:r>
          <w:r>
            <w:rPr>
              <w:rFonts w:ascii="Arial" w:hAnsi="Arial" w:cs="Arial"/>
              <w:sz w:val="24"/>
              <w:szCs w:val="24"/>
            </w:rPr>
            <w:fldChar w:fldCharType="end"/>
          </w:r>
          <w:r>
            <w:rPr>
              <w:rFonts w:ascii="Arial" w:hAnsi="Arial" w:cs="Arial"/>
              <w:sz w:val="24"/>
              <w:szCs w:val="24"/>
            </w:rPr>
            <w:fldChar w:fldCharType="end"/>
          </w:r>
        </w:p>
        <w:p w14:paraId="3F65C74B">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"_Toc220693674" </w:instrText>
          </w:r>
          <w:r>
            <w:fldChar w:fldCharType="separate"/>
          </w:r>
          <w:r>
            <w:rPr>
              <w:rStyle w:val="9"/>
              <w:rFonts w:ascii="Arial" w:hAnsi="Arial" w:cs="Arial"/>
              <w:sz w:val="24"/>
              <w:szCs w:val="24"/>
            </w:rPr>
            <w:t>4.5 Panel OLS Regression: Year-wise Subsample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_Toc220693674 \h </w:instrText>
          </w:r>
          <w:r>
            <w:rPr>
              <w:rFonts w:ascii="Arial" w:hAnsi="Arial" w:cs="Arial"/>
              <w:sz w:val="24"/>
              <w:szCs w:val="24"/>
            </w:rPr>
            <w:fldChar w:fldCharType="separate"/>
          </w:r>
          <w:r>
            <w:rPr>
              <w:rFonts w:ascii="Arial" w:hAnsi="Arial" w:cs="Arial"/>
              <w:sz w:val="24"/>
              <w:szCs w:val="24"/>
            </w:rPr>
            <w:t>29</w:t>
          </w:r>
          <w:r>
            <w:rPr>
              <w:rFonts w:ascii="Arial" w:hAnsi="Arial" w:cs="Arial"/>
              <w:sz w:val="24"/>
              <w:szCs w:val="24"/>
            </w:rPr>
            <w:fldChar w:fldCharType="end"/>
          </w:r>
          <w:r>
            <w:rPr>
              <w:rFonts w:ascii="Arial" w:hAnsi="Arial" w:cs="Arial"/>
              <w:sz w:val="24"/>
              <w:szCs w:val="24"/>
            </w:rPr>
            <w:fldChar w:fldCharType="end"/>
          </w:r>
        </w:p>
        <w:p w14:paraId="67B5A899">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"_Toc220693675" </w:instrText>
          </w:r>
          <w:r>
            <w:fldChar w:fldCharType="separate"/>
          </w:r>
          <w:r>
            <w:rPr>
              <w:rStyle w:val="9"/>
              <w:rFonts w:ascii="Arial" w:hAnsi="Arial" w:cs="Arial"/>
              <w:sz w:val="24"/>
              <w:szCs w:val="24"/>
            </w:rPr>
            <w:t>4.6 Results of hypothesis testing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_Toc220693675 \h </w:instrText>
          </w:r>
          <w:r>
            <w:rPr>
              <w:rFonts w:ascii="Arial" w:hAnsi="Arial" w:cs="Arial"/>
              <w:sz w:val="24"/>
              <w:szCs w:val="24"/>
            </w:rPr>
            <w:fldChar w:fldCharType="separate"/>
          </w:r>
          <w:r>
            <w:rPr>
              <w:rFonts w:ascii="Arial" w:hAnsi="Arial" w:cs="Arial"/>
              <w:sz w:val="24"/>
              <w:szCs w:val="24"/>
            </w:rPr>
            <w:t>31</w:t>
          </w:r>
          <w:r>
            <w:rPr>
              <w:rFonts w:ascii="Arial" w:hAnsi="Arial" w:cs="Arial"/>
              <w:sz w:val="24"/>
              <w:szCs w:val="24"/>
            </w:rPr>
            <w:fldChar w:fldCharType="end"/>
          </w:r>
          <w:r>
            <w:rPr>
              <w:rFonts w:ascii="Arial" w:hAnsi="Arial" w:cs="Arial"/>
              <w:sz w:val="24"/>
              <w:szCs w:val="24"/>
            </w:rPr>
            <w:fldChar w:fldCharType="end"/>
          </w:r>
        </w:p>
        <w:p w14:paraId="03E8B837">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"_Toc220693676" </w:instrText>
          </w:r>
          <w:r>
            <w:fldChar w:fldCharType="separate"/>
          </w:r>
          <w:r>
            <w:rPr>
              <w:rStyle w:val="9"/>
              <w:rFonts w:ascii="Arial" w:hAnsi="Arial" w:cs="Arial"/>
              <w:sz w:val="24"/>
              <w:szCs w:val="24"/>
            </w:rPr>
            <w:t>Chapter 05 Conclusions, Recommendations and Limitations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_Toc220693676 \h </w:instrText>
          </w:r>
          <w:r>
            <w:rPr>
              <w:rFonts w:ascii="Arial" w:hAnsi="Arial" w:cs="Arial"/>
              <w:sz w:val="24"/>
              <w:szCs w:val="24"/>
            </w:rPr>
            <w:fldChar w:fldCharType="separate"/>
          </w:r>
          <w:r>
            <w:rPr>
              <w:rFonts w:ascii="Arial" w:hAnsi="Arial" w:cs="Arial"/>
              <w:sz w:val="24"/>
              <w:szCs w:val="24"/>
            </w:rPr>
            <w:t>32</w:t>
          </w:r>
          <w:r>
            <w:rPr>
              <w:rFonts w:ascii="Arial" w:hAnsi="Arial" w:cs="Arial"/>
              <w:sz w:val="24"/>
              <w:szCs w:val="24"/>
            </w:rPr>
            <w:fldChar w:fldCharType="end"/>
          </w:r>
          <w:r>
            <w:rPr>
              <w:rFonts w:ascii="Arial" w:hAnsi="Arial" w:cs="Arial"/>
              <w:sz w:val="24"/>
              <w:szCs w:val="24"/>
            </w:rPr>
            <w:fldChar w:fldCharType="end"/>
          </w:r>
        </w:p>
        <w:p w14:paraId="40FEF63E">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"_Toc220693677" </w:instrText>
          </w:r>
          <w:r>
            <w:fldChar w:fldCharType="separate"/>
          </w:r>
          <w:r>
            <w:rPr>
              <w:rStyle w:val="9"/>
              <w:rFonts w:ascii="Arial" w:hAnsi="Arial" w:cs="Arial"/>
              <w:sz w:val="24"/>
              <w:szCs w:val="24"/>
            </w:rPr>
            <w:t>5.1 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_Toc220693677 \h </w:instrText>
          </w:r>
          <w:r>
            <w:rPr>
              <w:rFonts w:ascii="Arial" w:hAnsi="Arial" w:cs="Arial"/>
              <w:sz w:val="24"/>
              <w:szCs w:val="24"/>
            </w:rPr>
            <w:fldChar w:fldCharType="separate"/>
          </w:r>
          <w:r>
            <w:rPr>
              <w:rFonts w:ascii="Arial" w:hAnsi="Arial" w:cs="Arial"/>
              <w:sz w:val="24"/>
              <w:szCs w:val="24"/>
            </w:rPr>
            <w:t>32</w:t>
          </w:r>
          <w:r>
            <w:rPr>
              <w:rFonts w:ascii="Arial" w:hAnsi="Arial" w:cs="Arial"/>
              <w:sz w:val="24"/>
              <w:szCs w:val="24"/>
            </w:rPr>
            <w:fldChar w:fldCharType="end"/>
          </w:r>
          <w:r>
            <w:rPr>
              <w:rFonts w:ascii="Arial" w:hAnsi="Arial" w:cs="Arial"/>
              <w:sz w:val="24"/>
              <w:szCs w:val="24"/>
            </w:rPr>
            <w:fldChar w:fldCharType="end"/>
          </w:r>
        </w:p>
        <w:p w14:paraId="194F454F">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"_Toc220693678" </w:instrText>
          </w:r>
          <w:r>
            <w:fldChar w:fldCharType="separate"/>
          </w:r>
          <w:r>
            <w:rPr>
              <w:rStyle w:val="9"/>
              <w:rFonts w:ascii="Arial" w:hAnsi="Arial" w:cs="Arial"/>
              <w:sz w:val="24"/>
              <w:szCs w:val="24"/>
            </w:rPr>
            <w:t>5.2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_Toc220693678 \h </w:instrText>
          </w:r>
          <w:r>
            <w:rPr>
              <w:rFonts w:ascii="Arial" w:hAnsi="Arial" w:cs="Arial"/>
              <w:sz w:val="24"/>
              <w:szCs w:val="24"/>
            </w:rPr>
            <w:fldChar w:fldCharType="separate"/>
          </w:r>
          <w:r>
            <w:rPr>
              <w:rFonts w:ascii="Arial" w:hAnsi="Arial" w:cs="Arial"/>
              <w:sz w:val="24"/>
              <w:szCs w:val="24"/>
            </w:rPr>
            <w:t>34</w:t>
          </w:r>
          <w:r>
            <w:rPr>
              <w:rFonts w:ascii="Arial" w:hAnsi="Arial" w:cs="Arial"/>
              <w:sz w:val="24"/>
              <w:szCs w:val="24"/>
            </w:rPr>
            <w:fldChar w:fldCharType="end"/>
          </w:r>
          <w:r>
            <w:rPr>
              <w:rFonts w:ascii="Arial" w:hAnsi="Arial" w:cs="Arial"/>
              <w:sz w:val="24"/>
              <w:szCs w:val="24"/>
            </w:rPr>
            <w:fldChar w:fldCharType="end"/>
          </w:r>
        </w:p>
        <w:p w14:paraId="275D7117">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"_Toc220693679" </w:instrText>
          </w:r>
          <w:r>
            <w:fldChar w:fldCharType="separate"/>
          </w:r>
          <w:r>
            <w:rPr>
              <w:rStyle w:val="9"/>
              <w:rFonts w:ascii="Arial" w:hAnsi="Arial" w:cs="Arial"/>
              <w:sz w:val="24"/>
              <w:szCs w:val="24"/>
            </w:rPr>
            <w:t>5.3 Research Limitations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_Toc220693679 \h </w:instrText>
          </w:r>
          <w:r>
            <w:rPr>
              <w:rFonts w:ascii="Arial" w:hAnsi="Arial" w:cs="Arial"/>
              <w:sz w:val="24"/>
              <w:szCs w:val="24"/>
            </w:rPr>
            <w:fldChar w:fldCharType="separate"/>
          </w:r>
          <w:r>
            <w:rPr>
              <w:rFonts w:ascii="Arial" w:hAnsi="Arial" w:cs="Arial"/>
              <w:sz w:val="24"/>
              <w:szCs w:val="24"/>
            </w:rPr>
            <w:t>35</w:t>
          </w:r>
          <w:r>
            <w:rPr>
              <w:rFonts w:ascii="Arial" w:hAnsi="Arial" w:cs="Arial"/>
              <w:sz w:val="24"/>
              <w:szCs w:val="24"/>
            </w:rPr>
            <w:fldChar w:fldCharType="end"/>
          </w:r>
          <w:r>
            <w:rPr>
              <w:rFonts w:ascii="Arial" w:hAnsi="Arial" w:cs="Arial"/>
              <w:sz w:val="24"/>
              <w:szCs w:val="24"/>
            </w:rPr>
            <w:fldChar w:fldCharType="end"/>
          </w:r>
        </w:p>
        <w:p w14:paraId="1AE1D8AC">
          <w:pPr>
            <w:pStyle w:val="14"/>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"_Toc220693680" </w:instrText>
          </w:r>
          <w:r>
            <w:fldChar w:fldCharType="separate"/>
          </w:r>
          <w:r>
            <w:rPr>
              <w:rStyle w:val="9"/>
              <w:rFonts w:ascii="Arial" w:hAnsi="Arial" w:cs="Arial"/>
              <w:sz w:val="24"/>
              <w:szCs w:val="24"/>
            </w:rPr>
            <w:t>5.4 Future Research Directions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_Toc220693680 \h </w:instrText>
          </w:r>
          <w:r>
            <w:rPr>
              <w:rFonts w:ascii="Arial" w:hAnsi="Arial" w:cs="Arial"/>
              <w:sz w:val="24"/>
              <w:szCs w:val="24"/>
            </w:rPr>
            <w:fldChar w:fldCharType="separate"/>
          </w:r>
          <w:r>
            <w:rPr>
              <w:rFonts w:ascii="Arial" w:hAnsi="Arial" w:cs="Arial"/>
              <w:sz w:val="24"/>
              <w:szCs w:val="24"/>
            </w:rPr>
            <w:t>35</w:t>
          </w:r>
          <w:r>
            <w:rPr>
              <w:rFonts w:ascii="Arial" w:hAnsi="Arial" w:cs="Arial"/>
              <w:sz w:val="24"/>
              <w:szCs w:val="24"/>
            </w:rPr>
            <w:fldChar w:fldCharType="end"/>
          </w:r>
          <w:r>
            <w:rPr>
              <w:rFonts w:ascii="Arial" w:hAnsi="Arial" w:cs="Arial"/>
              <w:sz w:val="24"/>
              <w:szCs w:val="24"/>
            </w:rPr>
            <w:fldChar w:fldCharType="end"/>
          </w:r>
        </w:p>
        <w:p w14:paraId="70449C23">
          <w:pPr>
            <w:pStyle w:val="13"/>
            <w:tabs>
              <w:tab w:val="right" w:leader="dot" w:pos="9016"/>
            </w:tabs>
            <w:spacing w:line="360" w:lineRule="auto"/>
            <w:rPr>
              <w:rFonts w:ascii="Arial" w:hAnsi="Arial" w:cs="Arial" w:eastAsiaTheme="minorEastAsia"/>
              <w:kern w:val="0"/>
              <w:sz w:val="24"/>
              <w:szCs w:val="24"/>
              <w:lang w:eastAsia="en-GB"/>
              <w14:ligatures w14:val="none"/>
            </w:rPr>
          </w:pPr>
          <w:r>
            <w:fldChar w:fldCharType="begin"/>
          </w:r>
          <w:r>
            <w:instrText xml:space="preserve"> HYPERLINK \l "_Toc220693681" </w:instrText>
          </w:r>
          <w:r>
            <w:fldChar w:fldCharType="separate"/>
          </w:r>
          <w:r>
            <w:rPr>
              <w:rStyle w:val="9"/>
              <w:rFonts w:ascii="Arial" w:hAnsi="Arial" w:cs="Arial"/>
              <w:sz w:val="24"/>
              <w:szCs w:val="24"/>
            </w:rPr>
            <w:t>Chapter 06: 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_Toc220693681 \h </w:instrText>
          </w:r>
          <w:r>
            <w:rPr>
              <w:rFonts w:ascii="Arial" w:hAnsi="Arial" w:cs="Arial"/>
              <w:sz w:val="24"/>
              <w:szCs w:val="24"/>
            </w:rPr>
            <w:fldChar w:fldCharType="separate"/>
          </w:r>
          <w:r>
            <w:rPr>
              <w:rFonts w:ascii="Arial" w:hAnsi="Arial" w:cs="Arial"/>
              <w:sz w:val="24"/>
              <w:szCs w:val="24"/>
            </w:rPr>
            <w:t>36</w:t>
          </w:r>
          <w:r>
            <w:rPr>
              <w:rFonts w:ascii="Arial" w:hAnsi="Arial" w:cs="Arial"/>
              <w:sz w:val="24"/>
              <w:szCs w:val="24"/>
            </w:rPr>
            <w:fldChar w:fldCharType="end"/>
          </w:r>
          <w:r>
            <w:rPr>
              <w:rFonts w:ascii="Arial" w:hAnsi="Arial" w:cs="Arial"/>
              <w:sz w:val="24"/>
              <w:szCs w:val="24"/>
            </w:rPr>
            <w:fldChar w:fldCharType="end"/>
          </w:r>
        </w:p>
        <w:p w14:paraId="406420FA">
          <w:pPr>
            <w:spacing w:line="360" w:lineRule="auto"/>
            <w:jc w:val="both"/>
            <w:rPr>
              <w:rFonts w:ascii="Arial" w:hAnsi="Arial" w:cs="Arial"/>
              <w:sz w:val="24"/>
              <w:szCs w:val="24"/>
            </w:rPr>
          </w:pPr>
          <w:r>
            <w:rPr>
              <w:rFonts w:ascii="Arial" w:hAnsi="Arial" w:cs="Arial"/>
              <w:bCs/>
              <w:sz w:val="24"/>
              <w:szCs w:val="24"/>
            </w:rPr>
            <w:fldChar w:fldCharType="end"/>
          </w:r>
        </w:p>
      </w:sdtContent>
    </w:sdt>
    <w:p w14:paraId="47AE395B">
      <w:pPr>
        <w:spacing w:line="360" w:lineRule="auto"/>
        <w:jc w:val="both"/>
        <w:rPr>
          <w:rFonts w:ascii="Arial" w:hAnsi="Arial" w:cs="Arial"/>
          <w:sz w:val="24"/>
          <w:szCs w:val="24"/>
        </w:rPr>
      </w:pPr>
    </w:p>
    <w:p w14:paraId="5870E7F7">
      <w:pPr>
        <w:spacing w:line="360" w:lineRule="auto"/>
        <w:jc w:val="both"/>
        <w:rPr>
          <w:rFonts w:ascii="Arial" w:hAnsi="Arial" w:cs="Arial"/>
          <w:b/>
          <w:sz w:val="24"/>
          <w:szCs w:val="24"/>
        </w:rPr>
      </w:pPr>
    </w:p>
    <w:p w14:paraId="56289B0F">
      <w:pPr>
        <w:spacing w:line="360" w:lineRule="auto"/>
        <w:jc w:val="both"/>
        <w:rPr>
          <w:rFonts w:ascii="Arial" w:hAnsi="Arial" w:cs="Arial"/>
          <w:b/>
          <w:sz w:val="24"/>
          <w:szCs w:val="24"/>
        </w:rPr>
      </w:pPr>
    </w:p>
    <w:p w14:paraId="0C5A2899">
      <w:pPr>
        <w:spacing w:line="360" w:lineRule="auto"/>
        <w:jc w:val="both"/>
        <w:rPr>
          <w:rFonts w:ascii="Arial" w:hAnsi="Arial" w:cs="Arial"/>
          <w:b/>
          <w:sz w:val="24"/>
          <w:szCs w:val="24"/>
        </w:rPr>
      </w:pPr>
    </w:p>
    <w:p w14:paraId="7D692DA5">
      <w:pPr>
        <w:spacing w:line="360" w:lineRule="auto"/>
        <w:jc w:val="both"/>
        <w:rPr>
          <w:rFonts w:ascii="Arial" w:hAnsi="Arial" w:cs="Arial"/>
          <w:b/>
          <w:sz w:val="24"/>
          <w:szCs w:val="24"/>
        </w:rPr>
      </w:pPr>
    </w:p>
    <w:p w14:paraId="692DAC9D">
      <w:pPr>
        <w:spacing w:line="360" w:lineRule="auto"/>
        <w:jc w:val="both"/>
        <w:rPr>
          <w:rFonts w:ascii="Arial" w:hAnsi="Arial" w:cs="Arial"/>
          <w:b/>
          <w:sz w:val="24"/>
          <w:szCs w:val="24"/>
        </w:rPr>
      </w:pPr>
    </w:p>
    <w:p w14:paraId="069E7E87">
      <w:pPr>
        <w:spacing w:line="360" w:lineRule="auto"/>
        <w:jc w:val="both"/>
        <w:rPr>
          <w:rFonts w:ascii="Arial" w:hAnsi="Arial" w:cs="Arial"/>
          <w:b/>
          <w:sz w:val="24"/>
          <w:szCs w:val="24"/>
        </w:rPr>
      </w:pPr>
    </w:p>
    <w:p w14:paraId="65C18115">
      <w:pPr>
        <w:spacing w:line="360" w:lineRule="auto"/>
        <w:jc w:val="both"/>
        <w:rPr>
          <w:rFonts w:ascii="Arial" w:hAnsi="Arial" w:cs="Arial"/>
          <w:b/>
          <w:sz w:val="24"/>
          <w:szCs w:val="24"/>
        </w:rPr>
      </w:pPr>
    </w:p>
    <w:p w14:paraId="771583F3">
      <w:pPr>
        <w:spacing w:line="360" w:lineRule="auto"/>
        <w:jc w:val="both"/>
        <w:rPr>
          <w:rFonts w:ascii="Arial" w:hAnsi="Arial" w:cs="Arial"/>
          <w:b/>
          <w:sz w:val="24"/>
          <w:szCs w:val="24"/>
        </w:rPr>
      </w:pPr>
    </w:p>
    <w:p w14:paraId="6B432703">
      <w:pPr>
        <w:spacing w:line="360" w:lineRule="auto"/>
        <w:jc w:val="both"/>
        <w:rPr>
          <w:rFonts w:ascii="Arial" w:hAnsi="Arial" w:cs="Arial"/>
          <w:b/>
          <w:sz w:val="24"/>
          <w:szCs w:val="24"/>
        </w:rPr>
      </w:pPr>
      <w:r>
        <w:rPr>
          <w:rFonts w:ascii="Arial" w:hAnsi="Arial" w:cs="Arial"/>
          <w:b/>
          <w:sz w:val="24"/>
          <w:szCs w:val="24"/>
        </w:rPr>
        <w:t>List of Figures and Tables</w:t>
      </w:r>
    </w:p>
    <w:p w14:paraId="49D3291B">
      <w:pPr>
        <w:spacing w:line="360" w:lineRule="auto"/>
        <w:rPr>
          <w:rFonts w:ascii="Arial" w:hAnsi="Arial" w:cs="Arial"/>
          <w:sz w:val="24"/>
          <w:szCs w:val="24"/>
        </w:rPr>
      </w:pPr>
      <w:r>
        <w:rPr>
          <w:rFonts w:ascii="Arial" w:hAnsi="Arial" w:cs="Arial"/>
          <w:sz w:val="24"/>
          <w:szCs w:val="24"/>
        </w:rPr>
        <w:t xml:space="preserve">Table 3.1: Automobile producers in India </w:t>
      </w:r>
    </w:p>
    <w:p w14:paraId="7880246E">
      <w:pPr>
        <w:spacing w:line="360" w:lineRule="auto"/>
        <w:rPr>
          <w:rFonts w:ascii="Arial" w:hAnsi="Arial" w:cs="Arial" w:eastAsiaTheme="minorEastAsia"/>
          <w:sz w:val="24"/>
          <w:szCs w:val="24"/>
        </w:rPr>
      </w:pPr>
      <w:r>
        <w:rPr>
          <w:rFonts w:ascii="Arial" w:hAnsi="Arial" w:cs="Arial" w:eastAsiaTheme="minorEastAsia"/>
          <w:sz w:val="24"/>
          <w:szCs w:val="24"/>
        </w:rPr>
        <w:t xml:space="preserve">Table 3.2: Independent Variable (Corporate Governance) and how it is measured </w:t>
      </w:r>
    </w:p>
    <w:p w14:paraId="03C248D0">
      <w:pPr>
        <w:spacing w:line="360" w:lineRule="auto"/>
        <w:rPr>
          <w:rFonts w:ascii="Arial" w:hAnsi="Arial" w:cs="Arial"/>
          <w:sz w:val="24"/>
          <w:szCs w:val="24"/>
        </w:rPr>
      </w:pPr>
      <w:r>
        <w:rPr>
          <w:rFonts w:ascii="Arial" w:hAnsi="Arial" w:cs="Arial" w:eastAsiaTheme="minorEastAsia"/>
          <w:sz w:val="24"/>
          <w:szCs w:val="24"/>
        </w:rPr>
        <w:t>Table 3.3: Dependent Variable (Financial Performance) and how it is measured</w:t>
      </w:r>
    </w:p>
    <w:p w14:paraId="396FB770">
      <w:pPr>
        <w:spacing w:line="360" w:lineRule="auto"/>
        <w:rPr>
          <w:rFonts w:ascii="Arial" w:hAnsi="Arial" w:cs="Arial"/>
          <w:sz w:val="24"/>
          <w:szCs w:val="24"/>
        </w:rPr>
      </w:pPr>
      <w:r>
        <w:rPr>
          <w:rFonts w:ascii="Arial" w:hAnsi="Arial" w:cs="Arial"/>
          <w:sz w:val="24"/>
          <w:szCs w:val="24"/>
        </w:rPr>
        <w:t xml:space="preserve">Table 4.1: Descriptive Statistics  </w:t>
      </w:r>
    </w:p>
    <w:p w14:paraId="29324EAF">
      <w:pPr>
        <w:spacing w:line="360" w:lineRule="auto"/>
        <w:rPr>
          <w:rFonts w:ascii="Arial" w:hAnsi="Arial" w:cs="Arial"/>
          <w:sz w:val="24"/>
          <w:szCs w:val="24"/>
        </w:rPr>
      </w:pPr>
      <w:r>
        <w:rPr>
          <w:rFonts w:ascii="Arial" w:hAnsi="Arial" w:cs="Arial"/>
          <w:sz w:val="24"/>
          <w:szCs w:val="24"/>
        </w:rPr>
        <w:t>Table 4.2: Pearson Correlation Matrix</w:t>
      </w:r>
    </w:p>
    <w:p w14:paraId="3944769B">
      <w:pPr>
        <w:spacing w:line="360" w:lineRule="auto"/>
        <w:rPr>
          <w:rFonts w:ascii="Arial" w:hAnsi="Arial" w:cs="Arial"/>
          <w:sz w:val="24"/>
          <w:szCs w:val="24"/>
        </w:rPr>
      </w:pPr>
      <w:r>
        <w:rPr>
          <w:rFonts w:ascii="Arial" w:hAnsi="Arial" w:cs="Arial"/>
          <w:sz w:val="24"/>
          <w:szCs w:val="24"/>
        </w:rPr>
        <w:t xml:space="preserve">Table 4.3: t-test </w:t>
      </w:r>
    </w:p>
    <w:p w14:paraId="3F01EDCA">
      <w:pPr>
        <w:spacing w:line="360" w:lineRule="auto"/>
        <w:rPr>
          <w:rFonts w:ascii="Arial" w:hAnsi="Arial" w:cs="Arial"/>
          <w:sz w:val="24"/>
          <w:szCs w:val="24"/>
        </w:rPr>
      </w:pPr>
      <w:r>
        <w:rPr>
          <w:rFonts w:ascii="Arial" w:hAnsi="Arial" w:cs="Arial"/>
          <w:sz w:val="24"/>
          <w:szCs w:val="24"/>
        </w:rPr>
        <w:t>Table 4.4: Panel OLS Regression</w:t>
      </w:r>
    </w:p>
    <w:p w14:paraId="40827B59">
      <w:pPr>
        <w:spacing w:line="360" w:lineRule="auto"/>
        <w:rPr>
          <w:rFonts w:ascii="Arial" w:hAnsi="Arial" w:cs="Arial"/>
          <w:sz w:val="24"/>
          <w:szCs w:val="24"/>
        </w:rPr>
      </w:pPr>
      <w:r>
        <w:rPr>
          <w:rFonts w:ascii="Arial" w:hAnsi="Arial" w:cs="Arial"/>
          <w:sz w:val="24"/>
          <w:szCs w:val="24"/>
        </w:rPr>
        <w:t>Table 4.5: Regression (Panel OLS) Analysis-Year-wise Subsample (ROA, ROE, Tobin’s Q as Dependent Variables)</w:t>
      </w:r>
    </w:p>
    <w:p w14:paraId="643168C5">
      <w:pPr>
        <w:spacing w:line="360" w:lineRule="auto"/>
        <w:rPr>
          <w:rFonts w:ascii="Arial" w:hAnsi="Arial" w:cs="Arial"/>
          <w:sz w:val="24"/>
          <w:szCs w:val="24"/>
        </w:rPr>
      </w:pPr>
      <w:r>
        <w:rPr>
          <w:rFonts w:ascii="Arial" w:hAnsi="Arial" w:cs="Arial"/>
          <w:sz w:val="24"/>
          <w:szCs w:val="24"/>
        </w:rPr>
        <w:t>Table 4.6: Summary of hypothesis testing</w:t>
      </w:r>
    </w:p>
    <w:p w14:paraId="15305C33">
      <w:pPr>
        <w:spacing w:line="360" w:lineRule="auto"/>
        <w:jc w:val="both"/>
        <w:rPr>
          <w:rFonts w:ascii="Times New Roman" w:hAnsi="Times New Roman" w:cs="Times New Roman"/>
          <w:sz w:val="24"/>
          <w:szCs w:val="24"/>
        </w:rPr>
      </w:pPr>
    </w:p>
    <w:p w14:paraId="5BD1A435">
      <w:pPr>
        <w:spacing w:line="360" w:lineRule="auto"/>
        <w:jc w:val="both"/>
        <w:rPr>
          <w:rFonts w:ascii="Times New Roman" w:hAnsi="Times New Roman" w:cs="Times New Roman"/>
          <w:sz w:val="24"/>
          <w:szCs w:val="24"/>
        </w:rPr>
      </w:pPr>
    </w:p>
    <w:p w14:paraId="7A68EFE6">
      <w:pPr>
        <w:spacing w:line="360" w:lineRule="auto"/>
        <w:jc w:val="both"/>
        <w:rPr>
          <w:rFonts w:ascii="Times New Roman" w:hAnsi="Times New Roman" w:cs="Times New Roman"/>
          <w:sz w:val="24"/>
          <w:szCs w:val="24"/>
        </w:rPr>
      </w:pPr>
    </w:p>
    <w:p w14:paraId="45D16A76">
      <w:pPr>
        <w:spacing w:line="360" w:lineRule="auto"/>
        <w:jc w:val="both"/>
        <w:rPr>
          <w:rFonts w:ascii="Times New Roman" w:hAnsi="Times New Roman" w:cs="Times New Roman"/>
          <w:sz w:val="24"/>
          <w:szCs w:val="24"/>
        </w:rPr>
      </w:pPr>
    </w:p>
    <w:p w14:paraId="6C7149E6">
      <w:pPr>
        <w:spacing w:line="360" w:lineRule="auto"/>
        <w:jc w:val="both"/>
        <w:rPr>
          <w:rFonts w:ascii="Times New Roman" w:hAnsi="Times New Roman" w:cs="Times New Roman"/>
          <w:sz w:val="24"/>
          <w:szCs w:val="24"/>
        </w:rPr>
      </w:pPr>
    </w:p>
    <w:p w14:paraId="006FFA3A">
      <w:pPr>
        <w:spacing w:line="360" w:lineRule="auto"/>
        <w:jc w:val="both"/>
        <w:rPr>
          <w:rFonts w:ascii="Times New Roman" w:hAnsi="Times New Roman" w:cs="Times New Roman"/>
          <w:sz w:val="24"/>
          <w:szCs w:val="24"/>
        </w:rPr>
      </w:pPr>
    </w:p>
    <w:p w14:paraId="308F4073">
      <w:pPr>
        <w:spacing w:line="360" w:lineRule="auto"/>
        <w:jc w:val="both"/>
        <w:rPr>
          <w:rFonts w:ascii="Times New Roman" w:hAnsi="Times New Roman" w:cs="Times New Roman"/>
          <w:sz w:val="24"/>
          <w:szCs w:val="24"/>
        </w:rPr>
      </w:pPr>
    </w:p>
    <w:p w14:paraId="70DE05B4">
      <w:pPr>
        <w:spacing w:line="360" w:lineRule="auto"/>
        <w:jc w:val="both"/>
        <w:rPr>
          <w:rFonts w:ascii="Times New Roman" w:hAnsi="Times New Roman" w:cs="Times New Roman"/>
          <w:sz w:val="24"/>
          <w:szCs w:val="24"/>
        </w:rPr>
      </w:pPr>
    </w:p>
    <w:p w14:paraId="3C6FD397">
      <w:pPr>
        <w:spacing w:line="360" w:lineRule="auto"/>
        <w:jc w:val="both"/>
        <w:rPr>
          <w:rFonts w:ascii="Times New Roman" w:hAnsi="Times New Roman" w:cs="Times New Roman"/>
          <w:sz w:val="24"/>
          <w:szCs w:val="24"/>
        </w:rPr>
      </w:pPr>
    </w:p>
    <w:p w14:paraId="5BBCA77F">
      <w:pPr>
        <w:spacing w:line="360" w:lineRule="auto"/>
        <w:jc w:val="both"/>
        <w:rPr>
          <w:rFonts w:ascii="Times New Roman" w:hAnsi="Times New Roman" w:cs="Times New Roman"/>
          <w:sz w:val="24"/>
          <w:szCs w:val="24"/>
        </w:rPr>
      </w:pPr>
    </w:p>
    <w:p w14:paraId="093669DE">
      <w:pPr>
        <w:spacing w:line="360" w:lineRule="auto"/>
        <w:jc w:val="both"/>
        <w:rPr>
          <w:rFonts w:ascii="Times New Roman" w:hAnsi="Times New Roman" w:cs="Times New Roman"/>
          <w:sz w:val="24"/>
          <w:szCs w:val="24"/>
        </w:rPr>
      </w:pPr>
    </w:p>
    <w:p w14:paraId="0DE1A8F0">
      <w:pPr>
        <w:spacing w:line="360" w:lineRule="auto"/>
        <w:jc w:val="both"/>
        <w:rPr>
          <w:rFonts w:ascii="Times New Roman" w:hAnsi="Times New Roman" w:cs="Times New Roman"/>
          <w:sz w:val="24"/>
          <w:szCs w:val="24"/>
        </w:rPr>
      </w:pPr>
    </w:p>
    <w:p w14:paraId="25626381">
      <w:pPr>
        <w:spacing w:line="360" w:lineRule="auto"/>
        <w:jc w:val="both"/>
        <w:rPr>
          <w:rFonts w:ascii="Times New Roman" w:hAnsi="Times New Roman" w:cs="Times New Roman"/>
          <w:sz w:val="24"/>
          <w:szCs w:val="24"/>
        </w:rPr>
      </w:pPr>
    </w:p>
    <w:p w14:paraId="72F1E7BC">
      <w:pPr>
        <w:spacing w:line="360" w:lineRule="auto"/>
        <w:jc w:val="both"/>
        <w:rPr>
          <w:rFonts w:ascii="Times New Roman" w:hAnsi="Times New Roman" w:cs="Times New Roman"/>
          <w:sz w:val="24"/>
          <w:szCs w:val="24"/>
        </w:rPr>
      </w:pPr>
    </w:p>
    <w:p w14:paraId="6D4D9411">
      <w:pPr>
        <w:spacing w:line="360" w:lineRule="auto"/>
        <w:jc w:val="both"/>
        <w:rPr>
          <w:rFonts w:ascii="Arial" w:hAnsi="Arial" w:cs="Arial"/>
          <w:b/>
          <w:sz w:val="24"/>
          <w:szCs w:val="24"/>
        </w:rPr>
      </w:pPr>
      <w:r>
        <w:rPr>
          <w:rFonts w:ascii="Arial" w:hAnsi="Arial" w:cs="Arial"/>
          <w:b/>
          <w:sz w:val="24"/>
          <w:szCs w:val="24"/>
        </w:rPr>
        <w:t>List of Abbreviations</w:t>
      </w:r>
    </w:p>
    <w:p w14:paraId="5220DBB6">
      <w:pPr>
        <w:spacing w:line="360" w:lineRule="auto"/>
        <w:rPr>
          <w:rFonts w:ascii="Arial" w:hAnsi="Arial" w:cs="Arial"/>
          <w:sz w:val="24"/>
          <w:szCs w:val="24"/>
        </w:rPr>
      </w:pPr>
      <w:r>
        <w:rPr>
          <w:rFonts w:ascii="Arial" w:hAnsi="Arial" w:cs="Arial"/>
          <w:sz w:val="24"/>
          <w:szCs w:val="24"/>
        </w:rPr>
        <w:t xml:space="preserve">NSE: National Stock Exchange </w:t>
      </w:r>
    </w:p>
    <w:p w14:paraId="04F41C01">
      <w:pPr>
        <w:spacing w:line="360" w:lineRule="auto"/>
        <w:rPr>
          <w:rFonts w:ascii="Arial" w:hAnsi="Arial" w:cs="Arial"/>
          <w:sz w:val="24"/>
          <w:szCs w:val="24"/>
        </w:rPr>
      </w:pPr>
      <w:r>
        <w:rPr>
          <w:rFonts w:ascii="Arial" w:hAnsi="Arial" w:cs="Arial"/>
          <w:sz w:val="24"/>
          <w:szCs w:val="24"/>
        </w:rPr>
        <w:t>ROE: Return on Equity</w:t>
      </w:r>
    </w:p>
    <w:p w14:paraId="719FCE37">
      <w:pPr>
        <w:spacing w:line="360" w:lineRule="auto"/>
        <w:rPr>
          <w:rFonts w:ascii="Arial" w:hAnsi="Arial" w:cs="Arial"/>
          <w:sz w:val="24"/>
          <w:szCs w:val="24"/>
        </w:rPr>
      </w:pPr>
      <w:r>
        <w:rPr>
          <w:rFonts w:ascii="Arial" w:hAnsi="Arial" w:cs="Arial"/>
          <w:sz w:val="24"/>
          <w:szCs w:val="24"/>
        </w:rPr>
        <w:t>ROA: Return on Assets</w:t>
      </w:r>
    </w:p>
    <w:p w14:paraId="4DB3AF92">
      <w:pPr>
        <w:spacing w:line="360" w:lineRule="auto"/>
        <w:rPr>
          <w:rFonts w:ascii="Arial" w:hAnsi="Arial" w:cs="Arial"/>
          <w:sz w:val="24"/>
          <w:szCs w:val="24"/>
        </w:rPr>
      </w:pPr>
      <w:r>
        <w:rPr>
          <w:rFonts w:ascii="Arial" w:hAnsi="Arial" w:cs="Arial"/>
          <w:sz w:val="24"/>
          <w:szCs w:val="24"/>
        </w:rPr>
        <w:t>OLS: Ordinary Least Squares</w:t>
      </w:r>
    </w:p>
    <w:p w14:paraId="62BDB117">
      <w:pPr>
        <w:spacing w:line="360" w:lineRule="auto"/>
        <w:rPr>
          <w:rFonts w:ascii="Arial" w:hAnsi="Arial" w:cs="Arial"/>
          <w:sz w:val="24"/>
          <w:szCs w:val="24"/>
        </w:rPr>
      </w:pPr>
      <w:r>
        <w:rPr>
          <w:rFonts w:ascii="Arial" w:hAnsi="Arial" w:cs="Arial"/>
          <w:sz w:val="24"/>
          <w:szCs w:val="24"/>
        </w:rPr>
        <w:t>SARS: Severe Acute Respiratory Syndrome</w:t>
      </w:r>
    </w:p>
    <w:p w14:paraId="12600898">
      <w:pPr>
        <w:spacing w:line="360" w:lineRule="auto"/>
        <w:rPr>
          <w:rFonts w:ascii="Arial" w:hAnsi="Arial" w:cs="Arial"/>
          <w:sz w:val="24"/>
          <w:szCs w:val="24"/>
        </w:rPr>
      </w:pPr>
      <w:r>
        <w:rPr>
          <w:rFonts w:ascii="Arial" w:hAnsi="Arial" w:cs="Arial"/>
          <w:sz w:val="24"/>
          <w:szCs w:val="24"/>
        </w:rPr>
        <w:t>MERS: Middle East Respiratory Syndrome</w:t>
      </w:r>
    </w:p>
    <w:p w14:paraId="4F401363">
      <w:pPr>
        <w:spacing w:line="360" w:lineRule="auto"/>
        <w:rPr>
          <w:rFonts w:ascii="Arial" w:hAnsi="Arial" w:cs="Arial"/>
          <w:sz w:val="24"/>
          <w:szCs w:val="24"/>
        </w:rPr>
      </w:pPr>
      <w:r>
        <w:rPr>
          <w:rFonts w:ascii="Arial" w:hAnsi="Arial" w:cs="Arial"/>
          <w:sz w:val="24"/>
          <w:szCs w:val="24"/>
        </w:rPr>
        <w:t>IMF: International Monitoring Fund</w:t>
      </w:r>
    </w:p>
    <w:p w14:paraId="4FB9D9BA">
      <w:pPr>
        <w:spacing w:line="360" w:lineRule="auto"/>
        <w:rPr>
          <w:rFonts w:ascii="Arial" w:hAnsi="Arial" w:cs="Arial"/>
          <w:sz w:val="24"/>
          <w:szCs w:val="24"/>
        </w:rPr>
      </w:pPr>
      <w:r>
        <w:rPr>
          <w:rFonts w:ascii="Arial" w:hAnsi="Arial" w:cs="Arial"/>
          <w:sz w:val="24"/>
          <w:szCs w:val="24"/>
        </w:rPr>
        <w:t>MSMEs: Micro, Small and Medium Enterprises</w:t>
      </w:r>
    </w:p>
    <w:p w14:paraId="40D7E6EF">
      <w:pPr>
        <w:spacing w:line="360" w:lineRule="auto"/>
        <w:rPr>
          <w:rFonts w:ascii="Arial" w:hAnsi="Arial" w:cs="Arial"/>
          <w:sz w:val="24"/>
          <w:szCs w:val="24"/>
        </w:rPr>
      </w:pPr>
      <w:r>
        <w:rPr>
          <w:rFonts w:ascii="Arial" w:hAnsi="Arial" w:cs="Arial"/>
          <w:sz w:val="24"/>
          <w:szCs w:val="24"/>
        </w:rPr>
        <w:t>GDP: Gross Domestic Product</w:t>
      </w:r>
    </w:p>
    <w:p w14:paraId="1B084E65">
      <w:pPr>
        <w:spacing w:line="360" w:lineRule="auto"/>
        <w:rPr>
          <w:rFonts w:ascii="Arial" w:hAnsi="Arial" w:cs="Arial"/>
          <w:sz w:val="24"/>
          <w:szCs w:val="24"/>
        </w:rPr>
      </w:pPr>
      <w:r>
        <w:rPr>
          <w:rFonts w:ascii="Arial" w:hAnsi="Arial" w:cs="Arial"/>
          <w:sz w:val="24"/>
          <w:szCs w:val="24"/>
        </w:rPr>
        <w:t>IL&amp;FS: Infrastructure Leasing &amp; Financial Services Ltd</w:t>
      </w:r>
    </w:p>
    <w:p w14:paraId="0E4757CA">
      <w:pPr>
        <w:spacing w:line="360" w:lineRule="auto"/>
        <w:rPr>
          <w:rFonts w:ascii="Arial" w:hAnsi="Arial" w:cs="Arial"/>
          <w:sz w:val="24"/>
          <w:szCs w:val="24"/>
        </w:rPr>
      </w:pPr>
      <w:r>
        <w:rPr>
          <w:rFonts w:ascii="Arial" w:hAnsi="Arial" w:cs="Arial"/>
          <w:sz w:val="24"/>
          <w:szCs w:val="24"/>
        </w:rPr>
        <w:t>NPAs: High Levels of Non-Performing Assets</w:t>
      </w:r>
    </w:p>
    <w:p w14:paraId="35D391FC">
      <w:pPr>
        <w:tabs>
          <w:tab w:val="left" w:pos="5493"/>
        </w:tabs>
        <w:spacing w:line="360" w:lineRule="auto"/>
        <w:rPr>
          <w:rFonts w:ascii="Arial" w:hAnsi="Arial" w:cs="Arial"/>
          <w:sz w:val="24"/>
          <w:szCs w:val="24"/>
        </w:rPr>
      </w:pPr>
      <w:r>
        <w:rPr>
          <w:rFonts w:ascii="Arial" w:hAnsi="Arial" w:cs="Arial"/>
          <w:sz w:val="24"/>
          <w:szCs w:val="24"/>
        </w:rPr>
        <w:t>NED’s: Non-Executive Directors</w:t>
      </w:r>
    </w:p>
    <w:p w14:paraId="61CFAF7A">
      <w:pPr>
        <w:spacing w:line="360" w:lineRule="auto"/>
        <w:jc w:val="both"/>
        <w:rPr>
          <w:rFonts w:ascii="Arial" w:hAnsi="Arial" w:cs="Arial"/>
          <w:sz w:val="24"/>
          <w:szCs w:val="24"/>
        </w:rPr>
      </w:pPr>
      <w:r>
        <w:rPr>
          <w:rFonts w:ascii="Arial" w:hAnsi="Arial" w:cs="Arial"/>
          <w:sz w:val="24"/>
          <w:szCs w:val="24"/>
        </w:rPr>
        <w:t xml:space="preserve">BS: Board Size </w:t>
      </w:r>
    </w:p>
    <w:p w14:paraId="0922A19B">
      <w:pPr>
        <w:spacing w:line="360" w:lineRule="auto"/>
        <w:jc w:val="both"/>
        <w:rPr>
          <w:rFonts w:ascii="Arial" w:hAnsi="Arial" w:cs="Arial" w:eastAsiaTheme="minorEastAsia"/>
          <w:sz w:val="24"/>
          <w:szCs w:val="24"/>
        </w:rPr>
      </w:pPr>
      <w:r>
        <w:rPr>
          <w:rFonts w:ascii="Arial" w:hAnsi="Arial" w:cs="Arial"/>
          <w:sz w:val="24"/>
          <w:szCs w:val="24"/>
        </w:rPr>
        <w:t>BI: Board Independence</w:t>
      </w:r>
    </w:p>
    <w:p w14:paraId="3A6FC898">
      <w:pPr>
        <w:spacing w:line="360" w:lineRule="auto"/>
        <w:jc w:val="both"/>
        <w:rPr>
          <w:rFonts w:ascii="Arial" w:hAnsi="Arial" w:cs="Arial"/>
          <w:sz w:val="24"/>
          <w:szCs w:val="24"/>
        </w:rPr>
      </w:pPr>
      <w:r>
        <w:rPr>
          <w:rFonts w:ascii="Arial" w:hAnsi="Arial" w:cs="Arial"/>
          <w:sz w:val="24"/>
          <w:szCs w:val="24"/>
        </w:rPr>
        <w:t>BFL: Board’s Financial Literacy</w:t>
      </w:r>
    </w:p>
    <w:p w14:paraId="7B455B65">
      <w:pPr>
        <w:spacing w:line="360" w:lineRule="auto"/>
        <w:jc w:val="both"/>
        <w:rPr>
          <w:rFonts w:ascii="Arial" w:hAnsi="Arial" w:cs="Arial"/>
          <w:sz w:val="24"/>
          <w:szCs w:val="24"/>
        </w:rPr>
      </w:pPr>
      <w:r>
        <w:rPr>
          <w:rFonts w:ascii="Arial" w:hAnsi="Arial" w:cs="Arial"/>
          <w:sz w:val="24"/>
          <w:szCs w:val="24"/>
        </w:rPr>
        <w:t xml:space="preserve">BGD: Board’s Gender Diversity </w:t>
      </w:r>
    </w:p>
    <w:p w14:paraId="2048BD8D">
      <w:pPr>
        <w:spacing w:line="360" w:lineRule="auto"/>
        <w:jc w:val="both"/>
        <w:rPr>
          <w:rFonts w:ascii="Arial" w:hAnsi="Arial" w:cs="Arial"/>
          <w:sz w:val="24"/>
          <w:szCs w:val="24"/>
        </w:rPr>
      </w:pPr>
      <w:r>
        <w:rPr>
          <w:rFonts w:ascii="Arial" w:hAnsi="Arial" w:cs="Arial"/>
          <w:sz w:val="24"/>
          <w:szCs w:val="24"/>
        </w:rPr>
        <w:t>BM: Board Meetings</w:t>
      </w:r>
    </w:p>
    <w:p w14:paraId="221B0451">
      <w:pPr>
        <w:spacing w:line="360" w:lineRule="auto"/>
        <w:jc w:val="both"/>
        <w:rPr>
          <w:rFonts w:ascii="Arial" w:hAnsi="Arial" w:cs="Arial"/>
          <w:sz w:val="24"/>
          <w:szCs w:val="24"/>
        </w:rPr>
      </w:pPr>
      <w:r>
        <w:rPr>
          <w:rFonts w:ascii="Arial" w:hAnsi="Arial" w:cs="Arial"/>
          <w:sz w:val="24"/>
          <w:szCs w:val="24"/>
        </w:rPr>
        <w:t>ACS: Audit Committee Size</w:t>
      </w:r>
    </w:p>
    <w:p w14:paraId="3E5EC08A">
      <w:pPr>
        <w:spacing w:line="360" w:lineRule="auto"/>
        <w:jc w:val="both"/>
        <w:rPr>
          <w:rFonts w:ascii="Arial" w:hAnsi="Arial" w:cs="Arial"/>
          <w:sz w:val="24"/>
          <w:szCs w:val="24"/>
        </w:rPr>
      </w:pPr>
      <w:r>
        <w:rPr>
          <w:rFonts w:ascii="Arial" w:hAnsi="Arial" w:cs="Arial"/>
          <w:sz w:val="24"/>
          <w:szCs w:val="24"/>
        </w:rPr>
        <w:t>ACM: Audit Committee Meetings</w:t>
      </w:r>
    </w:p>
    <w:p w14:paraId="7FEF5680">
      <w:pPr>
        <w:spacing w:line="360" w:lineRule="auto"/>
        <w:jc w:val="both"/>
        <w:rPr>
          <w:rFonts w:ascii="Arial" w:hAnsi="Arial" w:cs="Arial" w:eastAsiaTheme="minorEastAsia"/>
          <w:sz w:val="24"/>
          <w:szCs w:val="24"/>
        </w:rPr>
      </w:pPr>
      <w:r>
        <w:rPr>
          <w:rFonts w:ascii="Arial" w:hAnsi="Arial" w:cs="Arial"/>
          <w:sz w:val="24"/>
          <w:szCs w:val="24"/>
        </w:rPr>
        <w:t>LVG: Leverage</w:t>
      </w:r>
      <w:r>
        <w:rPr>
          <w:rFonts w:ascii="Arial" w:hAnsi="Arial" w:cs="Arial" w:eastAsiaTheme="minorEastAsia"/>
          <w:sz w:val="24"/>
          <w:szCs w:val="24"/>
        </w:rPr>
        <w:t xml:space="preserve"> </w:t>
      </w:r>
    </w:p>
    <w:p w14:paraId="4269D95F">
      <w:pPr>
        <w:spacing w:line="360" w:lineRule="auto"/>
        <w:jc w:val="both"/>
        <w:rPr>
          <w:rFonts w:ascii="Arial" w:hAnsi="Arial" w:cs="Arial"/>
          <w:sz w:val="24"/>
          <w:szCs w:val="24"/>
        </w:rPr>
        <w:sectPr>
          <w:footerReference r:id="rId5" w:type="default"/>
          <w:pgSz w:w="11906" w:h="16838"/>
          <w:pgMar w:top="1440" w:right="1440" w:bottom="1440" w:left="1440" w:header="708" w:footer="708" w:gutter="0"/>
          <w:pgNumType w:start="1"/>
          <w:cols w:space="708" w:num="1"/>
          <w:docGrid w:linePitch="360" w:charSpace="0"/>
        </w:sectPr>
      </w:pPr>
      <w:r>
        <w:rPr>
          <w:rFonts w:ascii="Arial" w:hAnsi="Arial" w:cs="Arial" w:eastAsiaTheme="minorEastAsia"/>
          <w:sz w:val="24"/>
          <w:szCs w:val="24"/>
        </w:rPr>
        <w:t>FS_LnTA</w:t>
      </w:r>
      <w:r>
        <w:rPr>
          <w:rFonts w:ascii="Arial" w:hAnsi="Arial" w:cs="Arial" w:eastAsiaTheme="minorEastAsia"/>
          <w:sz w:val="24"/>
          <w:szCs w:val="24"/>
          <w:vertAlign w:val="subscript"/>
        </w:rPr>
        <w:t xml:space="preserve">: </w:t>
      </w:r>
      <w:r>
        <w:rPr>
          <w:rFonts w:ascii="Arial" w:hAnsi="Arial" w:cs="Arial"/>
          <w:sz w:val="24"/>
          <w:szCs w:val="24"/>
        </w:rPr>
        <w:t>Firm Size</w:t>
      </w:r>
    </w:p>
    <w:p w14:paraId="3ADFC8F6">
      <w:pPr>
        <w:pStyle w:val="2"/>
        <w:spacing w:line="360" w:lineRule="auto"/>
        <w:jc w:val="center"/>
        <w:rPr>
          <w:rFonts w:ascii="Arial" w:hAnsi="Arial" w:cs="Arial"/>
          <w:b/>
          <w:color w:val="000000" w:themeColor="text1"/>
          <w:sz w:val="24"/>
          <w:szCs w:val="24"/>
          <w14:textFill>
            <w14:solidFill>
              <w14:schemeClr w14:val="tx1"/>
            </w14:solidFill>
          </w14:textFill>
        </w:rPr>
      </w:pPr>
      <w:bookmarkStart w:id="0" w:name="_Toc220693641"/>
      <w:r>
        <w:rPr>
          <w:rFonts w:ascii="Arial" w:hAnsi="Arial" w:cs="Arial"/>
          <w:b/>
          <w:color w:val="000000" w:themeColor="text1"/>
          <w:sz w:val="24"/>
          <w:szCs w:val="24"/>
          <w14:textFill>
            <w14:solidFill>
              <w14:schemeClr w14:val="tx1"/>
            </w14:solidFill>
          </w14:textFill>
        </w:rPr>
        <w:t>Chapter 01: Introduction</w:t>
      </w:r>
      <w:bookmarkEnd w:id="0"/>
    </w:p>
    <w:p w14:paraId="17382FEC">
      <w:pPr>
        <w:pStyle w:val="3"/>
        <w:spacing w:line="360" w:lineRule="auto"/>
        <w:rPr>
          <w:rFonts w:ascii="Arial" w:hAnsi="Arial" w:cs="Arial"/>
          <w:b/>
          <w:color w:val="000000" w:themeColor="text1"/>
          <w:sz w:val="24"/>
          <w:szCs w:val="24"/>
          <w14:textFill>
            <w14:solidFill>
              <w14:schemeClr w14:val="tx1"/>
            </w14:solidFill>
          </w14:textFill>
        </w:rPr>
      </w:pPr>
      <w:bookmarkStart w:id="1" w:name="_Toc220693642"/>
      <w:r>
        <w:rPr>
          <w:rFonts w:ascii="Arial" w:hAnsi="Arial" w:cs="Arial"/>
          <w:b/>
          <w:color w:val="000000" w:themeColor="text1"/>
          <w:sz w:val="24"/>
          <w:szCs w:val="24"/>
          <w14:textFill>
            <w14:solidFill>
              <w14:schemeClr w14:val="tx1"/>
            </w14:solidFill>
          </w14:textFill>
        </w:rPr>
        <w:t>1.1Background</w:t>
      </w:r>
      <w:bookmarkEnd w:id="1"/>
    </w:p>
    <w:p w14:paraId="270179F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late 2019, the COVID-19 pandemic surfaced that very quickly a worldwide disaster effecting every aspect of human life. In an effort to reduce it, precautionary actions like as social distancing, lockdowns, community quarantine and several other precautions were taken. However these measures had a negative impact on businesses (Jebran and Chen, 2023) and they faced issues like supply chain disruptions, raw material shortage, transportation disruptions, cancelation of export orders, decrease in demand and various other problems (Shafi et al., 2020). </w:t>
      </w:r>
    </w:p>
    <w:p w14:paraId="2B0463D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first case of COVID19 was reported in India on 30th January 2020 and following this, the number of cases rose drastically, by 8th May 2020, a total of 56,342 people were tested positive (Kumar et al., 2020). Numerous industries such as tourism, textile, retail, construction, agriculture, aviation, start-ups and manufacturing suffered significant losses as a direct consequence of COVID-19 (Seetharaman, 2020). According to the report published by Key Highlights of Economic Survey 2019-2020 (2020), in 2018-2019, India’s economy was the 5’th largest in the world, a loss of $2.8 trillion was encountered, that represents 3.5 percent influence on worldwide economy that consisted of $80 trillion in total. </w:t>
      </w:r>
    </w:p>
    <w:p w14:paraId="64E96D8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devastating impact of the pandemic was not limited to one sector of the economy only (Kraus et al., 2020) and because of the COVID-19 outbreak, smaller companies were most effected (Baldwin and DI Mauro, 2020). On the other hand, large pharmaceutical and technological companies had gained significant amount of revenue due to COVID-19 restrictions, but several small companies were affected negatively and they went bankrupt (Levy, 2020). Apart from the adverse effect of economic downturn on many companies, some were actually successful and showed growth even after the outbreak of COVID-19 (Obrenovic et al., 2020). It proved to be a big challenge for the board of directors to handle such situation (Pibri, 2021). As it also questioned their effectiveness (Anas, 2023). So, they are not only required to run the company in such devastating times, but it is their duty to protect the right of stakeholders’ as well. Researchers even suggested that business that are open to change, flexible and adaptive can survive and succeed in the era of post-pandemic (Mather, 2020). </w:t>
      </w:r>
    </w:p>
    <w:p w14:paraId="33BEB894">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There was a negative impact of theCOVID-19 on the economic activities of both developed and third world countries. World Bank (2020) reported that almost 7 percent decline in the level of economic activities has been noted in developed countries, whereas; it there was drop of 2.5 percent for developing countries. Whilst the Organization for Economic Cooperation and Development (2020) suggest that there has been a drastic reduction in total amount of sales, pointing out that companies are encountering liquidity problems  that make it hard for them to pay their employees, suppliers, investors and lenders during the pandemic. </w:t>
      </w:r>
    </w:p>
    <w:p w14:paraId="775FF389">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This research study complements studies of Khatib and Nour (2021), Farwis et al. (2021) and Anas et al. (2023) will offer the following contributions. At first place, it will fill the gap by offering empirical evidence on the relationship between firm’s performance and corporate governance in India, in times of the COVID-19 crisis, by gathering a panel dataset on automobile manufacturer’s from the National Stock Exchange (NSE). The companies registered at NSE are more responsive to governance issues and they have huge market capitalization. Secondly, one-way ANOVA will be used to analyse automobile sector’s financial performance during COVID-19. Lastly, similar approach to Khatib and Nour (2021) will be used where pre COVID-19 will consists of year 2019-2020 and post COVID-19 data will reflect year. 2020-2021. The reason for this selection is that the outbreak of the pandemic was in March 2020 and lockdowns were imposed in the same month. </w:t>
      </w:r>
    </w:p>
    <w:p w14:paraId="1779ED7C">
      <w:pPr>
        <w:pStyle w:val="3"/>
        <w:spacing w:line="360" w:lineRule="auto"/>
        <w:rPr>
          <w:rFonts w:ascii="Arial" w:hAnsi="Arial" w:cs="Arial"/>
          <w:b/>
          <w:color w:val="000000" w:themeColor="text1"/>
          <w:sz w:val="24"/>
          <w:szCs w:val="24"/>
          <w14:textFill>
            <w14:solidFill>
              <w14:schemeClr w14:val="tx1"/>
            </w14:solidFill>
          </w14:textFill>
        </w:rPr>
      </w:pPr>
      <w:bookmarkStart w:id="2" w:name="_Toc220693643"/>
      <w:r>
        <w:rPr>
          <w:rFonts w:ascii="Arial" w:hAnsi="Arial" w:cs="Arial"/>
          <w:b/>
          <w:color w:val="000000" w:themeColor="text1"/>
          <w:sz w:val="24"/>
          <w:szCs w:val="24"/>
          <w14:textFill>
            <w14:solidFill>
              <w14:schemeClr w14:val="tx1"/>
            </w14:solidFill>
          </w14:textFill>
        </w:rPr>
        <w:t>1.2 Background and Context of the Research</w:t>
      </w:r>
      <w:bookmarkEnd w:id="2"/>
    </w:p>
    <w:p w14:paraId="471BB67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system of corporate governance has been the centre of attention for researchers, as it helps a company to outperform other companies in the market and fulfil its financial liabilities, particularly during crisis times (Anas et al., 2023). While, the world has witnessed numerous viruses for example Severe Acute Respiratory Syndrome (SARS), Middle East Respiratory Syndrome (MERS), swine flu, Zika and Ebola, but COVID-19 virus is far more fatal than any previous viruses (Baker et al., 2020). Also, the World Bank (2020) has forecasted that global economy will reduce by 5.2 percent in 2020 because of the COVID-19. Thus, putting more pressure on firms and posing challenges for board of directors. That is why, Jebran and Chen (2023) has pointed out that questions must be raised on the role of corporate governance practices in the times of COVID-19, as these practices have faced unanticipated problems as a result of restrictions and lockdowns within and outside the country during the pandemic (Anas et al., 2023). Ltifi &amp; Hichri (2022) stated that such events compelled businesses to re-evaluate and change the structure of their governance to sustain and grow in this ‘new normal’. In such circumstances, companies find it very hard to handle ever changing situation such as staff management, its liquidity position and strategic decision making, thus corporate governance activities became more important (Ho et al., 2022). So, the board of directors should be able to restructure their business, strategy and capital structure to prepare for any similar crises in the unforeseeable future (Foss, 2020). </w:t>
      </w:r>
    </w:p>
    <w:p w14:paraId="6F5BF0EA">
      <w:pPr>
        <w:pStyle w:val="3"/>
        <w:spacing w:line="360" w:lineRule="auto"/>
        <w:rPr>
          <w:rFonts w:ascii="Arial" w:hAnsi="Arial" w:cs="Arial"/>
          <w:b/>
          <w:color w:val="000000" w:themeColor="text1"/>
          <w:sz w:val="24"/>
          <w:szCs w:val="24"/>
          <w14:textFill>
            <w14:solidFill>
              <w14:schemeClr w14:val="tx1"/>
            </w14:solidFill>
          </w14:textFill>
        </w:rPr>
      </w:pPr>
      <w:bookmarkStart w:id="3" w:name="_Toc220693644"/>
      <w:r>
        <w:rPr>
          <w:rFonts w:ascii="Arial" w:hAnsi="Arial" w:cs="Arial"/>
          <w:b/>
          <w:color w:val="000000" w:themeColor="text1"/>
          <w:sz w:val="24"/>
          <w:szCs w:val="24"/>
          <w14:textFill>
            <w14:solidFill>
              <w14:schemeClr w14:val="tx1"/>
            </w14:solidFill>
          </w14:textFill>
        </w:rPr>
        <w:t>1.3 Aim of the Research</w:t>
      </w:r>
      <w:bookmarkEnd w:id="3"/>
    </w:p>
    <w:p w14:paraId="31E51EF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purpose of this research is to examine how corporate governance affected the performance of Indian automakers during the COVID-19 pandemic. Also, this study wants to points out towards any potential adjustments, changes or new trends arising as a direct consequence of pandemic through empirical research and providing insights on how the COVID-19 has influenced automobile sector’s financial performance in the presence of governance mechanisms. </w:t>
      </w:r>
    </w:p>
    <w:p w14:paraId="13726282">
      <w:pPr>
        <w:pStyle w:val="3"/>
        <w:spacing w:line="360" w:lineRule="auto"/>
        <w:rPr>
          <w:rFonts w:ascii="Arial" w:hAnsi="Arial" w:cs="Arial"/>
          <w:b/>
          <w:color w:val="000000" w:themeColor="text1"/>
          <w:sz w:val="24"/>
          <w:szCs w:val="24"/>
          <w14:textFill>
            <w14:solidFill>
              <w14:schemeClr w14:val="tx1"/>
            </w14:solidFill>
          </w14:textFill>
        </w:rPr>
      </w:pPr>
      <w:bookmarkStart w:id="4" w:name="_Toc220693645"/>
      <w:r>
        <w:rPr>
          <w:rFonts w:ascii="Arial" w:hAnsi="Arial" w:cs="Arial"/>
          <w:b/>
          <w:color w:val="000000" w:themeColor="text1"/>
          <w:sz w:val="24"/>
          <w:szCs w:val="24"/>
          <w14:textFill>
            <w14:solidFill>
              <w14:schemeClr w14:val="tx1"/>
            </w14:solidFill>
          </w14:textFill>
        </w:rPr>
        <w:t>1.4 Research Questions</w:t>
      </w:r>
      <w:bookmarkEnd w:id="4"/>
    </w:p>
    <w:p w14:paraId="60CFB22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To fulfil the aims of this study, following research questions will be answered:</w:t>
      </w:r>
    </w:p>
    <w:p w14:paraId="4676D0B6">
      <w:pPr>
        <w:pStyle w:val="15"/>
        <w:numPr>
          <w:ilvl w:val="0"/>
          <w:numId w:val="1"/>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How well firms were performing in the automobile industry were performing prior to the COVID-19 pandemic in India?</w:t>
      </w:r>
    </w:p>
    <w:p w14:paraId="657D7640">
      <w:pPr>
        <w:pStyle w:val="15"/>
        <w:numPr>
          <w:ilvl w:val="0"/>
          <w:numId w:val="1"/>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How firms were performing in the automobile industry right after the COVID-19 pandemic in India?</w:t>
      </w:r>
    </w:p>
    <w:p w14:paraId="454E4450">
      <w:pPr>
        <w:pStyle w:val="15"/>
        <w:numPr>
          <w:ilvl w:val="0"/>
          <w:numId w:val="1"/>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What is the influence of corporate governance on the performance of firm’s during the COVID-19 in the automobile industry in India?</w:t>
      </w:r>
    </w:p>
    <w:p w14:paraId="0D567C7E">
      <w:pPr>
        <w:pStyle w:val="3"/>
        <w:spacing w:line="360" w:lineRule="auto"/>
        <w:rPr>
          <w:rFonts w:ascii="Arial" w:hAnsi="Arial" w:cs="Arial"/>
          <w:b/>
          <w:color w:val="000000" w:themeColor="text1"/>
          <w:sz w:val="24"/>
          <w:szCs w:val="24"/>
          <w14:textFill>
            <w14:solidFill>
              <w14:schemeClr w14:val="tx1"/>
            </w14:solidFill>
          </w14:textFill>
        </w:rPr>
      </w:pPr>
      <w:bookmarkStart w:id="5" w:name="_Toc220693646"/>
      <w:r>
        <w:rPr>
          <w:rFonts w:ascii="Arial" w:hAnsi="Arial" w:cs="Arial"/>
          <w:b/>
          <w:color w:val="000000" w:themeColor="text1"/>
          <w:sz w:val="24"/>
          <w:szCs w:val="24"/>
          <w14:textFill>
            <w14:solidFill>
              <w14:schemeClr w14:val="tx1"/>
            </w14:solidFill>
          </w14:textFill>
        </w:rPr>
        <w:t>1.5 Research Objectives</w:t>
      </w:r>
      <w:bookmarkEnd w:id="5"/>
      <w:r>
        <w:rPr>
          <w:rFonts w:ascii="Arial" w:hAnsi="Arial" w:cs="Arial"/>
          <w:b/>
          <w:color w:val="000000" w:themeColor="text1"/>
          <w:sz w:val="24"/>
          <w:szCs w:val="24"/>
          <w14:textFill>
            <w14:solidFill>
              <w14:schemeClr w14:val="tx1"/>
            </w14:solidFill>
          </w14:textFill>
        </w:rPr>
        <w:t xml:space="preserve"> </w:t>
      </w:r>
    </w:p>
    <w:p w14:paraId="6DDC8FAE">
      <w:pPr>
        <w:pStyle w:val="15"/>
        <w:numPr>
          <w:ilvl w:val="0"/>
          <w:numId w:val="2"/>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To analyse automobile sector’s performance before the COVID-19 pandemic. </w:t>
      </w:r>
    </w:p>
    <w:p w14:paraId="7F6EE345">
      <w:pPr>
        <w:pStyle w:val="15"/>
        <w:numPr>
          <w:ilvl w:val="0"/>
          <w:numId w:val="2"/>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To examine automobile sector’s performance after the COVID-19 pandemic.</w:t>
      </w:r>
    </w:p>
    <w:p w14:paraId="63D8F350">
      <w:pPr>
        <w:pStyle w:val="15"/>
        <w:numPr>
          <w:ilvl w:val="0"/>
          <w:numId w:val="2"/>
        </w:num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To scrutinize the effect of corporate governance on the performance of firm during COVID-19 in the automobile sector in India.</w:t>
      </w:r>
    </w:p>
    <w:p w14:paraId="71CB1D97">
      <w:pPr>
        <w:pStyle w:val="3"/>
        <w:spacing w:line="360" w:lineRule="auto"/>
        <w:rPr>
          <w:rFonts w:ascii="Arial" w:hAnsi="Arial" w:cs="Arial"/>
          <w:b/>
          <w:color w:val="000000" w:themeColor="text1"/>
          <w:sz w:val="24"/>
          <w:szCs w:val="24"/>
          <w14:textFill>
            <w14:solidFill>
              <w14:schemeClr w14:val="tx1"/>
            </w14:solidFill>
          </w14:textFill>
        </w:rPr>
      </w:pPr>
      <w:bookmarkStart w:id="6" w:name="_Toc220693647"/>
      <w:r>
        <w:rPr>
          <w:rFonts w:ascii="Arial" w:hAnsi="Arial" w:cs="Arial"/>
          <w:b/>
          <w:color w:val="000000" w:themeColor="text1"/>
          <w:sz w:val="24"/>
          <w:szCs w:val="24"/>
          <w14:textFill>
            <w14:solidFill>
              <w14:schemeClr w14:val="tx1"/>
            </w14:solidFill>
          </w14:textFill>
        </w:rPr>
        <w:t>1.6 Research Significance</w:t>
      </w:r>
      <w:bookmarkEnd w:id="6"/>
    </w:p>
    <w:p w14:paraId="4F83CD49">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According to Khatib and Nour (2021), the business activities were affected because of lockdowns, social distancing and other numerous precautionary measures to curtail the spread of COVID-19. Researchers like Gelter and Puaschunder (2020) stated that the situation of employment was even worse than it has been during the Great Depression. On the other hand, Ellul et al. (2020) has labelled the pandemic as a deepest global event, since the Second World War. Numerous researchers tried to study the impact of COVID-19 on the microeconomic level such as business entities and performed research in the area of finance, economics, governance and management (Anas et al., 2023). Research has already been undertaken by analysing its impact on firm performance (Khatib and Nour., 2021; Faris et al., 2021), sustainability performance (Bose et al., 2022), cash holdings (Qin et al., 2021), abnormal stock returns (Liu et al., 2020) leverage (Slater, 2020), corporate social responsibility (Bae et al., 2021), supply chains (Sharma et al., 2020) and several other issues. However, most of these studies were undertaken in Western countries (Koutoupis et al., 2021), so research from a developing country context like India  is needed.</w:t>
      </w:r>
    </w:p>
    <w:p w14:paraId="4E4480F7">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It is often indicated that several agency conflicts can be gauged through corporate governance. Although, the concept of corporate governance has gained attention in academic literature to analyse its influence on financial performance, however the notion of financial performance in times of crises like the COVID-19 is still under-researched (Anas et al., 2023). Gelter and Puaschunder (2020) has stressed that COVID-19 has not only impacted the economy worldwide, but it is probable that it could affect the corporate governance system severely. Several researches have been undertaken in developed countries, however; research from developing countries perspective is scarce (Koutoupis et al. 2021). At present, studies have been conducted in developing countries like Iran (Tarighi et al., 2023), Sri Lanka (Farwis et al., 2021), India (Anus et al., 2023) and Malaysia (Khatib and Nour, 2021). So far, some studies in India have focused on the influence of COVID-19 on different industries such as consumer, food, tourism and hospitality and construction (see for example, Alsamhi et al., 2022; Nayak et al., 2022). Instead, Anas et al. (2023) also studied performance of different industries in COVID-19, but in the presence of corporate governance. Therefore, by incorporating data during and before COVID-19 can help us to increase our understanding about corporate governance practices across two different time periods. It is expected that the COVID-19 pandemic has a substantial impact on the corporate governance and company’s performance in the automobile industry in India. Also, it is expected that during the COVID-19, the system of corporate governance has played a positive role in improving the financial performance of these manufacturers. </w:t>
      </w:r>
    </w:p>
    <w:p w14:paraId="37D63D9B">
      <w:pPr>
        <w:pStyle w:val="3"/>
        <w:spacing w:line="360" w:lineRule="auto"/>
        <w:rPr>
          <w:rFonts w:ascii="Arial" w:hAnsi="Arial" w:cs="Arial"/>
          <w:b/>
          <w:color w:val="000000" w:themeColor="text1"/>
          <w:sz w:val="24"/>
          <w:szCs w:val="24"/>
          <w14:textFill>
            <w14:solidFill>
              <w14:schemeClr w14:val="tx1"/>
            </w14:solidFill>
          </w14:textFill>
        </w:rPr>
      </w:pPr>
      <w:bookmarkStart w:id="7" w:name="_Toc220693648"/>
      <w:r>
        <w:rPr>
          <w:rFonts w:ascii="Arial" w:hAnsi="Arial" w:cs="Arial"/>
          <w:b/>
          <w:color w:val="000000" w:themeColor="text1"/>
          <w:sz w:val="24"/>
          <w:szCs w:val="24"/>
          <w14:textFill>
            <w14:solidFill>
              <w14:schemeClr w14:val="tx1"/>
            </w14:solidFill>
          </w14:textFill>
        </w:rPr>
        <w:t>1.7 Overview of the dissertation</w:t>
      </w:r>
      <w:bookmarkEnd w:id="7"/>
    </w:p>
    <w:p w14:paraId="3708FEB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rest of this dissertation is organized in the following manner: </w:t>
      </w:r>
    </w:p>
    <w:p w14:paraId="53C5CCFD">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There are five sections in </w:t>
      </w:r>
      <w:r>
        <w:rPr>
          <w:rFonts w:ascii="Arial" w:hAnsi="Arial" w:cs="Arial"/>
          <w:b/>
          <w:color w:val="000000" w:themeColor="text1"/>
          <w:sz w:val="24"/>
          <w:szCs w:val="24"/>
          <w14:textFill>
            <w14:solidFill>
              <w14:schemeClr w14:val="tx1"/>
            </w14:solidFill>
          </w14:textFill>
        </w:rPr>
        <w:t>Chapter 2</w:t>
      </w:r>
      <w:r>
        <w:rPr>
          <w:rFonts w:ascii="Arial" w:hAnsi="Arial" w:cs="Arial"/>
          <w:color w:val="000000" w:themeColor="text1"/>
          <w:sz w:val="24"/>
          <w:szCs w:val="24"/>
          <w14:textFill>
            <w14:solidFill>
              <w14:schemeClr w14:val="tx1"/>
            </w14:solidFill>
          </w14:textFill>
        </w:rPr>
        <w:t xml:space="preserve">. The influence of COVID-19 on the global economy is covered in Section 2.1, its influence on Indian economy is highlighted in Section 2.2 and then, a comprehensive review of prior research on financial performance and corporate governance in the times of COVID-19 is provided, followed by the current study’s hypothesis. </w:t>
      </w:r>
    </w:p>
    <w:p w14:paraId="3E0A4B4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Subsequently, </w:t>
      </w:r>
      <w:r>
        <w:rPr>
          <w:rFonts w:ascii="Arial" w:hAnsi="Arial" w:cs="Arial"/>
          <w:b/>
          <w:color w:val="000000" w:themeColor="text1"/>
          <w:sz w:val="24"/>
          <w:szCs w:val="24"/>
          <w14:textFill>
            <w14:solidFill>
              <w14:schemeClr w14:val="tx1"/>
            </w14:solidFill>
          </w14:textFill>
        </w:rPr>
        <w:t>Chapter 3</w:t>
      </w:r>
      <w:r>
        <w:rPr>
          <w:rFonts w:ascii="Arial" w:hAnsi="Arial" w:cs="Arial"/>
          <w:color w:val="000000" w:themeColor="text1"/>
          <w:sz w:val="24"/>
          <w:szCs w:val="24"/>
          <w14:textFill>
            <w14:solidFill>
              <w14:schemeClr w14:val="tx1"/>
            </w14:solidFill>
          </w14:textFill>
        </w:rPr>
        <w:t xml:space="preserve"> focuses on the methodology of this research study. It gives details on research design and how proposed hypothesis will be analysed. On the other hand, </w:t>
      </w:r>
      <w:r>
        <w:rPr>
          <w:rFonts w:ascii="Arial" w:hAnsi="Arial" w:cs="Arial"/>
          <w:b/>
          <w:color w:val="000000" w:themeColor="text1"/>
          <w:sz w:val="24"/>
          <w:szCs w:val="24"/>
          <w14:textFill>
            <w14:solidFill>
              <w14:schemeClr w14:val="tx1"/>
            </w14:solidFill>
          </w14:textFill>
        </w:rPr>
        <w:t>Chapter 4</w:t>
      </w:r>
      <w:r>
        <w:rPr>
          <w:rFonts w:ascii="Arial" w:hAnsi="Arial" w:cs="Arial"/>
          <w:color w:val="000000" w:themeColor="text1"/>
          <w:sz w:val="24"/>
          <w:szCs w:val="24"/>
          <w14:textFill>
            <w14:solidFill>
              <w14:schemeClr w14:val="tx1"/>
            </w14:solidFill>
          </w14:textFill>
        </w:rPr>
        <w:t xml:space="preserve"> indicates the findings and analysis of the results. In the end, </w:t>
      </w:r>
      <w:r>
        <w:rPr>
          <w:rFonts w:ascii="Arial" w:hAnsi="Arial" w:cs="Arial"/>
          <w:b/>
          <w:color w:val="000000" w:themeColor="text1"/>
          <w:sz w:val="24"/>
          <w:szCs w:val="24"/>
          <w14:textFill>
            <w14:solidFill>
              <w14:schemeClr w14:val="tx1"/>
            </w14:solidFill>
          </w14:textFill>
        </w:rPr>
        <w:t>Chapter 5</w:t>
      </w:r>
      <w:r>
        <w:rPr>
          <w:rFonts w:ascii="Arial" w:hAnsi="Arial" w:cs="Arial"/>
          <w:color w:val="000000" w:themeColor="text1"/>
          <w:sz w:val="24"/>
          <w:szCs w:val="24"/>
          <w14:textFill>
            <w14:solidFill>
              <w14:schemeClr w14:val="tx1"/>
            </w14:solidFill>
          </w14:textFill>
        </w:rPr>
        <w:t xml:space="preserve"> delivers the conclusion, study limitations and recommendations about the future research is given.</w:t>
      </w:r>
    </w:p>
    <w:p w14:paraId="102E0142">
      <w:pPr>
        <w:pStyle w:val="3"/>
        <w:spacing w:line="360" w:lineRule="auto"/>
        <w:rPr>
          <w:rFonts w:ascii="Arial" w:hAnsi="Arial" w:cs="Arial"/>
          <w:b/>
          <w:color w:val="000000" w:themeColor="text1"/>
          <w:sz w:val="24"/>
          <w:szCs w:val="24"/>
          <w14:textFill>
            <w14:solidFill>
              <w14:schemeClr w14:val="tx1"/>
            </w14:solidFill>
          </w14:textFill>
        </w:rPr>
      </w:pPr>
      <w:bookmarkStart w:id="8" w:name="_Toc220693649"/>
      <w:r>
        <w:rPr>
          <w:rFonts w:ascii="Arial" w:hAnsi="Arial" w:cs="Arial"/>
          <w:b/>
          <w:color w:val="000000" w:themeColor="text1"/>
          <w:sz w:val="24"/>
          <w:szCs w:val="24"/>
          <w14:textFill>
            <w14:solidFill>
              <w14:schemeClr w14:val="tx1"/>
            </w14:solidFill>
          </w14:textFill>
        </w:rPr>
        <w:t>1.8 Theoretical Framework</w:t>
      </w:r>
      <w:bookmarkEnd w:id="8"/>
      <w:r>
        <w:rPr>
          <w:rFonts w:ascii="Arial" w:hAnsi="Arial" w:cs="Arial"/>
          <w:b/>
          <w:color w:val="000000" w:themeColor="text1"/>
          <w:sz w:val="24"/>
          <w:szCs w:val="24"/>
          <w14:textFill>
            <w14:solidFill>
              <w14:schemeClr w14:val="tx1"/>
            </w14:solidFill>
          </w14:textFill>
        </w:rPr>
        <w:t xml:space="preserve"> </w:t>
      </w:r>
    </w:p>
    <w:p w14:paraId="76546D2C">
      <w:pPr>
        <w:tabs>
          <w:tab w:val="left" w:pos="2604"/>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This study utilises on three main theoretical lenses in corporate governance: agency theory, resource dependency theory and stewardship theory to describe how governance systems could impact the financial performance of companies in automobile sector in India during the COVID-19 pandemic. When combined together, these theories provides the foundation to justify the variable of board financial literacy, board independence, board meetings, board gender diversity, board size and audit committee characteristics. </w:t>
      </w:r>
    </w:p>
    <w:p w14:paraId="021053D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Agency theory</w:t>
      </w:r>
      <w:r>
        <w:rPr>
          <w:rFonts w:ascii="Arial" w:hAnsi="Arial" w:cs="Arial"/>
          <w:color w:val="000000" w:themeColor="text1"/>
          <w:sz w:val="24"/>
          <w:szCs w:val="24"/>
          <w14:textFill>
            <w14:solidFill>
              <w14:schemeClr w14:val="tx1"/>
            </w14:solidFill>
          </w14:textFill>
        </w:rPr>
        <w:t xml:space="preserve">: It explains the relationship between managers (agents) and shareholders (principals). It pinpoints the likelihood of conflicts that may occur because it is possible that managers may prioritize their own interests even at the expense of their shareholders. These conflicts are more likely to occur when there are weak monitoring mechanisms. So, active audit committee, independent boards and regular board meetings can help to strengthen accountability and reducing the conflict, this improving organizational performance. Empirical evidence gathered by Haldar et al. (2018) show that presence of independent directors on the board can affect the performance of a company, thus supporting the view of agency theory. </w:t>
      </w:r>
    </w:p>
    <w:p w14:paraId="591DA94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Resource Dependence Theory</w:t>
      </w:r>
      <w:r>
        <w:rPr>
          <w:rFonts w:ascii="Arial" w:hAnsi="Arial" w:cs="Arial"/>
          <w:color w:val="000000" w:themeColor="text1"/>
          <w:sz w:val="24"/>
          <w:szCs w:val="24"/>
          <w14:textFill>
            <w14:solidFill>
              <w14:schemeClr w14:val="tx1"/>
            </w14:solidFill>
          </w14:textFill>
        </w:rPr>
        <w:t xml:space="preserve">: It stresses on the role of the board that can provide access to crucial external resources for instance strategic guidance, legitimacy, networks and expertise. More knowledgeable and more diverse boards are in a better position to assist company’s tackle environmental pressures and uncertainty. Kabir et al. (2023) indicated that specifically in emerging economies, gender-diverse boards can strengthen organizational adaptability, improve the quality of decision making and provide useful insight to broader strategic horizon. In the similar manner, financial expertise of board members can help to manage risks and understand financial information in a better way, this becomes especially important in times like COVID- 19 (Arumona et al. 2019). Therefore, incorporating this theory into the research study helps to justify the inclusion of variables such as board financial literacy, board size and board gender diversity. </w:t>
      </w:r>
    </w:p>
    <w:p w14:paraId="3E8E237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Stewardship theory</w:t>
      </w:r>
      <w:r>
        <w:rPr>
          <w:rFonts w:ascii="Arial" w:hAnsi="Arial" w:cs="Arial"/>
          <w:color w:val="000000" w:themeColor="text1"/>
          <w:sz w:val="24"/>
          <w:szCs w:val="24"/>
          <w14:textFill>
            <w14:solidFill>
              <w14:schemeClr w14:val="tx1"/>
            </w14:solidFill>
          </w14:textFill>
        </w:rPr>
        <w:t>: This theory is based on the premise that directors and managers act a stewards who are motivated internally to take care of best interests of the company, their relationship is based on pro-organizational behaviour and mutual trust rather than  suspicion and control (Glinkowska &amp; Kaczmarek, 2015). These conditions are prerequisites for enhanced performance of the company (Bui, 2024). The empirical evidence demonstrates that board  members who meets regularly is considered to be active and engaged, have positive impact on the performance of the company (Eluyela et al., 2018).</w:t>
      </w:r>
    </w:p>
    <w:p w14:paraId="56140031">
      <w:pPr>
        <w:spacing w:line="360" w:lineRule="auto"/>
        <w:rPr>
          <w:rFonts w:ascii="Arial" w:hAnsi="Arial" w:cs="Arial"/>
          <w:color w:val="000000" w:themeColor="text1"/>
          <w:sz w:val="24"/>
          <w:szCs w:val="24"/>
          <w14:textFill>
            <w14:solidFill>
              <w14:schemeClr w14:val="tx1"/>
            </w14:solidFill>
          </w14:textFill>
        </w:rPr>
      </w:pPr>
    </w:p>
    <w:p w14:paraId="031A9BE0">
      <w:pPr>
        <w:spacing w:line="360" w:lineRule="auto"/>
        <w:rPr>
          <w:rFonts w:ascii="Arial" w:hAnsi="Arial" w:cs="Arial"/>
          <w:color w:val="000000" w:themeColor="text1"/>
          <w:sz w:val="24"/>
          <w:szCs w:val="24"/>
          <w14:textFill>
            <w14:solidFill>
              <w14:schemeClr w14:val="tx1"/>
            </w14:solidFill>
          </w14:textFill>
        </w:rPr>
      </w:pPr>
    </w:p>
    <w:p w14:paraId="77DDEA4C">
      <w:pPr>
        <w:tabs>
          <w:tab w:val="left" w:pos="1573"/>
        </w:tabs>
        <w:spacing w:line="360" w:lineRule="auto"/>
        <w:rPr>
          <w:rFonts w:ascii="Arial" w:hAnsi="Arial" w:cs="Arial"/>
          <w:color w:val="000000" w:themeColor="text1"/>
          <w:sz w:val="24"/>
          <w:szCs w:val="24"/>
          <w14:textFill>
            <w14:solidFill>
              <w14:schemeClr w14:val="tx1"/>
            </w14:solidFill>
          </w14:textFill>
        </w:rPr>
      </w:pPr>
    </w:p>
    <w:p w14:paraId="1F624BA3">
      <w:pPr>
        <w:tabs>
          <w:tab w:val="left" w:pos="1573"/>
        </w:tabs>
        <w:spacing w:line="360" w:lineRule="auto"/>
        <w:rPr>
          <w:rFonts w:ascii="Arial" w:hAnsi="Arial" w:cs="Arial"/>
          <w:color w:val="000000" w:themeColor="text1"/>
          <w:sz w:val="24"/>
          <w:szCs w:val="24"/>
          <w14:textFill>
            <w14:solidFill>
              <w14:schemeClr w14:val="tx1"/>
            </w14:solidFill>
          </w14:textFill>
        </w:rPr>
      </w:pPr>
    </w:p>
    <w:p w14:paraId="6128A804">
      <w:pPr>
        <w:tabs>
          <w:tab w:val="left" w:pos="1573"/>
        </w:tabs>
        <w:spacing w:line="360" w:lineRule="auto"/>
        <w:rPr>
          <w:rFonts w:ascii="Arial" w:hAnsi="Arial" w:cs="Arial"/>
          <w:color w:val="000000" w:themeColor="text1"/>
          <w:sz w:val="24"/>
          <w:szCs w:val="24"/>
          <w14:textFill>
            <w14:solidFill>
              <w14:schemeClr w14:val="tx1"/>
            </w14:solidFill>
          </w14:textFill>
        </w:rPr>
      </w:pPr>
    </w:p>
    <w:p w14:paraId="70AB852D">
      <w:pPr>
        <w:tabs>
          <w:tab w:val="left" w:pos="1573"/>
        </w:tabs>
        <w:spacing w:line="360" w:lineRule="auto"/>
        <w:rPr>
          <w:rFonts w:ascii="Arial" w:hAnsi="Arial" w:cs="Arial"/>
          <w:color w:val="000000" w:themeColor="text1"/>
          <w:sz w:val="24"/>
          <w:szCs w:val="24"/>
          <w14:textFill>
            <w14:solidFill>
              <w14:schemeClr w14:val="tx1"/>
            </w14:solidFill>
          </w14:textFill>
        </w:rPr>
      </w:pPr>
    </w:p>
    <w:p w14:paraId="679093B3">
      <w:pPr>
        <w:tabs>
          <w:tab w:val="left" w:pos="1573"/>
        </w:tabs>
        <w:spacing w:line="360" w:lineRule="auto"/>
        <w:rPr>
          <w:rFonts w:ascii="Arial" w:hAnsi="Arial" w:cs="Arial"/>
          <w:color w:val="000000" w:themeColor="text1"/>
          <w:sz w:val="24"/>
          <w:szCs w:val="24"/>
          <w14:textFill>
            <w14:solidFill>
              <w14:schemeClr w14:val="tx1"/>
            </w14:solidFill>
          </w14:textFill>
        </w:rPr>
      </w:pPr>
    </w:p>
    <w:p w14:paraId="190CC28A">
      <w:pPr>
        <w:tabs>
          <w:tab w:val="left" w:pos="1573"/>
        </w:tabs>
        <w:spacing w:line="360" w:lineRule="auto"/>
        <w:rPr>
          <w:rFonts w:ascii="Arial" w:hAnsi="Arial" w:cs="Arial"/>
          <w:color w:val="000000" w:themeColor="text1"/>
          <w:sz w:val="24"/>
          <w:szCs w:val="24"/>
          <w14:textFill>
            <w14:solidFill>
              <w14:schemeClr w14:val="tx1"/>
            </w14:solidFill>
          </w14:textFill>
        </w:rPr>
      </w:pPr>
    </w:p>
    <w:p w14:paraId="6B8731CB">
      <w:pPr>
        <w:pStyle w:val="2"/>
        <w:spacing w:line="360" w:lineRule="auto"/>
        <w:jc w:val="center"/>
        <w:rPr>
          <w:rFonts w:ascii="Arial" w:hAnsi="Arial" w:cs="Arial"/>
          <w:b/>
          <w:color w:val="000000" w:themeColor="text1"/>
          <w:sz w:val="24"/>
          <w:szCs w:val="24"/>
          <w14:textFill>
            <w14:solidFill>
              <w14:schemeClr w14:val="tx1"/>
            </w14:solidFill>
          </w14:textFill>
        </w:rPr>
      </w:pPr>
      <w:bookmarkStart w:id="9" w:name="_Toc220693650"/>
      <w:r>
        <w:rPr>
          <w:rFonts w:ascii="Arial" w:hAnsi="Arial" w:cs="Arial"/>
          <w:b/>
          <w:color w:val="000000" w:themeColor="text1"/>
          <w:sz w:val="24"/>
          <w:szCs w:val="24"/>
          <w14:textFill>
            <w14:solidFill>
              <w14:schemeClr w14:val="tx1"/>
            </w14:solidFill>
          </w14:textFill>
        </w:rPr>
        <w:t>Chapter 02: Literature Review</w:t>
      </w:r>
      <w:bookmarkEnd w:id="9"/>
    </w:p>
    <w:p w14:paraId="3F9499C3">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pandemic of COVID-19 has altered the world in ways that were previously unthinkable, influencing every walk of life, it also includes business activity. Business firms in India and all over the world have faced countless problems during pandemic, so financial performance and corporate governance were widely examined and debated. This section will review the existing literature on COVID-19 and its influence on business activities worldwide. </w:t>
      </w:r>
    </w:p>
    <w:p w14:paraId="03CDA8AD">
      <w:pPr>
        <w:pStyle w:val="2"/>
        <w:spacing w:line="360" w:lineRule="auto"/>
        <w:rPr>
          <w:rFonts w:ascii="Arial" w:hAnsi="Arial" w:cs="Arial"/>
          <w:b/>
          <w:color w:val="000000" w:themeColor="text1"/>
          <w:sz w:val="24"/>
          <w:szCs w:val="24"/>
          <w14:textFill>
            <w14:solidFill>
              <w14:schemeClr w14:val="tx1"/>
            </w14:solidFill>
          </w14:textFill>
        </w:rPr>
      </w:pPr>
      <w:bookmarkStart w:id="10" w:name="_Toc220693651"/>
      <w:r>
        <w:rPr>
          <w:rFonts w:ascii="Arial" w:hAnsi="Arial" w:cs="Arial"/>
          <w:b/>
          <w:color w:val="000000" w:themeColor="text1"/>
          <w:sz w:val="24"/>
          <w:szCs w:val="24"/>
          <w14:textFill>
            <w14:solidFill>
              <w14:schemeClr w14:val="tx1"/>
            </w14:solidFill>
          </w14:textFill>
        </w:rPr>
        <w:t>2.0 Review of  Literature</w:t>
      </w:r>
      <w:bookmarkEnd w:id="10"/>
      <w:r>
        <w:rPr>
          <w:rFonts w:ascii="Arial" w:hAnsi="Arial" w:cs="Arial"/>
          <w:b/>
          <w:color w:val="000000" w:themeColor="text1"/>
          <w:sz w:val="24"/>
          <w:szCs w:val="24"/>
          <w14:textFill>
            <w14:solidFill>
              <w14:schemeClr w14:val="tx1"/>
            </w14:solidFill>
          </w14:textFill>
        </w:rPr>
        <w:t xml:space="preserve"> </w:t>
      </w:r>
    </w:p>
    <w:p w14:paraId="04106A0C">
      <w:pPr>
        <w:pStyle w:val="3"/>
        <w:spacing w:line="360" w:lineRule="auto"/>
        <w:rPr>
          <w:rFonts w:ascii="Arial" w:hAnsi="Arial" w:cs="Arial"/>
          <w:b/>
          <w:color w:val="000000" w:themeColor="text1"/>
          <w:sz w:val="24"/>
          <w:szCs w:val="24"/>
          <w14:textFill>
            <w14:solidFill>
              <w14:schemeClr w14:val="tx1"/>
            </w14:solidFill>
          </w14:textFill>
        </w:rPr>
      </w:pPr>
      <w:bookmarkStart w:id="11" w:name="_Toc220693652"/>
      <w:r>
        <w:rPr>
          <w:rFonts w:ascii="Arial" w:hAnsi="Arial" w:cs="Arial"/>
          <w:b/>
          <w:color w:val="000000" w:themeColor="text1"/>
          <w:sz w:val="24"/>
          <w:szCs w:val="24"/>
          <w14:textFill>
            <w14:solidFill>
              <w14:schemeClr w14:val="tx1"/>
            </w14:solidFill>
          </w14:textFill>
        </w:rPr>
        <w:t>2.1 Impact of COVID-19 on the world economy</w:t>
      </w:r>
      <w:bookmarkEnd w:id="11"/>
    </w:p>
    <w:p w14:paraId="37EBB90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Padhan and Prabheesh, (2021) has stated that because of COVID-19, there has been an unprecedented decline in global activity. Severe interruptions in business at an unexpected speed and scale were caused both in the developed and emerging economies (Baldwin and DiMauro, 2020). A report by IMF (2020) has indicated that after the first quarter of 2020, the global GDP has declined by approximately 5% as a result of economic disruption and that is even more than 2007-08 financial crises. Moreover, as the confidence of consumer weakened and the level of their income declined, the usage of products and services dipped and firms reduced their investments in response to decrease in demand, also supply got interrupted and future earnings were surrounded by uncertainty (Padhan and Prabheesh, 2021). As demand went down, the inflation and prices of commodities also dropped and there was a full-time jobs loss of 270 million in April, May and June of 2020 (IMF, 2020). It is important to note that after the Great Depression, this is the only event due to which the global economy faced a sharp drop of 3% in worldwide GDP in 2020 from 2.8% growth in 2019 (IMF,2022).</w:t>
      </w:r>
    </w:p>
    <w:p w14:paraId="7E837F5E">
      <w:pPr>
        <w:pStyle w:val="3"/>
        <w:spacing w:line="360" w:lineRule="auto"/>
        <w:rPr>
          <w:rFonts w:ascii="Arial" w:hAnsi="Arial" w:cs="Arial"/>
          <w:b/>
          <w:color w:val="000000" w:themeColor="text1"/>
          <w:sz w:val="24"/>
          <w:szCs w:val="24"/>
          <w14:textFill>
            <w14:solidFill>
              <w14:schemeClr w14:val="tx1"/>
            </w14:solidFill>
          </w14:textFill>
        </w:rPr>
      </w:pPr>
      <w:bookmarkStart w:id="12" w:name="_Toc220693653"/>
      <w:r>
        <w:rPr>
          <w:rFonts w:ascii="Arial" w:hAnsi="Arial" w:cs="Arial"/>
          <w:b/>
          <w:color w:val="000000" w:themeColor="text1"/>
          <w:sz w:val="24"/>
          <w:szCs w:val="24"/>
          <w14:textFill>
            <w14:solidFill>
              <w14:schemeClr w14:val="tx1"/>
            </w14:solidFill>
          </w14:textFill>
        </w:rPr>
        <w:t>2.2 Impact of COVID-19 on Indian economy and business activities</w:t>
      </w:r>
      <w:bookmarkEnd w:id="12"/>
    </w:p>
    <w:p w14:paraId="2C8CFE0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For India, the first and second waves of COVID-19 is separated by almost five months. In September 2020, the first wave was at its peak, with almost 0.1 million cases daily. Until the middle of February, daily occurrences dropped, however at this point the cases started to increase quickly. The number of new cases was about 0.2 million on 15 April 2021, exceeding the previous peak by over four times. Thus showing a significant increase in confirmed COVID-19 cases and fatalities in India. Kar et al. (2021) has pointed out that the pandemic of COVID-19 has inflicted a serious damage on the Indian economy as a whole, with macroeconomic implication for all sectors. Before the outbreak, the economy was already in a vulnerable state; with the state-wide lockdown and an extended state of suspension of economic activities. Moreover, Kumar and Kumar (2021) indicated that the COVID-19 has effected 19 industries with a collective debt of 15.5 lakh crore. Adding on to this, the manufacturing section experienced less demand for its products, severe disruptions in supply chain and financial stress Aneja and Ahuja (2021). It was estimated that the automotive industry will shrink by almost 35 percent and the Micro, Small and Medium Enterprises (MSMEs), which contribute 50 percent of employment in manufacturing and 30 percent of Gross Domestic Product (GDP), faced liquidity shortages, severe operational challenge and migrant labour losses (Rele, 2020; Dev &amp; Sengupta, 2020).</w:t>
      </w:r>
    </w:p>
    <w:p w14:paraId="18DCF1D7">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On the other hand, India’s largest economic contributor, the service sector absorbed faced the most damaging impact (Aneja and Ahuja, 2021). The financial sector was already in a fragile state because of the collapse of Infrastructure Leasing &amp; Financial Services Ltd (IL&amp;FS), High Levels of Non-Performing Assets (NPAs), the decline in credit growth and the near failure of Yes Bank, thus increasing banks’ vulnerability to systematic risk through widespread loan defaults (Sengupta &amp; Vardhan, 2019). Research by Subramanian &amp; Feman (2020) has suggested that NPAs may rise considerably to 9 lakh crore if deferred loans becomes overdue. Other service sectors such as travel and tourism were worst-affected with an estimated 38 million job losses (</w:t>
      </w:r>
      <w:r>
        <w:rPr>
          <w:rFonts w:ascii="Arial" w:hAnsi="Arial" w:cs="Arial"/>
          <w:color w:val="000000" w:themeColor="text1"/>
          <w:sz w:val="24"/>
          <w:szCs w:val="24"/>
          <w:shd w:val="clear" w:color="auto" w:fill="FFFFFF"/>
          <w14:textFill>
            <w14:solidFill>
              <w14:schemeClr w14:val="tx1"/>
            </w14:solidFill>
          </w14:textFill>
        </w:rPr>
        <w:t>Mallapur</w:t>
      </w:r>
      <w:r>
        <w:rPr>
          <w:rFonts w:ascii="Arial" w:hAnsi="Arial" w:cs="Arial"/>
          <w:color w:val="000000" w:themeColor="text1"/>
          <w:sz w:val="24"/>
          <w:szCs w:val="24"/>
          <w14:textFill>
            <w14:solidFill>
              <w14:schemeClr w14:val="tx1"/>
            </w14:solidFill>
          </w14:textFill>
        </w:rPr>
        <w:t xml:space="preserve">, 2020). </w:t>
      </w:r>
    </w:p>
    <w:p w14:paraId="2CABEF70">
      <w:pPr>
        <w:pStyle w:val="3"/>
        <w:spacing w:line="360" w:lineRule="auto"/>
        <w:rPr>
          <w:rFonts w:ascii="Arial" w:hAnsi="Arial" w:cs="Arial"/>
          <w:b/>
          <w:color w:val="000000" w:themeColor="text1"/>
          <w:sz w:val="24"/>
          <w:szCs w:val="24"/>
          <w14:textFill>
            <w14:solidFill>
              <w14:schemeClr w14:val="tx1"/>
            </w14:solidFill>
          </w14:textFill>
        </w:rPr>
      </w:pPr>
      <w:bookmarkStart w:id="13" w:name="_Toc220693654"/>
      <w:r>
        <w:rPr>
          <w:rFonts w:ascii="Arial" w:hAnsi="Arial" w:cs="Arial"/>
          <w:b/>
          <w:color w:val="000000" w:themeColor="text1"/>
          <w:sz w:val="24"/>
          <w:szCs w:val="24"/>
          <w14:textFill>
            <w14:solidFill>
              <w14:schemeClr w14:val="tx1"/>
            </w14:solidFill>
          </w14:textFill>
        </w:rPr>
        <w:t>2.3 Financial performance and corporate governance prior to COVID-19</w:t>
      </w:r>
      <w:bookmarkEnd w:id="13"/>
    </w:p>
    <w:p w14:paraId="5346B2D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There is a conflicting view in research on the effect of corporate governance on firm’s performance before COVID-19 (Mohan and Chandramohan 2018; Bansal and Sharma 2016). Research conducted by Dalton et al. (1990) has shown that there is a positive and significant relationship between firm success and board size. But, Eisenberg et al. (1998) and Yermack (1996) that when board size is large, then it is damaging for a business performance. Other evidence based studies has established that different characteristics of board for instance leadership style, non-executive directorship, gender diversity, size, size of audit committee and their frequency of meetings could be associated to an accounting and marketing performance of the firm (Datta 2018; Filed et al. 2013; Shan and Mclver 2011). Research on board independence is also divided with few studies found that there is a positive effect of independent directors on firm’s performance (Denis et al. 1997; Baysinger &amp; Butler 1985). On the other hand, other researchers have reported opposite views (Leung et al. 2014; Shan and Mclver 2011). There are inconsistent results from research on gender diversity, with numerous researchers highlighting that it plays a positive contribution in decision making and performance of the firm (Vishwakarma &amp; Kumar 2015; </w:t>
      </w: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Vo &amp; Phan 2013). However there has been an indication that in IT firms, there is no noticeable effect of having women on the board (Anas et al. 2023). </w:t>
      </w:r>
    </w:p>
    <w:p w14:paraId="16BD2BA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Also, there has been a mixed evidence on board activity variables for instance director busyness and meeting frequency. Ahmed Haji (2014) and Vafeas (1999) revealed that weaker performance is linked to frequent board meetings, pointing out that when firms are struggling board meetings are held at the time only. Studies by Malik &amp; Mahkdoom (2016) and Rodriguez-Fernandez et al. (2014) has supported these findings. Research on multiple directorship has been inconclusive.  Those in favour suggest that directors who are on several other boards have more expertise, access to finance and linkages (see for example Field et al. 2013), but the opponents of this view argue that such directors may not have sufficient time to oversee and control matters effectively (Sarkar et al. 2012). Moreover, contradictory patterns have been identified by researchers on the characteristics of audit committee (Abdulazeez et al. 2016; Xie et al. 2003) have found that better performance and stronger oversight is associated with larger audit committees, yet Kajola (2008) has suggested no significant link. Additionally, Kyereboah-Coleman (2008) and Menon &amp; Williams (1994) highlighted that frequency of audit committee meetings and independence improve firm’s performance, though few researchers pointed out that infrequent meetings can lower costs and leads to better financial performance (Abdul Rahman &amp; Mohamed Ali 2006; Mohd-Saleh et al. 2007). Furthermore, latest findings by Danoshana and Ravivathani (2019) adds on to this inconsistency, mentioning that although size of audit committee and board can affect the performance in a positive manner, but more board meetings may damage it. </w:t>
      </w:r>
    </w:p>
    <w:p w14:paraId="487C617C">
      <w:pPr>
        <w:pStyle w:val="3"/>
        <w:spacing w:line="360" w:lineRule="auto"/>
        <w:rPr>
          <w:rFonts w:ascii="Arial" w:hAnsi="Arial" w:cs="Arial"/>
          <w:b/>
          <w:color w:val="000000" w:themeColor="text1"/>
          <w:sz w:val="24"/>
          <w:szCs w:val="24"/>
          <w14:textFill>
            <w14:solidFill>
              <w14:schemeClr w14:val="tx1"/>
            </w14:solidFill>
          </w14:textFill>
        </w:rPr>
      </w:pPr>
      <w:bookmarkStart w:id="14" w:name="_Toc220693655"/>
      <w:r>
        <w:rPr>
          <w:rFonts w:ascii="Arial" w:hAnsi="Arial" w:cs="Arial"/>
          <w:b/>
          <w:color w:val="000000" w:themeColor="text1"/>
          <w:sz w:val="24"/>
          <w:szCs w:val="24"/>
          <w14:textFill>
            <w14:solidFill>
              <w14:schemeClr w14:val="tx1"/>
            </w14:solidFill>
          </w14:textFill>
        </w:rPr>
        <w:t>2.4 Financial performance and corporate governance in the times of COVID-19</w:t>
      </w:r>
      <w:bookmarkEnd w:id="14"/>
    </w:p>
    <w:p w14:paraId="013822E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Although, the impact of COVID-19 on performance and corporate governance is still under-researched (Farwis et al., 2021). But some of the researchers tried to find its impact in a developing counties. For instance, in Malaysian listed firms, Khatib &amp; Nour (2021) has carried out the research. They found that certain characteristics of firm such as dividend distribution, leverage level, liquidity measure, governance structure and financial performance were all influenced by the COVID-19 pandemic, however the variation before and after the pandemic remained insignificant. They also revealed that audit committee meetings and board meetings during the times of COVID-19 are negatively associated with firm’s performance. Furthermore, size of the board doesn’t matter and diversity of the board is a crucial factor in ascertaining performance of the firm. </w:t>
      </w:r>
    </w:p>
    <w:p w14:paraId="5D25948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the similar manner, Farwis et al. (2021) carried out their research in Sri Lankan context. They revealed that apart from the audit committee, all the other characteristics of corporate governance were affected. Others’ like Golubeva (2021)  tried to find out the significance of country specific factors for example economic growth in the presence of corporate governance mechanism on the success of the firm during the pandemic. Whilst Pibri (2021) revealed that good corporate governance has a significant impact on bank performance and firm’s value in Indonesia during the COVID-19. </w:t>
      </w:r>
    </w:p>
    <w:p w14:paraId="1B1C6191">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Research by Jensen and Mechling (2019) on the agency theory indicated that governance requires the monitoring and advisory roles anchor business operations, thus improving performance of the business. Scholars have indicated director’s role as policy-setters that can influence firm’s performance (Khatib &amp; Nour, 2021). However, the need for board’s oversight role has gained more importance to reduce the risk arising from this uncertainty. As a direct consequence of COVID-19, higher external risk arise that wants board to restructure the organizational design, capital and policies to deal with crises (Shen et al., 2020).</w:t>
      </w:r>
    </w:p>
    <w:p w14:paraId="3250AAB5">
      <w:pPr>
        <w:pStyle w:val="3"/>
        <w:spacing w:line="360" w:lineRule="auto"/>
        <w:rPr>
          <w:rFonts w:ascii="Arial" w:hAnsi="Arial" w:cs="Arial"/>
          <w:b/>
          <w:color w:val="000000" w:themeColor="text1"/>
          <w:sz w:val="24"/>
          <w:szCs w:val="24"/>
          <w14:textFill>
            <w14:solidFill>
              <w14:schemeClr w14:val="tx1"/>
            </w14:solidFill>
          </w14:textFill>
        </w:rPr>
      </w:pPr>
      <w:bookmarkStart w:id="15" w:name="_Toc220693656"/>
      <w:r>
        <w:rPr>
          <w:rFonts w:ascii="Arial" w:hAnsi="Arial" w:cs="Arial"/>
          <w:b/>
          <w:color w:val="000000" w:themeColor="text1"/>
          <w:sz w:val="24"/>
          <w:szCs w:val="24"/>
          <w14:textFill>
            <w14:solidFill>
              <w14:schemeClr w14:val="tx1"/>
            </w14:solidFill>
          </w14:textFill>
        </w:rPr>
        <w:t>2.5 Size of the board</w:t>
      </w:r>
      <w:bookmarkEnd w:id="15"/>
      <w:r>
        <w:rPr>
          <w:rFonts w:ascii="Arial" w:hAnsi="Arial" w:cs="Arial"/>
          <w:b/>
          <w:color w:val="000000" w:themeColor="text1"/>
          <w:sz w:val="24"/>
          <w:szCs w:val="24"/>
          <w14:textFill>
            <w14:solidFill>
              <w14:schemeClr w14:val="tx1"/>
            </w14:solidFill>
          </w14:textFill>
        </w:rPr>
        <w:t xml:space="preserve"> </w:t>
      </w:r>
    </w:p>
    <w:p w14:paraId="1FE8C0AB">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It is identified as the most vital part of the system of corporate governance. It is directly proportional to the number of directors on the board (Khatib and Nour, 2021). The law of each country specifies the maximum number of directors allowed on a firm’s board (Salehi et al. 2018). For instance, in the UK, this number is eight (Peasnell et al. 2005). But in the USA, this number is close to twelve (Xie et al. 2003). Opponents of this idea such as Kyere and Ausloos (2021) say that if the board size is large then organizational performance will be damaged seriously and according to them, the number of board members must not be more than 10 (Lipton and Lorsch 1992). They went on to add further that as board size increase, businesses may have to deal with more difficulties in co-thinking, organizing and coordinating (Constantatos, 2018; Bhattrai 2017; Pathan and Faff 2013, Yermack 1996). Other drawbacks of large board size includes lack of consensus and motivation on decisions (Constantatos, 2018), conflicts and disagreements (El-Chaarani et al. 2022; Bhattrai, 2017) and the efficiency of the governance mechanisms (Hajer and Anis, 2018). There are various studies that have suggested that the relationship between firm performance and board size is significantly negative (see for example Hong and Lih, 2023; Yermack, 1996).</w:t>
      </w:r>
    </w:p>
    <w:p w14:paraId="3B46089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On the contrary, in line with agency theory, more directors on the board mean effective supervisory responsibilities and more time will be available to monitor management’s activities (Hsu and Yang; 2022; Constantatos; 2018). On the similar ground, resource dependency theory adds that corporate growth is driven by larger boards, because in addition to greater skills, expertise and knowledge they also have powerful network of links with sellers, clients and other key stakeholders (Williams et al. 2005; Van den Berghe &amp; Levrau, 2004). Some of the researchers that favoured this view are</w:t>
      </w:r>
      <w:r>
        <w:rPr>
          <w:rFonts w:ascii="Arial" w:hAnsi="Arial" w:eastAsia="Times New Roman" w:cs="Arial"/>
          <w:color w:val="000000" w:themeColor="text1"/>
          <w:sz w:val="24"/>
          <w:szCs w:val="24"/>
          <w14:textFill>
            <w14:solidFill>
              <w14:schemeClr w14:val="tx1"/>
            </w14:solidFill>
          </w14:textFill>
        </w:rPr>
        <w:t xml:space="preserve"> Farwis et al. (2021); Khatib &amp; Nour, (2021); Coleman &amp; Wu (2021) amongst the others. Thus this study hypothesize that there is a positive association between financial performance and large board size.</w:t>
      </w:r>
    </w:p>
    <w:p w14:paraId="2622A780">
      <w:pPr>
        <w:pStyle w:val="3"/>
        <w:spacing w:line="360" w:lineRule="auto"/>
        <w:rPr>
          <w:rFonts w:ascii="Arial" w:hAnsi="Arial" w:cs="Arial"/>
          <w:b/>
          <w:color w:val="000000" w:themeColor="text1"/>
          <w:sz w:val="24"/>
          <w:szCs w:val="24"/>
          <w14:textFill>
            <w14:solidFill>
              <w14:schemeClr w14:val="tx1"/>
            </w14:solidFill>
          </w14:textFill>
        </w:rPr>
      </w:pPr>
      <w:bookmarkStart w:id="16" w:name="_Toc220693657"/>
      <w:r>
        <w:rPr>
          <w:rFonts w:ascii="Arial" w:hAnsi="Arial" w:cs="Arial"/>
          <w:b/>
          <w:color w:val="000000" w:themeColor="text1"/>
          <w:sz w:val="24"/>
          <w:szCs w:val="24"/>
          <w14:textFill>
            <w14:solidFill>
              <w14:schemeClr w14:val="tx1"/>
            </w14:solidFill>
          </w14:textFill>
        </w:rPr>
        <w:t>2.6 Independence of the board</w:t>
      </w:r>
      <w:bookmarkEnd w:id="16"/>
    </w:p>
    <w:p w14:paraId="0366C03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Board must constitute of some independent members who are not the actual workers, they only have a supervisory role and they don’t have any financial interest in the company indicating neutrality when evaluating performance of the management (Kijkasiwat et al. 2024). Agency theory points out that independent directors are more likely to focus on properly monitoring and managing the company's operations in order to maintain their professional standing, especially when they have enough independence and are not involved in routine management tasks within the firm (Umar et al., 2023). This is because board members don't have executive duties within the company when they aren't in charge of day-to-day operations. Independent board members can help a company reduce risks during tough financial times, which allows the business to bounce back from crises more quickly (Constantatos, 2018).</w:t>
      </w:r>
    </w:p>
    <w:p w14:paraId="3BE5A2B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Research has indicated that when there are independent directors on the board, then stakeholders will vest more trust in the firm and thus attracting more investment (Muniandy and Hillier 2015). There has been a positive relationship between firm performance and independence of the board and it also enhance the performance of the firm (Pucheta-Martinez &amp; Gallego-Alvarez, 2020; Shan, 2019; Hu et al. 2023). Other benefits are that when an independent board oversees the performance of management, then they it will refrain them to make bad decisions (Nicholson and Keil, 2007) and help in reducing the agency problem (Fuzi et al. 2016).</w:t>
      </w:r>
    </w:p>
    <w:p w14:paraId="60D55A2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Another school of thought is based on stewardship theory that posits the adverse impact of Non-Executive Directors (NED’s) on financial performance (Tarighi et al. 2023). In line with Stewardship theory they say that regular executive members of the board are more knowledgeable and very well aware of the existing resources and capacities of business, thus more beneficial for the firm (Kyere and Ausloos, 2021). Also, the executive directors can become good stewards of a firm’s assets because of internal non-financial motivation such as internal satisfaction (Constantatos, 2018). On the other hand, the presence of NED’s on the board can’t assist firms because they do not possess all the necessary information for decision making and so they are not flexible and reactive (Van Essen et al. 2013). Also, Duchin et al. (2010) has revealed that although external directors are beneficial, but it is quite possible that the costs of such arrangements may be higher than the benefits. Several authors have shown a negative association between independence of the board and firm performance (Goel et al. 2022; Shan, 2019; Wang et al. 2012). </w:t>
      </w:r>
      <w:r>
        <w:rPr>
          <w:rFonts w:ascii="Arial" w:hAnsi="Arial" w:eastAsia="Times New Roman" w:cs="Arial"/>
          <w:color w:val="000000" w:themeColor="text1"/>
          <w:sz w:val="24"/>
          <w:szCs w:val="24"/>
          <w14:textFill>
            <w14:solidFill>
              <w14:schemeClr w14:val="tx1"/>
            </w14:solidFill>
          </w14:textFill>
        </w:rPr>
        <w:t>So, this research hypothesize that there is a positive association between financial performance and board independence.</w:t>
      </w:r>
    </w:p>
    <w:p w14:paraId="15C0A1D9">
      <w:pPr>
        <w:pStyle w:val="3"/>
        <w:spacing w:line="360" w:lineRule="auto"/>
        <w:rPr>
          <w:rFonts w:ascii="Arial" w:hAnsi="Arial" w:cs="Arial"/>
          <w:b/>
          <w:color w:val="000000" w:themeColor="text1"/>
          <w:sz w:val="24"/>
          <w:szCs w:val="24"/>
          <w14:textFill>
            <w14:solidFill>
              <w14:schemeClr w14:val="tx1"/>
            </w14:solidFill>
          </w14:textFill>
        </w:rPr>
      </w:pPr>
      <w:bookmarkStart w:id="17" w:name="_Toc220693658"/>
      <w:r>
        <w:rPr>
          <w:rFonts w:ascii="Arial" w:hAnsi="Arial" w:cs="Arial"/>
          <w:b/>
          <w:color w:val="000000" w:themeColor="text1"/>
          <w:sz w:val="24"/>
          <w:szCs w:val="24"/>
          <w14:textFill>
            <w14:solidFill>
              <w14:schemeClr w14:val="tx1"/>
            </w14:solidFill>
          </w14:textFill>
        </w:rPr>
        <w:t>2.7 Financial literacy of the board</w:t>
      </w:r>
      <w:bookmarkEnd w:id="17"/>
    </w:p>
    <w:p w14:paraId="42C9BE1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Hambrick and Manson (1984) has suggested that board members must have two types of knowledge. First one is the functional knowledge about marketing, law, economics, finance and accounting and the other knowledge is about firm specific such as knowledge about the firm, about its structure and its business operations. Similar opinion is held by Wan Yusoff and Armstrong (2012) who specified that board members must possess a comprehensive understanding and expertise in the field of finance. Based on the premise of agency theory, board members should be well versed in accounting and finance, to participate in important decision making and oversee management successfully (Purta 2024; Francis et al. 2012). Also, the resource dependency theory suggests that insight will be increased with diversity of expertise (Putra, 2024). In addition to this, board members must have knowledge of financial statements and accounting principles (Guner et al. 2008). The idea behind this notion is that if board members are not competent and knowledgeable in finance that they would not be able to detect financial reporting fraud and thus earnings quality would be compromised (Garcia-Sanchez et al., 2017). Because of experienced financial member, all other members of the board will be more aware and sensitive of management activities. Numerous benefits are associated with board’s financial literacy. For example; the board of directors can help to implement internal control system (Johl et al. 2015), improvement in firm’s performance (Musallam, 2020) and increase in Return on Equity (ROE) prior to COVID-19 (Boshnak et al. 2023). However, others have demonstrated the opposite association between them (Abdeljawad and Masri 2020). To sum up, this research hypothesise that financial performance of the firm will be enhanced, if board members have financial knowledge, even in the crises like COVID-19. </w:t>
      </w:r>
    </w:p>
    <w:p w14:paraId="3F939515">
      <w:pPr>
        <w:pStyle w:val="3"/>
        <w:spacing w:line="360" w:lineRule="auto"/>
        <w:rPr>
          <w:rFonts w:ascii="Arial" w:hAnsi="Arial" w:cs="Arial"/>
          <w:b/>
          <w:color w:val="000000" w:themeColor="text1"/>
          <w:sz w:val="24"/>
          <w:szCs w:val="24"/>
          <w14:textFill>
            <w14:solidFill>
              <w14:schemeClr w14:val="tx1"/>
            </w14:solidFill>
          </w14:textFill>
        </w:rPr>
      </w:pPr>
      <w:bookmarkStart w:id="18" w:name="_Toc220693659"/>
      <w:r>
        <w:rPr>
          <w:rFonts w:ascii="Arial" w:hAnsi="Arial" w:cs="Arial"/>
          <w:b/>
          <w:color w:val="000000" w:themeColor="text1"/>
          <w:sz w:val="24"/>
          <w:szCs w:val="24"/>
          <w14:textFill>
            <w14:solidFill>
              <w14:schemeClr w14:val="tx1"/>
            </w14:solidFill>
          </w14:textFill>
        </w:rPr>
        <w:t>2.8 Gender diversity on the board</w:t>
      </w:r>
      <w:bookmarkEnd w:id="18"/>
    </w:p>
    <w:p w14:paraId="792CC57B">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Orazalin (2020) suggested that gender diversity is another significant component to enhance the efficiency of board of directors is gender diversity that can be crucial to improve firms’ activities as a control mechanism. But now a days, countries all over the world are making efforts to include women as part of their boards (Adams and Funk, 2012). It's now obvious that these efforts have been made, even though having women in top management is still a major issue (Desvaux et al. 2010). Some of the differences between women and men, with women behave respectfully and kindlier, while men are more result-oriented, power seeking and more resilient (Burgess and Borgida 1999). It is widely believed that men in board activities can be more effective because of their optimism and self-confidence (Markoczy et al. 2020). On the contrary, Simionescu et al. (2021) stated that women are more confident in their beliefs and principles, they are courageous enough to speak openly and criticize, particularly when board is not functioning according to their intellectual values. Yasser (2012) stated that under agency theory, presence of female in boardrooms offers a source of competitive advantage as they are creative that leads to superior decision-making and increased financial performance. Nguyen et al. (2020) under the premise of resource dependency theory suggests that women are more careful, ambitious, add new perspectives, attend board-meetings on a regular basis and bring new experiences to the board. On the other hand, Wang et al. (2019) opposed the view and said that diversity at board my act as source of conflict, prone to less cooperativeness and unclear communication, thus leading to less effective decision making at the board. </w:t>
      </w:r>
    </w:p>
    <w:p w14:paraId="02FB1AB3">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Several authors have found a positive association between firm’s performance and the presence of woman on the board (see for example; Nguyen and Huynh, 2023; Brahma et al. 2021). On the other hand, numerous researchers have found the opposite. For example Jebran and Chen (2023) pointed out that the process of decision making takes a longer time than expected, if there is a gender diversity on the board. Marinova et al. (2016) added that firms have to incur additional costs when women are present on the board and such costs cannot be easily offset. Some even went on to argue that gender diversity has destructive effects on firm’s value (Kabir et al. 2023; Fariha et al. 2022). Based on the existing literature, it has been hypothesized that there is a positive relationship between gender diversity on the board and firms’ performance. </w:t>
      </w:r>
    </w:p>
    <w:p w14:paraId="0C06D10A">
      <w:pPr>
        <w:pStyle w:val="3"/>
        <w:spacing w:line="360" w:lineRule="auto"/>
        <w:rPr>
          <w:rFonts w:ascii="Arial" w:hAnsi="Arial" w:cs="Arial"/>
          <w:b/>
          <w:color w:val="000000" w:themeColor="text1"/>
          <w:sz w:val="24"/>
          <w:szCs w:val="24"/>
          <w14:textFill>
            <w14:solidFill>
              <w14:schemeClr w14:val="tx1"/>
            </w14:solidFill>
          </w14:textFill>
        </w:rPr>
      </w:pPr>
      <w:bookmarkStart w:id="19" w:name="_Toc220693660"/>
      <w:r>
        <w:rPr>
          <w:rFonts w:ascii="Arial" w:hAnsi="Arial" w:cs="Arial"/>
          <w:b/>
          <w:color w:val="000000" w:themeColor="text1"/>
          <w:sz w:val="24"/>
          <w:szCs w:val="24"/>
          <w14:textFill>
            <w14:solidFill>
              <w14:schemeClr w14:val="tx1"/>
            </w14:solidFill>
          </w14:textFill>
        </w:rPr>
        <w:t>2.9 Meetings of the board</w:t>
      </w:r>
      <w:bookmarkEnd w:id="19"/>
    </w:p>
    <w:p w14:paraId="3047BB3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It shows how many times the members of the board are meeting to discuss and manage the firm’s affairs (Jensen, 1993). According to the agency theory, one party owns the business (the shareholders) and the other party runs the business (the management), information asymmetry may arise as a result of conflict of interest as both parties may have different goals (Salehi et al. 2022). As shareholders are the owner’s, so they elect board members to create a coherent environment in the organization, they make timely and suitable strategic plans, and also, they observe management actions regularly to maximize the wealth of shareholders’ (Eluyela et al. 2018). In order to ensure that firm is performing well and meeting its objectives, the board of directors must hold meetings frequently to provide guidance in a timely manner, thus showing effective oversight and control (Ntim and Osei 2011). Two other benefits of frequent board meetings includes: firstly, it assists board to be up-to-date with what is happening in the company and secondly, it helps board members to better understand the firm based on the information (Wijethilake et al., 2015). Several researchers have pointed out that as the frequency of board meetings increase, the more helpful it is for business in financial terms and maximization of shareholder’s wealth (Nguyen and Huynh, 2023; Wijethilake et al., 2015; Ntim and Osei 2011).</w:t>
      </w:r>
    </w:p>
    <w:p w14:paraId="0568AE01">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Conversely, as NED’s spend less time at the firm, so just having a lot of meetings is insufficient. Instead, the time used for these meetings can be utilized to talk through different goals, viewpoints and ideas of the management (Johl et al., 2015). They also added further that regular board meetings mean higher costs, including travel expenses, director fees, administrative support, a lot of time from managers and other resources either utilized properly or wasted. Altass (2022) has reported that firm’s performance is affected adversely by the frequency of board meetings. Overall, considering both the positive and negative perspectives of board meetings, it is anticipated that the frequency of board meetings will have a positive effect on financial performance of firms.</w:t>
      </w:r>
    </w:p>
    <w:p w14:paraId="77CB5391">
      <w:pPr>
        <w:pStyle w:val="3"/>
        <w:spacing w:line="360" w:lineRule="auto"/>
        <w:rPr>
          <w:rFonts w:ascii="Arial" w:hAnsi="Arial" w:cs="Arial"/>
          <w:b/>
          <w:color w:val="000000" w:themeColor="text1"/>
          <w:sz w:val="24"/>
          <w:szCs w:val="24"/>
          <w14:textFill>
            <w14:solidFill>
              <w14:schemeClr w14:val="tx1"/>
            </w14:solidFill>
          </w14:textFill>
        </w:rPr>
      </w:pPr>
      <w:bookmarkStart w:id="20" w:name="_Toc220693661"/>
      <w:r>
        <w:rPr>
          <w:rFonts w:ascii="Arial" w:hAnsi="Arial" w:cs="Arial"/>
          <w:b/>
          <w:color w:val="000000" w:themeColor="text1"/>
          <w:sz w:val="24"/>
          <w:szCs w:val="24"/>
          <w14:textFill>
            <w14:solidFill>
              <w14:schemeClr w14:val="tx1"/>
            </w14:solidFill>
          </w14:textFill>
        </w:rPr>
        <w:t>2.10 Characteristics of audit committee</w:t>
      </w:r>
      <w:bookmarkEnd w:id="20"/>
    </w:p>
    <w:p w14:paraId="57BDDFA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Occasionally, the interest of shareholders is overlooked by managers, so the audit committee can take care of owner’s interest. According to Salehi et al. (2018) the board must develop an audit committee consisting of  NED’s that will assist to maximize the wealth of shareholders’. Kyere and Ausloos (2021) stated that the purpose of audit committee is there to improve the quality of corporate financial reporting based on the guidelines and standards provided by the corporate governance council. It has been pointed out by Tarighi et al. (2023) that audit committee can act as an effective control mechanism that can assist to reduce information asymmetry. Now the question arises that what should be size of an audit committee. Salehi et al. (2018) specified that the resource dependency theory indicates that it is highly unlikely that large audit committees will be overestimated. Without any doubt, because of large audit committees, there is a strong control and monitoring and they can assist in adopting more suitable and precise accounting policies as they can use people who have greater knowledge and expertise (Salehi et al. 2018). A lot of studies have found a positive relationship between firm’s profitability and the size of audit committee (see for example Abeygunasekera et al. 2021; Abdulazeez et al. 2016; Wang et al. 2012). A contradictory view is built on an agency theory, proposing that when the size of audit committee is large, then the role of audit committees are weaker , thus adding costs for the firm’s (Al-Jalahma 2022; Fariha et al. 2021; Hillman and Dalziel 2003). Some researchers have revealed that the size of audit committee is a major contributing factor in the financial performance of the firm (Rezaei and Abbasi 2015), on the other hand; Salehi et al. (2018) and Kajola (2008) found no significant impact. Others such as Khatib &amp; Nour, 2021; Farwis et al. 2021 wanted to know whether there is any link between business performance and size of audit committee in the times of COVID-19. But they found no effect. Therefore, in light of the research based on agency and resource dependency theories, this study predicts that size of the audit committee can impact on firm’s performance meaningfully. </w:t>
      </w:r>
    </w:p>
    <w:p w14:paraId="36FB7F1C">
      <w:pPr>
        <w:tabs>
          <w:tab w:val="left" w:pos="1573"/>
        </w:tabs>
        <w:spacing w:line="360" w:lineRule="auto"/>
        <w:rPr>
          <w:rFonts w:ascii="Arial" w:hAnsi="Arial" w:cs="Arial"/>
          <w:color w:val="000000" w:themeColor="text1"/>
          <w:sz w:val="24"/>
          <w:szCs w:val="24"/>
          <w14:textFill>
            <w14:solidFill>
              <w14:schemeClr w14:val="tx1"/>
            </w14:solidFill>
          </w14:textFill>
        </w:rPr>
      </w:pPr>
    </w:p>
    <w:p w14:paraId="1BD79B26">
      <w:pPr>
        <w:tabs>
          <w:tab w:val="left" w:pos="1573"/>
        </w:tabs>
        <w:spacing w:line="360" w:lineRule="auto"/>
        <w:rPr>
          <w:rFonts w:ascii="Arial" w:hAnsi="Arial" w:cs="Arial"/>
          <w:color w:val="000000" w:themeColor="text1"/>
          <w:sz w:val="24"/>
          <w:szCs w:val="24"/>
          <w14:textFill>
            <w14:solidFill>
              <w14:schemeClr w14:val="tx1"/>
            </w14:solidFill>
          </w14:textFill>
        </w:rPr>
      </w:pPr>
    </w:p>
    <w:p w14:paraId="68B189C8">
      <w:pPr>
        <w:tabs>
          <w:tab w:val="left" w:pos="1573"/>
        </w:tabs>
        <w:spacing w:line="360" w:lineRule="auto"/>
        <w:rPr>
          <w:rFonts w:ascii="Arial" w:hAnsi="Arial" w:cs="Arial"/>
          <w:color w:val="000000" w:themeColor="text1"/>
          <w:sz w:val="24"/>
          <w:szCs w:val="24"/>
          <w14:textFill>
            <w14:solidFill>
              <w14:schemeClr w14:val="tx1"/>
            </w14:solidFill>
          </w14:textFill>
        </w:rPr>
      </w:pPr>
    </w:p>
    <w:p w14:paraId="396CBAB0">
      <w:pPr>
        <w:tabs>
          <w:tab w:val="left" w:pos="1573"/>
        </w:tabs>
        <w:spacing w:line="360" w:lineRule="auto"/>
        <w:rPr>
          <w:rFonts w:ascii="Arial" w:hAnsi="Arial" w:cs="Arial"/>
          <w:color w:val="000000" w:themeColor="text1"/>
          <w:sz w:val="24"/>
          <w:szCs w:val="24"/>
          <w14:textFill>
            <w14:solidFill>
              <w14:schemeClr w14:val="tx1"/>
            </w14:solidFill>
          </w14:textFill>
        </w:rPr>
      </w:pPr>
    </w:p>
    <w:p w14:paraId="24D293D0">
      <w:pPr>
        <w:tabs>
          <w:tab w:val="left" w:pos="1573"/>
        </w:tabs>
        <w:spacing w:line="360" w:lineRule="auto"/>
        <w:rPr>
          <w:rFonts w:ascii="Arial" w:hAnsi="Arial" w:cs="Arial"/>
          <w:color w:val="000000" w:themeColor="text1"/>
          <w:sz w:val="24"/>
          <w:szCs w:val="24"/>
          <w14:textFill>
            <w14:solidFill>
              <w14:schemeClr w14:val="tx1"/>
            </w14:solidFill>
          </w14:textFill>
        </w:rPr>
      </w:pPr>
    </w:p>
    <w:p w14:paraId="35D0D0C5">
      <w:pPr>
        <w:tabs>
          <w:tab w:val="left" w:pos="1573"/>
        </w:tabs>
        <w:spacing w:line="360" w:lineRule="auto"/>
        <w:rPr>
          <w:rFonts w:ascii="Arial" w:hAnsi="Arial" w:cs="Arial"/>
          <w:color w:val="000000" w:themeColor="text1"/>
          <w:sz w:val="24"/>
          <w:szCs w:val="24"/>
          <w14:textFill>
            <w14:solidFill>
              <w14:schemeClr w14:val="tx1"/>
            </w14:solidFill>
          </w14:textFill>
        </w:rPr>
      </w:pPr>
    </w:p>
    <w:p w14:paraId="3389EA6D">
      <w:pPr>
        <w:tabs>
          <w:tab w:val="left" w:pos="1573"/>
        </w:tabs>
        <w:spacing w:line="360" w:lineRule="auto"/>
        <w:rPr>
          <w:rFonts w:ascii="Arial" w:hAnsi="Arial" w:cs="Arial"/>
          <w:color w:val="000000" w:themeColor="text1"/>
          <w:sz w:val="24"/>
          <w:szCs w:val="24"/>
          <w14:textFill>
            <w14:solidFill>
              <w14:schemeClr w14:val="tx1"/>
            </w14:solidFill>
          </w14:textFill>
        </w:rPr>
      </w:pPr>
    </w:p>
    <w:p w14:paraId="52E70991">
      <w:pPr>
        <w:tabs>
          <w:tab w:val="left" w:pos="1573"/>
        </w:tabs>
        <w:spacing w:line="360" w:lineRule="auto"/>
        <w:rPr>
          <w:rFonts w:ascii="Arial" w:hAnsi="Arial" w:cs="Arial"/>
          <w:color w:val="000000" w:themeColor="text1"/>
          <w:sz w:val="24"/>
          <w:szCs w:val="24"/>
          <w14:textFill>
            <w14:solidFill>
              <w14:schemeClr w14:val="tx1"/>
            </w14:solidFill>
          </w14:textFill>
        </w:rPr>
      </w:pPr>
    </w:p>
    <w:p w14:paraId="2F68A34D">
      <w:pPr>
        <w:tabs>
          <w:tab w:val="left" w:pos="1573"/>
        </w:tabs>
        <w:spacing w:line="360" w:lineRule="auto"/>
        <w:rPr>
          <w:rFonts w:ascii="Arial" w:hAnsi="Arial" w:cs="Arial"/>
          <w:color w:val="000000" w:themeColor="text1"/>
          <w:sz w:val="24"/>
          <w:szCs w:val="24"/>
          <w14:textFill>
            <w14:solidFill>
              <w14:schemeClr w14:val="tx1"/>
            </w14:solidFill>
          </w14:textFill>
        </w:rPr>
      </w:pPr>
    </w:p>
    <w:p w14:paraId="2EA2F646">
      <w:pPr>
        <w:tabs>
          <w:tab w:val="left" w:pos="1573"/>
        </w:tabs>
        <w:spacing w:line="360" w:lineRule="auto"/>
        <w:rPr>
          <w:rFonts w:ascii="Arial" w:hAnsi="Arial" w:cs="Arial"/>
          <w:color w:val="000000" w:themeColor="text1"/>
          <w:sz w:val="24"/>
          <w:szCs w:val="24"/>
          <w14:textFill>
            <w14:solidFill>
              <w14:schemeClr w14:val="tx1"/>
            </w14:solidFill>
          </w14:textFill>
        </w:rPr>
      </w:pPr>
    </w:p>
    <w:p w14:paraId="01B2FE76">
      <w:pPr>
        <w:tabs>
          <w:tab w:val="left" w:pos="1573"/>
        </w:tabs>
        <w:spacing w:line="360" w:lineRule="auto"/>
        <w:rPr>
          <w:rFonts w:ascii="Arial" w:hAnsi="Arial" w:cs="Arial"/>
          <w:color w:val="000000" w:themeColor="text1"/>
          <w:sz w:val="24"/>
          <w:szCs w:val="24"/>
          <w14:textFill>
            <w14:solidFill>
              <w14:schemeClr w14:val="tx1"/>
            </w14:solidFill>
          </w14:textFill>
        </w:rPr>
      </w:pPr>
    </w:p>
    <w:p w14:paraId="5F131A71">
      <w:pPr>
        <w:tabs>
          <w:tab w:val="left" w:pos="1573"/>
        </w:tabs>
        <w:spacing w:line="360" w:lineRule="auto"/>
        <w:rPr>
          <w:rFonts w:ascii="Arial" w:hAnsi="Arial" w:cs="Arial"/>
          <w:color w:val="000000" w:themeColor="text1"/>
          <w:sz w:val="24"/>
          <w:szCs w:val="24"/>
          <w14:textFill>
            <w14:solidFill>
              <w14:schemeClr w14:val="tx1"/>
            </w14:solidFill>
          </w14:textFill>
        </w:rPr>
      </w:pPr>
    </w:p>
    <w:p w14:paraId="628C2757">
      <w:pPr>
        <w:tabs>
          <w:tab w:val="left" w:pos="1573"/>
        </w:tabs>
        <w:spacing w:line="360" w:lineRule="auto"/>
        <w:rPr>
          <w:rFonts w:ascii="Arial" w:hAnsi="Arial" w:cs="Arial"/>
          <w:color w:val="000000" w:themeColor="text1"/>
          <w:sz w:val="24"/>
          <w:szCs w:val="24"/>
          <w14:textFill>
            <w14:solidFill>
              <w14:schemeClr w14:val="tx1"/>
            </w14:solidFill>
          </w14:textFill>
        </w:rPr>
      </w:pPr>
    </w:p>
    <w:p w14:paraId="1F5374B2">
      <w:pPr>
        <w:tabs>
          <w:tab w:val="left" w:pos="1573"/>
        </w:tabs>
        <w:spacing w:line="360" w:lineRule="auto"/>
        <w:rPr>
          <w:rFonts w:ascii="Arial" w:hAnsi="Arial" w:cs="Arial"/>
          <w:color w:val="000000" w:themeColor="text1"/>
          <w:sz w:val="24"/>
          <w:szCs w:val="24"/>
          <w14:textFill>
            <w14:solidFill>
              <w14:schemeClr w14:val="tx1"/>
            </w14:solidFill>
          </w14:textFill>
        </w:rPr>
      </w:pPr>
    </w:p>
    <w:p w14:paraId="1A825112">
      <w:pPr>
        <w:tabs>
          <w:tab w:val="left" w:pos="1573"/>
        </w:tabs>
        <w:spacing w:line="360" w:lineRule="auto"/>
        <w:rPr>
          <w:rFonts w:ascii="Arial" w:hAnsi="Arial" w:cs="Arial"/>
          <w:color w:val="000000" w:themeColor="text1"/>
          <w:sz w:val="24"/>
          <w:szCs w:val="24"/>
          <w14:textFill>
            <w14:solidFill>
              <w14:schemeClr w14:val="tx1"/>
            </w14:solidFill>
          </w14:textFill>
        </w:rPr>
      </w:pPr>
    </w:p>
    <w:p w14:paraId="507058F7">
      <w:pPr>
        <w:tabs>
          <w:tab w:val="left" w:pos="1573"/>
        </w:tabs>
        <w:spacing w:line="360" w:lineRule="auto"/>
        <w:rPr>
          <w:rFonts w:ascii="Arial" w:hAnsi="Arial" w:cs="Arial"/>
          <w:color w:val="000000" w:themeColor="text1"/>
          <w:sz w:val="24"/>
          <w:szCs w:val="24"/>
          <w14:textFill>
            <w14:solidFill>
              <w14:schemeClr w14:val="tx1"/>
            </w14:solidFill>
          </w14:textFill>
        </w:rPr>
      </w:pPr>
    </w:p>
    <w:p w14:paraId="4F887306">
      <w:pPr>
        <w:tabs>
          <w:tab w:val="left" w:pos="1573"/>
        </w:tabs>
        <w:spacing w:line="360" w:lineRule="auto"/>
        <w:rPr>
          <w:rFonts w:ascii="Arial" w:hAnsi="Arial" w:cs="Arial"/>
          <w:color w:val="000000" w:themeColor="text1"/>
          <w:sz w:val="24"/>
          <w:szCs w:val="24"/>
          <w14:textFill>
            <w14:solidFill>
              <w14:schemeClr w14:val="tx1"/>
            </w14:solidFill>
          </w14:textFill>
        </w:rPr>
      </w:pPr>
    </w:p>
    <w:p w14:paraId="7B7F93AA">
      <w:pPr>
        <w:tabs>
          <w:tab w:val="left" w:pos="1573"/>
        </w:tabs>
        <w:spacing w:line="360" w:lineRule="auto"/>
        <w:rPr>
          <w:rFonts w:ascii="Arial" w:hAnsi="Arial" w:cs="Arial"/>
          <w:color w:val="000000" w:themeColor="text1"/>
          <w:sz w:val="24"/>
          <w:szCs w:val="24"/>
          <w14:textFill>
            <w14:solidFill>
              <w14:schemeClr w14:val="tx1"/>
            </w14:solidFill>
          </w14:textFill>
        </w:rPr>
      </w:pPr>
    </w:p>
    <w:p w14:paraId="007F1401">
      <w:pPr>
        <w:tabs>
          <w:tab w:val="left" w:pos="1573"/>
        </w:tabs>
        <w:spacing w:line="360" w:lineRule="auto"/>
        <w:rPr>
          <w:rFonts w:ascii="Arial" w:hAnsi="Arial" w:cs="Arial"/>
          <w:color w:val="000000" w:themeColor="text1"/>
          <w:sz w:val="24"/>
          <w:szCs w:val="24"/>
          <w14:textFill>
            <w14:solidFill>
              <w14:schemeClr w14:val="tx1"/>
            </w14:solidFill>
          </w14:textFill>
        </w:rPr>
      </w:pPr>
    </w:p>
    <w:p w14:paraId="24B48DA1">
      <w:pPr>
        <w:tabs>
          <w:tab w:val="left" w:pos="1573"/>
        </w:tabs>
        <w:spacing w:line="360" w:lineRule="auto"/>
        <w:rPr>
          <w:rFonts w:ascii="Arial" w:hAnsi="Arial" w:cs="Arial"/>
          <w:color w:val="000000" w:themeColor="text1"/>
          <w:sz w:val="24"/>
          <w:szCs w:val="24"/>
          <w14:textFill>
            <w14:solidFill>
              <w14:schemeClr w14:val="tx1"/>
            </w14:solidFill>
          </w14:textFill>
        </w:rPr>
      </w:pPr>
    </w:p>
    <w:p w14:paraId="61B2D9C4">
      <w:pPr>
        <w:pStyle w:val="2"/>
        <w:spacing w:line="360" w:lineRule="auto"/>
        <w:jc w:val="center"/>
        <w:rPr>
          <w:rFonts w:ascii="Arial" w:hAnsi="Arial" w:cs="Arial"/>
          <w:b/>
          <w:color w:val="000000" w:themeColor="text1"/>
          <w:sz w:val="24"/>
          <w:szCs w:val="24"/>
          <w14:textFill>
            <w14:solidFill>
              <w14:schemeClr w14:val="tx1"/>
            </w14:solidFill>
          </w14:textFill>
        </w:rPr>
      </w:pPr>
      <w:bookmarkStart w:id="21" w:name="_Toc220693662"/>
      <w:r>
        <w:rPr>
          <w:rFonts w:ascii="Arial" w:hAnsi="Arial" w:cs="Arial"/>
          <w:b/>
          <w:color w:val="000000" w:themeColor="text1"/>
          <w:sz w:val="24"/>
          <w:szCs w:val="24"/>
          <w14:textFill>
            <w14:solidFill>
              <w14:schemeClr w14:val="tx1"/>
            </w14:solidFill>
          </w14:textFill>
        </w:rPr>
        <w:t>Chapter 03: Research Methodology</w:t>
      </w:r>
      <w:bookmarkEnd w:id="21"/>
    </w:p>
    <w:p w14:paraId="7D60F6A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The research methodology used in this study is described in this chapter, along with the strategy, data collecting strategies, data analysis methodologies, and ethical issues. In order to accomplish the goals and answer the research questions outlined in Chapter 1, the research technique is essential.</w:t>
      </w:r>
    </w:p>
    <w:p w14:paraId="679044ED">
      <w:pPr>
        <w:pStyle w:val="3"/>
        <w:spacing w:line="360" w:lineRule="auto"/>
        <w:rPr>
          <w:rFonts w:ascii="Arial" w:hAnsi="Arial" w:cs="Arial"/>
          <w:b/>
          <w:color w:val="000000" w:themeColor="text1"/>
          <w:sz w:val="24"/>
          <w:szCs w:val="24"/>
          <w14:textFill>
            <w14:solidFill>
              <w14:schemeClr w14:val="tx1"/>
            </w14:solidFill>
          </w14:textFill>
        </w:rPr>
      </w:pPr>
      <w:bookmarkStart w:id="22" w:name="_Toc220693663"/>
      <w:r>
        <w:rPr>
          <w:rFonts w:ascii="Arial" w:hAnsi="Arial" w:cs="Arial"/>
          <w:b/>
          <w:color w:val="000000" w:themeColor="text1"/>
          <w:sz w:val="24"/>
          <w:szCs w:val="24"/>
          <w14:textFill>
            <w14:solidFill>
              <w14:schemeClr w14:val="tx1"/>
            </w14:solidFill>
          </w14:textFill>
        </w:rPr>
        <w:t>3.1 Philosophical perspectives of the research</w:t>
      </w:r>
      <w:bookmarkEnd w:id="22"/>
    </w:p>
    <w:p w14:paraId="49EC540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According to Creswell and Creswell (2023), in order to produce a knowledge claim, a researcher must follow specific methods to finish the study by adhering to specific beliefs, presumptions, and principles linked to their inquiry of work. They went on to add that each of the three main research approaches namely mixed methods,  quantitative, and qualitative has unique characteristics. (a) rhetoric: the research language; (b) methodology: the study techniques; (c) axiology: the function of value in the research; (d) epistemology: the researcher's position on knowledge and (e) ontology: the nature of reality</w:t>
      </w:r>
    </w:p>
    <w:p w14:paraId="0155D21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Creswell and Crewell (2023) stated that there are four worldviews: pragmatism, transformative, positivism and constructivism. However, the selection of research design is dependent on study’s objectives and on the questions it tries to answer, so it lays the foundation for the study and it also influences the choices that the researcher has to make throughout the process of research (Saunders et al., 2019). Since, this research wants to examine the influence of the pandemic on financial performance and corporate governance, therefore, this research will follow positivist worldwide as it deals with observations and quantitative data (Creswell and Creswell, 2023).</w:t>
      </w:r>
    </w:p>
    <w:p w14:paraId="33C6771E">
      <w:pPr>
        <w:pStyle w:val="3"/>
        <w:spacing w:line="360" w:lineRule="auto"/>
        <w:rPr>
          <w:rFonts w:ascii="Arial" w:hAnsi="Arial" w:cs="Arial"/>
          <w:b/>
          <w:color w:val="000000" w:themeColor="text1"/>
          <w:sz w:val="24"/>
          <w:szCs w:val="24"/>
          <w14:textFill>
            <w14:solidFill>
              <w14:schemeClr w14:val="tx1"/>
            </w14:solidFill>
          </w14:textFill>
        </w:rPr>
      </w:pPr>
      <w:bookmarkStart w:id="23" w:name="_Toc220693664"/>
      <w:r>
        <w:rPr>
          <w:rFonts w:ascii="Arial" w:hAnsi="Arial" w:cs="Arial"/>
          <w:b/>
          <w:color w:val="000000" w:themeColor="text1"/>
          <w:sz w:val="24"/>
          <w:szCs w:val="24"/>
          <w14:textFill>
            <w14:solidFill>
              <w14:schemeClr w14:val="tx1"/>
            </w14:solidFill>
          </w14:textFill>
        </w:rPr>
        <w:t>3.2 Research Design</w:t>
      </w:r>
      <w:bookmarkEnd w:id="23"/>
      <w:r>
        <w:rPr>
          <w:rFonts w:ascii="Arial" w:hAnsi="Arial" w:cs="Arial"/>
          <w:b/>
          <w:color w:val="000000" w:themeColor="text1"/>
          <w:sz w:val="24"/>
          <w:szCs w:val="24"/>
          <w14:textFill>
            <w14:solidFill>
              <w14:schemeClr w14:val="tx1"/>
            </w14:solidFill>
          </w14:textFill>
        </w:rPr>
        <w:t xml:space="preserve">  </w:t>
      </w:r>
    </w:p>
    <w:p w14:paraId="41827C5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This research study will utilize quantitative research methodology to scrutinize the effect of corporate governance on the performance of firms in the automobile sector in India. Data will be gather from the annual reports and so the data collection will be secondary in nature. Other statistical tools such as simple regression analysis will be applied. To gain insight into the effect of corporate governance on the performance of firms, data analysis will comprise of financial performance measures pre and post COVID-19 outbreak. </w:t>
      </w:r>
    </w:p>
    <w:p w14:paraId="6384ECD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Data will be collected from the automobile manufacturers listed on National Stock Exchange of India (NSE). Altogether, there are 10 automobile manufacturers in India (see table 1 below). </w:t>
      </w:r>
    </w:p>
    <w:p w14:paraId="7CB3F7F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Despite the fact that COVID-19 pandemic has spread around in India at the end of the financial year 2019-20, so during this financial year organizations were operating under normal working conditions, with slight delays in the latter half of March 2020. As a result of this, the pre-COVID baseline is FY2019–20. Since the COVID-19 pandemic caused severe disruptions because of demand shocks, supply chain disruptions and lockdowns impacted the automotive industry, therefore the financial year 2020-21 starting from April 2020 and ending on March 2021 is selected to fully account for the impact of COVID-19 on business performance. Similar approach has been adopted by researchers like Farwis et al. (2021) and Khatib and Nour (2021).</w:t>
      </w:r>
    </w:p>
    <w:tbl>
      <w:tblPr>
        <w:tblStyle w:val="16"/>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846"/>
        <w:gridCol w:w="4830"/>
      </w:tblGrid>
      <w:tr w14:paraId="3F849DD9">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PrEx>
        <w:trPr>
          <w:jc w:val="center"/>
        </w:trPr>
        <w:tc>
          <w:tcPr>
            <w:tcW w:w="5676" w:type="dxa"/>
            <w:gridSpan w:val="2"/>
            <w:tcBorders>
              <w:bottom w:val="nil"/>
              <w:right w:val="nil"/>
            </w:tcBorders>
            <w:shd w:val="clear" w:color="auto" w:fill="000000" w:themeFill="text1"/>
          </w:tcPr>
          <w:p w14:paraId="32D4EDDE">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FFFFFF" w:themeColor="background1"/>
                <w:sz w:val="24"/>
                <w:szCs w:val="24"/>
                <w14:textFill>
                  <w14:solidFill>
                    <w14:schemeClr w14:val="bg1"/>
                  </w14:solidFill>
                </w14:textFill>
              </w:rPr>
              <w:t>Table 3.1: Automobile producers in India</w:t>
            </w:r>
          </w:p>
        </w:tc>
      </w:tr>
      <w:tr w14:paraId="105223AF">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14:paraId="6D51F3C5">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1</w:t>
            </w:r>
          </w:p>
        </w:tc>
        <w:tc>
          <w:tcPr>
            <w:tcW w:w="4830" w:type="dxa"/>
            <w:tcBorders>
              <w:top w:val="single" w:color="000000" w:themeColor="text1" w:sz="4" w:space="0"/>
              <w:bottom w:val="single" w:color="000000" w:themeColor="text1" w:sz="4" w:space="0"/>
              <w:insideH w:val="single" w:sz="4" w:space="0"/>
            </w:tcBorders>
          </w:tcPr>
          <w:p w14:paraId="2B5887D7">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Maruti Suzuki India Limited</w:t>
            </w:r>
          </w:p>
        </w:tc>
      </w:tr>
      <w:tr w14:paraId="614AA5F9">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right w:val="nil"/>
              <w:insideV w:val="nil"/>
            </w:tcBorders>
            <w:shd w:val="clear" w:color="auto" w:fill="FFFFFF" w:themeFill="background1"/>
          </w:tcPr>
          <w:p w14:paraId="37E23EFA">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2</w:t>
            </w:r>
          </w:p>
        </w:tc>
        <w:tc>
          <w:tcPr>
            <w:tcW w:w="4830" w:type="dxa"/>
          </w:tcPr>
          <w:p w14:paraId="578ED2F1">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Mahindra &amp; Mahindra Limited</w:t>
            </w:r>
          </w:p>
        </w:tc>
      </w:tr>
      <w:tr w14:paraId="3F47A89D">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14:paraId="7AB512CD">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3</w:t>
            </w:r>
          </w:p>
        </w:tc>
        <w:tc>
          <w:tcPr>
            <w:tcW w:w="4830" w:type="dxa"/>
            <w:tcBorders>
              <w:top w:val="single" w:color="000000" w:themeColor="text1" w:sz="4" w:space="0"/>
              <w:bottom w:val="single" w:color="000000" w:themeColor="text1" w:sz="4" w:space="0"/>
              <w:insideH w:val="single" w:sz="4" w:space="0"/>
            </w:tcBorders>
          </w:tcPr>
          <w:p w14:paraId="4070AA16">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Bajaj Auto Limited</w:t>
            </w:r>
          </w:p>
        </w:tc>
      </w:tr>
      <w:tr w14:paraId="6532D3B1">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right w:val="nil"/>
              <w:insideV w:val="nil"/>
            </w:tcBorders>
            <w:shd w:val="clear" w:color="auto" w:fill="FFFFFF" w:themeFill="background1"/>
          </w:tcPr>
          <w:p w14:paraId="3346DA6A">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4</w:t>
            </w:r>
          </w:p>
        </w:tc>
        <w:tc>
          <w:tcPr>
            <w:tcW w:w="4830" w:type="dxa"/>
          </w:tcPr>
          <w:p w14:paraId="1358CEA8">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Eicher Motors Limited</w:t>
            </w:r>
          </w:p>
        </w:tc>
      </w:tr>
      <w:tr w14:paraId="4353D984">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14:paraId="64690314">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5</w:t>
            </w:r>
          </w:p>
        </w:tc>
        <w:tc>
          <w:tcPr>
            <w:tcW w:w="4830" w:type="dxa"/>
            <w:tcBorders>
              <w:top w:val="single" w:color="000000" w:themeColor="text1" w:sz="4" w:space="0"/>
              <w:bottom w:val="single" w:color="000000" w:themeColor="text1" w:sz="4" w:space="0"/>
              <w:insideH w:val="single" w:sz="4" w:space="0"/>
            </w:tcBorders>
          </w:tcPr>
          <w:p w14:paraId="345EFCF6">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TVS Motor Company Limited</w:t>
            </w:r>
          </w:p>
        </w:tc>
      </w:tr>
      <w:tr w14:paraId="77AC7D2B">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right w:val="nil"/>
              <w:insideV w:val="nil"/>
            </w:tcBorders>
            <w:shd w:val="clear" w:color="auto" w:fill="FFFFFF" w:themeFill="background1"/>
          </w:tcPr>
          <w:p w14:paraId="1C07B90C">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6</w:t>
            </w:r>
          </w:p>
        </w:tc>
        <w:tc>
          <w:tcPr>
            <w:tcW w:w="4830" w:type="dxa"/>
          </w:tcPr>
          <w:p w14:paraId="697B8D24">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Tata Motors Limited</w:t>
            </w:r>
          </w:p>
        </w:tc>
      </w:tr>
      <w:tr w14:paraId="7D00A05C">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14:paraId="7732D3F5">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7</w:t>
            </w:r>
          </w:p>
        </w:tc>
        <w:tc>
          <w:tcPr>
            <w:tcW w:w="4830" w:type="dxa"/>
            <w:tcBorders>
              <w:top w:val="single" w:color="000000" w:themeColor="text1" w:sz="4" w:space="0"/>
              <w:bottom w:val="single" w:color="000000" w:themeColor="text1" w:sz="4" w:space="0"/>
              <w:insideH w:val="single" w:sz="4" w:space="0"/>
            </w:tcBorders>
          </w:tcPr>
          <w:p w14:paraId="50E26795">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Hero Motocorp Limited</w:t>
            </w:r>
          </w:p>
        </w:tc>
      </w:tr>
      <w:tr w14:paraId="6CC40744">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right w:val="nil"/>
              <w:insideV w:val="nil"/>
            </w:tcBorders>
            <w:shd w:val="clear" w:color="auto" w:fill="FFFFFF" w:themeFill="background1"/>
          </w:tcPr>
          <w:p w14:paraId="5F7F9C00">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8</w:t>
            </w:r>
          </w:p>
        </w:tc>
        <w:tc>
          <w:tcPr>
            <w:tcW w:w="4830" w:type="dxa"/>
          </w:tcPr>
          <w:p w14:paraId="1EFDF37D">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Ashok Leyland Limited</w:t>
            </w:r>
          </w:p>
        </w:tc>
      </w:tr>
      <w:tr w14:paraId="5FE28631">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14:paraId="241D2989">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9</w:t>
            </w:r>
          </w:p>
        </w:tc>
        <w:tc>
          <w:tcPr>
            <w:tcW w:w="4830" w:type="dxa"/>
            <w:tcBorders>
              <w:top w:val="single" w:color="000000" w:themeColor="text1" w:sz="4" w:space="0"/>
              <w:bottom w:val="single" w:color="000000" w:themeColor="text1" w:sz="4" w:space="0"/>
              <w:insideH w:val="single" w:sz="4" w:space="0"/>
            </w:tcBorders>
          </w:tcPr>
          <w:p w14:paraId="112F678F">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Escorts Kubota Limited</w:t>
            </w:r>
          </w:p>
        </w:tc>
      </w:tr>
      <w:tr w14:paraId="79A067E0">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rPr>
          <w:jc w:val="center"/>
        </w:trPr>
        <w:tc>
          <w:tcPr>
            <w:tcW w:w="846" w:type="dxa"/>
            <w:tcBorders>
              <w:right w:val="nil"/>
              <w:insideV w:val="nil"/>
            </w:tcBorders>
            <w:shd w:val="clear" w:color="auto" w:fill="FFFFFF" w:themeFill="background1"/>
          </w:tcPr>
          <w:p w14:paraId="099E9982">
            <w:pPr>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10</w:t>
            </w:r>
          </w:p>
        </w:tc>
        <w:tc>
          <w:tcPr>
            <w:tcW w:w="4830" w:type="dxa"/>
          </w:tcPr>
          <w:p w14:paraId="7C194404">
            <w:pPr>
              <w:spacing w:after="0"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Force Motors Limited</w:t>
            </w:r>
          </w:p>
        </w:tc>
      </w:tr>
    </w:tbl>
    <w:p w14:paraId="66B9E831">
      <w:pPr>
        <w:spacing w:line="360" w:lineRule="auto"/>
        <w:rPr>
          <w:rFonts w:ascii="Arial" w:hAnsi="Arial" w:cs="Arial"/>
          <w:color w:val="000000" w:themeColor="text1"/>
          <w:sz w:val="24"/>
          <w:szCs w:val="24"/>
          <w14:textFill>
            <w14:solidFill>
              <w14:schemeClr w14:val="tx1"/>
            </w14:solidFill>
          </w14:textFill>
        </w:rPr>
      </w:pPr>
    </w:p>
    <w:p w14:paraId="7026FE6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Data on corporate governance is manually collected from the company's annual reports. Table 2 presents the variables and their measurement methods. However, information about the financial performance has been gathered from the same firms' financial statements (see table 3). Similar to other studies like Khatib &amp; Nour (2021) and Farwis et al. (2021), this study will employ a traditional t-test to investigate how COVID-19 affected governance in 2019 (before to COVID-19) and in 2020 (after COVID-19). The Ordinary Least Square (OLS) approach is used to investigate the relationship between corporate governance and the company's performance. Similar to a number of other research (see for example; Khatib &amp; Nour, 2021; Farwis et al., 2021), the panel data analysis approach that is appropriate for this investigation is chosen using the Hausman test. </w:t>
      </w:r>
    </w:p>
    <w:p w14:paraId="1E552657">
      <w:pPr>
        <w:pStyle w:val="3"/>
        <w:spacing w:line="360" w:lineRule="auto"/>
        <w:rPr>
          <w:rFonts w:ascii="Arial" w:hAnsi="Arial" w:cs="Arial"/>
          <w:b/>
          <w:color w:val="000000" w:themeColor="text1"/>
          <w:sz w:val="24"/>
          <w:szCs w:val="24"/>
          <w14:textFill>
            <w14:solidFill>
              <w14:schemeClr w14:val="tx1"/>
            </w14:solidFill>
          </w14:textFill>
        </w:rPr>
      </w:pPr>
      <w:bookmarkStart w:id="24" w:name="_Toc220693665"/>
      <w:r>
        <w:rPr>
          <w:rFonts w:ascii="Arial" w:hAnsi="Arial" w:cs="Arial"/>
          <w:b/>
          <w:color w:val="000000" w:themeColor="text1"/>
          <w:sz w:val="24"/>
          <w:szCs w:val="24"/>
          <w14:textFill>
            <w14:solidFill>
              <w14:schemeClr w14:val="tx1"/>
            </w14:solidFill>
          </w14:textFill>
        </w:rPr>
        <w:t>3.3 Research methods and tools</w:t>
      </w:r>
      <w:bookmarkEnd w:id="24"/>
    </w:p>
    <w:p w14:paraId="5E48877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In a similar manner to Farwis et al. (2021); Khatib &amp; Nour (2021) and Anas et al. (2023), this research will test the first hypothesis using the paired sample t-test that is used to compare the mean values of the same period of time, in this case, it is pre and post COVID-19 pandemic. The panel OLS technique is used to investigate the connection between the firm's performance and governance in order to assess the remaining hypothesis. Additionally, similar to prior research (see, for instance, Farwis et al. (2021); Khatib &amp; Nour (2021) and Anas et al. (2023), the Hausman test is used to choose the optimal model from a variety of options, including random effects, fixed effects, and pooling OLS. Similar to Baatwah et al. (2020), Farwis et al., (2021) and Khatib &amp; Nour (2021) a table of panel data in Excel has been made to analyze the data and look at every variable in order to achieve the study's goal.</w:t>
      </w:r>
    </w:p>
    <w:p w14:paraId="3ED5662C">
      <w:pPr>
        <w:pStyle w:val="3"/>
        <w:spacing w:line="360" w:lineRule="auto"/>
        <w:rPr>
          <w:rFonts w:ascii="Arial" w:hAnsi="Arial" w:cs="Arial"/>
          <w:b/>
          <w:color w:val="000000" w:themeColor="text1"/>
          <w:sz w:val="24"/>
          <w:szCs w:val="24"/>
          <w14:textFill>
            <w14:solidFill>
              <w14:schemeClr w14:val="tx1"/>
            </w14:solidFill>
          </w14:textFill>
        </w:rPr>
      </w:pPr>
      <w:bookmarkStart w:id="25" w:name="_Toc220693666"/>
      <w:r>
        <w:rPr>
          <w:rFonts w:ascii="Arial" w:hAnsi="Arial" w:cs="Arial"/>
          <w:b/>
          <w:color w:val="000000" w:themeColor="text1"/>
          <w:sz w:val="24"/>
          <w:szCs w:val="24"/>
          <w14:textFill>
            <w14:solidFill>
              <w14:schemeClr w14:val="tx1"/>
            </w14:solidFill>
          </w14:textFill>
        </w:rPr>
        <w:t>3.4  Regression model and measurements of variables</w:t>
      </w:r>
      <w:bookmarkEnd w:id="25"/>
      <w:r>
        <w:rPr>
          <w:rFonts w:ascii="Arial" w:hAnsi="Arial" w:cs="Arial"/>
          <w:b/>
          <w:color w:val="000000" w:themeColor="text1"/>
          <w:sz w:val="24"/>
          <w:szCs w:val="24"/>
          <w14:textFill>
            <w14:solidFill>
              <w14:schemeClr w14:val="tx1"/>
            </w14:solidFill>
          </w14:textFill>
        </w:rPr>
        <w:t xml:space="preserve"> </w:t>
      </w:r>
    </w:p>
    <w:p w14:paraId="3E31A6DF">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During the regression analysis, this study has used three dependent variables to measure firm performance. One is Tobin’s Q, a market-based measure of performance and other two are Return on Equity (ROE) and Return on Assets (ROA), referred to as accounting/book value measures. Conversely, corporate governance, leverage, and the year dummy variable are independent factors. Khatib &amp; Nour (2021) utilized accounting/book value measures only. Whilst Anas et al. (2023) and Farwis et al. (2021) have used both market-based and accounting/book value based measures to give a comprehensive insight. Additionally, the variables of corporate governance are derived from the research conducted by Farwis et al. (2021) and Khatib and Nour (2021). The information on the definitions and measurements of the variables is given in Tables 2 and 3 below. Therefore, the impact of corporate governance on a firm's performance is examined using the regression model that follows:</w:t>
      </w:r>
    </w:p>
    <w:p w14:paraId="777216A1">
      <w:pPr>
        <w:spacing w:line="360" w:lineRule="auto"/>
        <w:jc w:val="both"/>
        <w:rPr>
          <w:rFonts w:ascii="Arial" w:hAnsi="Arial" w:cs="Arial" w:eastAsiaTheme="minorEastAsia"/>
          <w:sz w:val="24"/>
          <w:szCs w:val="24"/>
        </w:rPr>
      </w:pPr>
      <m:oMath>
        <m:r>
          <m:rPr>
            <m:sty m:val="p"/>
          </m:rPr>
          <w:rPr>
            <w:rFonts w:ascii="Cambria Math" w:hAnsi="Cambria Math" w:cs="Arial"/>
            <w:sz w:val="24"/>
            <w:szCs w:val="24"/>
          </w:rPr>
          <m:t>Financial Performance (FPit)=</m:t>
        </m:r>
      </m:oMath>
      <w:r>
        <w:rPr>
          <w:rFonts w:ascii="Arial" w:hAnsi="Arial" w:cs="Arial" w:eastAsiaTheme="minorEastAsia"/>
          <w:sz w:val="24"/>
          <w:szCs w:val="24"/>
        </w:rPr>
        <w:t xml:space="preserve">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0 </m:t>
            </m:r>
            <m:ctrlPr>
              <w:rPr>
                <w:rFonts w:ascii="Cambria Math" w:hAnsi="Cambria Math" w:cs="Arial" w:eastAsiaTheme="minorEastAsia"/>
                <w:sz w:val="24"/>
                <w:szCs w:val="24"/>
              </w:rPr>
            </m:ctrlPr>
          </m:sub>
        </m:sSub>
      </m:oMath>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1</m:t>
            </m:r>
            <m:ctrlPr>
              <w:rPr>
                <w:rFonts w:ascii="Cambria Math" w:hAnsi="Cambria Math" w:cs="Arial" w:eastAsiaTheme="minorEastAsia"/>
                <w:sz w:val="24"/>
                <w:szCs w:val="24"/>
              </w:rPr>
            </m:ctrlPr>
          </m:sub>
        </m:sSub>
      </m:oMath>
      <w:r>
        <w:rPr>
          <w:rFonts w:ascii="Arial" w:hAnsi="Arial" w:cs="Arial" w:eastAsiaTheme="minorEastAsia"/>
          <w:sz w:val="24"/>
          <w:szCs w:val="24"/>
        </w:rPr>
        <w:t xml:space="preserve"> FYD</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sz w:val="24"/>
                <w:szCs w:val="24"/>
              </w:rPr>
            </m:ctrlPr>
          </m:sSubPr>
          <m:e>
            <m:r>
              <m:rPr>
                <m:sty m:val="p"/>
              </m:rPr>
              <w:rPr>
                <w:rFonts w:ascii="Cambria Math" w:hAnsi="Cambria Math" w:cs="Arial"/>
                <w:sz w:val="24"/>
                <w:szCs w:val="24"/>
              </w:rPr>
              <m:t>β</m:t>
            </m:r>
            <m:ctrlPr>
              <w:rPr>
                <w:rFonts w:ascii="Cambria Math" w:hAnsi="Cambria Math" w:cs="Arial"/>
                <w:sz w:val="24"/>
                <w:szCs w:val="24"/>
              </w:rPr>
            </m:ctrlPr>
          </m:e>
          <m:sub>
            <m:r>
              <m:rPr>
                <m:sty m:val="p"/>
              </m:rPr>
              <w:rPr>
                <w:rFonts w:ascii="Cambria Math" w:hAnsi="Cambria Math" w:cs="Arial"/>
                <w:sz w:val="24"/>
                <w:szCs w:val="24"/>
              </w:rPr>
              <m:t>2</m:t>
            </m:r>
            <m:ctrlPr>
              <w:rPr>
                <w:rFonts w:ascii="Cambria Math" w:hAnsi="Cambria Math" w:cs="Arial"/>
                <w:sz w:val="24"/>
                <w:szCs w:val="24"/>
              </w:rPr>
            </m:ctrlPr>
          </m:sub>
        </m:sSub>
      </m:oMath>
      <w:r>
        <w:rPr>
          <w:rFonts w:ascii="Arial" w:hAnsi="Arial" w:cs="Arial" w:eastAsiaTheme="minorEastAsia"/>
          <w:sz w:val="24"/>
          <w:szCs w:val="24"/>
        </w:rPr>
        <w:t>BS</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3</m:t>
            </m:r>
            <m:ctrlPr>
              <w:rPr>
                <w:rFonts w:ascii="Cambria Math" w:hAnsi="Cambria Math" w:cs="Arial" w:eastAsiaTheme="minorEastAsia"/>
                <w:sz w:val="24"/>
                <w:szCs w:val="24"/>
              </w:rPr>
            </m:ctrlPr>
          </m:sub>
        </m:sSub>
        <m:r>
          <m:rPr>
            <m:sty m:val="p"/>
          </m:rPr>
          <w:rPr>
            <w:rFonts w:ascii="Cambria Math" w:hAnsi="Cambria Math" w:cs="Arial" w:eastAsiaTheme="minorEastAsia"/>
            <w:sz w:val="24"/>
            <w:szCs w:val="24"/>
          </w:rPr>
          <m:t xml:space="preserve"> </m:t>
        </m:r>
      </m:oMath>
      <w:r>
        <w:rPr>
          <w:rFonts w:ascii="Arial" w:hAnsi="Arial" w:cs="Arial" w:eastAsiaTheme="minorEastAsia"/>
          <w:sz w:val="24"/>
          <w:szCs w:val="24"/>
        </w:rPr>
        <w:t>BI</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4 </m:t>
            </m:r>
            <m:ctrlPr>
              <w:rPr>
                <w:rFonts w:ascii="Cambria Math" w:hAnsi="Cambria Math" w:cs="Arial" w:eastAsiaTheme="minorEastAsia"/>
                <w:sz w:val="24"/>
                <w:szCs w:val="24"/>
              </w:rPr>
            </m:ctrlPr>
          </m:sub>
        </m:sSub>
      </m:oMath>
      <w:r>
        <w:rPr>
          <w:rFonts w:ascii="Arial" w:hAnsi="Arial" w:cs="Arial" w:eastAsiaTheme="minorEastAsia"/>
          <w:sz w:val="24"/>
          <w:szCs w:val="24"/>
        </w:rPr>
        <w:t>BFL</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5 </m:t>
            </m:r>
            <m:ctrlPr>
              <w:rPr>
                <w:rFonts w:ascii="Cambria Math" w:hAnsi="Cambria Math" w:cs="Arial" w:eastAsiaTheme="minorEastAsia"/>
                <w:sz w:val="24"/>
                <w:szCs w:val="24"/>
              </w:rPr>
            </m:ctrlPr>
          </m:sub>
        </m:sSub>
      </m:oMath>
      <w:r>
        <w:rPr>
          <w:rFonts w:ascii="Arial" w:hAnsi="Arial" w:cs="Arial" w:eastAsiaTheme="minorEastAsia"/>
          <w:sz w:val="24"/>
          <w:szCs w:val="24"/>
        </w:rPr>
        <w:t>BGD</w:t>
      </w:r>
      <w:r>
        <w:rPr>
          <w:rFonts w:ascii="Arial" w:hAnsi="Arial" w:cs="Arial" w:eastAsiaTheme="minorEastAsia"/>
          <w:sz w:val="24"/>
          <w:szCs w:val="24"/>
          <w:vertAlign w:val="subscript"/>
        </w:rPr>
        <w:t xml:space="preserve">it </w:t>
      </w:r>
      <w:r>
        <w:rPr>
          <w:rFonts w:ascii="Arial" w:hAnsi="Arial" w:cs="Arial" w:eastAsiaTheme="minorEastAsia"/>
          <w:sz w:val="24"/>
          <w:szCs w:val="24"/>
        </w:rPr>
        <w:t xml:space="preserve">+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6 </m:t>
            </m:r>
            <m:ctrlPr>
              <w:rPr>
                <w:rFonts w:ascii="Cambria Math" w:hAnsi="Cambria Math" w:cs="Arial" w:eastAsiaTheme="minorEastAsia"/>
                <w:sz w:val="24"/>
                <w:szCs w:val="24"/>
              </w:rPr>
            </m:ctrlPr>
          </m:sub>
        </m:sSub>
      </m:oMath>
      <w:r>
        <w:rPr>
          <w:rFonts w:ascii="Arial" w:hAnsi="Arial" w:cs="Arial" w:eastAsiaTheme="minorEastAsia"/>
          <w:sz w:val="24"/>
          <w:szCs w:val="24"/>
        </w:rPr>
        <w:t>BM</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7 </m:t>
            </m:r>
            <m:ctrlPr>
              <w:rPr>
                <w:rFonts w:ascii="Cambria Math" w:hAnsi="Cambria Math" w:cs="Arial" w:eastAsiaTheme="minorEastAsia"/>
                <w:sz w:val="24"/>
                <w:szCs w:val="24"/>
              </w:rPr>
            </m:ctrlPr>
          </m:sub>
        </m:sSub>
      </m:oMath>
      <w:r>
        <w:rPr>
          <w:rFonts w:ascii="Arial" w:hAnsi="Arial" w:cs="Arial" w:eastAsiaTheme="minorEastAsia"/>
          <w:sz w:val="24"/>
          <w:szCs w:val="24"/>
        </w:rPr>
        <w:t>ACS</w:t>
      </w:r>
      <w:r>
        <w:rPr>
          <w:rFonts w:ascii="Arial" w:hAnsi="Arial" w:cs="Arial" w:eastAsiaTheme="minorEastAsia"/>
          <w:sz w:val="24"/>
          <w:szCs w:val="24"/>
          <w:vertAlign w:val="subscript"/>
        </w:rPr>
        <w:t xml:space="preserve">it </w:t>
      </w:r>
      <w:r>
        <w:rPr>
          <w:rFonts w:ascii="Arial" w:hAnsi="Arial" w:cs="Arial" w:eastAsiaTheme="minorEastAsia"/>
          <w:sz w:val="24"/>
          <w:szCs w:val="24"/>
        </w:rPr>
        <w:t xml:space="preserve">+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8</m:t>
            </m:r>
            <m:ctrlPr>
              <w:rPr>
                <w:rFonts w:ascii="Cambria Math" w:hAnsi="Cambria Math" w:cs="Arial" w:eastAsiaTheme="minorEastAsia"/>
                <w:sz w:val="24"/>
                <w:szCs w:val="24"/>
              </w:rPr>
            </m:ctrlPr>
          </m:sub>
        </m:sSub>
      </m:oMath>
      <w:r>
        <w:rPr>
          <w:rFonts w:ascii="Arial" w:hAnsi="Arial" w:cs="Arial" w:eastAsiaTheme="minorEastAsia"/>
          <w:sz w:val="24"/>
          <w:szCs w:val="24"/>
        </w:rPr>
        <w:t>ACM</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9 </m:t>
            </m:r>
            <m:ctrlPr>
              <w:rPr>
                <w:rFonts w:ascii="Cambria Math" w:hAnsi="Cambria Math" w:cs="Arial" w:eastAsiaTheme="minorEastAsia"/>
                <w:sz w:val="24"/>
                <w:szCs w:val="24"/>
              </w:rPr>
            </m:ctrlPr>
          </m:sub>
        </m:sSub>
      </m:oMath>
      <w:r>
        <w:rPr>
          <w:rFonts w:ascii="Arial" w:hAnsi="Arial" w:cs="Arial" w:eastAsiaTheme="minorEastAsia"/>
          <w:sz w:val="24"/>
          <w:szCs w:val="24"/>
        </w:rPr>
        <w:t>LEV</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10</m:t>
            </m:r>
            <m:ctrlPr>
              <w:rPr>
                <w:rFonts w:ascii="Cambria Math" w:hAnsi="Cambria Math" w:cs="Arial" w:eastAsiaTheme="minorEastAsia"/>
                <w:sz w:val="24"/>
                <w:szCs w:val="24"/>
              </w:rPr>
            </m:ctrlPr>
          </m:sub>
        </m:sSub>
      </m:oMath>
      <w:r>
        <w:rPr>
          <w:rFonts w:ascii="Arial" w:hAnsi="Arial" w:cs="Arial" w:eastAsiaTheme="minorEastAsia"/>
          <w:sz w:val="24"/>
          <w:szCs w:val="24"/>
        </w:rPr>
        <w:t xml:space="preserve"> FS_LnTA</w:t>
      </w:r>
      <w:r>
        <w:rPr>
          <w:rFonts w:ascii="Arial" w:hAnsi="Arial" w:cs="Arial" w:eastAsiaTheme="minorEastAsia"/>
          <w:sz w:val="24"/>
          <w:szCs w:val="24"/>
          <w:vertAlign w:val="subscript"/>
        </w:rPr>
        <w:t>it</w:t>
      </w:r>
      <w:r>
        <w:rPr>
          <w:rFonts w:ascii="Arial" w:hAnsi="Arial" w:cs="Arial" w:eastAsiaTheme="minorEastAsia"/>
          <w:sz w:val="24"/>
          <w:szCs w:val="24"/>
        </w:rPr>
        <w:t xml:space="preserve"> + </w:t>
      </w:r>
      <m:oMath>
        <m:r>
          <m:rPr>
            <m:sty m:val="p"/>
          </m:rPr>
          <w:rPr>
            <w:rFonts w:ascii="Cambria Math" w:hAnsi="Cambria Math" w:cs="Arial" w:eastAsiaTheme="minorEastAsia"/>
            <w:sz w:val="24"/>
            <w:szCs w:val="24"/>
          </w:rPr>
          <m:t>e</m:t>
        </m:r>
      </m:oMath>
      <w:r>
        <w:rPr>
          <w:rFonts w:ascii="Arial" w:hAnsi="Arial" w:cs="Arial" w:eastAsiaTheme="minorEastAsia"/>
          <w:sz w:val="24"/>
          <w:szCs w:val="24"/>
          <w:vertAlign w:val="subscript"/>
        </w:rPr>
        <w:t>it</w:t>
      </w:r>
    </w:p>
    <w:p w14:paraId="1C41BFB6">
      <w:pPr>
        <w:spacing w:line="360" w:lineRule="auto"/>
        <w:jc w:val="both"/>
        <w:rPr>
          <w:rFonts w:ascii="Arial" w:hAnsi="Arial" w:cs="Arial" w:eastAsiaTheme="minorEastAsia"/>
          <w:sz w:val="24"/>
          <w:szCs w:val="24"/>
        </w:rPr>
      </w:pPr>
      <w:r>
        <w:rPr>
          <w:rFonts w:ascii="Arial" w:hAnsi="Arial" w:cs="Arial" w:eastAsiaTheme="minorEastAsia"/>
          <w:sz w:val="24"/>
          <w:szCs w:val="24"/>
        </w:rPr>
        <w:t>Where;</w:t>
      </w:r>
    </w:p>
    <w:p w14:paraId="71686EAD">
      <w:pPr>
        <w:spacing w:line="360" w:lineRule="auto"/>
        <w:jc w:val="both"/>
        <w:rPr>
          <w:rFonts w:ascii="Arial" w:hAnsi="Arial" w:cs="Arial"/>
          <w:sz w:val="24"/>
          <w:szCs w:val="24"/>
        </w:rPr>
      </w:pPr>
      <m:oMath>
        <m:sSub>
          <m:sSubPr>
            <m:ctrlPr>
              <w:rPr>
                <w:rFonts w:ascii="Cambria Math" w:hAnsi="Cambria Math" w:cs="Arial" w:eastAsiaTheme="minorEastAsia"/>
                <w:sz w:val="24"/>
                <w:szCs w:val="24"/>
              </w:rPr>
            </m:ctrlPr>
          </m:sSubPr>
          <m:e>
            <m:r>
              <m:rPr>
                <m:sty m:val="p"/>
              </m:rPr>
              <w:rPr>
                <w:rFonts w:ascii="Cambria Math" w:hAnsi="Cambria Math" w:cs="Arial" w:eastAsiaTheme="minorEastAsia"/>
                <w:sz w:val="24"/>
                <w:szCs w:val="24"/>
              </w:rPr>
              <m:t>β</m:t>
            </m:r>
            <m:ctrlPr>
              <w:rPr>
                <w:rFonts w:ascii="Cambria Math" w:hAnsi="Cambria Math" w:cs="Arial" w:eastAsiaTheme="minorEastAsia"/>
                <w:sz w:val="24"/>
                <w:szCs w:val="24"/>
              </w:rPr>
            </m:ctrlPr>
          </m:e>
          <m:sub>
            <m:r>
              <m:rPr>
                <m:sty m:val="p"/>
              </m:rPr>
              <w:rPr>
                <w:rFonts w:ascii="Cambria Math" w:hAnsi="Cambria Math" w:cs="Arial" w:eastAsiaTheme="minorEastAsia"/>
                <w:sz w:val="24"/>
                <w:szCs w:val="24"/>
              </w:rPr>
              <m:t xml:space="preserve">0 </m:t>
            </m:r>
            <m:ctrlPr>
              <w:rPr>
                <w:rFonts w:ascii="Cambria Math" w:hAnsi="Cambria Math" w:cs="Arial" w:eastAsiaTheme="minorEastAsia"/>
                <w:sz w:val="24"/>
                <w:szCs w:val="24"/>
              </w:rPr>
            </m:ctrlPr>
          </m:sub>
        </m:sSub>
      </m:oMath>
      <w:r>
        <w:rPr>
          <w:rFonts w:ascii="Arial" w:hAnsi="Arial" w:cs="Arial" w:eastAsiaTheme="minorEastAsia"/>
          <w:sz w:val="24"/>
          <w:szCs w:val="24"/>
        </w:rPr>
        <w:t xml:space="preserve">= Constant term </w:t>
      </w:r>
      <w:r>
        <w:rPr>
          <w:rFonts w:ascii="Arial" w:hAnsi="Arial" w:cs="Arial"/>
          <w:sz w:val="24"/>
          <w:szCs w:val="24"/>
        </w:rPr>
        <w:t>; BS = Board size; BI = Board independence</w:t>
      </w:r>
      <w:r>
        <w:rPr>
          <w:rFonts w:ascii="Arial" w:hAnsi="Arial" w:cs="Arial" w:eastAsiaTheme="minorEastAsia"/>
          <w:sz w:val="24"/>
          <w:szCs w:val="24"/>
        </w:rPr>
        <w:t>;</w:t>
      </w:r>
      <w:r>
        <w:rPr>
          <w:rFonts w:ascii="Arial" w:hAnsi="Arial" w:cs="Arial"/>
          <w:sz w:val="24"/>
          <w:szCs w:val="24"/>
        </w:rPr>
        <w:t xml:space="preserve"> BFL = Board’s financial literacy; BGD = Board’s gender diversity; BM = Board meetings; ACS = Audit committee size; ; ACM = Audit committee meetings; LVG = Leverage; </w:t>
      </w:r>
      <w:r>
        <w:rPr>
          <w:rFonts w:ascii="Arial" w:hAnsi="Arial" w:cs="Arial" w:eastAsiaTheme="minorEastAsia"/>
          <w:sz w:val="24"/>
          <w:szCs w:val="24"/>
        </w:rPr>
        <w:t xml:space="preserve">FS_LnTA </w:t>
      </w:r>
      <w:r>
        <w:rPr>
          <w:rFonts w:ascii="Arial" w:hAnsi="Arial" w:cs="Arial" w:eastAsiaTheme="minorEastAsia"/>
          <w:sz w:val="28"/>
          <w:szCs w:val="24"/>
          <w:vertAlign w:val="subscript"/>
        </w:rPr>
        <w:t xml:space="preserve">= </w:t>
      </w:r>
      <w:r>
        <w:rPr>
          <w:rFonts w:ascii="Arial" w:hAnsi="Arial" w:cs="Arial"/>
          <w:sz w:val="24"/>
          <w:szCs w:val="24"/>
        </w:rPr>
        <w:t>Firm Size (</w:t>
      </w:r>
      <w:r>
        <w:t xml:space="preserve">Natural logarithm of total assets) </w:t>
      </w:r>
      <w:r>
        <w:rPr>
          <w:rFonts w:ascii="Arial" w:hAnsi="Arial" w:cs="Arial"/>
          <w:sz w:val="24"/>
          <w:szCs w:val="24"/>
        </w:rPr>
        <w:t xml:space="preserve">; </w:t>
      </w:r>
      <w:r>
        <w:rPr>
          <w:rFonts w:ascii="Arial" w:hAnsi="Arial" w:cs="Arial" w:eastAsiaTheme="minorEastAsia"/>
          <w:sz w:val="24"/>
          <w:szCs w:val="24"/>
        </w:rPr>
        <w:t xml:space="preserve">FYD = </w:t>
      </w:r>
      <w:r>
        <w:rPr>
          <w:rFonts w:ascii="Arial" w:hAnsi="Arial" w:cs="Arial"/>
          <w:sz w:val="24"/>
          <w:szCs w:val="24"/>
        </w:rPr>
        <w:t xml:space="preserve">Dummy variable FY2019-2020 (Pre-COVID) = 0 and FY2020-2021 (Pre-COVID) = 1; </w:t>
      </w:r>
      <w:r>
        <w:rPr>
          <w:rFonts w:ascii="Arial" w:hAnsi="Arial" w:cs="Arial" w:eastAsiaTheme="minorEastAsia"/>
          <w:sz w:val="24"/>
          <w:szCs w:val="24"/>
        </w:rPr>
        <w:t>e</w:t>
      </w:r>
      <w:r>
        <w:rPr>
          <w:rFonts w:ascii="Arial" w:hAnsi="Arial" w:cs="Arial" w:eastAsiaTheme="minorEastAsia"/>
          <w:sz w:val="24"/>
          <w:szCs w:val="24"/>
          <w:vertAlign w:val="subscript"/>
        </w:rPr>
        <w:t xml:space="preserve">it </w:t>
      </w:r>
      <w:r>
        <w:rPr>
          <w:rFonts w:ascii="Arial" w:hAnsi="Arial" w:cs="Arial" w:eastAsiaTheme="minorEastAsia"/>
          <w:sz w:val="24"/>
          <w:szCs w:val="24"/>
        </w:rPr>
        <w:t>= Error terms</w:t>
      </w:r>
    </w:p>
    <w:tbl>
      <w:tblPr>
        <w:tblStyle w:val="12"/>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2627"/>
        <w:gridCol w:w="4165"/>
        <w:gridCol w:w="1430"/>
      </w:tblGrid>
      <w:tr w14:paraId="1F177F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493" w:type="dxa"/>
            <w:gridSpan w:val="4"/>
          </w:tcPr>
          <w:p w14:paraId="3E82357C">
            <w:pPr>
              <w:spacing w:after="0" w:line="360" w:lineRule="auto"/>
              <w:rPr>
                <w:rFonts w:ascii="Arial" w:hAnsi="Arial" w:cs="Arial" w:eastAsiaTheme="minorEastAsia"/>
                <w:b/>
                <w:sz w:val="24"/>
                <w:szCs w:val="24"/>
              </w:rPr>
            </w:pPr>
            <w:r>
              <w:rPr>
                <w:rFonts w:ascii="Arial" w:hAnsi="Arial" w:cs="Arial" w:eastAsiaTheme="minorEastAsia"/>
                <w:b/>
                <w:sz w:val="24"/>
                <w:szCs w:val="24"/>
              </w:rPr>
              <w:t>Table 3.2: Independent Variable (Corporate Governance) and how it is measured</w:t>
            </w:r>
          </w:p>
        </w:tc>
      </w:tr>
      <w:tr w14:paraId="658C99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6B2E451E">
            <w:pPr>
              <w:spacing w:after="0" w:line="360" w:lineRule="auto"/>
              <w:rPr>
                <w:rFonts w:ascii="Arial" w:hAnsi="Arial" w:cs="Arial" w:eastAsiaTheme="minorEastAsia"/>
                <w:b/>
                <w:sz w:val="24"/>
                <w:szCs w:val="24"/>
              </w:rPr>
            </w:pPr>
            <w:r>
              <w:rPr>
                <w:rFonts w:ascii="Arial" w:hAnsi="Arial" w:cs="Arial" w:eastAsiaTheme="minorEastAsia"/>
                <w:b/>
                <w:sz w:val="24"/>
                <w:szCs w:val="24"/>
              </w:rPr>
              <w:t>Variables</w:t>
            </w:r>
          </w:p>
        </w:tc>
        <w:tc>
          <w:tcPr>
            <w:tcW w:w="2736" w:type="dxa"/>
          </w:tcPr>
          <w:p w14:paraId="29845908">
            <w:pPr>
              <w:spacing w:after="0" w:line="360" w:lineRule="auto"/>
              <w:rPr>
                <w:rFonts w:ascii="Arial" w:hAnsi="Arial" w:cs="Arial" w:eastAsiaTheme="minorEastAsia"/>
                <w:b/>
                <w:sz w:val="24"/>
                <w:szCs w:val="24"/>
              </w:rPr>
            </w:pPr>
            <w:r>
              <w:rPr>
                <w:rFonts w:ascii="Arial" w:hAnsi="Arial" w:cs="Arial" w:eastAsiaTheme="minorEastAsia"/>
                <w:b/>
                <w:sz w:val="24"/>
                <w:szCs w:val="24"/>
              </w:rPr>
              <w:t>Used in Prior Research</w:t>
            </w:r>
          </w:p>
        </w:tc>
        <w:tc>
          <w:tcPr>
            <w:tcW w:w="4352" w:type="dxa"/>
          </w:tcPr>
          <w:p w14:paraId="513DBDCC">
            <w:pPr>
              <w:spacing w:after="0" w:line="360" w:lineRule="auto"/>
              <w:rPr>
                <w:rFonts w:ascii="Arial" w:hAnsi="Arial" w:cs="Arial" w:eastAsiaTheme="minorEastAsia"/>
                <w:b/>
                <w:sz w:val="24"/>
                <w:szCs w:val="24"/>
              </w:rPr>
            </w:pPr>
            <w:r>
              <w:rPr>
                <w:rFonts w:ascii="Arial" w:hAnsi="Arial" w:cs="Arial" w:eastAsiaTheme="minorEastAsia"/>
                <w:b/>
                <w:sz w:val="24"/>
                <w:szCs w:val="24"/>
              </w:rPr>
              <w:t>Measurements</w:t>
            </w:r>
          </w:p>
        </w:tc>
        <w:tc>
          <w:tcPr>
            <w:tcW w:w="1134" w:type="dxa"/>
          </w:tcPr>
          <w:p w14:paraId="21C83DE5">
            <w:pPr>
              <w:spacing w:after="0" w:line="360" w:lineRule="auto"/>
              <w:rPr>
                <w:rFonts w:ascii="Arial" w:hAnsi="Arial" w:cs="Arial" w:eastAsiaTheme="minorEastAsia"/>
                <w:b/>
                <w:sz w:val="24"/>
                <w:szCs w:val="24"/>
              </w:rPr>
            </w:pPr>
            <w:r>
              <w:rPr>
                <w:rFonts w:ascii="Arial" w:hAnsi="Arial" w:cs="Arial" w:eastAsiaTheme="minorEastAsia"/>
                <w:b/>
                <w:sz w:val="24"/>
                <w:szCs w:val="24"/>
              </w:rPr>
              <w:t>Source</w:t>
            </w:r>
          </w:p>
        </w:tc>
      </w:tr>
      <w:tr w14:paraId="60AA82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68D76C4F">
            <w:pPr>
              <w:spacing w:after="0" w:line="360" w:lineRule="auto"/>
              <w:rPr>
                <w:rFonts w:ascii="Arial" w:hAnsi="Arial" w:cs="Arial" w:eastAsiaTheme="minorEastAsia"/>
                <w:b/>
                <w:sz w:val="24"/>
                <w:szCs w:val="24"/>
              </w:rPr>
            </w:pPr>
            <w:r>
              <w:rPr>
                <w:rFonts w:ascii="Arial" w:hAnsi="Arial" w:cs="Arial" w:eastAsiaTheme="minorEastAsia"/>
                <w:b/>
                <w:sz w:val="24"/>
                <w:szCs w:val="24"/>
              </w:rPr>
              <w:t>ACMET</w:t>
            </w:r>
          </w:p>
        </w:tc>
        <w:tc>
          <w:tcPr>
            <w:tcW w:w="2736" w:type="dxa"/>
          </w:tcPr>
          <w:p w14:paraId="1518F544">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7058A863">
            <w:pPr>
              <w:spacing w:after="0" w:line="360" w:lineRule="auto"/>
              <w:jc w:val="both"/>
              <w:rPr>
                <w:rFonts w:ascii="Arial" w:hAnsi="Arial" w:cs="Arial" w:eastAsiaTheme="minorEastAsia"/>
                <w:sz w:val="24"/>
                <w:szCs w:val="24"/>
              </w:rPr>
            </w:pPr>
            <w:r>
              <w:rPr>
                <w:rFonts w:ascii="Arial" w:hAnsi="Arial" w:cs="Arial" w:eastAsiaTheme="minorEastAsia"/>
                <w:sz w:val="24"/>
                <w:szCs w:val="24"/>
              </w:rPr>
              <w:t>Meetings of the audit committee during a 12-month period</w:t>
            </w:r>
          </w:p>
        </w:tc>
        <w:tc>
          <w:tcPr>
            <w:tcW w:w="1134" w:type="dxa"/>
          </w:tcPr>
          <w:p w14:paraId="282E6D8E">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11B9A0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325A5665">
            <w:pPr>
              <w:spacing w:after="0" w:line="360" w:lineRule="auto"/>
              <w:rPr>
                <w:rFonts w:ascii="Arial" w:hAnsi="Arial" w:cs="Arial" w:eastAsiaTheme="minorEastAsia"/>
                <w:b/>
                <w:sz w:val="24"/>
                <w:szCs w:val="24"/>
              </w:rPr>
            </w:pPr>
            <w:r>
              <w:rPr>
                <w:rFonts w:ascii="Arial" w:hAnsi="Arial" w:cs="Arial" w:eastAsiaTheme="minorEastAsia"/>
                <w:b/>
                <w:sz w:val="24"/>
                <w:szCs w:val="24"/>
              </w:rPr>
              <w:t>ACSIZ</w:t>
            </w:r>
          </w:p>
        </w:tc>
        <w:tc>
          <w:tcPr>
            <w:tcW w:w="2736" w:type="dxa"/>
          </w:tcPr>
          <w:p w14:paraId="62943F27">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79F29EE0">
            <w:pPr>
              <w:spacing w:after="0" w:line="360" w:lineRule="auto"/>
              <w:jc w:val="both"/>
              <w:rPr>
                <w:rFonts w:ascii="Arial" w:hAnsi="Arial" w:cs="Arial" w:eastAsiaTheme="minorEastAsia"/>
                <w:sz w:val="24"/>
                <w:szCs w:val="24"/>
              </w:rPr>
            </w:pPr>
            <w:r>
              <w:rPr>
                <w:rFonts w:ascii="Arial" w:hAnsi="Arial" w:cs="Arial" w:eastAsiaTheme="minorEastAsia"/>
                <w:sz w:val="24"/>
                <w:szCs w:val="24"/>
              </w:rPr>
              <w:t>The audit committee's number of directors.</w:t>
            </w:r>
          </w:p>
        </w:tc>
        <w:tc>
          <w:tcPr>
            <w:tcW w:w="1134" w:type="dxa"/>
          </w:tcPr>
          <w:p w14:paraId="51E1D95E">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097910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6A25330E">
            <w:pPr>
              <w:spacing w:after="0" w:line="360" w:lineRule="auto"/>
              <w:rPr>
                <w:rFonts w:ascii="Arial" w:hAnsi="Arial" w:cs="Arial" w:eastAsiaTheme="minorEastAsia"/>
                <w:b/>
                <w:sz w:val="24"/>
                <w:szCs w:val="24"/>
              </w:rPr>
            </w:pPr>
            <w:r>
              <w:rPr>
                <w:rFonts w:ascii="Arial" w:hAnsi="Arial" w:cs="Arial" w:eastAsiaTheme="minorEastAsia"/>
                <w:b/>
                <w:sz w:val="24"/>
                <w:szCs w:val="24"/>
              </w:rPr>
              <w:t>BFL</w:t>
            </w:r>
          </w:p>
        </w:tc>
        <w:tc>
          <w:tcPr>
            <w:tcW w:w="2736" w:type="dxa"/>
          </w:tcPr>
          <w:p w14:paraId="59AB56FE">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6452E6D0">
            <w:pPr>
              <w:spacing w:after="0" w:line="360" w:lineRule="auto"/>
              <w:jc w:val="both"/>
              <w:rPr>
                <w:rFonts w:ascii="Arial" w:hAnsi="Arial" w:cs="Arial" w:eastAsiaTheme="minorEastAsia"/>
                <w:sz w:val="24"/>
                <w:szCs w:val="24"/>
              </w:rPr>
            </w:pPr>
            <w:r>
              <w:rPr>
                <w:rFonts w:ascii="Arial" w:hAnsi="Arial" w:cs="Arial" w:eastAsiaTheme="minorEastAsia"/>
                <w:sz w:val="24"/>
                <w:szCs w:val="24"/>
              </w:rPr>
              <w:t>The percentage of directors having experience in accounting and finance, or the number of directors with such backgrounds</w:t>
            </w:r>
          </w:p>
        </w:tc>
        <w:tc>
          <w:tcPr>
            <w:tcW w:w="1134" w:type="dxa"/>
          </w:tcPr>
          <w:p w14:paraId="5FC5337D">
            <w:pPr>
              <w:spacing w:after="0" w:line="360" w:lineRule="auto"/>
              <w:jc w:val="both"/>
              <w:rPr>
                <w:rFonts w:ascii="Arial" w:hAnsi="Arial" w:cs="Arial" w:eastAsiaTheme="minorEastAsia"/>
                <w:sz w:val="24"/>
                <w:szCs w:val="24"/>
              </w:rPr>
            </w:pPr>
            <w:r>
              <w:rPr>
                <w:rFonts w:ascii="Arial" w:hAnsi="Arial" w:cs="Arial" w:eastAsiaTheme="minorEastAsia"/>
                <w:sz w:val="24"/>
                <w:szCs w:val="24"/>
              </w:rPr>
              <w:t>Website of the firm</w:t>
            </w:r>
          </w:p>
        </w:tc>
      </w:tr>
      <w:tr w14:paraId="55930A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7FECB7EA">
            <w:pPr>
              <w:spacing w:after="0" w:line="360" w:lineRule="auto"/>
              <w:rPr>
                <w:rFonts w:ascii="Arial" w:hAnsi="Arial" w:cs="Arial" w:eastAsiaTheme="minorEastAsia"/>
                <w:b/>
                <w:sz w:val="24"/>
                <w:szCs w:val="24"/>
              </w:rPr>
            </w:pPr>
            <w:r>
              <w:rPr>
                <w:rFonts w:ascii="Arial" w:hAnsi="Arial" w:cs="Arial" w:eastAsiaTheme="minorEastAsia"/>
                <w:b/>
                <w:sz w:val="24"/>
                <w:szCs w:val="24"/>
              </w:rPr>
              <w:t>BMET</w:t>
            </w:r>
          </w:p>
        </w:tc>
        <w:tc>
          <w:tcPr>
            <w:tcW w:w="2736" w:type="dxa"/>
          </w:tcPr>
          <w:p w14:paraId="19C3061A">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5B14B09D">
            <w:pPr>
              <w:spacing w:after="0" w:line="360" w:lineRule="auto"/>
              <w:jc w:val="both"/>
              <w:rPr>
                <w:rFonts w:ascii="Arial" w:hAnsi="Arial" w:cs="Arial" w:eastAsiaTheme="minorEastAsia"/>
                <w:sz w:val="24"/>
                <w:szCs w:val="24"/>
              </w:rPr>
            </w:pPr>
            <w:r>
              <w:rPr>
                <w:rFonts w:ascii="Arial" w:hAnsi="Arial" w:cs="Arial" w:eastAsiaTheme="minorEastAsia"/>
                <w:sz w:val="24"/>
                <w:szCs w:val="24"/>
              </w:rPr>
              <w:t>The number of board meetings held over the course of a year</w:t>
            </w:r>
          </w:p>
        </w:tc>
        <w:tc>
          <w:tcPr>
            <w:tcW w:w="1134" w:type="dxa"/>
          </w:tcPr>
          <w:p w14:paraId="1566EB07">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1F8937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45E7DCEF">
            <w:pPr>
              <w:spacing w:after="0" w:line="360" w:lineRule="auto"/>
              <w:rPr>
                <w:rFonts w:ascii="Arial" w:hAnsi="Arial" w:cs="Arial" w:eastAsiaTheme="minorEastAsia"/>
                <w:b/>
                <w:sz w:val="24"/>
                <w:szCs w:val="24"/>
              </w:rPr>
            </w:pPr>
            <w:r>
              <w:rPr>
                <w:rFonts w:ascii="Arial" w:hAnsi="Arial" w:cs="Arial" w:eastAsiaTheme="minorEastAsia"/>
                <w:b/>
                <w:sz w:val="24"/>
                <w:szCs w:val="24"/>
              </w:rPr>
              <w:t>BGDIV</w:t>
            </w:r>
          </w:p>
        </w:tc>
        <w:tc>
          <w:tcPr>
            <w:tcW w:w="2736" w:type="dxa"/>
          </w:tcPr>
          <w:p w14:paraId="777865F8">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25FD80BE">
            <w:pPr>
              <w:spacing w:after="0" w:line="360" w:lineRule="auto"/>
              <w:jc w:val="both"/>
              <w:rPr>
                <w:rFonts w:ascii="Arial" w:hAnsi="Arial" w:cs="Arial" w:eastAsiaTheme="minorEastAsia"/>
                <w:sz w:val="24"/>
                <w:szCs w:val="24"/>
              </w:rPr>
            </w:pPr>
            <w:r>
              <w:rPr>
                <w:rFonts w:ascii="Arial" w:hAnsi="Arial" w:cs="Arial" w:eastAsiaTheme="minorEastAsia"/>
                <w:sz w:val="24"/>
                <w:szCs w:val="24"/>
              </w:rPr>
              <w:t>The percentage of female board members on the board</w:t>
            </w:r>
          </w:p>
        </w:tc>
        <w:tc>
          <w:tcPr>
            <w:tcW w:w="1134" w:type="dxa"/>
          </w:tcPr>
          <w:p w14:paraId="08DEC6A1">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706FD6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504D9BED">
            <w:pPr>
              <w:spacing w:after="0" w:line="360" w:lineRule="auto"/>
              <w:rPr>
                <w:rFonts w:ascii="Arial" w:hAnsi="Arial" w:cs="Arial" w:eastAsiaTheme="minorEastAsia"/>
                <w:b/>
                <w:sz w:val="24"/>
                <w:szCs w:val="24"/>
              </w:rPr>
            </w:pPr>
            <w:r>
              <w:rPr>
                <w:rFonts w:ascii="Arial" w:hAnsi="Arial" w:cs="Arial" w:eastAsiaTheme="minorEastAsia"/>
                <w:b/>
                <w:sz w:val="24"/>
                <w:szCs w:val="24"/>
              </w:rPr>
              <w:t>BIND</w:t>
            </w:r>
          </w:p>
        </w:tc>
        <w:tc>
          <w:tcPr>
            <w:tcW w:w="2736" w:type="dxa"/>
          </w:tcPr>
          <w:p w14:paraId="76FCAF4A">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421E857D">
            <w:pPr>
              <w:spacing w:after="0" w:line="360" w:lineRule="auto"/>
              <w:jc w:val="both"/>
              <w:rPr>
                <w:rFonts w:ascii="Arial" w:hAnsi="Arial" w:cs="Arial" w:eastAsiaTheme="minorEastAsia"/>
                <w:sz w:val="24"/>
                <w:szCs w:val="24"/>
              </w:rPr>
            </w:pPr>
            <w:r>
              <w:rPr>
                <w:rFonts w:ascii="Arial" w:hAnsi="Arial" w:cs="Arial" w:eastAsiaTheme="minorEastAsia"/>
                <w:sz w:val="24"/>
                <w:szCs w:val="24"/>
              </w:rPr>
              <w:t>The percentage of Non-Executive Directors (NEDs) on the board, or their presence on the board.</w:t>
            </w:r>
          </w:p>
        </w:tc>
        <w:tc>
          <w:tcPr>
            <w:tcW w:w="1134" w:type="dxa"/>
          </w:tcPr>
          <w:p w14:paraId="09EAE5AE">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3405E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38FE8A19">
            <w:pPr>
              <w:spacing w:after="0" w:line="360" w:lineRule="auto"/>
              <w:rPr>
                <w:rFonts w:ascii="Arial" w:hAnsi="Arial" w:cs="Arial" w:eastAsiaTheme="minorEastAsia"/>
                <w:b/>
                <w:sz w:val="24"/>
                <w:szCs w:val="24"/>
              </w:rPr>
            </w:pPr>
            <w:r>
              <w:rPr>
                <w:rFonts w:ascii="Arial" w:hAnsi="Arial" w:cs="Arial" w:eastAsiaTheme="minorEastAsia"/>
                <w:b/>
                <w:sz w:val="24"/>
                <w:szCs w:val="24"/>
              </w:rPr>
              <w:t>BSIZ</w:t>
            </w:r>
          </w:p>
        </w:tc>
        <w:tc>
          <w:tcPr>
            <w:tcW w:w="2736" w:type="dxa"/>
          </w:tcPr>
          <w:p w14:paraId="393BAA8F">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352" w:type="dxa"/>
          </w:tcPr>
          <w:p w14:paraId="071163ED">
            <w:pPr>
              <w:spacing w:after="0" w:line="360" w:lineRule="auto"/>
              <w:jc w:val="both"/>
              <w:rPr>
                <w:rFonts w:ascii="Arial" w:hAnsi="Arial" w:cs="Arial" w:eastAsiaTheme="minorEastAsia"/>
                <w:sz w:val="24"/>
                <w:szCs w:val="24"/>
              </w:rPr>
            </w:pPr>
            <w:r>
              <w:rPr>
                <w:rFonts w:ascii="Arial" w:hAnsi="Arial" w:cs="Arial" w:eastAsiaTheme="minorEastAsia"/>
                <w:sz w:val="24"/>
                <w:szCs w:val="24"/>
              </w:rPr>
              <w:t>The total number of board members.</w:t>
            </w:r>
          </w:p>
        </w:tc>
        <w:tc>
          <w:tcPr>
            <w:tcW w:w="1134" w:type="dxa"/>
          </w:tcPr>
          <w:p w14:paraId="02090D91">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bl>
    <w:p w14:paraId="7DAC757E">
      <w:pPr>
        <w:rPr>
          <w:rFonts w:ascii="Arial" w:hAnsi="Arial" w:cs="Arial" w:eastAsiaTheme="minorEastAsia"/>
          <w:sz w:val="24"/>
          <w:szCs w:val="24"/>
        </w:rPr>
      </w:pPr>
    </w:p>
    <w:p w14:paraId="04AF3A10">
      <w:pPr>
        <w:rPr>
          <w:rFonts w:ascii="Arial" w:hAnsi="Arial" w:cs="Arial" w:eastAsiaTheme="minorEastAsia"/>
          <w:sz w:val="24"/>
          <w:szCs w:val="24"/>
        </w:rPr>
      </w:pPr>
    </w:p>
    <w:tbl>
      <w:tblPr>
        <w:tblStyle w:val="12"/>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2552"/>
        <w:gridCol w:w="4240"/>
        <w:gridCol w:w="1430"/>
      </w:tblGrid>
      <w:tr w14:paraId="10A816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493" w:type="dxa"/>
            <w:gridSpan w:val="4"/>
          </w:tcPr>
          <w:p w14:paraId="72477CF6">
            <w:pPr>
              <w:spacing w:after="0" w:line="240" w:lineRule="auto"/>
              <w:rPr>
                <w:rFonts w:ascii="Arial" w:hAnsi="Arial" w:cs="Arial" w:eastAsiaTheme="minorEastAsia"/>
                <w:b/>
                <w:sz w:val="24"/>
                <w:szCs w:val="24"/>
              </w:rPr>
            </w:pPr>
            <w:r>
              <w:rPr>
                <w:rFonts w:ascii="Arial" w:hAnsi="Arial" w:cs="Arial" w:eastAsiaTheme="minorEastAsia"/>
                <w:b/>
                <w:sz w:val="24"/>
                <w:szCs w:val="24"/>
              </w:rPr>
              <w:t xml:space="preserve">Table 3.3: Dependent Variable (Financial Performance) and how it is measured </w:t>
            </w:r>
          </w:p>
        </w:tc>
      </w:tr>
      <w:tr w14:paraId="63A60E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6BBF2147">
            <w:pPr>
              <w:spacing w:after="0" w:line="240" w:lineRule="auto"/>
              <w:rPr>
                <w:rFonts w:ascii="Arial" w:hAnsi="Arial" w:cs="Arial" w:eastAsiaTheme="minorEastAsia"/>
                <w:b/>
                <w:sz w:val="24"/>
                <w:szCs w:val="24"/>
              </w:rPr>
            </w:pPr>
            <w:r>
              <w:rPr>
                <w:rFonts w:ascii="Arial" w:hAnsi="Arial" w:cs="Arial" w:eastAsiaTheme="minorEastAsia"/>
                <w:b/>
                <w:sz w:val="24"/>
                <w:szCs w:val="24"/>
              </w:rPr>
              <w:t>Variables</w:t>
            </w:r>
          </w:p>
        </w:tc>
        <w:tc>
          <w:tcPr>
            <w:tcW w:w="2552" w:type="dxa"/>
          </w:tcPr>
          <w:p w14:paraId="28B6308B">
            <w:pPr>
              <w:spacing w:after="0" w:line="240" w:lineRule="auto"/>
              <w:rPr>
                <w:rFonts w:ascii="Arial" w:hAnsi="Arial" w:cs="Arial" w:eastAsiaTheme="minorEastAsia"/>
                <w:b/>
                <w:sz w:val="24"/>
                <w:szCs w:val="24"/>
              </w:rPr>
            </w:pPr>
            <w:r>
              <w:rPr>
                <w:rFonts w:ascii="Arial" w:hAnsi="Arial" w:cs="Arial" w:eastAsiaTheme="minorEastAsia"/>
                <w:b/>
                <w:sz w:val="24"/>
                <w:szCs w:val="24"/>
              </w:rPr>
              <w:t>Used in Prior Research</w:t>
            </w:r>
          </w:p>
        </w:tc>
        <w:tc>
          <w:tcPr>
            <w:tcW w:w="4240" w:type="dxa"/>
          </w:tcPr>
          <w:p w14:paraId="736399B0">
            <w:pPr>
              <w:spacing w:after="0" w:line="240" w:lineRule="auto"/>
              <w:rPr>
                <w:rFonts w:ascii="Arial" w:hAnsi="Arial" w:cs="Arial" w:eastAsiaTheme="minorEastAsia"/>
                <w:b/>
                <w:sz w:val="24"/>
                <w:szCs w:val="24"/>
              </w:rPr>
            </w:pPr>
            <w:r>
              <w:rPr>
                <w:rFonts w:ascii="Arial" w:hAnsi="Arial" w:cs="Arial" w:eastAsiaTheme="minorEastAsia"/>
                <w:b/>
                <w:sz w:val="24"/>
                <w:szCs w:val="24"/>
              </w:rPr>
              <w:t>Measurements</w:t>
            </w:r>
          </w:p>
        </w:tc>
        <w:tc>
          <w:tcPr>
            <w:tcW w:w="1430" w:type="dxa"/>
          </w:tcPr>
          <w:p w14:paraId="6EC36D88">
            <w:pPr>
              <w:spacing w:after="0" w:line="240" w:lineRule="auto"/>
              <w:rPr>
                <w:rFonts w:ascii="Arial" w:hAnsi="Arial" w:cs="Arial" w:eastAsiaTheme="minorEastAsia"/>
                <w:b/>
                <w:sz w:val="24"/>
                <w:szCs w:val="24"/>
              </w:rPr>
            </w:pPr>
            <w:r>
              <w:rPr>
                <w:rFonts w:ascii="Arial" w:hAnsi="Arial" w:cs="Arial" w:eastAsiaTheme="minorEastAsia"/>
                <w:b/>
                <w:sz w:val="24"/>
                <w:szCs w:val="24"/>
              </w:rPr>
              <w:t>Source</w:t>
            </w:r>
          </w:p>
        </w:tc>
      </w:tr>
      <w:tr w14:paraId="7746D5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54B9A570">
            <w:pPr>
              <w:spacing w:after="0" w:line="360" w:lineRule="auto"/>
              <w:jc w:val="both"/>
              <w:rPr>
                <w:rFonts w:ascii="Arial" w:hAnsi="Arial" w:cs="Arial" w:eastAsiaTheme="minorEastAsia"/>
                <w:b/>
                <w:sz w:val="24"/>
                <w:szCs w:val="24"/>
              </w:rPr>
            </w:pPr>
            <w:r>
              <w:rPr>
                <w:rFonts w:ascii="Arial" w:hAnsi="Arial" w:cs="Arial" w:eastAsiaTheme="minorEastAsia"/>
                <w:b/>
                <w:sz w:val="24"/>
                <w:szCs w:val="24"/>
              </w:rPr>
              <w:t>LVG</w:t>
            </w:r>
          </w:p>
        </w:tc>
        <w:tc>
          <w:tcPr>
            <w:tcW w:w="2552" w:type="dxa"/>
          </w:tcPr>
          <w:p w14:paraId="4FD242F6">
            <w:pPr>
              <w:spacing w:after="0" w:line="360" w:lineRule="auto"/>
              <w:jc w:val="both"/>
              <w:rPr>
                <w:rFonts w:ascii="Arial" w:hAnsi="Arial" w:cs="Arial" w:eastAsiaTheme="minorEastAsia"/>
                <w:sz w:val="24"/>
                <w:szCs w:val="24"/>
              </w:rPr>
            </w:pPr>
            <w:r>
              <w:rPr>
                <w:rFonts w:ascii="Arial" w:hAnsi="Arial" w:eastAsia="Calibri" w:cs="Arial"/>
                <w:sz w:val="24"/>
                <w:szCs w:val="24"/>
              </w:rPr>
              <w:t xml:space="preserve">Farwis et al. (2021) and Khatib &amp; Nour (2021)  </w:t>
            </w:r>
          </w:p>
        </w:tc>
        <w:tc>
          <w:tcPr>
            <w:tcW w:w="4240" w:type="dxa"/>
          </w:tcPr>
          <w:p w14:paraId="3B2D278E">
            <w:pPr>
              <w:spacing w:after="0" w:line="360" w:lineRule="auto"/>
              <w:jc w:val="both"/>
              <w:rPr>
                <w:rFonts w:ascii="Arial" w:hAnsi="Arial" w:cs="Arial" w:eastAsiaTheme="minorEastAsia"/>
                <w:sz w:val="24"/>
                <w:szCs w:val="24"/>
              </w:rPr>
            </w:pPr>
            <w:r>
              <w:rPr>
                <w:rFonts w:ascii="Arial" w:hAnsi="Arial" w:cs="Arial" w:eastAsiaTheme="minorEastAsia"/>
                <w:sz w:val="24"/>
                <w:szCs w:val="24"/>
              </w:rPr>
              <w:t>Total liabilities to total assets</w:t>
            </w:r>
          </w:p>
        </w:tc>
        <w:tc>
          <w:tcPr>
            <w:tcW w:w="1430" w:type="dxa"/>
          </w:tcPr>
          <w:p w14:paraId="5EF31509">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r w14:paraId="669845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360F62A5">
            <w:pPr>
              <w:spacing w:after="0" w:line="360" w:lineRule="auto"/>
              <w:jc w:val="both"/>
              <w:rPr>
                <w:rFonts w:ascii="Arial" w:hAnsi="Arial" w:cs="Arial" w:eastAsiaTheme="minorEastAsia"/>
                <w:b/>
                <w:sz w:val="24"/>
                <w:szCs w:val="24"/>
              </w:rPr>
            </w:pPr>
            <w:r>
              <w:rPr>
                <w:rFonts w:ascii="Arial" w:hAnsi="Arial" w:cs="Arial" w:eastAsiaTheme="minorEastAsia"/>
                <w:b/>
                <w:sz w:val="24"/>
                <w:szCs w:val="24"/>
              </w:rPr>
              <w:t>FP</w:t>
            </w:r>
          </w:p>
        </w:tc>
        <w:tc>
          <w:tcPr>
            <w:tcW w:w="2552" w:type="dxa"/>
          </w:tcPr>
          <w:p w14:paraId="4D3519A9">
            <w:pPr>
              <w:spacing w:after="0" w:line="360" w:lineRule="auto"/>
              <w:jc w:val="both"/>
              <w:rPr>
                <w:rFonts w:ascii="Arial" w:hAnsi="Arial" w:cs="Arial" w:eastAsiaTheme="minorEastAsia"/>
                <w:sz w:val="24"/>
                <w:szCs w:val="24"/>
              </w:rPr>
            </w:pPr>
            <w:r>
              <w:rPr>
                <w:rFonts w:ascii="Arial" w:hAnsi="Arial" w:eastAsia="Calibri" w:cs="Arial"/>
                <w:sz w:val="24"/>
                <w:szCs w:val="24"/>
              </w:rPr>
              <w:t>Khatib &amp; Nour (2021) and Farwis et al. (2021)</w:t>
            </w:r>
          </w:p>
        </w:tc>
        <w:tc>
          <w:tcPr>
            <w:tcW w:w="4240" w:type="dxa"/>
          </w:tcPr>
          <w:p w14:paraId="0EDF108E">
            <w:pPr>
              <w:pStyle w:val="15"/>
              <w:numPr>
                <w:ilvl w:val="0"/>
                <w:numId w:val="3"/>
              </w:numPr>
              <w:spacing w:after="0" w:line="360" w:lineRule="auto"/>
              <w:ind w:left="315" w:hanging="284"/>
              <w:jc w:val="both"/>
              <w:rPr>
                <w:rFonts w:ascii="Arial" w:hAnsi="Arial" w:cs="Arial" w:eastAsiaTheme="minorEastAsia"/>
                <w:sz w:val="24"/>
                <w:szCs w:val="24"/>
              </w:rPr>
            </w:pPr>
            <w:r>
              <w:rPr>
                <w:rFonts w:ascii="Arial" w:hAnsi="Arial" w:cs="Arial" w:eastAsiaTheme="minorEastAsia"/>
                <w:sz w:val="24"/>
                <w:szCs w:val="24"/>
              </w:rPr>
              <w:t>ROA: Gross profit divided by total assets</w:t>
            </w:r>
          </w:p>
          <w:p w14:paraId="6F733797">
            <w:pPr>
              <w:pStyle w:val="15"/>
              <w:numPr>
                <w:ilvl w:val="0"/>
                <w:numId w:val="3"/>
              </w:numPr>
              <w:spacing w:after="0" w:line="360" w:lineRule="auto"/>
              <w:ind w:left="315" w:hanging="284"/>
              <w:jc w:val="both"/>
              <w:rPr>
                <w:rFonts w:ascii="Arial" w:hAnsi="Arial" w:cs="Arial" w:eastAsiaTheme="minorEastAsia"/>
                <w:sz w:val="24"/>
                <w:szCs w:val="24"/>
              </w:rPr>
            </w:pPr>
            <w:r>
              <w:rPr>
                <w:rFonts w:ascii="Arial" w:hAnsi="Arial" w:cs="Arial" w:eastAsiaTheme="minorEastAsia"/>
                <w:sz w:val="24"/>
                <w:szCs w:val="24"/>
              </w:rPr>
              <w:t>ROE: Gross profit divided by shareholder’s equity</w:t>
            </w:r>
          </w:p>
          <w:p w14:paraId="37631864">
            <w:pPr>
              <w:pStyle w:val="15"/>
              <w:numPr>
                <w:ilvl w:val="0"/>
                <w:numId w:val="3"/>
              </w:numPr>
              <w:spacing w:after="0" w:line="360" w:lineRule="auto"/>
              <w:ind w:left="315" w:hanging="284"/>
              <w:jc w:val="both"/>
              <w:rPr>
                <w:rFonts w:ascii="Arial" w:hAnsi="Arial" w:cs="Arial" w:eastAsiaTheme="minorEastAsia"/>
                <w:sz w:val="24"/>
                <w:szCs w:val="24"/>
              </w:rPr>
            </w:pPr>
            <w:r>
              <w:rPr>
                <w:rFonts w:ascii="Arial" w:hAnsi="Arial" w:cs="Arial" w:eastAsiaTheme="minorEastAsia"/>
                <w:sz w:val="24"/>
                <w:szCs w:val="24"/>
              </w:rPr>
              <w:t xml:space="preserve">Tobin’s Q: Market value of </w:t>
            </w:r>
          </w:p>
          <w:p w14:paraId="5016897E">
            <w:pPr>
              <w:pStyle w:val="15"/>
              <w:spacing w:after="0" w:line="360" w:lineRule="auto"/>
              <w:ind w:left="315"/>
              <w:jc w:val="both"/>
              <w:rPr>
                <w:rFonts w:ascii="Arial" w:hAnsi="Arial" w:cs="Arial" w:eastAsiaTheme="minorEastAsia"/>
                <w:sz w:val="24"/>
                <w:szCs w:val="24"/>
              </w:rPr>
            </w:pPr>
            <w:r>
              <w:rPr>
                <w:rFonts w:ascii="Arial" w:hAnsi="Arial" w:cs="Arial" w:eastAsiaTheme="minorEastAsia"/>
                <w:sz w:val="24"/>
                <w:szCs w:val="24"/>
              </w:rPr>
              <w:t xml:space="preserve"> ordinary share plus carrying value of obligations divided by carrying value of total assets </w:t>
            </w:r>
          </w:p>
        </w:tc>
        <w:tc>
          <w:tcPr>
            <w:tcW w:w="1430" w:type="dxa"/>
          </w:tcPr>
          <w:p w14:paraId="55CC1667">
            <w:pPr>
              <w:spacing w:after="0" w:line="360" w:lineRule="auto"/>
              <w:jc w:val="both"/>
              <w:rPr>
                <w:rFonts w:ascii="Arial" w:hAnsi="Arial" w:cs="Arial" w:eastAsiaTheme="minorEastAsia"/>
                <w:sz w:val="24"/>
                <w:szCs w:val="24"/>
              </w:rPr>
            </w:pPr>
            <w:r>
              <w:rPr>
                <w:rFonts w:ascii="Arial" w:hAnsi="Arial" w:eastAsia="Calibri" w:cs="Arial"/>
                <w:sz w:val="24"/>
                <w:szCs w:val="24"/>
              </w:rPr>
              <w:t>Financial Statements</w:t>
            </w:r>
          </w:p>
        </w:tc>
      </w:tr>
    </w:tbl>
    <w:p w14:paraId="327EBDD2">
      <w:pPr>
        <w:rPr>
          <w:rFonts w:ascii="Arial" w:hAnsi="Arial" w:cs="Arial" w:eastAsiaTheme="minorEastAsia"/>
          <w:sz w:val="24"/>
          <w:szCs w:val="24"/>
        </w:rPr>
      </w:pPr>
    </w:p>
    <w:p w14:paraId="7C0EDEB9">
      <w:pPr>
        <w:pStyle w:val="3"/>
        <w:spacing w:line="360" w:lineRule="auto"/>
        <w:rPr>
          <w:rFonts w:ascii="Arial" w:hAnsi="Arial" w:cs="Arial" w:eastAsiaTheme="minorEastAsia"/>
          <w:b/>
          <w:color w:val="000000" w:themeColor="text1"/>
          <w:sz w:val="24"/>
          <w:szCs w:val="24"/>
          <w14:textFill>
            <w14:solidFill>
              <w14:schemeClr w14:val="tx1"/>
            </w14:solidFill>
          </w14:textFill>
        </w:rPr>
      </w:pPr>
      <w:bookmarkStart w:id="26" w:name="_Toc220693667"/>
      <w:r>
        <w:rPr>
          <w:rFonts w:ascii="Arial" w:hAnsi="Arial" w:cs="Arial" w:eastAsiaTheme="minorEastAsia"/>
          <w:b/>
          <w:color w:val="000000" w:themeColor="text1"/>
          <w:sz w:val="24"/>
          <w:szCs w:val="24"/>
          <w14:textFill>
            <w14:solidFill>
              <w14:schemeClr w14:val="tx1"/>
            </w14:solidFill>
          </w14:textFill>
        </w:rPr>
        <w:t>3.5 Hypothesis of the research</w:t>
      </w:r>
      <w:bookmarkEnd w:id="26"/>
    </w:p>
    <w:p w14:paraId="451741BE">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color w:val="000000" w:themeColor="text1"/>
          <w:sz w:val="24"/>
          <w:szCs w:val="24"/>
          <w14:textFill>
            <w14:solidFill>
              <w14:schemeClr w14:val="tx1"/>
            </w14:solidFill>
          </w14:textFill>
        </w:rPr>
        <w:t xml:space="preserve">There is a demand to reorganize organizational capital, design and  policies in response to the COVID-19 pandemic, which has highlighted major concerns about the conventional board's oversight role in managing the risk coming from such unknown events in the future (Shen et al. 2020). In summary, further study is required in this area and governance systems must adapt to handle any future unpredictable occurrence, like as the COVID-19 pandemic, which undoubtedly affected performance of organizations. The relationship between corporate governance and COVID-19 has only been studied in developed countries, as noted by Koutoupis et al. (2021), and study from emerging nations like India is still needed in this field. Therefore, by examining the following hypotheses, this study hopes to add to the literature on COVID-19 and corporate governance: </w:t>
      </w:r>
    </w:p>
    <w:p w14:paraId="5D868A00">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H1</w:t>
      </w:r>
      <w:r>
        <w:rPr>
          <w:rFonts w:ascii="Arial" w:hAnsi="Arial" w:cs="Arial" w:eastAsiaTheme="minorEastAsia"/>
          <w:color w:val="000000" w:themeColor="text1"/>
          <w:sz w:val="24"/>
          <w:szCs w:val="24"/>
          <w14:textFill>
            <w14:solidFill>
              <w14:schemeClr w14:val="tx1"/>
            </w14:solidFill>
          </w14:textFill>
        </w:rPr>
        <w:t xml:space="preserve">: The company's financial performance and corporate governance structure are significantly impacted by the COVID-19 epidemic. </w:t>
      </w:r>
    </w:p>
    <w:p w14:paraId="491F66B1">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H2</w:t>
      </w:r>
      <w:r>
        <w:rPr>
          <w:rFonts w:ascii="Arial" w:hAnsi="Arial" w:cs="Arial" w:eastAsiaTheme="minorEastAsia"/>
          <w:color w:val="000000" w:themeColor="text1"/>
          <w:sz w:val="24"/>
          <w:szCs w:val="24"/>
          <w14:textFill>
            <w14:solidFill>
              <w14:schemeClr w14:val="tx1"/>
            </w14:solidFill>
          </w14:textFill>
        </w:rPr>
        <w:t xml:space="preserve">: The company's success is positively and significantly impacted by the size of the board. </w:t>
      </w:r>
    </w:p>
    <w:p w14:paraId="00887BA4">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H3</w:t>
      </w:r>
      <w:r>
        <w:rPr>
          <w:rFonts w:ascii="Arial" w:hAnsi="Arial" w:cs="Arial" w:eastAsiaTheme="minorEastAsia"/>
          <w:color w:val="000000" w:themeColor="text1"/>
          <w:sz w:val="24"/>
          <w:szCs w:val="24"/>
          <w14:textFill>
            <w14:solidFill>
              <w14:schemeClr w14:val="tx1"/>
            </w14:solidFill>
          </w14:textFill>
        </w:rPr>
        <w:t>: The company's performance is positively and significantly impacted by the board's independence.</w:t>
      </w:r>
    </w:p>
    <w:p w14:paraId="7B47D5A4">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H4</w:t>
      </w:r>
      <w:r>
        <w:rPr>
          <w:rFonts w:ascii="Arial" w:hAnsi="Arial" w:cs="Arial" w:eastAsiaTheme="minorEastAsia"/>
          <w:color w:val="000000" w:themeColor="text1"/>
          <w:sz w:val="24"/>
          <w:szCs w:val="24"/>
          <w14:textFill>
            <w14:solidFill>
              <w14:schemeClr w14:val="tx1"/>
            </w14:solidFill>
          </w14:textFill>
        </w:rPr>
        <w:t xml:space="preserve">: The company's success is positively and significantly impacted by the board members' financial qualifications. </w:t>
      </w:r>
    </w:p>
    <w:p w14:paraId="333F2209">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H5</w:t>
      </w:r>
      <w:r>
        <w:rPr>
          <w:rFonts w:ascii="Arial" w:hAnsi="Arial" w:cs="Arial" w:eastAsiaTheme="minorEastAsia"/>
          <w:color w:val="000000" w:themeColor="text1"/>
          <w:sz w:val="24"/>
          <w:szCs w:val="24"/>
          <w14:textFill>
            <w14:solidFill>
              <w14:schemeClr w14:val="tx1"/>
            </w14:solidFill>
          </w14:textFill>
        </w:rPr>
        <w:t xml:space="preserve">: The company's performance is positively and significantly impacted by the gender diversity of the board. </w:t>
      </w:r>
    </w:p>
    <w:p w14:paraId="4A3614A0">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H6</w:t>
      </w:r>
      <w:r>
        <w:rPr>
          <w:rFonts w:ascii="Arial" w:hAnsi="Arial" w:cs="Arial" w:eastAsiaTheme="minorEastAsia"/>
          <w:color w:val="000000" w:themeColor="text1"/>
          <w:sz w:val="24"/>
          <w:szCs w:val="24"/>
          <w14:textFill>
            <w14:solidFill>
              <w14:schemeClr w14:val="tx1"/>
            </w14:solidFill>
          </w14:textFill>
        </w:rPr>
        <w:t>: The number of board meetings has a favorable and substantial effect on the company's success.</w:t>
      </w:r>
    </w:p>
    <w:p w14:paraId="4215B06B">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H7a</w:t>
      </w:r>
      <w:r>
        <w:rPr>
          <w:rFonts w:ascii="Arial" w:hAnsi="Arial" w:cs="Arial" w:eastAsiaTheme="minorEastAsia"/>
          <w:color w:val="000000" w:themeColor="text1"/>
          <w:sz w:val="24"/>
          <w:szCs w:val="24"/>
          <w14:textFill>
            <w14:solidFill>
              <w14:schemeClr w14:val="tx1"/>
            </w14:solidFill>
          </w14:textFill>
        </w:rPr>
        <w:t>:. The size of the audit committee has a favorable and substantial effect on the company's performance.</w:t>
      </w:r>
    </w:p>
    <w:p w14:paraId="78285A2C">
      <w:pPr>
        <w:spacing w:line="360" w:lineRule="auto"/>
        <w:jc w:val="both"/>
        <w:rPr>
          <w:rFonts w:ascii="Arial" w:hAnsi="Arial" w:cs="Arial" w:eastAsiaTheme="minorEastAsia"/>
          <w:color w:val="000000" w:themeColor="text1"/>
          <w:sz w:val="24"/>
          <w:szCs w:val="24"/>
          <w14:textFill>
            <w14:solidFill>
              <w14:schemeClr w14:val="tx1"/>
            </w14:solidFill>
          </w14:textFill>
        </w:rPr>
      </w:pPr>
      <w:r>
        <w:rPr>
          <w:rFonts w:ascii="Arial" w:hAnsi="Arial" w:cs="Arial" w:eastAsiaTheme="minorEastAsia"/>
          <w:b/>
          <w:color w:val="000000" w:themeColor="text1"/>
          <w:sz w:val="24"/>
          <w:szCs w:val="24"/>
          <w14:textFill>
            <w14:solidFill>
              <w14:schemeClr w14:val="tx1"/>
            </w14:solidFill>
          </w14:textFill>
        </w:rPr>
        <w:t>H7b</w:t>
      </w:r>
      <w:r>
        <w:rPr>
          <w:rFonts w:ascii="Arial" w:hAnsi="Arial" w:cs="Arial" w:eastAsiaTheme="minorEastAsia"/>
          <w:color w:val="000000" w:themeColor="text1"/>
          <w:sz w:val="24"/>
          <w:szCs w:val="24"/>
          <w14:textFill>
            <w14:solidFill>
              <w14:schemeClr w14:val="tx1"/>
            </w14:solidFill>
          </w14:textFill>
        </w:rPr>
        <w:t>: The company's performance is positively and significantly impacted by audit committee meetings.</w:t>
      </w:r>
    </w:p>
    <w:p w14:paraId="09813EE9">
      <w:pPr>
        <w:pStyle w:val="3"/>
        <w:spacing w:line="360" w:lineRule="auto"/>
        <w:jc w:val="both"/>
        <w:rPr>
          <w:rFonts w:ascii="Arial" w:hAnsi="Arial" w:cs="Arial"/>
          <w:b/>
          <w:color w:val="auto"/>
          <w:sz w:val="24"/>
          <w:szCs w:val="24"/>
        </w:rPr>
      </w:pPr>
      <w:bookmarkStart w:id="27" w:name="_Toc220693668"/>
      <w:r>
        <w:rPr>
          <w:rFonts w:ascii="Arial" w:hAnsi="Arial" w:cs="Arial"/>
          <w:b/>
          <w:color w:val="auto"/>
          <w:sz w:val="24"/>
          <w:szCs w:val="24"/>
        </w:rPr>
        <w:t>3.6 Ethical concerns</w:t>
      </w:r>
      <w:bookmarkEnd w:id="27"/>
    </w:p>
    <w:p w14:paraId="5364E1D7">
      <w:pPr>
        <w:tabs>
          <w:tab w:val="left" w:pos="1573"/>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Throughout research process, this study followed the principles of ethical research. For data analysis, data has been gathered from secondary sources such as annual reports and no confidential information, personal data or human participants is involved. However, ethical considerations are still significant to ensure responsible use, transparency and academic integrity of data. All material was collected from trustworthy and publicly accessible sources, and the information was used primarily for research purpose. All sources were cited properly to avoid misrepresentation or plagiarism, and care was taken to ensure accuracy in collecting data, its analysis and reporting. This study follows the principles of honesty, objectivity and accountability as proposed by Saunders et al. (2019).  </w:t>
      </w:r>
    </w:p>
    <w:p w14:paraId="3E5F4254">
      <w:pPr>
        <w:tabs>
          <w:tab w:val="left" w:pos="1573"/>
        </w:tabs>
        <w:spacing w:line="360" w:lineRule="auto"/>
        <w:rPr>
          <w:rFonts w:ascii="Arial" w:hAnsi="Arial" w:cs="Arial"/>
          <w:color w:val="000000" w:themeColor="text1"/>
          <w:sz w:val="24"/>
          <w:szCs w:val="24"/>
          <w14:textFill>
            <w14:solidFill>
              <w14:schemeClr w14:val="tx1"/>
            </w14:solidFill>
          </w14:textFill>
        </w:rPr>
      </w:pPr>
    </w:p>
    <w:p w14:paraId="073BC533">
      <w:pPr>
        <w:tabs>
          <w:tab w:val="left" w:pos="1573"/>
        </w:tabs>
        <w:spacing w:line="360" w:lineRule="auto"/>
        <w:rPr>
          <w:rFonts w:ascii="Arial" w:hAnsi="Arial" w:cs="Arial"/>
          <w:color w:val="000000" w:themeColor="text1"/>
          <w:sz w:val="24"/>
          <w:szCs w:val="24"/>
          <w14:textFill>
            <w14:solidFill>
              <w14:schemeClr w14:val="tx1"/>
            </w14:solidFill>
          </w14:textFill>
        </w:rPr>
      </w:pPr>
    </w:p>
    <w:p w14:paraId="09145842">
      <w:pPr>
        <w:tabs>
          <w:tab w:val="left" w:pos="1573"/>
        </w:tabs>
        <w:spacing w:line="360" w:lineRule="auto"/>
        <w:rPr>
          <w:rFonts w:ascii="Arial" w:hAnsi="Arial" w:cs="Arial"/>
          <w:color w:val="000000" w:themeColor="text1"/>
          <w:sz w:val="24"/>
          <w:szCs w:val="24"/>
          <w14:textFill>
            <w14:solidFill>
              <w14:schemeClr w14:val="tx1"/>
            </w14:solidFill>
          </w14:textFill>
        </w:rPr>
      </w:pPr>
    </w:p>
    <w:p w14:paraId="59AA1FEC">
      <w:pPr>
        <w:tabs>
          <w:tab w:val="left" w:pos="1573"/>
        </w:tabs>
        <w:spacing w:line="360" w:lineRule="auto"/>
        <w:rPr>
          <w:rFonts w:ascii="Arial" w:hAnsi="Arial" w:cs="Arial"/>
          <w:color w:val="000000" w:themeColor="text1"/>
          <w:sz w:val="24"/>
          <w:szCs w:val="24"/>
          <w14:textFill>
            <w14:solidFill>
              <w14:schemeClr w14:val="tx1"/>
            </w14:solidFill>
          </w14:textFill>
        </w:rPr>
      </w:pPr>
    </w:p>
    <w:p w14:paraId="30568646">
      <w:pPr>
        <w:tabs>
          <w:tab w:val="left" w:pos="1573"/>
        </w:tabs>
        <w:spacing w:line="360" w:lineRule="auto"/>
        <w:rPr>
          <w:rFonts w:ascii="Arial" w:hAnsi="Arial" w:cs="Arial"/>
          <w:color w:val="000000" w:themeColor="text1"/>
          <w:sz w:val="24"/>
          <w:szCs w:val="24"/>
          <w14:textFill>
            <w14:solidFill>
              <w14:schemeClr w14:val="tx1"/>
            </w14:solidFill>
          </w14:textFill>
        </w:rPr>
      </w:pPr>
    </w:p>
    <w:p w14:paraId="6DA473AE">
      <w:pPr>
        <w:tabs>
          <w:tab w:val="left" w:pos="1573"/>
        </w:tabs>
        <w:spacing w:line="360" w:lineRule="auto"/>
        <w:rPr>
          <w:rFonts w:ascii="Arial" w:hAnsi="Arial" w:cs="Arial"/>
          <w:color w:val="000000" w:themeColor="text1"/>
          <w:sz w:val="24"/>
          <w:szCs w:val="24"/>
          <w14:textFill>
            <w14:solidFill>
              <w14:schemeClr w14:val="tx1"/>
            </w14:solidFill>
          </w14:textFill>
        </w:rPr>
      </w:pPr>
    </w:p>
    <w:p w14:paraId="6DB7818E">
      <w:pPr>
        <w:pStyle w:val="2"/>
        <w:spacing w:line="360" w:lineRule="auto"/>
        <w:jc w:val="center"/>
        <w:rPr>
          <w:rFonts w:ascii="Arial" w:hAnsi="Arial" w:cs="Arial"/>
          <w:b/>
          <w:color w:val="000000" w:themeColor="text1"/>
          <w:sz w:val="24"/>
          <w:szCs w:val="24"/>
          <w14:textFill>
            <w14:solidFill>
              <w14:schemeClr w14:val="tx1"/>
            </w14:solidFill>
          </w14:textFill>
        </w:rPr>
      </w:pPr>
      <w:bookmarkStart w:id="28" w:name="_Toc220693669"/>
      <w:r>
        <w:rPr>
          <w:rFonts w:ascii="Arial" w:hAnsi="Arial" w:cs="Arial"/>
          <w:b/>
          <w:color w:val="000000" w:themeColor="text1"/>
          <w:sz w:val="24"/>
          <w:szCs w:val="24"/>
          <w14:textFill>
            <w14:solidFill>
              <w14:schemeClr w14:val="tx1"/>
            </w14:solidFill>
          </w14:textFill>
        </w:rPr>
        <w:t>Chapter 04: Data Analysis</w:t>
      </w:r>
      <w:bookmarkEnd w:id="28"/>
      <w:r>
        <w:rPr>
          <w:rFonts w:ascii="Arial" w:hAnsi="Arial" w:cs="Arial"/>
          <w:b/>
          <w:color w:val="000000" w:themeColor="text1"/>
          <w:sz w:val="24"/>
          <w:szCs w:val="24"/>
          <w14:textFill>
            <w14:solidFill>
              <w14:schemeClr w14:val="tx1"/>
            </w14:solidFill>
          </w14:textFill>
        </w:rPr>
        <w:t xml:space="preserve"> </w:t>
      </w:r>
    </w:p>
    <w:p w14:paraId="24E8F12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this chapter, analysis of data and results are provided. A descriptive summary table representing the mean, standard deviations, minimum and maximum values for the variables used in this research are presented in section 4.1. On the other hand, section 4.2 presents correlation analysis to deal with multicollinearity. Moving forward, section 4.3 displays t-test and section 4.4 put forward the regression analysis to offer a comprehensive discussion on testing the hypothesis, so that a conclusion could be derived on the proposed association between variables of the study. </w:t>
      </w:r>
    </w:p>
    <w:p w14:paraId="1B97C200">
      <w:pPr>
        <w:pStyle w:val="3"/>
        <w:spacing w:line="360" w:lineRule="auto"/>
        <w:rPr>
          <w:rFonts w:ascii="Arial" w:hAnsi="Arial" w:cs="Arial"/>
          <w:b/>
          <w:color w:val="000000" w:themeColor="text1"/>
          <w:sz w:val="24"/>
          <w:szCs w:val="24"/>
          <w14:textFill>
            <w14:solidFill>
              <w14:schemeClr w14:val="tx1"/>
            </w14:solidFill>
          </w14:textFill>
        </w:rPr>
      </w:pPr>
      <w:bookmarkStart w:id="29" w:name="_Toc220693670"/>
      <w:r>
        <w:rPr>
          <w:rFonts w:ascii="Arial" w:hAnsi="Arial" w:cs="Arial"/>
          <w:b/>
          <w:color w:val="000000" w:themeColor="text1"/>
          <w:sz w:val="24"/>
          <w:szCs w:val="24"/>
          <w14:textFill>
            <w14:solidFill>
              <w14:schemeClr w14:val="tx1"/>
            </w14:solidFill>
          </w14:textFill>
        </w:rPr>
        <w:t>4.1 Descriptive Statistics</w:t>
      </w:r>
      <w:bookmarkEnd w:id="29"/>
      <w:r>
        <w:rPr>
          <w:rFonts w:ascii="Arial" w:hAnsi="Arial" w:cs="Arial"/>
          <w:b/>
          <w:color w:val="000000" w:themeColor="text1"/>
          <w:sz w:val="24"/>
          <w:szCs w:val="24"/>
          <w14:textFill>
            <w14:solidFill>
              <w14:schemeClr w14:val="tx1"/>
            </w14:solidFill>
          </w14:textFill>
        </w:rPr>
        <w:t xml:space="preserve"> </w:t>
      </w:r>
    </w:p>
    <w:p w14:paraId="023D7231">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The descriptive statistics for the variables used is shown in Table 4.1. There are 20 observations spanning over 2 financial years and sample consists of 10 Indian automobile companies. It suggests that mean values for ROA, ROE and Tobin’s Q is 0.070, 0.103 and 1.686. It is evident that in comparison with accounting-based measures, that is ROA and ROE, Tobin Q is comparatively higher, pointing out that market-based valuation was consistent despite organizations’ facing operational difficulties. Prior studies like Farwis et al., 2021; Khatib &amp; Nour, 2021).</w:t>
      </w:r>
    </w:p>
    <w:p w14:paraId="0D7DE31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terms of  corporate governance characteristics, the average size of board is 10 directors, with a maximum of 16 and minimum of 6.  The Indian corporate governance regulations and existing research study by Haldar et al. (2018) suggest that BI averages 51.4%, showing that more than half of board members consists of independent directors. Moreover, with an average of 18.4%, BGD continues to be very low, pointing out that there is a lack of female representation on boards. Similar results has been found by Farwis et al. (2021) and Haldar et al. (2018) in developing counties like India and Sri Lanka. Furthermore, audit committees normally have 4 members and met six times a year. On the other hand, the average number of BM are held 6.2 times per year. The FS-LnTA, a measure of business size differs considerably between firms, whilst LEV, which discloses differences in capital structure between organizations, spans from zero to 2.82. Hair et al. (2019) stated that it is typical of corporate governance studies to include business size and leverage as control variables. </w:t>
      </w:r>
    </w:p>
    <w:p w14:paraId="43E95319">
      <w:pPr>
        <w:spacing w:line="360" w:lineRule="auto"/>
        <w:jc w:val="both"/>
        <w:rPr>
          <w:rFonts w:ascii="Arial" w:hAnsi="Arial" w:cs="Arial"/>
          <w:color w:val="000000" w:themeColor="text1"/>
          <w:sz w:val="24"/>
          <w:szCs w:val="24"/>
          <w14:textFill>
            <w14:solidFill>
              <w14:schemeClr w14:val="tx1"/>
            </w14:solidFill>
          </w14:textFill>
        </w:rPr>
      </w:pPr>
    </w:p>
    <w:p w14:paraId="3CF16530">
      <w:pPr>
        <w:spacing w:line="360" w:lineRule="auto"/>
        <w:jc w:val="both"/>
        <w:rPr>
          <w:rFonts w:ascii="Arial" w:hAnsi="Arial" w:cs="Arial"/>
          <w:color w:val="000000" w:themeColor="text1"/>
          <w:sz w:val="24"/>
          <w:szCs w:val="24"/>
          <w14:textFill>
            <w14:solidFill>
              <w14:schemeClr w14:val="tx1"/>
            </w14:solidFill>
          </w14:textFill>
        </w:rPr>
      </w:pPr>
    </w:p>
    <w:p w14:paraId="0648B9CE">
      <w:pPr>
        <w:spacing w:line="360" w:lineRule="auto"/>
        <w:jc w:val="both"/>
        <w:rPr>
          <w:rFonts w:ascii="Arial" w:hAnsi="Arial" w:cs="Arial"/>
          <w:color w:val="000000" w:themeColor="text1"/>
          <w:sz w:val="24"/>
          <w:szCs w:val="24"/>
          <w14:textFill>
            <w14:solidFill>
              <w14:schemeClr w14:val="tx1"/>
            </w14:solidFill>
          </w14:textFill>
        </w:rPr>
      </w:pPr>
    </w:p>
    <w:p w14:paraId="39A03050">
      <w:pPr>
        <w:spacing w:line="360" w:lineRule="auto"/>
        <w:rPr>
          <w:rFonts w:ascii="Arial" w:hAnsi="Arial" w:cs="Arial"/>
          <w:b/>
          <w:color w:val="000000" w:themeColor="text1"/>
          <w:sz w:val="24"/>
          <w:szCs w:val="24"/>
          <w14:textFill>
            <w14:solidFill>
              <w14:schemeClr w14:val="tx1"/>
            </w14:solidFill>
          </w14:textFill>
        </w:rPr>
      </w:pPr>
    </w:p>
    <w:tbl>
      <w:tblPr>
        <w:tblStyle w:val="5"/>
        <w:tblW w:w="677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01"/>
        <w:gridCol w:w="1617"/>
        <w:gridCol w:w="830"/>
        <w:gridCol w:w="1297"/>
        <w:gridCol w:w="908"/>
        <w:gridCol w:w="817"/>
      </w:tblGrid>
      <w:tr w14:paraId="366422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4" w:hRule="atLeast"/>
          <w:jc w:val="center"/>
        </w:trPr>
        <w:tc>
          <w:tcPr>
            <w:tcW w:w="6770" w:type="dxa"/>
            <w:gridSpan w:val="6"/>
            <w:shd w:val="clear" w:color="auto" w:fill="auto"/>
            <w:vAlign w:val="center"/>
          </w:tcPr>
          <w:p w14:paraId="167141CE">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Table 4.1: Descriptive Statistics</w:t>
            </w:r>
          </w:p>
        </w:tc>
      </w:tr>
      <w:tr w14:paraId="214AFE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4" w:hRule="atLeast"/>
          <w:jc w:val="center"/>
        </w:trPr>
        <w:tc>
          <w:tcPr>
            <w:tcW w:w="1377" w:type="dxa"/>
            <w:shd w:val="clear" w:color="auto" w:fill="auto"/>
            <w:vAlign w:val="center"/>
          </w:tcPr>
          <w:p w14:paraId="3ED1D208">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Variables</w:t>
            </w:r>
          </w:p>
        </w:tc>
        <w:tc>
          <w:tcPr>
            <w:tcW w:w="1500" w:type="dxa"/>
            <w:shd w:val="clear" w:color="auto" w:fill="auto"/>
            <w:vAlign w:val="center"/>
          </w:tcPr>
          <w:p w14:paraId="79E28C83">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Observation</w:t>
            </w:r>
          </w:p>
        </w:tc>
        <w:tc>
          <w:tcPr>
            <w:tcW w:w="779" w:type="dxa"/>
            <w:shd w:val="clear" w:color="auto" w:fill="auto"/>
            <w:vAlign w:val="center"/>
          </w:tcPr>
          <w:p w14:paraId="19F0201C">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Mean</w:t>
            </w:r>
          </w:p>
        </w:tc>
        <w:tc>
          <w:tcPr>
            <w:tcW w:w="1207" w:type="dxa"/>
            <w:shd w:val="clear" w:color="auto" w:fill="auto"/>
            <w:vAlign w:val="center"/>
          </w:tcPr>
          <w:p w14:paraId="7D411E73">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Std. Deviation</w:t>
            </w:r>
          </w:p>
        </w:tc>
        <w:tc>
          <w:tcPr>
            <w:tcW w:w="1140" w:type="dxa"/>
            <w:shd w:val="clear" w:color="auto" w:fill="auto"/>
            <w:vAlign w:val="center"/>
          </w:tcPr>
          <w:p w14:paraId="6517A7D8">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Min</w:t>
            </w:r>
          </w:p>
        </w:tc>
        <w:tc>
          <w:tcPr>
            <w:tcW w:w="767" w:type="dxa"/>
            <w:shd w:val="clear" w:color="auto" w:fill="auto"/>
            <w:vAlign w:val="center"/>
          </w:tcPr>
          <w:p w14:paraId="410E5980">
            <w:pPr>
              <w:spacing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Max</w:t>
            </w:r>
          </w:p>
        </w:tc>
      </w:tr>
      <w:tr w14:paraId="071DAE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398E4561">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ROA</w:t>
            </w:r>
          </w:p>
        </w:tc>
        <w:tc>
          <w:tcPr>
            <w:tcW w:w="1500" w:type="dxa"/>
            <w:shd w:val="clear" w:color="auto" w:fill="auto"/>
            <w:vAlign w:val="center"/>
          </w:tcPr>
          <w:p w14:paraId="7DBC7DE0">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60BA53F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0.07</w:t>
            </w:r>
          </w:p>
        </w:tc>
        <w:tc>
          <w:tcPr>
            <w:tcW w:w="1207" w:type="dxa"/>
            <w:shd w:val="clear" w:color="auto" w:fill="auto"/>
            <w:vAlign w:val="center"/>
          </w:tcPr>
          <w:p w14:paraId="1A44A48C">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0.069</w:t>
            </w:r>
          </w:p>
        </w:tc>
        <w:tc>
          <w:tcPr>
            <w:tcW w:w="1140" w:type="dxa"/>
            <w:shd w:val="clear" w:color="auto" w:fill="auto"/>
            <w:vAlign w:val="center"/>
          </w:tcPr>
          <w:p w14:paraId="1F3FA3B5">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-0.038</w:t>
            </w:r>
          </w:p>
        </w:tc>
        <w:tc>
          <w:tcPr>
            <w:tcW w:w="767" w:type="dxa"/>
            <w:shd w:val="clear" w:color="auto" w:fill="auto"/>
            <w:vAlign w:val="center"/>
          </w:tcPr>
          <w:p w14:paraId="4CF788C2">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0.197</w:t>
            </w:r>
          </w:p>
        </w:tc>
      </w:tr>
      <w:tr w14:paraId="3B85E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2C415B4C">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ROE</w:t>
            </w:r>
          </w:p>
        </w:tc>
        <w:tc>
          <w:tcPr>
            <w:tcW w:w="1500" w:type="dxa"/>
            <w:shd w:val="clear" w:color="auto" w:fill="auto"/>
            <w:vAlign w:val="center"/>
          </w:tcPr>
          <w:p w14:paraId="515AB8FD">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2F00BFBA">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0.103</w:t>
            </w:r>
          </w:p>
        </w:tc>
        <w:tc>
          <w:tcPr>
            <w:tcW w:w="1207" w:type="dxa"/>
            <w:shd w:val="clear" w:color="auto" w:fill="auto"/>
            <w:vAlign w:val="center"/>
          </w:tcPr>
          <w:p w14:paraId="4ADE2C9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0.096</w:t>
            </w:r>
          </w:p>
        </w:tc>
        <w:tc>
          <w:tcPr>
            <w:tcW w:w="1140" w:type="dxa"/>
            <w:shd w:val="clear" w:color="auto" w:fill="auto"/>
            <w:vAlign w:val="center"/>
          </w:tcPr>
          <w:p w14:paraId="5EC7366E">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-0.067</w:t>
            </w:r>
          </w:p>
        </w:tc>
        <w:tc>
          <w:tcPr>
            <w:tcW w:w="767" w:type="dxa"/>
            <w:shd w:val="clear" w:color="auto" w:fill="auto"/>
            <w:vAlign w:val="center"/>
          </w:tcPr>
          <w:p w14:paraId="38F9BF6F">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0.254</w:t>
            </w:r>
          </w:p>
        </w:tc>
      </w:tr>
      <w:tr w14:paraId="4183A3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5552179E">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Tobin’s Q</w:t>
            </w:r>
          </w:p>
        </w:tc>
        <w:tc>
          <w:tcPr>
            <w:tcW w:w="1500" w:type="dxa"/>
            <w:shd w:val="clear" w:color="auto" w:fill="auto"/>
            <w:vAlign w:val="center"/>
          </w:tcPr>
          <w:p w14:paraId="169CEF9A">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143C22E6">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1.686</w:t>
            </w:r>
          </w:p>
        </w:tc>
        <w:tc>
          <w:tcPr>
            <w:tcW w:w="1207" w:type="dxa"/>
            <w:shd w:val="clear" w:color="auto" w:fill="auto"/>
            <w:vAlign w:val="center"/>
          </w:tcPr>
          <w:p w14:paraId="05418E77">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1.12</w:t>
            </w:r>
          </w:p>
        </w:tc>
        <w:tc>
          <w:tcPr>
            <w:tcW w:w="1140" w:type="dxa"/>
            <w:shd w:val="clear" w:color="auto" w:fill="auto"/>
            <w:vAlign w:val="center"/>
          </w:tcPr>
          <w:p w14:paraId="3DBB777F">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0.06</w:t>
            </w:r>
          </w:p>
        </w:tc>
        <w:tc>
          <w:tcPr>
            <w:tcW w:w="767" w:type="dxa"/>
            <w:shd w:val="clear" w:color="auto" w:fill="auto"/>
            <w:vAlign w:val="center"/>
          </w:tcPr>
          <w:p w14:paraId="1418C21E">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3.55</w:t>
            </w:r>
          </w:p>
        </w:tc>
      </w:tr>
      <w:tr w14:paraId="19ABDE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07B13140">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BS</w:t>
            </w:r>
          </w:p>
        </w:tc>
        <w:tc>
          <w:tcPr>
            <w:tcW w:w="1500" w:type="dxa"/>
            <w:shd w:val="clear" w:color="auto" w:fill="auto"/>
            <w:vAlign w:val="center"/>
          </w:tcPr>
          <w:p w14:paraId="3548C3BD">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3D6FEAC8">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10.05</w:t>
            </w:r>
          </w:p>
        </w:tc>
        <w:tc>
          <w:tcPr>
            <w:tcW w:w="1207" w:type="dxa"/>
            <w:shd w:val="clear" w:color="auto" w:fill="auto"/>
            <w:vAlign w:val="center"/>
          </w:tcPr>
          <w:p w14:paraId="5A2DB39B">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3.12</w:t>
            </w:r>
          </w:p>
        </w:tc>
        <w:tc>
          <w:tcPr>
            <w:tcW w:w="1140" w:type="dxa"/>
            <w:shd w:val="clear" w:color="auto" w:fill="auto"/>
            <w:vAlign w:val="center"/>
          </w:tcPr>
          <w:p w14:paraId="2C8A1455">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6</w:t>
            </w:r>
          </w:p>
        </w:tc>
        <w:tc>
          <w:tcPr>
            <w:tcW w:w="767" w:type="dxa"/>
            <w:shd w:val="clear" w:color="auto" w:fill="auto"/>
            <w:vAlign w:val="center"/>
          </w:tcPr>
          <w:p w14:paraId="0BDDF0C2">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16</w:t>
            </w:r>
          </w:p>
        </w:tc>
      </w:tr>
      <w:tr w14:paraId="02A8B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7B8F1861">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BI</w:t>
            </w:r>
          </w:p>
        </w:tc>
        <w:tc>
          <w:tcPr>
            <w:tcW w:w="1500" w:type="dxa"/>
            <w:shd w:val="clear" w:color="auto" w:fill="auto"/>
            <w:vAlign w:val="center"/>
          </w:tcPr>
          <w:p w14:paraId="107A8D08">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69A1DE11">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0.514</w:t>
            </w:r>
          </w:p>
        </w:tc>
        <w:tc>
          <w:tcPr>
            <w:tcW w:w="1207" w:type="dxa"/>
            <w:shd w:val="clear" w:color="auto" w:fill="auto"/>
            <w:vAlign w:val="center"/>
          </w:tcPr>
          <w:p w14:paraId="298A28A9">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0.089</w:t>
            </w:r>
          </w:p>
        </w:tc>
        <w:tc>
          <w:tcPr>
            <w:tcW w:w="1140" w:type="dxa"/>
            <w:shd w:val="clear" w:color="auto" w:fill="auto"/>
            <w:vAlign w:val="center"/>
          </w:tcPr>
          <w:p w14:paraId="6F1FFD28">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0.33</w:t>
            </w:r>
          </w:p>
        </w:tc>
        <w:tc>
          <w:tcPr>
            <w:tcW w:w="767" w:type="dxa"/>
            <w:shd w:val="clear" w:color="auto" w:fill="auto"/>
            <w:vAlign w:val="center"/>
          </w:tcPr>
          <w:p w14:paraId="14DE1483">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0.7</w:t>
            </w:r>
          </w:p>
        </w:tc>
      </w:tr>
      <w:tr w14:paraId="2BE660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319D3D8F">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BFL</w:t>
            </w:r>
          </w:p>
        </w:tc>
        <w:tc>
          <w:tcPr>
            <w:tcW w:w="1500" w:type="dxa"/>
            <w:shd w:val="clear" w:color="auto" w:fill="auto"/>
            <w:vAlign w:val="center"/>
          </w:tcPr>
          <w:p w14:paraId="42B4BFA3">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3DCFD043">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0.05</w:t>
            </w:r>
          </w:p>
        </w:tc>
        <w:tc>
          <w:tcPr>
            <w:tcW w:w="1207" w:type="dxa"/>
            <w:shd w:val="clear" w:color="auto" w:fill="auto"/>
            <w:vAlign w:val="center"/>
          </w:tcPr>
          <w:p w14:paraId="3F41BE4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0.224</w:t>
            </w:r>
          </w:p>
        </w:tc>
        <w:tc>
          <w:tcPr>
            <w:tcW w:w="1140" w:type="dxa"/>
            <w:shd w:val="clear" w:color="auto" w:fill="auto"/>
            <w:vAlign w:val="center"/>
          </w:tcPr>
          <w:p w14:paraId="45C3473D">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w:t>
            </w:r>
          </w:p>
        </w:tc>
        <w:tc>
          <w:tcPr>
            <w:tcW w:w="767" w:type="dxa"/>
            <w:shd w:val="clear" w:color="auto" w:fill="auto"/>
            <w:vAlign w:val="center"/>
          </w:tcPr>
          <w:p w14:paraId="30A775B9">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w:t>
            </w:r>
          </w:p>
        </w:tc>
      </w:tr>
      <w:tr w14:paraId="018E01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5D80A6BA">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BGD</w:t>
            </w:r>
          </w:p>
        </w:tc>
        <w:tc>
          <w:tcPr>
            <w:tcW w:w="1500" w:type="dxa"/>
            <w:shd w:val="clear" w:color="auto" w:fill="auto"/>
            <w:vAlign w:val="center"/>
          </w:tcPr>
          <w:p w14:paraId="7977AE92">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551D102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0.184</w:t>
            </w:r>
          </w:p>
        </w:tc>
        <w:tc>
          <w:tcPr>
            <w:tcW w:w="1207" w:type="dxa"/>
            <w:shd w:val="clear" w:color="auto" w:fill="auto"/>
            <w:vAlign w:val="center"/>
          </w:tcPr>
          <w:p w14:paraId="11D9E0CB">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0.072</w:t>
            </w:r>
          </w:p>
        </w:tc>
        <w:tc>
          <w:tcPr>
            <w:tcW w:w="1140" w:type="dxa"/>
            <w:shd w:val="clear" w:color="auto" w:fill="auto"/>
            <w:vAlign w:val="center"/>
          </w:tcPr>
          <w:p w14:paraId="10C15FC8">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0.08</w:t>
            </w:r>
          </w:p>
        </w:tc>
        <w:tc>
          <w:tcPr>
            <w:tcW w:w="767" w:type="dxa"/>
            <w:shd w:val="clear" w:color="auto" w:fill="auto"/>
            <w:vAlign w:val="center"/>
          </w:tcPr>
          <w:p w14:paraId="01C17D22">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0.33</w:t>
            </w:r>
          </w:p>
        </w:tc>
      </w:tr>
      <w:tr w14:paraId="7E3310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13EB95D6">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BM</w:t>
            </w:r>
          </w:p>
        </w:tc>
        <w:tc>
          <w:tcPr>
            <w:tcW w:w="1500" w:type="dxa"/>
            <w:shd w:val="clear" w:color="auto" w:fill="auto"/>
            <w:vAlign w:val="center"/>
          </w:tcPr>
          <w:p w14:paraId="72802197">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0F36FF68">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6.2</w:t>
            </w:r>
          </w:p>
        </w:tc>
        <w:tc>
          <w:tcPr>
            <w:tcW w:w="1207" w:type="dxa"/>
            <w:shd w:val="clear" w:color="auto" w:fill="auto"/>
            <w:vAlign w:val="center"/>
          </w:tcPr>
          <w:p w14:paraId="4B856970">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1.28</w:t>
            </w:r>
          </w:p>
        </w:tc>
        <w:tc>
          <w:tcPr>
            <w:tcW w:w="1140" w:type="dxa"/>
            <w:shd w:val="clear" w:color="auto" w:fill="auto"/>
            <w:vAlign w:val="center"/>
          </w:tcPr>
          <w:p w14:paraId="0A257E3B">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5</w:t>
            </w:r>
          </w:p>
        </w:tc>
        <w:tc>
          <w:tcPr>
            <w:tcW w:w="767" w:type="dxa"/>
            <w:shd w:val="clear" w:color="auto" w:fill="auto"/>
            <w:vAlign w:val="center"/>
          </w:tcPr>
          <w:p w14:paraId="53D0B9C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9</w:t>
            </w:r>
          </w:p>
        </w:tc>
      </w:tr>
      <w:tr w14:paraId="1B7BAF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64D66606">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ACS</w:t>
            </w:r>
          </w:p>
        </w:tc>
        <w:tc>
          <w:tcPr>
            <w:tcW w:w="1500" w:type="dxa"/>
            <w:shd w:val="clear" w:color="auto" w:fill="auto"/>
            <w:vAlign w:val="center"/>
          </w:tcPr>
          <w:p w14:paraId="068056F5">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42149DC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4</w:t>
            </w:r>
          </w:p>
        </w:tc>
        <w:tc>
          <w:tcPr>
            <w:tcW w:w="1207" w:type="dxa"/>
            <w:shd w:val="clear" w:color="auto" w:fill="auto"/>
            <w:vAlign w:val="center"/>
          </w:tcPr>
          <w:p w14:paraId="74AAEABB">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0.65</w:t>
            </w:r>
          </w:p>
        </w:tc>
        <w:tc>
          <w:tcPr>
            <w:tcW w:w="1140" w:type="dxa"/>
            <w:shd w:val="clear" w:color="auto" w:fill="auto"/>
            <w:vAlign w:val="center"/>
          </w:tcPr>
          <w:p w14:paraId="71A806DF">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3</w:t>
            </w:r>
          </w:p>
        </w:tc>
        <w:tc>
          <w:tcPr>
            <w:tcW w:w="767" w:type="dxa"/>
            <w:shd w:val="clear" w:color="auto" w:fill="auto"/>
            <w:vAlign w:val="center"/>
          </w:tcPr>
          <w:p w14:paraId="40622DBA">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5</w:t>
            </w:r>
          </w:p>
        </w:tc>
      </w:tr>
      <w:tr w14:paraId="30BD27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65B01458">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ACM</w:t>
            </w:r>
          </w:p>
        </w:tc>
        <w:tc>
          <w:tcPr>
            <w:tcW w:w="1500" w:type="dxa"/>
            <w:shd w:val="clear" w:color="auto" w:fill="auto"/>
            <w:vAlign w:val="center"/>
          </w:tcPr>
          <w:p w14:paraId="5D6C2C9C">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26FFA095">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6</w:t>
            </w:r>
          </w:p>
        </w:tc>
        <w:tc>
          <w:tcPr>
            <w:tcW w:w="1207" w:type="dxa"/>
            <w:shd w:val="clear" w:color="auto" w:fill="auto"/>
            <w:vAlign w:val="center"/>
          </w:tcPr>
          <w:p w14:paraId="1C763291">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1.56</w:t>
            </w:r>
          </w:p>
        </w:tc>
        <w:tc>
          <w:tcPr>
            <w:tcW w:w="1140" w:type="dxa"/>
            <w:shd w:val="clear" w:color="auto" w:fill="auto"/>
            <w:vAlign w:val="center"/>
          </w:tcPr>
          <w:p w14:paraId="6C547C27">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4</w:t>
            </w:r>
          </w:p>
        </w:tc>
        <w:tc>
          <w:tcPr>
            <w:tcW w:w="767" w:type="dxa"/>
            <w:shd w:val="clear" w:color="auto" w:fill="auto"/>
            <w:vAlign w:val="center"/>
          </w:tcPr>
          <w:p w14:paraId="6004184E">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11</w:t>
            </w:r>
          </w:p>
        </w:tc>
      </w:tr>
      <w:tr w14:paraId="26D22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7F2E4623">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FS_LnTA</w:t>
            </w:r>
          </w:p>
        </w:tc>
        <w:tc>
          <w:tcPr>
            <w:tcW w:w="1500" w:type="dxa"/>
            <w:shd w:val="clear" w:color="auto" w:fill="auto"/>
            <w:vAlign w:val="center"/>
          </w:tcPr>
          <w:p w14:paraId="3C20FB41">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38F701FB">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10.82</w:t>
            </w:r>
          </w:p>
        </w:tc>
        <w:tc>
          <w:tcPr>
            <w:tcW w:w="1207" w:type="dxa"/>
            <w:shd w:val="clear" w:color="auto" w:fill="auto"/>
            <w:vAlign w:val="center"/>
          </w:tcPr>
          <w:p w14:paraId="001EB9E7">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1.67</w:t>
            </w:r>
          </w:p>
        </w:tc>
        <w:tc>
          <w:tcPr>
            <w:tcW w:w="1140" w:type="dxa"/>
            <w:shd w:val="clear" w:color="auto" w:fill="auto"/>
            <w:vAlign w:val="center"/>
          </w:tcPr>
          <w:p w14:paraId="2F15C085">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8.52</w:t>
            </w:r>
          </w:p>
        </w:tc>
        <w:tc>
          <w:tcPr>
            <w:tcW w:w="767" w:type="dxa"/>
            <w:shd w:val="clear" w:color="auto" w:fill="auto"/>
            <w:vAlign w:val="center"/>
          </w:tcPr>
          <w:p w14:paraId="4A93F027">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13.48</w:t>
            </w:r>
          </w:p>
        </w:tc>
      </w:tr>
      <w:tr w14:paraId="6D1100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jc w:val="center"/>
        </w:trPr>
        <w:tc>
          <w:tcPr>
            <w:tcW w:w="1377" w:type="dxa"/>
            <w:shd w:val="clear" w:color="auto" w:fill="auto"/>
            <w:vAlign w:val="center"/>
          </w:tcPr>
          <w:p w14:paraId="2EBAE30F">
            <w:pPr>
              <w:spacing w:line="360" w:lineRule="auto"/>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LEV</w:t>
            </w:r>
          </w:p>
        </w:tc>
        <w:tc>
          <w:tcPr>
            <w:tcW w:w="1500" w:type="dxa"/>
            <w:shd w:val="clear" w:color="auto" w:fill="auto"/>
            <w:vAlign w:val="center"/>
          </w:tcPr>
          <w:p w14:paraId="44E156BA">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20</w:t>
            </w:r>
          </w:p>
        </w:tc>
        <w:tc>
          <w:tcPr>
            <w:tcW w:w="779" w:type="dxa"/>
            <w:shd w:val="clear" w:color="auto" w:fill="auto"/>
            <w:vAlign w:val="center"/>
          </w:tcPr>
          <w:p w14:paraId="7BBED5A1">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0.86</w:t>
            </w:r>
          </w:p>
        </w:tc>
        <w:tc>
          <w:tcPr>
            <w:tcW w:w="1207" w:type="dxa"/>
            <w:shd w:val="clear" w:color="auto" w:fill="auto"/>
            <w:vAlign w:val="center"/>
          </w:tcPr>
          <w:p w14:paraId="2105BD90">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1.06</w:t>
            </w:r>
          </w:p>
        </w:tc>
        <w:tc>
          <w:tcPr>
            <w:tcW w:w="1140" w:type="dxa"/>
            <w:shd w:val="clear" w:color="auto" w:fill="auto"/>
            <w:vAlign w:val="center"/>
          </w:tcPr>
          <w:p w14:paraId="052D136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0</w:t>
            </w:r>
          </w:p>
        </w:tc>
        <w:tc>
          <w:tcPr>
            <w:tcW w:w="767" w:type="dxa"/>
            <w:shd w:val="clear" w:color="auto" w:fill="auto"/>
            <w:vAlign w:val="center"/>
          </w:tcPr>
          <w:p w14:paraId="3DDDD1F4">
            <w:pPr>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2.82</w:t>
            </w:r>
          </w:p>
        </w:tc>
      </w:tr>
    </w:tbl>
    <w:p w14:paraId="6F766773">
      <w:pPr>
        <w:spacing w:line="360" w:lineRule="auto"/>
        <w:rPr>
          <w:rFonts w:ascii="Arial" w:hAnsi="Arial" w:cs="Arial"/>
          <w:color w:val="000000" w:themeColor="text1"/>
          <w:sz w:val="24"/>
          <w:szCs w:val="24"/>
          <w14:textFill>
            <w14:solidFill>
              <w14:schemeClr w14:val="tx1"/>
            </w14:solidFill>
          </w14:textFill>
        </w:rPr>
      </w:pPr>
    </w:p>
    <w:p w14:paraId="0362C076">
      <w:pPr>
        <w:pStyle w:val="3"/>
        <w:spacing w:line="360" w:lineRule="auto"/>
        <w:rPr>
          <w:rFonts w:ascii="Arial" w:hAnsi="Arial" w:cs="Arial"/>
          <w:b/>
          <w:color w:val="000000" w:themeColor="text1"/>
          <w:sz w:val="24"/>
          <w:szCs w:val="24"/>
          <w14:textFill>
            <w14:solidFill>
              <w14:schemeClr w14:val="tx1"/>
            </w14:solidFill>
          </w14:textFill>
        </w:rPr>
      </w:pPr>
      <w:bookmarkStart w:id="30" w:name="_Toc220693671"/>
      <w:r>
        <w:rPr>
          <w:rFonts w:ascii="Arial" w:hAnsi="Arial" w:cs="Arial"/>
          <w:b/>
          <w:color w:val="000000" w:themeColor="text1"/>
          <w:sz w:val="24"/>
          <w:szCs w:val="24"/>
          <w14:textFill>
            <w14:solidFill>
              <w14:schemeClr w14:val="tx1"/>
            </w14:solidFill>
          </w14:textFill>
        </w:rPr>
        <w:t>4.2 Correlation Analysis</w:t>
      </w:r>
      <w:bookmarkEnd w:id="30"/>
    </w:p>
    <w:p w14:paraId="3C5D41C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Pearson correlation matrix for each variable used in this research study is displayed in Table 4.2. As both ROA and ROE are financial performance indicators based on the accounting data, so they represent closely associated profitability characteristics, they have significant and positive correlation (Farwis et al., 2021). On the other hand, Tobin’s Q shows a somewhat positive association with ROA (0.31) and ROE (0.42). This recommend that market value does not necessarily precede accounting performance, specifically in times of economic hardships (Khatib &amp; Nour, 2021). </w:t>
      </w:r>
    </w:p>
    <w:p w14:paraId="651DE85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BS displays a somewhat positive relationship with Tobin’s Q (0.47), it indicates that organizations with larger boards typically have higher market valuations, probably because of having access to more resources and a wider range of expertise. Whilst BGD has a weak correlation with performance indicators, whereas BI has a modest negative relationship with ROA and ROE.  </w:t>
      </w:r>
    </w:p>
    <w:p w14:paraId="5F8AC99B">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Significantly, all correlation coefficients are below the conventional cut-off of 0.70. This points out that multicollinearity is unlikely to be a major problem in the regression analysis (Hair et al., 2019). </w:t>
      </w:r>
    </w:p>
    <w:p w14:paraId="583F0359">
      <w:pPr>
        <w:spacing w:line="360" w:lineRule="auto"/>
        <w:rPr>
          <w:rFonts w:ascii="Arial" w:hAnsi="Arial" w:cs="Arial"/>
          <w:color w:val="000000" w:themeColor="text1"/>
          <w:sz w:val="24"/>
          <w:szCs w:val="24"/>
          <w14:textFill>
            <w14:solidFill>
              <w14:schemeClr w14:val="tx1"/>
            </w14:solidFill>
          </w14:textFill>
        </w:rPr>
      </w:pPr>
    </w:p>
    <w:tbl>
      <w:tblPr>
        <w:tblStyle w:val="5"/>
        <w:tblW w:w="11079" w:type="dxa"/>
        <w:tblInd w:w="-10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30"/>
        <w:gridCol w:w="787"/>
        <w:gridCol w:w="846"/>
        <w:gridCol w:w="846"/>
        <w:gridCol w:w="845"/>
        <w:gridCol w:w="846"/>
        <w:gridCol w:w="845"/>
        <w:gridCol w:w="848"/>
        <w:gridCol w:w="845"/>
        <w:gridCol w:w="847"/>
        <w:gridCol w:w="789"/>
        <w:gridCol w:w="770"/>
        <w:gridCol w:w="735"/>
      </w:tblGrid>
      <w:tr w14:paraId="7C77A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079" w:type="dxa"/>
            <w:gridSpan w:val="13"/>
            <w:shd w:val="clear" w:color="auto" w:fill="auto"/>
            <w:vAlign w:val="center"/>
          </w:tcPr>
          <w:p w14:paraId="137B0B6B">
            <w:pPr>
              <w:spacing w:line="360" w:lineRule="auto"/>
              <w:jc w:val="center"/>
              <w:rPr>
                <w:rFonts w:ascii="Arial" w:hAnsi="Arial" w:cs="Arial"/>
                <w:b/>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Table 4.2: Pearson Correlation Matrix</w:t>
            </w:r>
          </w:p>
        </w:tc>
      </w:tr>
      <w:tr w14:paraId="2844D3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4A5252C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88" w:type="dxa"/>
            <w:shd w:val="clear" w:color="auto" w:fill="auto"/>
            <w:vAlign w:val="center"/>
          </w:tcPr>
          <w:p w14:paraId="2697552F">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ROA</w:t>
            </w:r>
          </w:p>
        </w:tc>
        <w:tc>
          <w:tcPr>
            <w:tcW w:w="849" w:type="dxa"/>
            <w:shd w:val="clear" w:color="auto" w:fill="auto"/>
            <w:vAlign w:val="center"/>
          </w:tcPr>
          <w:p w14:paraId="3913BC02">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ROE</w:t>
            </w:r>
          </w:p>
        </w:tc>
        <w:tc>
          <w:tcPr>
            <w:tcW w:w="851" w:type="dxa"/>
            <w:shd w:val="clear" w:color="auto" w:fill="auto"/>
            <w:vAlign w:val="center"/>
          </w:tcPr>
          <w:p w14:paraId="34BF70DC">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TQ</w:t>
            </w:r>
          </w:p>
        </w:tc>
        <w:tc>
          <w:tcPr>
            <w:tcW w:w="850" w:type="dxa"/>
            <w:shd w:val="clear" w:color="auto" w:fill="auto"/>
            <w:vAlign w:val="center"/>
          </w:tcPr>
          <w:p w14:paraId="1C76F810">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BS</w:t>
            </w:r>
          </w:p>
        </w:tc>
        <w:tc>
          <w:tcPr>
            <w:tcW w:w="851" w:type="dxa"/>
            <w:shd w:val="clear" w:color="auto" w:fill="auto"/>
            <w:vAlign w:val="center"/>
          </w:tcPr>
          <w:p w14:paraId="5195A3B3">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BI</w:t>
            </w:r>
          </w:p>
        </w:tc>
        <w:tc>
          <w:tcPr>
            <w:tcW w:w="850" w:type="dxa"/>
            <w:shd w:val="clear" w:color="auto" w:fill="auto"/>
            <w:vAlign w:val="center"/>
          </w:tcPr>
          <w:p w14:paraId="09B2EDCA">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BFL</w:t>
            </w:r>
          </w:p>
        </w:tc>
        <w:tc>
          <w:tcPr>
            <w:tcW w:w="851" w:type="dxa"/>
            <w:shd w:val="clear" w:color="auto" w:fill="auto"/>
            <w:vAlign w:val="center"/>
          </w:tcPr>
          <w:p w14:paraId="3E3654DE">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BGD</w:t>
            </w:r>
          </w:p>
        </w:tc>
        <w:tc>
          <w:tcPr>
            <w:tcW w:w="850" w:type="dxa"/>
            <w:shd w:val="clear" w:color="auto" w:fill="auto"/>
            <w:vAlign w:val="center"/>
          </w:tcPr>
          <w:p w14:paraId="74F40DD0">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BM</w:t>
            </w:r>
          </w:p>
        </w:tc>
        <w:tc>
          <w:tcPr>
            <w:tcW w:w="851" w:type="dxa"/>
            <w:shd w:val="clear" w:color="auto" w:fill="auto"/>
            <w:vAlign w:val="center"/>
          </w:tcPr>
          <w:p w14:paraId="78BD494C">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ACS</w:t>
            </w:r>
          </w:p>
        </w:tc>
        <w:tc>
          <w:tcPr>
            <w:tcW w:w="790" w:type="dxa"/>
            <w:shd w:val="clear" w:color="auto" w:fill="auto"/>
            <w:vAlign w:val="center"/>
          </w:tcPr>
          <w:p w14:paraId="5DA6EAFC">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ACM</w:t>
            </w:r>
          </w:p>
        </w:tc>
        <w:tc>
          <w:tcPr>
            <w:tcW w:w="772" w:type="dxa"/>
            <w:shd w:val="clear" w:color="auto" w:fill="auto"/>
            <w:vAlign w:val="center"/>
          </w:tcPr>
          <w:p w14:paraId="767E07D7">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FS</w:t>
            </w:r>
          </w:p>
        </w:tc>
        <w:tc>
          <w:tcPr>
            <w:tcW w:w="736" w:type="dxa"/>
            <w:shd w:val="clear" w:color="auto" w:fill="auto"/>
            <w:vAlign w:val="center"/>
          </w:tcPr>
          <w:p w14:paraId="53D85D55">
            <w:pPr>
              <w:spacing w:after="0" w:line="360" w:lineRule="auto"/>
              <w:jc w:val="right"/>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LEV</w:t>
            </w:r>
          </w:p>
        </w:tc>
      </w:tr>
      <w:tr w14:paraId="57F886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052A1E3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ROA</w:t>
            </w:r>
          </w:p>
        </w:tc>
        <w:tc>
          <w:tcPr>
            <w:tcW w:w="788" w:type="dxa"/>
            <w:shd w:val="clear" w:color="auto" w:fill="auto"/>
            <w:vAlign w:val="center"/>
          </w:tcPr>
          <w:p w14:paraId="6B78EA0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49" w:type="dxa"/>
            <w:shd w:val="clear" w:color="auto" w:fill="auto"/>
            <w:vAlign w:val="center"/>
          </w:tcPr>
          <w:p w14:paraId="1D54126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3E2DE63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36C00CC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74CF778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0983390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7E954CA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282DF5E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7CB516B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1D80FA3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09FD758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04877EC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27D938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76CAF37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ROE</w:t>
            </w:r>
          </w:p>
        </w:tc>
        <w:tc>
          <w:tcPr>
            <w:tcW w:w="788" w:type="dxa"/>
            <w:shd w:val="clear" w:color="auto" w:fill="auto"/>
            <w:vAlign w:val="center"/>
          </w:tcPr>
          <w:p w14:paraId="2919091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0.94</w:t>
            </w:r>
          </w:p>
        </w:tc>
        <w:tc>
          <w:tcPr>
            <w:tcW w:w="849" w:type="dxa"/>
            <w:shd w:val="clear" w:color="auto" w:fill="auto"/>
            <w:vAlign w:val="center"/>
          </w:tcPr>
          <w:p w14:paraId="4FB4448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1" w:type="dxa"/>
            <w:shd w:val="clear" w:color="auto" w:fill="auto"/>
            <w:vAlign w:val="center"/>
          </w:tcPr>
          <w:p w14:paraId="7A15F6F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35B121E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722FD5C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72DE764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08096D0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3725152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0A91145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7EF915B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886B5F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65E3202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2582F5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6AF7D5A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Tobin’s Q</w:t>
            </w:r>
          </w:p>
        </w:tc>
        <w:tc>
          <w:tcPr>
            <w:tcW w:w="788" w:type="dxa"/>
            <w:shd w:val="clear" w:color="auto" w:fill="auto"/>
            <w:vAlign w:val="center"/>
          </w:tcPr>
          <w:p w14:paraId="2CF13A5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0.31</w:t>
            </w:r>
          </w:p>
        </w:tc>
        <w:tc>
          <w:tcPr>
            <w:tcW w:w="849" w:type="dxa"/>
            <w:shd w:val="clear" w:color="auto" w:fill="auto"/>
            <w:vAlign w:val="center"/>
          </w:tcPr>
          <w:p w14:paraId="7EA0FE1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0.42</w:t>
            </w:r>
          </w:p>
        </w:tc>
        <w:tc>
          <w:tcPr>
            <w:tcW w:w="851" w:type="dxa"/>
            <w:shd w:val="clear" w:color="auto" w:fill="auto"/>
            <w:vAlign w:val="center"/>
          </w:tcPr>
          <w:p w14:paraId="6895613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0" w:type="dxa"/>
            <w:shd w:val="clear" w:color="auto" w:fill="auto"/>
            <w:vAlign w:val="center"/>
          </w:tcPr>
          <w:p w14:paraId="5981C74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4C61F32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12306D1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53798A9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6C9A88A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48E21D5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2C687C8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03E13E4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60866A5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319E10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0F41BAD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BS</w:t>
            </w:r>
          </w:p>
        </w:tc>
        <w:tc>
          <w:tcPr>
            <w:tcW w:w="788" w:type="dxa"/>
            <w:shd w:val="clear" w:color="auto" w:fill="auto"/>
            <w:vAlign w:val="center"/>
          </w:tcPr>
          <w:p w14:paraId="59493DD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0.12</w:t>
            </w:r>
          </w:p>
        </w:tc>
        <w:tc>
          <w:tcPr>
            <w:tcW w:w="849" w:type="dxa"/>
            <w:shd w:val="clear" w:color="auto" w:fill="auto"/>
            <w:vAlign w:val="center"/>
          </w:tcPr>
          <w:p w14:paraId="1FBB9CD0">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0.09</w:t>
            </w:r>
          </w:p>
        </w:tc>
        <w:tc>
          <w:tcPr>
            <w:tcW w:w="851" w:type="dxa"/>
            <w:shd w:val="clear" w:color="auto" w:fill="auto"/>
            <w:vAlign w:val="center"/>
          </w:tcPr>
          <w:p w14:paraId="50C3349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0.47</w:t>
            </w:r>
          </w:p>
        </w:tc>
        <w:tc>
          <w:tcPr>
            <w:tcW w:w="850" w:type="dxa"/>
            <w:shd w:val="clear" w:color="auto" w:fill="auto"/>
            <w:vAlign w:val="center"/>
          </w:tcPr>
          <w:p w14:paraId="5F2195A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1" w:type="dxa"/>
            <w:shd w:val="clear" w:color="auto" w:fill="auto"/>
            <w:vAlign w:val="center"/>
          </w:tcPr>
          <w:p w14:paraId="111CDEA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465E596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4DF35A6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4AF4EF3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64523BB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65032A3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D0950D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12184FB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0E299B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1CA03D4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BI</w:t>
            </w:r>
          </w:p>
        </w:tc>
        <w:tc>
          <w:tcPr>
            <w:tcW w:w="788" w:type="dxa"/>
            <w:shd w:val="clear" w:color="auto" w:fill="auto"/>
            <w:vAlign w:val="center"/>
          </w:tcPr>
          <w:p w14:paraId="448704A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-0.22</w:t>
            </w:r>
          </w:p>
        </w:tc>
        <w:tc>
          <w:tcPr>
            <w:tcW w:w="849" w:type="dxa"/>
            <w:shd w:val="clear" w:color="auto" w:fill="auto"/>
            <w:vAlign w:val="center"/>
          </w:tcPr>
          <w:p w14:paraId="534D210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-0.18</w:t>
            </w:r>
          </w:p>
        </w:tc>
        <w:tc>
          <w:tcPr>
            <w:tcW w:w="851" w:type="dxa"/>
            <w:shd w:val="clear" w:color="auto" w:fill="auto"/>
            <w:vAlign w:val="center"/>
          </w:tcPr>
          <w:p w14:paraId="3C0C2F1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w:t>
            </w:r>
          </w:p>
        </w:tc>
        <w:tc>
          <w:tcPr>
            <w:tcW w:w="850" w:type="dxa"/>
            <w:shd w:val="clear" w:color="auto" w:fill="auto"/>
            <w:vAlign w:val="center"/>
          </w:tcPr>
          <w:p w14:paraId="1B8CC38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-0.05</w:t>
            </w:r>
          </w:p>
        </w:tc>
        <w:tc>
          <w:tcPr>
            <w:tcW w:w="851" w:type="dxa"/>
            <w:shd w:val="clear" w:color="auto" w:fill="auto"/>
            <w:vAlign w:val="center"/>
          </w:tcPr>
          <w:p w14:paraId="0C2FF47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0" w:type="dxa"/>
            <w:shd w:val="clear" w:color="auto" w:fill="auto"/>
            <w:vAlign w:val="center"/>
          </w:tcPr>
          <w:p w14:paraId="1F41CB0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3BC6E63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5387973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0ADE281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33F6014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F3AA00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2F7B2F9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5A0121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48ECF2C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BFL</w:t>
            </w:r>
          </w:p>
        </w:tc>
        <w:tc>
          <w:tcPr>
            <w:tcW w:w="788" w:type="dxa"/>
            <w:shd w:val="clear" w:color="auto" w:fill="auto"/>
            <w:vAlign w:val="center"/>
          </w:tcPr>
          <w:p w14:paraId="517CF75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-0.14</w:t>
            </w:r>
          </w:p>
        </w:tc>
        <w:tc>
          <w:tcPr>
            <w:tcW w:w="849" w:type="dxa"/>
            <w:shd w:val="clear" w:color="auto" w:fill="auto"/>
            <w:vAlign w:val="center"/>
          </w:tcPr>
          <w:p w14:paraId="67D7E76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-0.11</w:t>
            </w:r>
          </w:p>
        </w:tc>
        <w:tc>
          <w:tcPr>
            <w:tcW w:w="851" w:type="dxa"/>
            <w:shd w:val="clear" w:color="auto" w:fill="auto"/>
            <w:vAlign w:val="center"/>
          </w:tcPr>
          <w:p w14:paraId="7170D88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0.04</w:t>
            </w:r>
          </w:p>
        </w:tc>
        <w:tc>
          <w:tcPr>
            <w:tcW w:w="850" w:type="dxa"/>
            <w:shd w:val="clear" w:color="auto" w:fill="auto"/>
            <w:vAlign w:val="center"/>
          </w:tcPr>
          <w:p w14:paraId="3C48FF9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w:t>
            </w:r>
          </w:p>
        </w:tc>
        <w:tc>
          <w:tcPr>
            <w:tcW w:w="851" w:type="dxa"/>
            <w:shd w:val="clear" w:color="auto" w:fill="auto"/>
            <w:vAlign w:val="center"/>
          </w:tcPr>
          <w:p w14:paraId="5FE86AC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0.49</w:t>
            </w:r>
          </w:p>
        </w:tc>
        <w:tc>
          <w:tcPr>
            <w:tcW w:w="850" w:type="dxa"/>
            <w:shd w:val="clear" w:color="auto" w:fill="auto"/>
            <w:vAlign w:val="center"/>
          </w:tcPr>
          <w:p w14:paraId="2B485D2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1" w:type="dxa"/>
            <w:shd w:val="clear" w:color="auto" w:fill="auto"/>
            <w:vAlign w:val="center"/>
          </w:tcPr>
          <w:p w14:paraId="100BBFD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0" w:type="dxa"/>
            <w:shd w:val="clear" w:color="auto" w:fill="auto"/>
            <w:vAlign w:val="center"/>
          </w:tcPr>
          <w:p w14:paraId="4D5F2A4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2649DC5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3C5553A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6561CC9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65B41F3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4EEECA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393C9F8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BGD</w:t>
            </w:r>
          </w:p>
        </w:tc>
        <w:tc>
          <w:tcPr>
            <w:tcW w:w="788" w:type="dxa"/>
            <w:shd w:val="clear" w:color="auto" w:fill="auto"/>
            <w:vAlign w:val="center"/>
          </w:tcPr>
          <w:p w14:paraId="6B61671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w:t>
            </w:r>
          </w:p>
        </w:tc>
        <w:tc>
          <w:tcPr>
            <w:tcW w:w="849" w:type="dxa"/>
            <w:shd w:val="clear" w:color="auto" w:fill="auto"/>
            <w:vAlign w:val="center"/>
          </w:tcPr>
          <w:p w14:paraId="7CECC51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0.02</w:t>
            </w:r>
          </w:p>
        </w:tc>
        <w:tc>
          <w:tcPr>
            <w:tcW w:w="851" w:type="dxa"/>
            <w:shd w:val="clear" w:color="auto" w:fill="auto"/>
            <w:vAlign w:val="center"/>
          </w:tcPr>
          <w:p w14:paraId="2FAC002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-0.19</w:t>
            </w:r>
          </w:p>
        </w:tc>
        <w:tc>
          <w:tcPr>
            <w:tcW w:w="850" w:type="dxa"/>
            <w:shd w:val="clear" w:color="auto" w:fill="auto"/>
            <w:vAlign w:val="center"/>
          </w:tcPr>
          <w:p w14:paraId="112ECBA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-0.09</w:t>
            </w:r>
          </w:p>
        </w:tc>
        <w:tc>
          <w:tcPr>
            <w:tcW w:w="851" w:type="dxa"/>
            <w:shd w:val="clear" w:color="auto" w:fill="auto"/>
            <w:vAlign w:val="center"/>
          </w:tcPr>
          <w:p w14:paraId="64B0130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w:t>
            </w:r>
          </w:p>
        </w:tc>
        <w:tc>
          <w:tcPr>
            <w:tcW w:w="850" w:type="dxa"/>
            <w:shd w:val="clear" w:color="auto" w:fill="auto"/>
            <w:vAlign w:val="center"/>
          </w:tcPr>
          <w:p w14:paraId="42139D3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-0.28</w:t>
            </w:r>
          </w:p>
        </w:tc>
        <w:tc>
          <w:tcPr>
            <w:tcW w:w="851" w:type="dxa"/>
            <w:shd w:val="clear" w:color="auto" w:fill="auto"/>
            <w:vAlign w:val="center"/>
          </w:tcPr>
          <w:p w14:paraId="28DDDE0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0" w:type="dxa"/>
            <w:shd w:val="clear" w:color="auto" w:fill="auto"/>
            <w:vAlign w:val="center"/>
          </w:tcPr>
          <w:p w14:paraId="55E3519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851" w:type="dxa"/>
            <w:shd w:val="clear" w:color="auto" w:fill="auto"/>
            <w:vAlign w:val="center"/>
          </w:tcPr>
          <w:p w14:paraId="72381D5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539F711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8E3AEC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6D87D2A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330049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4CD4103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BM</w:t>
            </w:r>
          </w:p>
        </w:tc>
        <w:tc>
          <w:tcPr>
            <w:tcW w:w="788" w:type="dxa"/>
            <w:shd w:val="clear" w:color="auto" w:fill="auto"/>
            <w:vAlign w:val="center"/>
          </w:tcPr>
          <w:p w14:paraId="5A58204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0.01</w:t>
            </w:r>
          </w:p>
        </w:tc>
        <w:tc>
          <w:tcPr>
            <w:tcW w:w="849" w:type="dxa"/>
            <w:shd w:val="clear" w:color="auto" w:fill="auto"/>
            <w:vAlign w:val="center"/>
          </w:tcPr>
          <w:p w14:paraId="4E74AF7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-0.07</w:t>
            </w:r>
          </w:p>
        </w:tc>
        <w:tc>
          <w:tcPr>
            <w:tcW w:w="851" w:type="dxa"/>
            <w:shd w:val="clear" w:color="auto" w:fill="auto"/>
            <w:vAlign w:val="center"/>
          </w:tcPr>
          <w:p w14:paraId="4C1EFA4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-0.34</w:t>
            </w:r>
          </w:p>
        </w:tc>
        <w:tc>
          <w:tcPr>
            <w:tcW w:w="850" w:type="dxa"/>
            <w:shd w:val="clear" w:color="auto" w:fill="auto"/>
            <w:vAlign w:val="center"/>
          </w:tcPr>
          <w:p w14:paraId="391E8E6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-0.11</w:t>
            </w:r>
          </w:p>
        </w:tc>
        <w:tc>
          <w:tcPr>
            <w:tcW w:w="851" w:type="dxa"/>
            <w:shd w:val="clear" w:color="auto" w:fill="auto"/>
            <w:vAlign w:val="center"/>
          </w:tcPr>
          <w:p w14:paraId="1327562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0.35</w:t>
            </w:r>
          </w:p>
        </w:tc>
        <w:tc>
          <w:tcPr>
            <w:tcW w:w="850" w:type="dxa"/>
            <w:shd w:val="clear" w:color="auto" w:fill="auto"/>
            <w:vAlign w:val="center"/>
          </w:tcPr>
          <w:p w14:paraId="2CD1033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0.51</w:t>
            </w:r>
          </w:p>
        </w:tc>
        <w:tc>
          <w:tcPr>
            <w:tcW w:w="851" w:type="dxa"/>
            <w:shd w:val="clear" w:color="auto" w:fill="auto"/>
            <w:vAlign w:val="center"/>
          </w:tcPr>
          <w:p w14:paraId="47BF7B9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-0.28</w:t>
            </w:r>
          </w:p>
        </w:tc>
        <w:tc>
          <w:tcPr>
            <w:tcW w:w="850" w:type="dxa"/>
            <w:shd w:val="clear" w:color="auto" w:fill="auto"/>
            <w:vAlign w:val="center"/>
          </w:tcPr>
          <w:p w14:paraId="73F3BF6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851" w:type="dxa"/>
            <w:shd w:val="clear" w:color="auto" w:fill="auto"/>
            <w:vAlign w:val="center"/>
          </w:tcPr>
          <w:p w14:paraId="2CF2B6D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90" w:type="dxa"/>
            <w:shd w:val="clear" w:color="auto" w:fill="auto"/>
            <w:vAlign w:val="center"/>
          </w:tcPr>
          <w:p w14:paraId="6A6A437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71A2A9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714ED40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4073AB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1593B50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ACS</w:t>
            </w:r>
          </w:p>
        </w:tc>
        <w:tc>
          <w:tcPr>
            <w:tcW w:w="788" w:type="dxa"/>
            <w:shd w:val="clear" w:color="auto" w:fill="auto"/>
            <w:vAlign w:val="center"/>
          </w:tcPr>
          <w:p w14:paraId="4BF5E5E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0.55</w:t>
            </w:r>
          </w:p>
        </w:tc>
        <w:tc>
          <w:tcPr>
            <w:tcW w:w="849" w:type="dxa"/>
            <w:shd w:val="clear" w:color="auto" w:fill="auto"/>
            <w:vAlign w:val="center"/>
          </w:tcPr>
          <w:p w14:paraId="4E4D363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0.53</w:t>
            </w:r>
          </w:p>
        </w:tc>
        <w:tc>
          <w:tcPr>
            <w:tcW w:w="851" w:type="dxa"/>
            <w:shd w:val="clear" w:color="auto" w:fill="auto"/>
            <w:vAlign w:val="center"/>
          </w:tcPr>
          <w:p w14:paraId="3B69F7B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0.46</w:t>
            </w:r>
          </w:p>
        </w:tc>
        <w:tc>
          <w:tcPr>
            <w:tcW w:w="850" w:type="dxa"/>
            <w:shd w:val="clear" w:color="auto" w:fill="auto"/>
            <w:vAlign w:val="center"/>
          </w:tcPr>
          <w:p w14:paraId="1AD3842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0.49</w:t>
            </w:r>
          </w:p>
        </w:tc>
        <w:tc>
          <w:tcPr>
            <w:tcW w:w="851" w:type="dxa"/>
            <w:shd w:val="clear" w:color="auto" w:fill="auto"/>
            <w:vAlign w:val="center"/>
          </w:tcPr>
          <w:p w14:paraId="170D944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-0.41</w:t>
            </w:r>
          </w:p>
        </w:tc>
        <w:tc>
          <w:tcPr>
            <w:tcW w:w="850" w:type="dxa"/>
            <w:shd w:val="clear" w:color="auto" w:fill="auto"/>
            <w:vAlign w:val="center"/>
          </w:tcPr>
          <w:p w14:paraId="1C62372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-0.36</w:t>
            </w:r>
          </w:p>
        </w:tc>
        <w:tc>
          <w:tcPr>
            <w:tcW w:w="851" w:type="dxa"/>
            <w:shd w:val="clear" w:color="auto" w:fill="auto"/>
            <w:vAlign w:val="center"/>
          </w:tcPr>
          <w:p w14:paraId="2B66F16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-0.27</w:t>
            </w:r>
          </w:p>
        </w:tc>
        <w:tc>
          <w:tcPr>
            <w:tcW w:w="850" w:type="dxa"/>
            <w:shd w:val="clear" w:color="auto" w:fill="auto"/>
            <w:vAlign w:val="center"/>
          </w:tcPr>
          <w:p w14:paraId="22E171F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-0.25</w:t>
            </w:r>
          </w:p>
        </w:tc>
        <w:tc>
          <w:tcPr>
            <w:tcW w:w="851" w:type="dxa"/>
            <w:shd w:val="clear" w:color="auto" w:fill="auto"/>
            <w:vAlign w:val="center"/>
          </w:tcPr>
          <w:p w14:paraId="49A7F56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790" w:type="dxa"/>
            <w:shd w:val="clear" w:color="auto" w:fill="auto"/>
            <w:vAlign w:val="center"/>
          </w:tcPr>
          <w:p w14:paraId="07101D6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72" w:type="dxa"/>
            <w:shd w:val="clear" w:color="auto" w:fill="auto"/>
            <w:vAlign w:val="center"/>
          </w:tcPr>
          <w:p w14:paraId="13A0A2C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601E668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07BCBC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6" w:hRule="atLeast"/>
        </w:trPr>
        <w:tc>
          <w:tcPr>
            <w:tcW w:w="1190" w:type="dxa"/>
            <w:shd w:val="clear" w:color="auto" w:fill="auto"/>
            <w:vAlign w:val="center"/>
          </w:tcPr>
          <w:p w14:paraId="6E2B9CB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ACM</w:t>
            </w:r>
          </w:p>
        </w:tc>
        <w:tc>
          <w:tcPr>
            <w:tcW w:w="788" w:type="dxa"/>
            <w:shd w:val="clear" w:color="auto" w:fill="auto"/>
            <w:vAlign w:val="center"/>
          </w:tcPr>
          <w:p w14:paraId="4F34E82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-0.26</w:t>
            </w:r>
          </w:p>
        </w:tc>
        <w:tc>
          <w:tcPr>
            <w:tcW w:w="849" w:type="dxa"/>
            <w:shd w:val="clear" w:color="auto" w:fill="auto"/>
            <w:vAlign w:val="center"/>
          </w:tcPr>
          <w:p w14:paraId="0EC6B63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-0.24</w:t>
            </w:r>
          </w:p>
        </w:tc>
        <w:tc>
          <w:tcPr>
            <w:tcW w:w="851" w:type="dxa"/>
            <w:shd w:val="clear" w:color="auto" w:fill="auto"/>
            <w:vAlign w:val="center"/>
          </w:tcPr>
          <w:p w14:paraId="6642698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-0.22</w:t>
            </w:r>
          </w:p>
        </w:tc>
        <w:tc>
          <w:tcPr>
            <w:tcW w:w="850" w:type="dxa"/>
            <w:shd w:val="clear" w:color="auto" w:fill="auto"/>
            <w:vAlign w:val="center"/>
          </w:tcPr>
          <w:p w14:paraId="79BCE07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-0.22</w:t>
            </w:r>
          </w:p>
        </w:tc>
        <w:tc>
          <w:tcPr>
            <w:tcW w:w="851" w:type="dxa"/>
            <w:shd w:val="clear" w:color="auto" w:fill="auto"/>
            <w:vAlign w:val="center"/>
          </w:tcPr>
          <w:p w14:paraId="290E7C9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-0.08</w:t>
            </w:r>
          </w:p>
        </w:tc>
        <w:tc>
          <w:tcPr>
            <w:tcW w:w="850" w:type="dxa"/>
            <w:shd w:val="clear" w:color="auto" w:fill="auto"/>
            <w:vAlign w:val="center"/>
          </w:tcPr>
          <w:p w14:paraId="349B71C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0.15</w:t>
            </w:r>
          </w:p>
        </w:tc>
        <w:tc>
          <w:tcPr>
            <w:tcW w:w="851" w:type="dxa"/>
            <w:shd w:val="clear" w:color="auto" w:fill="auto"/>
            <w:vAlign w:val="center"/>
          </w:tcPr>
          <w:p w14:paraId="2B49B9F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0.21</w:t>
            </w:r>
          </w:p>
        </w:tc>
        <w:tc>
          <w:tcPr>
            <w:tcW w:w="850" w:type="dxa"/>
            <w:shd w:val="clear" w:color="auto" w:fill="auto"/>
            <w:vAlign w:val="center"/>
          </w:tcPr>
          <w:p w14:paraId="2490A6A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0.29</w:t>
            </w:r>
          </w:p>
        </w:tc>
        <w:tc>
          <w:tcPr>
            <w:tcW w:w="851" w:type="dxa"/>
            <w:shd w:val="clear" w:color="auto" w:fill="auto"/>
            <w:vAlign w:val="center"/>
          </w:tcPr>
          <w:p w14:paraId="0CF30FA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-0.16</w:t>
            </w:r>
          </w:p>
        </w:tc>
        <w:tc>
          <w:tcPr>
            <w:tcW w:w="790" w:type="dxa"/>
            <w:shd w:val="clear" w:color="auto" w:fill="auto"/>
            <w:vAlign w:val="center"/>
          </w:tcPr>
          <w:p w14:paraId="0E9D8AA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772" w:type="dxa"/>
            <w:shd w:val="clear" w:color="auto" w:fill="auto"/>
            <w:vAlign w:val="center"/>
          </w:tcPr>
          <w:p w14:paraId="24B3166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c>
          <w:tcPr>
            <w:tcW w:w="736" w:type="dxa"/>
            <w:shd w:val="clear" w:color="auto" w:fill="auto"/>
            <w:vAlign w:val="center"/>
          </w:tcPr>
          <w:p w14:paraId="248CCA0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473BBC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7550C4A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FS_LnTA</w:t>
            </w:r>
          </w:p>
        </w:tc>
        <w:tc>
          <w:tcPr>
            <w:tcW w:w="788" w:type="dxa"/>
            <w:shd w:val="clear" w:color="auto" w:fill="auto"/>
            <w:vAlign w:val="center"/>
          </w:tcPr>
          <w:p w14:paraId="71F4F02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-0.51</w:t>
            </w:r>
          </w:p>
        </w:tc>
        <w:tc>
          <w:tcPr>
            <w:tcW w:w="849" w:type="dxa"/>
            <w:shd w:val="clear" w:color="auto" w:fill="auto"/>
            <w:vAlign w:val="center"/>
          </w:tcPr>
          <w:p w14:paraId="16C7690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-0.63</w:t>
            </w:r>
          </w:p>
        </w:tc>
        <w:tc>
          <w:tcPr>
            <w:tcW w:w="851" w:type="dxa"/>
            <w:shd w:val="clear" w:color="auto" w:fill="auto"/>
            <w:vAlign w:val="center"/>
          </w:tcPr>
          <w:p w14:paraId="24C82B4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-0.34</w:t>
            </w:r>
          </w:p>
        </w:tc>
        <w:tc>
          <w:tcPr>
            <w:tcW w:w="850" w:type="dxa"/>
            <w:shd w:val="clear" w:color="auto" w:fill="auto"/>
            <w:vAlign w:val="center"/>
          </w:tcPr>
          <w:p w14:paraId="6DBBC02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0.15</w:t>
            </w:r>
          </w:p>
        </w:tc>
        <w:tc>
          <w:tcPr>
            <w:tcW w:w="851" w:type="dxa"/>
            <w:shd w:val="clear" w:color="auto" w:fill="auto"/>
            <w:vAlign w:val="center"/>
          </w:tcPr>
          <w:p w14:paraId="7657FCB0">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w:t>
            </w:r>
          </w:p>
        </w:tc>
        <w:tc>
          <w:tcPr>
            <w:tcW w:w="850" w:type="dxa"/>
            <w:shd w:val="clear" w:color="auto" w:fill="auto"/>
            <w:vAlign w:val="center"/>
          </w:tcPr>
          <w:p w14:paraId="45DAFF4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-0.17</w:t>
            </w:r>
          </w:p>
        </w:tc>
        <w:tc>
          <w:tcPr>
            <w:tcW w:w="851" w:type="dxa"/>
            <w:shd w:val="clear" w:color="auto" w:fill="auto"/>
            <w:vAlign w:val="center"/>
          </w:tcPr>
          <w:p w14:paraId="0B4335C0">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-0.17</w:t>
            </w:r>
          </w:p>
        </w:tc>
        <w:tc>
          <w:tcPr>
            <w:tcW w:w="850" w:type="dxa"/>
            <w:shd w:val="clear" w:color="auto" w:fill="auto"/>
            <w:vAlign w:val="center"/>
          </w:tcPr>
          <w:p w14:paraId="53BD611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w:t>
            </w:r>
          </w:p>
        </w:tc>
        <w:tc>
          <w:tcPr>
            <w:tcW w:w="851" w:type="dxa"/>
            <w:shd w:val="clear" w:color="auto" w:fill="auto"/>
            <w:vAlign w:val="center"/>
          </w:tcPr>
          <w:p w14:paraId="3D66FB7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w:t>
            </w:r>
          </w:p>
        </w:tc>
        <w:tc>
          <w:tcPr>
            <w:tcW w:w="790" w:type="dxa"/>
            <w:shd w:val="clear" w:color="auto" w:fill="auto"/>
            <w:vAlign w:val="center"/>
          </w:tcPr>
          <w:p w14:paraId="4EDA16D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0.14</w:t>
            </w:r>
          </w:p>
        </w:tc>
        <w:tc>
          <w:tcPr>
            <w:tcW w:w="772" w:type="dxa"/>
            <w:shd w:val="clear" w:color="auto" w:fill="auto"/>
            <w:vAlign w:val="center"/>
          </w:tcPr>
          <w:p w14:paraId="638BC42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c>
          <w:tcPr>
            <w:tcW w:w="736" w:type="dxa"/>
            <w:shd w:val="clear" w:color="auto" w:fill="auto"/>
            <w:vAlign w:val="center"/>
          </w:tcPr>
          <w:p w14:paraId="182F6C9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p>
        </w:tc>
      </w:tr>
      <w:tr w14:paraId="57AA2D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190" w:type="dxa"/>
            <w:shd w:val="clear" w:color="auto" w:fill="auto"/>
            <w:vAlign w:val="center"/>
          </w:tcPr>
          <w:p w14:paraId="641657B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LEV</w:t>
            </w:r>
          </w:p>
        </w:tc>
        <w:tc>
          <w:tcPr>
            <w:tcW w:w="788" w:type="dxa"/>
            <w:shd w:val="clear" w:color="auto" w:fill="auto"/>
            <w:vAlign w:val="center"/>
          </w:tcPr>
          <w:p w14:paraId="66D4839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-0.58</w:t>
            </w:r>
          </w:p>
        </w:tc>
        <w:tc>
          <w:tcPr>
            <w:tcW w:w="849" w:type="dxa"/>
            <w:shd w:val="clear" w:color="auto" w:fill="auto"/>
            <w:vAlign w:val="center"/>
          </w:tcPr>
          <w:p w14:paraId="21E768E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-0.37</w:t>
            </w:r>
          </w:p>
        </w:tc>
        <w:tc>
          <w:tcPr>
            <w:tcW w:w="851" w:type="dxa"/>
            <w:shd w:val="clear" w:color="auto" w:fill="auto"/>
            <w:vAlign w:val="center"/>
          </w:tcPr>
          <w:p w14:paraId="514E7EA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0.14</w:t>
            </w:r>
          </w:p>
        </w:tc>
        <w:tc>
          <w:tcPr>
            <w:tcW w:w="850" w:type="dxa"/>
            <w:shd w:val="clear" w:color="auto" w:fill="auto"/>
            <w:vAlign w:val="center"/>
          </w:tcPr>
          <w:p w14:paraId="4FDED1D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0.18</w:t>
            </w:r>
          </w:p>
        </w:tc>
        <w:tc>
          <w:tcPr>
            <w:tcW w:w="851" w:type="dxa"/>
            <w:shd w:val="clear" w:color="auto" w:fill="auto"/>
            <w:vAlign w:val="center"/>
          </w:tcPr>
          <w:p w14:paraId="4E13387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0.41</w:t>
            </w:r>
          </w:p>
        </w:tc>
        <w:tc>
          <w:tcPr>
            <w:tcW w:w="850" w:type="dxa"/>
            <w:shd w:val="clear" w:color="auto" w:fill="auto"/>
            <w:vAlign w:val="center"/>
          </w:tcPr>
          <w:p w14:paraId="301CCC6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0.27</w:t>
            </w:r>
          </w:p>
        </w:tc>
        <w:tc>
          <w:tcPr>
            <w:tcW w:w="851" w:type="dxa"/>
            <w:shd w:val="clear" w:color="auto" w:fill="auto"/>
            <w:vAlign w:val="center"/>
          </w:tcPr>
          <w:p w14:paraId="3254324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w:t>
            </w:r>
          </w:p>
        </w:tc>
        <w:tc>
          <w:tcPr>
            <w:tcW w:w="850" w:type="dxa"/>
            <w:shd w:val="clear" w:color="auto" w:fill="auto"/>
            <w:vAlign w:val="center"/>
          </w:tcPr>
          <w:p w14:paraId="057F489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w:t>
            </w:r>
          </w:p>
        </w:tc>
        <w:tc>
          <w:tcPr>
            <w:tcW w:w="851" w:type="dxa"/>
            <w:shd w:val="clear" w:color="auto" w:fill="auto"/>
            <w:vAlign w:val="center"/>
          </w:tcPr>
          <w:p w14:paraId="525E9A9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-0.31</w:t>
            </w:r>
          </w:p>
        </w:tc>
        <w:tc>
          <w:tcPr>
            <w:tcW w:w="790" w:type="dxa"/>
            <w:shd w:val="clear" w:color="auto" w:fill="auto"/>
            <w:vAlign w:val="center"/>
          </w:tcPr>
          <w:p w14:paraId="628E49C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0.26</w:t>
            </w:r>
          </w:p>
        </w:tc>
        <w:tc>
          <w:tcPr>
            <w:tcW w:w="772" w:type="dxa"/>
            <w:shd w:val="clear" w:color="auto" w:fill="auto"/>
            <w:vAlign w:val="center"/>
          </w:tcPr>
          <w:p w14:paraId="1DA6992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-0.06</w:t>
            </w:r>
          </w:p>
        </w:tc>
        <w:tc>
          <w:tcPr>
            <w:tcW w:w="736" w:type="dxa"/>
            <w:shd w:val="clear" w:color="auto" w:fill="auto"/>
            <w:vAlign w:val="center"/>
          </w:tcPr>
          <w:p w14:paraId="3BE7CE6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w:t>
            </w:r>
          </w:p>
        </w:tc>
      </w:tr>
    </w:tbl>
    <w:p w14:paraId="4E83ABD0">
      <w:pPr>
        <w:spacing w:line="360" w:lineRule="auto"/>
        <w:rPr>
          <w:rFonts w:ascii="Arial" w:hAnsi="Arial" w:cs="Arial"/>
          <w:color w:val="000000" w:themeColor="text1"/>
          <w:sz w:val="24"/>
          <w:szCs w:val="24"/>
          <w14:textFill>
            <w14:solidFill>
              <w14:schemeClr w14:val="tx1"/>
            </w14:solidFill>
          </w14:textFill>
        </w:rPr>
      </w:pPr>
    </w:p>
    <w:p w14:paraId="1F2F23B3">
      <w:pPr>
        <w:pStyle w:val="3"/>
        <w:spacing w:line="360" w:lineRule="auto"/>
        <w:rPr>
          <w:rFonts w:ascii="Arial" w:hAnsi="Arial" w:cs="Arial"/>
          <w:b/>
          <w:color w:val="000000" w:themeColor="text1"/>
          <w:sz w:val="24"/>
          <w:szCs w:val="24"/>
          <w14:textFill>
            <w14:solidFill>
              <w14:schemeClr w14:val="tx1"/>
            </w14:solidFill>
          </w14:textFill>
        </w:rPr>
      </w:pPr>
      <w:bookmarkStart w:id="31" w:name="_Toc220693672"/>
      <w:r>
        <w:rPr>
          <w:rFonts w:ascii="Arial" w:hAnsi="Arial" w:cs="Arial"/>
          <w:b/>
          <w:color w:val="000000" w:themeColor="text1"/>
          <w:sz w:val="24"/>
          <w:szCs w:val="24"/>
          <w14:textFill>
            <w14:solidFill>
              <w14:schemeClr w14:val="tx1"/>
            </w14:solidFill>
          </w14:textFill>
        </w:rPr>
        <w:t>4.3 t-test</w:t>
      </w:r>
      <w:bookmarkEnd w:id="31"/>
      <w:r>
        <w:rPr>
          <w:rFonts w:ascii="Arial" w:hAnsi="Arial" w:cs="Arial"/>
          <w:b/>
          <w:color w:val="000000" w:themeColor="text1"/>
          <w:sz w:val="24"/>
          <w:szCs w:val="24"/>
          <w14:textFill>
            <w14:solidFill>
              <w14:schemeClr w14:val="tx1"/>
            </w14:solidFill>
          </w14:textFill>
        </w:rPr>
        <w:t xml:space="preserve"> </w:t>
      </w:r>
    </w:p>
    <w:p w14:paraId="544456CD">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4.3 demonstrates the output of paired t-tests by comparing governance characteristics and firm performance before and after the pandemic. This approach has previously been used by Khatib &amp; Nour (2021) to compare the performance of same organizations in two different time periods.</w:t>
      </w:r>
    </w:p>
    <w:p w14:paraId="406B641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During COVID-19, there has been a statistically significant drop in ROA and ROE with mean differences of -0.0249 and -0.0370. This highlights that COVID-19 had a negative effect on Indian automakers' accounting-based financial performance. Similar findings have been suggested by Farwis et al. (2021) and Khatib &amp; Nour (2021)</w:t>
      </w:r>
    </w:p>
    <w:p w14:paraId="26C221B3">
      <w:pPr>
        <w:tabs>
          <w:tab w:val="left" w:pos="1128"/>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On the other hand, Tobin’s Q, rose up considerably after the pandemic, with a mean difference of 0.6750, pointing out that participants in the market anticipated long-term growth and recovery despite short-term decline in profitability. This is in line with existing research (see for example Khatib &amp; Nour, 2021) that financial markets normally values future expectations rather than current accounting results in the times of crises. </w:t>
      </w:r>
    </w:p>
    <w:p w14:paraId="78059EB0">
      <w:pPr>
        <w:tabs>
          <w:tab w:val="left" w:pos="1128"/>
        </w:tabs>
        <w:spacing w:line="360" w:lineRule="auto"/>
        <w:jc w:val="both"/>
        <w:rPr>
          <w:rStyle w:val="11"/>
          <w:rFonts w:ascii="Arial" w:hAnsi="Arial" w:cs="Arial"/>
          <w:b w:val="0"/>
          <w:bCs w:val="0"/>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Changes in BS, BI, GD, BM, ACS and ACM are not statistically significant. Haldar et al. (2018) pointed out that governance systems were relatively constant during the two periods. Moreover, there are no significant variations in firm size or leverage between the two time periods. </w:t>
      </w:r>
    </w:p>
    <w:tbl>
      <w:tblPr>
        <w:tblStyle w:val="12"/>
        <w:tblW w:w="10107"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750"/>
        <w:gridCol w:w="990"/>
        <w:gridCol w:w="1297"/>
        <w:gridCol w:w="750"/>
        <w:gridCol w:w="977"/>
        <w:gridCol w:w="1297"/>
        <w:gridCol w:w="1390"/>
        <w:gridCol w:w="1385"/>
      </w:tblGrid>
      <w:tr w14:paraId="77D91D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107" w:type="dxa"/>
            <w:gridSpan w:val="9"/>
          </w:tcPr>
          <w:p w14:paraId="01509CD6">
            <w:pPr>
              <w:tabs>
                <w:tab w:val="left" w:pos="1128"/>
              </w:tabs>
              <w:spacing w:after="0"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Table 4.3: t- Test</w:t>
            </w:r>
          </w:p>
        </w:tc>
      </w:tr>
      <w:tr w14:paraId="4BE7A8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275" w:type="dxa"/>
          </w:tcPr>
          <w:p w14:paraId="1D9A7AB1">
            <w:pPr>
              <w:tabs>
                <w:tab w:val="left" w:pos="1770"/>
              </w:tabs>
              <w:spacing w:after="0" w:line="360" w:lineRule="auto"/>
              <w:rPr>
                <w:rFonts w:ascii="Arial" w:hAnsi="Arial" w:cs="Arial"/>
                <w:b/>
                <w:bCs/>
                <w:color w:val="000000" w:themeColor="text1"/>
                <w:sz w:val="24"/>
                <w:szCs w:val="24"/>
                <w14:textFill>
                  <w14:solidFill>
                    <w14:schemeClr w14:val="tx1"/>
                  </w14:solidFill>
                </w14:textFill>
              </w:rPr>
            </w:pPr>
          </w:p>
        </w:tc>
        <w:tc>
          <w:tcPr>
            <w:tcW w:w="3046" w:type="dxa"/>
            <w:gridSpan w:val="3"/>
          </w:tcPr>
          <w:p w14:paraId="68026EE5">
            <w:pPr>
              <w:tabs>
                <w:tab w:val="left" w:pos="1770"/>
              </w:tabs>
              <w:spacing w:after="0" w:line="360" w:lineRule="auto"/>
              <w:ind w:left="12"/>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BeforeCOVID-19</w:t>
            </w:r>
          </w:p>
          <w:p w14:paraId="4F09B0D3">
            <w:pPr>
              <w:tabs>
                <w:tab w:val="left" w:pos="1770"/>
              </w:tabs>
              <w:spacing w:after="0" w:line="360" w:lineRule="auto"/>
              <w:ind w:left="12"/>
              <w:jc w:val="center"/>
              <w:rPr>
                <w:rFonts w:ascii="Arial" w:hAnsi="Arial" w:cs="Arial"/>
                <w:b/>
                <w:bCs/>
                <w:color w:val="000000" w:themeColor="text1"/>
                <w:sz w:val="24"/>
                <w:szCs w:val="24"/>
                <w14:textFill>
                  <w14:solidFill>
                    <w14:schemeClr w14:val="tx1"/>
                  </w14:solidFill>
                </w14:textFill>
              </w:rPr>
            </w:pPr>
            <w:r>
              <w:rPr>
                <w:rStyle w:val="11"/>
                <w:rFonts w:ascii="Arial" w:hAnsi="Arial" w:cs="Arial"/>
                <w:color w:val="000000" w:themeColor="text1"/>
                <w:sz w:val="24"/>
                <w:szCs w:val="24"/>
                <w14:textFill>
                  <w14:solidFill>
                    <w14:schemeClr w14:val="tx1"/>
                  </w14:solidFill>
                </w14:textFill>
              </w:rPr>
              <w:t>FY2019–20</w:t>
            </w:r>
          </w:p>
        </w:tc>
        <w:tc>
          <w:tcPr>
            <w:tcW w:w="2909" w:type="dxa"/>
            <w:gridSpan w:val="3"/>
          </w:tcPr>
          <w:p w14:paraId="6BD33A32">
            <w:pPr>
              <w:tabs>
                <w:tab w:val="left" w:pos="1770"/>
              </w:tabs>
              <w:spacing w:after="0" w:line="360" w:lineRule="auto"/>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After COVID-19</w:t>
            </w:r>
          </w:p>
          <w:p w14:paraId="0E78A500">
            <w:pPr>
              <w:tabs>
                <w:tab w:val="left" w:pos="1770"/>
              </w:tabs>
              <w:spacing w:after="0" w:line="360" w:lineRule="auto"/>
              <w:jc w:val="center"/>
              <w:rPr>
                <w:rFonts w:ascii="Arial" w:hAnsi="Arial" w:cs="Arial"/>
                <w:b/>
                <w:bCs/>
                <w:color w:val="000000" w:themeColor="text1"/>
                <w:sz w:val="24"/>
                <w:szCs w:val="24"/>
                <w14:textFill>
                  <w14:solidFill>
                    <w14:schemeClr w14:val="tx1"/>
                  </w14:solidFill>
                </w14:textFill>
              </w:rPr>
            </w:pPr>
            <w:r>
              <w:rPr>
                <w:rStyle w:val="11"/>
                <w:rFonts w:ascii="Arial" w:hAnsi="Arial" w:cs="Arial"/>
                <w:color w:val="000000" w:themeColor="text1"/>
                <w:sz w:val="24"/>
                <w:szCs w:val="24"/>
                <w14:textFill>
                  <w14:solidFill>
                    <w14:schemeClr w14:val="tx1"/>
                  </w14:solidFill>
                </w14:textFill>
              </w:rPr>
              <w:t>FY2020–21</w:t>
            </w:r>
          </w:p>
        </w:tc>
        <w:tc>
          <w:tcPr>
            <w:tcW w:w="1276" w:type="dxa"/>
          </w:tcPr>
          <w:p w14:paraId="7B94BF8D">
            <w:pPr>
              <w:tabs>
                <w:tab w:val="left" w:pos="1770"/>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Mean Difference</w:t>
            </w:r>
          </w:p>
        </w:tc>
        <w:tc>
          <w:tcPr>
            <w:tcW w:w="1601" w:type="dxa"/>
          </w:tcPr>
          <w:p w14:paraId="0265E7CE">
            <w:pPr>
              <w:tabs>
                <w:tab w:val="left" w:pos="1770"/>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t-test Mean difference = After - Before</w:t>
            </w:r>
          </w:p>
        </w:tc>
      </w:tr>
      <w:tr w14:paraId="4927E6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8" w:hRule="atLeast"/>
        </w:trPr>
        <w:tc>
          <w:tcPr>
            <w:tcW w:w="1275" w:type="dxa"/>
          </w:tcPr>
          <w:p w14:paraId="0A56040F">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Variables</w:t>
            </w:r>
          </w:p>
        </w:tc>
        <w:tc>
          <w:tcPr>
            <w:tcW w:w="709" w:type="dxa"/>
          </w:tcPr>
          <w:p w14:paraId="32756478">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Obs.</w:t>
            </w:r>
          </w:p>
        </w:tc>
        <w:tc>
          <w:tcPr>
            <w:tcW w:w="1130" w:type="dxa"/>
          </w:tcPr>
          <w:p w14:paraId="40507F31">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Before COVID  Mean</w:t>
            </w:r>
          </w:p>
        </w:tc>
        <w:tc>
          <w:tcPr>
            <w:tcW w:w="1207" w:type="dxa"/>
          </w:tcPr>
          <w:p w14:paraId="6F894186">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Std. Deviation</w:t>
            </w:r>
          </w:p>
        </w:tc>
        <w:tc>
          <w:tcPr>
            <w:tcW w:w="705" w:type="dxa"/>
          </w:tcPr>
          <w:p w14:paraId="45153C79">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Obs.</w:t>
            </w:r>
          </w:p>
        </w:tc>
        <w:tc>
          <w:tcPr>
            <w:tcW w:w="928" w:type="dxa"/>
          </w:tcPr>
          <w:p w14:paraId="0C106CDE">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After COVID Mean</w:t>
            </w:r>
          </w:p>
        </w:tc>
        <w:tc>
          <w:tcPr>
            <w:tcW w:w="1276" w:type="dxa"/>
          </w:tcPr>
          <w:p w14:paraId="0C2E1814">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Std. Deviation</w:t>
            </w:r>
          </w:p>
        </w:tc>
        <w:tc>
          <w:tcPr>
            <w:tcW w:w="1276" w:type="dxa"/>
          </w:tcPr>
          <w:p w14:paraId="186387C7">
            <w:pPr>
              <w:tabs>
                <w:tab w:val="left" w:pos="1128"/>
              </w:tabs>
              <w:spacing w:after="0" w:line="360" w:lineRule="auto"/>
              <w:rPr>
                <w:rFonts w:ascii="Arial" w:hAnsi="Arial" w:cs="Arial"/>
                <w:b/>
                <w:bCs/>
                <w:color w:val="000000" w:themeColor="text1"/>
                <w:sz w:val="24"/>
                <w:szCs w:val="24"/>
                <w14:textFill>
                  <w14:solidFill>
                    <w14:schemeClr w14:val="tx1"/>
                  </w14:solidFill>
                </w14:textFill>
              </w:rPr>
            </w:pPr>
          </w:p>
        </w:tc>
        <w:tc>
          <w:tcPr>
            <w:tcW w:w="1601" w:type="dxa"/>
          </w:tcPr>
          <w:p w14:paraId="0ADA1050">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t-test</w:t>
            </w:r>
          </w:p>
        </w:tc>
      </w:tr>
      <w:tr w14:paraId="73B560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48910FE9">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ROA</w:t>
            </w:r>
          </w:p>
        </w:tc>
        <w:tc>
          <w:tcPr>
            <w:tcW w:w="709" w:type="dxa"/>
          </w:tcPr>
          <w:p w14:paraId="5AE385C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3055CD8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0.0823</w:t>
            </w:r>
          </w:p>
        </w:tc>
        <w:tc>
          <w:tcPr>
            <w:tcW w:w="1207" w:type="dxa"/>
          </w:tcPr>
          <w:p w14:paraId="5C2B0AF8">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0.0612</w:t>
            </w:r>
          </w:p>
        </w:tc>
        <w:tc>
          <w:tcPr>
            <w:tcW w:w="705" w:type="dxa"/>
          </w:tcPr>
          <w:p w14:paraId="0504D38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1566D6F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0.0574</w:t>
            </w:r>
          </w:p>
        </w:tc>
        <w:tc>
          <w:tcPr>
            <w:tcW w:w="1276" w:type="dxa"/>
          </w:tcPr>
          <w:p w14:paraId="1829BCB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0.0724</w:t>
            </w:r>
          </w:p>
        </w:tc>
        <w:tc>
          <w:tcPr>
            <w:tcW w:w="1276" w:type="dxa"/>
          </w:tcPr>
          <w:p w14:paraId="0E808A7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-0.0249</w:t>
            </w:r>
          </w:p>
        </w:tc>
        <w:tc>
          <w:tcPr>
            <w:tcW w:w="1601" w:type="dxa"/>
          </w:tcPr>
          <w:p w14:paraId="33B9880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2.478</w:t>
            </w:r>
          </w:p>
        </w:tc>
      </w:tr>
      <w:tr w14:paraId="3F3718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11C663B6">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ROE</w:t>
            </w:r>
          </w:p>
        </w:tc>
        <w:tc>
          <w:tcPr>
            <w:tcW w:w="709" w:type="dxa"/>
          </w:tcPr>
          <w:p w14:paraId="3A25017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5EC91AB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0.1214</w:t>
            </w:r>
          </w:p>
        </w:tc>
        <w:tc>
          <w:tcPr>
            <w:tcW w:w="1207" w:type="dxa"/>
          </w:tcPr>
          <w:p w14:paraId="12EB2CE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0.0835</w:t>
            </w:r>
          </w:p>
        </w:tc>
        <w:tc>
          <w:tcPr>
            <w:tcW w:w="705" w:type="dxa"/>
          </w:tcPr>
          <w:p w14:paraId="4B6CCB7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19062B1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0.0844</w:t>
            </w:r>
          </w:p>
        </w:tc>
        <w:tc>
          <w:tcPr>
            <w:tcW w:w="1276" w:type="dxa"/>
          </w:tcPr>
          <w:p w14:paraId="2CFD117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0.1042</w:t>
            </w:r>
          </w:p>
        </w:tc>
        <w:tc>
          <w:tcPr>
            <w:tcW w:w="1276" w:type="dxa"/>
          </w:tcPr>
          <w:p w14:paraId="778AC87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-0.037</w:t>
            </w:r>
          </w:p>
        </w:tc>
        <w:tc>
          <w:tcPr>
            <w:tcW w:w="1601" w:type="dxa"/>
          </w:tcPr>
          <w:p w14:paraId="49AC514F">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2.72</w:t>
            </w:r>
          </w:p>
        </w:tc>
      </w:tr>
      <w:tr w14:paraId="721C23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29AEDDB7">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Tobin’s Q</w:t>
            </w:r>
          </w:p>
        </w:tc>
        <w:tc>
          <w:tcPr>
            <w:tcW w:w="709" w:type="dxa"/>
          </w:tcPr>
          <w:p w14:paraId="128DF54D">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5E580BA8">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1.348</w:t>
            </w:r>
          </w:p>
        </w:tc>
        <w:tc>
          <w:tcPr>
            <w:tcW w:w="1207" w:type="dxa"/>
          </w:tcPr>
          <w:p w14:paraId="4CBBECBF">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0.8741</w:t>
            </w:r>
          </w:p>
        </w:tc>
        <w:tc>
          <w:tcPr>
            <w:tcW w:w="705" w:type="dxa"/>
          </w:tcPr>
          <w:p w14:paraId="7BB2BC6C">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0431049C">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2.023</w:t>
            </w:r>
          </w:p>
        </w:tc>
        <w:tc>
          <w:tcPr>
            <w:tcW w:w="1276" w:type="dxa"/>
          </w:tcPr>
          <w:p w14:paraId="39E3EC33">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1.2025</w:t>
            </w:r>
          </w:p>
        </w:tc>
        <w:tc>
          <w:tcPr>
            <w:tcW w:w="1276" w:type="dxa"/>
          </w:tcPr>
          <w:p w14:paraId="603DF6B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0.675</w:t>
            </w:r>
          </w:p>
        </w:tc>
        <w:tc>
          <w:tcPr>
            <w:tcW w:w="1601" w:type="dxa"/>
          </w:tcPr>
          <w:p w14:paraId="3C11B42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-4.301</w:t>
            </w:r>
          </w:p>
        </w:tc>
      </w:tr>
      <w:tr w14:paraId="171263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2492047C">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BS</w:t>
            </w:r>
          </w:p>
        </w:tc>
        <w:tc>
          <w:tcPr>
            <w:tcW w:w="709" w:type="dxa"/>
          </w:tcPr>
          <w:p w14:paraId="1A41F87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518386E6">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9.9</w:t>
            </w:r>
          </w:p>
        </w:tc>
        <w:tc>
          <w:tcPr>
            <w:tcW w:w="1207" w:type="dxa"/>
          </w:tcPr>
          <w:p w14:paraId="55F6F8E7">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3.05</w:t>
            </w:r>
          </w:p>
        </w:tc>
        <w:tc>
          <w:tcPr>
            <w:tcW w:w="705" w:type="dxa"/>
          </w:tcPr>
          <w:p w14:paraId="5D9A579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1737592D">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10.2</w:t>
            </w:r>
          </w:p>
        </w:tc>
        <w:tc>
          <w:tcPr>
            <w:tcW w:w="1276" w:type="dxa"/>
          </w:tcPr>
          <w:p w14:paraId="0B64978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3.29</w:t>
            </w:r>
          </w:p>
        </w:tc>
        <w:tc>
          <w:tcPr>
            <w:tcW w:w="1276" w:type="dxa"/>
          </w:tcPr>
          <w:p w14:paraId="71C4E8E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0.3</w:t>
            </w:r>
          </w:p>
        </w:tc>
        <w:tc>
          <w:tcPr>
            <w:tcW w:w="1601" w:type="dxa"/>
          </w:tcPr>
          <w:p w14:paraId="3B9352D8">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0.948</w:t>
            </w:r>
          </w:p>
        </w:tc>
      </w:tr>
      <w:tr w14:paraId="647067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7A66B726">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BI</w:t>
            </w:r>
          </w:p>
        </w:tc>
        <w:tc>
          <w:tcPr>
            <w:tcW w:w="709" w:type="dxa"/>
          </w:tcPr>
          <w:p w14:paraId="16CC5C0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2A6D386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0.522</w:t>
            </w:r>
          </w:p>
        </w:tc>
        <w:tc>
          <w:tcPr>
            <w:tcW w:w="1207" w:type="dxa"/>
          </w:tcPr>
          <w:p w14:paraId="470894C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0.09</w:t>
            </w:r>
          </w:p>
        </w:tc>
        <w:tc>
          <w:tcPr>
            <w:tcW w:w="705" w:type="dxa"/>
          </w:tcPr>
          <w:p w14:paraId="132D35A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43317D0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0.506</w:t>
            </w:r>
          </w:p>
        </w:tc>
        <w:tc>
          <w:tcPr>
            <w:tcW w:w="1276" w:type="dxa"/>
          </w:tcPr>
          <w:p w14:paraId="51739C28">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0.088</w:t>
            </w:r>
          </w:p>
        </w:tc>
        <w:tc>
          <w:tcPr>
            <w:tcW w:w="1276" w:type="dxa"/>
          </w:tcPr>
          <w:p w14:paraId="05A8361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-0.016</w:t>
            </w:r>
          </w:p>
        </w:tc>
        <w:tc>
          <w:tcPr>
            <w:tcW w:w="1601" w:type="dxa"/>
          </w:tcPr>
          <w:p w14:paraId="575E12B6">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-1.121</w:t>
            </w:r>
          </w:p>
        </w:tc>
      </w:tr>
      <w:tr w14:paraId="13DB84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3B201A0E">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BGD</w:t>
            </w:r>
          </w:p>
        </w:tc>
        <w:tc>
          <w:tcPr>
            <w:tcW w:w="709" w:type="dxa"/>
          </w:tcPr>
          <w:p w14:paraId="52B296C9">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4EB4FFF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0.181</w:t>
            </w:r>
          </w:p>
        </w:tc>
        <w:tc>
          <w:tcPr>
            <w:tcW w:w="1207" w:type="dxa"/>
          </w:tcPr>
          <w:p w14:paraId="31B1EB2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0.07</w:t>
            </w:r>
          </w:p>
        </w:tc>
        <w:tc>
          <w:tcPr>
            <w:tcW w:w="705" w:type="dxa"/>
          </w:tcPr>
          <w:p w14:paraId="6940E85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682E343C">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0.186</w:t>
            </w:r>
          </w:p>
        </w:tc>
        <w:tc>
          <w:tcPr>
            <w:tcW w:w="1276" w:type="dxa"/>
          </w:tcPr>
          <w:p w14:paraId="0A90775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0.075</w:t>
            </w:r>
          </w:p>
        </w:tc>
        <w:tc>
          <w:tcPr>
            <w:tcW w:w="1276" w:type="dxa"/>
          </w:tcPr>
          <w:p w14:paraId="25C827B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0.005</w:t>
            </w:r>
          </w:p>
        </w:tc>
        <w:tc>
          <w:tcPr>
            <w:tcW w:w="1601" w:type="dxa"/>
          </w:tcPr>
          <w:p w14:paraId="313F8AB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0.418</w:t>
            </w:r>
          </w:p>
        </w:tc>
      </w:tr>
      <w:tr w14:paraId="5D3E4A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1F29A1C8">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BM</w:t>
            </w:r>
          </w:p>
        </w:tc>
        <w:tc>
          <w:tcPr>
            <w:tcW w:w="709" w:type="dxa"/>
          </w:tcPr>
          <w:p w14:paraId="12A90F97">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5864A54D">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6.1</w:t>
            </w:r>
          </w:p>
        </w:tc>
        <w:tc>
          <w:tcPr>
            <w:tcW w:w="1207" w:type="dxa"/>
          </w:tcPr>
          <w:p w14:paraId="09E416CF">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1.29</w:t>
            </w:r>
          </w:p>
        </w:tc>
        <w:tc>
          <w:tcPr>
            <w:tcW w:w="705" w:type="dxa"/>
          </w:tcPr>
          <w:p w14:paraId="2FA9FB26">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229F125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6.3</w:t>
            </w:r>
          </w:p>
        </w:tc>
        <w:tc>
          <w:tcPr>
            <w:tcW w:w="1276" w:type="dxa"/>
          </w:tcPr>
          <w:p w14:paraId="031A201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1.34</w:t>
            </w:r>
          </w:p>
        </w:tc>
        <w:tc>
          <w:tcPr>
            <w:tcW w:w="1276" w:type="dxa"/>
          </w:tcPr>
          <w:p w14:paraId="58B373F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0.2</w:t>
            </w:r>
          </w:p>
        </w:tc>
        <w:tc>
          <w:tcPr>
            <w:tcW w:w="1601" w:type="dxa"/>
          </w:tcPr>
          <w:p w14:paraId="36D9777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0.912</w:t>
            </w:r>
          </w:p>
        </w:tc>
      </w:tr>
      <w:tr w14:paraId="4C60D7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7C5AD827">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BFL</w:t>
            </w:r>
          </w:p>
        </w:tc>
        <w:tc>
          <w:tcPr>
            <w:tcW w:w="709" w:type="dxa"/>
          </w:tcPr>
          <w:p w14:paraId="4D3E1D0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280D602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w:t>
            </w:r>
          </w:p>
        </w:tc>
        <w:tc>
          <w:tcPr>
            <w:tcW w:w="1207" w:type="dxa"/>
          </w:tcPr>
          <w:p w14:paraId="60E43ECD">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0.316</w:t>
            </w:r>
          </w:p>
        </w:tc>
        <w:tc>
          <w:tcPr>
            <w:tcW w:w="705" w:type="dxa"/>
          </w:tcPr>
          <w:p w14:paraId="7BA55F0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531138C7">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w:t>
            </w:r>
          </w:p>
        </w:tc>
        <w:tc>
          <w:tcPr>
            <w:tcW w:w="1276" w:type="dxa"/>
          </w:tcPr>
          <w:p w14:paraId="5BAF09C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w:t>
            </w:r>
          </w:p>
        </w:tc>
        <w:tc>
          <w:tcPr>
            <w:tcW w:w="1276" w:type="dxa"/>
          </w:tcPr>
          <w:p w14:paraId="1E9FE53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w:t>
            </w:r>
          </w:p>
        </w:tc>
        <w:tc>
          <w:tcPr>
            <w:tcW w:w="1601" w:type="dxa"/>
          </w:tcPr>
          <w:p w14:paraId="6DED06A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w:t>
            </w:r>
          </w:p>
        </w:tc>
      </w:tr>
      <w:tr w14:paraId="73F21E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1758B1F4">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ACS</w:t>
            </w:r>
          </w:p>
        </w:tc>
        <w:tc>
          <w:tcPr>
            <w:tcW w:w="709" w:type="dxa"/>
          </w:tcPr>
          <w:p w14:paraId="440E2C6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3BD6DF7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3.9</w:t>
            </w:r>
          </w:p>
        </w:tc>
        <w:tc>
          <w:tcPr>
            <w:tcW w:w="1207" w:type="dxa"/>
          </w:tcPr>
          <w:p w14:paraId="703DD1B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0.74</w:t>
            </w:r>
          </w:p>
        </w:tc>
        <w:tc>
          <w:tcPr>
            <w:tcW w:w="705" w:type="dxa"/>
          </w:tcPr>
          <w:p w14:paraId="15D2FE5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5A68B4E0">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4.1</w:t>
            </w:r>
          </w:p>
        </w:tc>
        <w:tc>
          <w:tcPr>
            <w:tcW w:w="1276" w:type="dxa"/>
          </w:tcPr>
          <w:p w14:paraId="2388495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0.57</w:t>
            </w:r>
          </w:p>
        </w:tc>
        <w:tc>
          <w:tcPr>
            <w:tcW w:w="1276" w:type="dxa"/>
          </w:tcPr>
          <w:p w14:paraId="50DF357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0.2</w:t>
            </w:r>
          </w:p>
        </w:tc>
        <w:tc>
          <w:tcPr>
            <w:tcW w:w="1601" w:type="dxa"/>
          </w:tcPr>
          <w:p w14:paraId="25C41F0D">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1.183</w:t>
            </w:r>
          </w:p>
        </w:tc>
      </w:tr>
      <w:tr w14:paraId="78C20B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1275" w:type="dxa"/>
          </w:tcPr>
          <w:p w14:paraId="01D105B4">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ACM</w:t>
            </w:r>
          </w:p>
        </w:tc>
        <w:tc>
          <w:tcPr>
            <w:tcW w:w="709" w:type="dxa"/>
          </w:tcPr>
          <w:p w14:paraId="7694B9F6">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3A26629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5.8</w:t>
            </w:r>
          </w:p>
        </w:tc>
        <w:tc>
          <w:tcPr>
            <w:tcW w:w="1207" w:type="dxa"/>
          </w:tcPr>
          <w:p w14:paraId="5329651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1.32</w:t>
            </w:r>
          </w:p>
        </w:tc>
        <w:tc>
          <w:tcPr>
            <w:tcW w:w="705" w:type="dxa"/>
          </w:tcPr>
          <w:p w14:paraId="7AE52EA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11740DEF">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6.2</w:t>
            </w:r>
          </w:p>
        </w:tc>
        <w:tc>
          <w:tcPr>
            <w:tcW w:w="1276" w:type="dxa"/>
          </w:tcPr>
          <w:p w14:paraId="5AC03DB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1.78</w:t>
            </w:r>
          </w:p>
        </w:tc>
        <w:tc>
          <w:tcPr>
            <w:tcW w:w="1276" w:type="dxa"/>
          </w:tcPr>
          <w:p w14:paraId="5A494F03">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0.4</w:t>
            </w:r>
          </w:p>
        </w:tc>
        <w:tc>
          <w:tcPr>
            <w:tcW w:w="1601" w:type="dxa"/>
          </w:tcPr>
          <w:p w14:paraId="280FFF7C">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1.041</w:t>
            </w:r>
          </w:p>
        </w:tc>
      </w:tr>
      <w:tr w14:paraId="165193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46CAEDEC">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FS_LnTA</w:t>
            </w:r>
          </w:p>
        </w:tc>
        <w:tc>
          <w:tcPr>
            <w:tcW w:w="709" w:type="dxa"/>
          </w:tcPr>
          <w:p w14:paraId="7E5F870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5911AC64">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10.89</w:t>
            </w:r>
          </w:p>
        </w:tc>
        <w:tc>
          <w:tcPr>
            <w:tcW w:w="1207" w:type="dxa"/>
          </w:tcPr>
          <w:p w14:paraId="64E0F87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1.67</w:t>
            </w:r>
          </w:p>
        </w:tc>
        <w:tc>
          <w:tcPr>
            <w:tcW w:w="705" w:type="dxa"/>
          </w:tcPr>
          <w:p w14:paraId="7A4246D5">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6D4CFD47">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10.74</w:t>
            </w:r>
          </w:p>
        </w:tc>
        <w:tc>
          <w:tcPr>
            <w:tcW w:w="1276" w:type="dxa"/>
          </w:tcPr>
          <w:p w14:paraId="2BC1FC41">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1.72</w:t>
            </w:r>
          </w:p>
        </w:tc>
        <w:tc>
          <w:tcPr>
            <w:tcW w:w="1276" w:type="dxa"/>
          </w:tcPr>
          <w:p w14:paraId="2622DF0A">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-0.15</w:t>
            </w:r>
          </w:p>
        </w:tc>
        <w:tc>
          <w:tcPr>
            <w:tcW w:w="1601" w:type="dxa"/>
          </w:tcPr>
          <w:p w14:paraId="5B33ACB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-0.632</w:t>
            </w:r>
          </w:p>
        </w:tc>
      </w:tr>
      <w:tr w14:paraId="42E122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275" w:type="dxa"/>
          </w:tcPr>
          <w:p w14:paraId="68471145">
            <w:pPr>
              <w:tabs>
                <w:tab w:val="left" w:pos="1128"/>
              </w:tabs>
              <w:spacing w:after="0" w:line="360" w:lineRule="auto"/>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LEV</w:t>
            </w:r>
          </w:p>
        </w:tc>
        <w:tc>
          <w:tcPr>
            <w:tcW w:w="709" w:type="dxa"/>
          </w:tcPr>
          <w:p w14:paraId="0457C209">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1130" w:type="dxa"/>
          </w:tcPr>
          <w:p w14:paraId="03AC71F6">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0.88</w:t>
            </w:r>
          </w:p>
        </w:tc>
        <w:tc>
          <w:tcPr>
            <w:tcW w:w="1207" w:type="dxa"/>
          </w:tcPr>
          <w:p w14:paraId="6A59E7C2">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1.07</w:t>
            </w:r>
          </w:p>
        </w:tc>
        <w:tc>
          <w:tcPr>
            <w:tcW w:w="705" w:type="dxa"/>
          </w:tcPr>
          <w:p w14:paraId="2AC9A09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w:t>
            </w:r>
          </w:p>
        </w:tc>
        <w:tc>
          <w:tcPr>
            <w:tcW w:w="928" w:type="dxa"/>
          </w:tcPr>
          <w:p w14:paraId="0F999F0B">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0.84</w:t>
            </w:r>
          </w:p>
        </w:tc>
        <w:tc>
          <w:tcPr>
            <w:tcW w:w="1276" w:type="dxa"/>
          </w:tcPr>
          <w:p w14:paraId="19EA9613">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1.09</w:t>
            </w:r>
          </w:p>
        </w:tc>
        <w:tc>
          <w:tcPr>
            <w:tcW w:w="1276" w:type="dxa"/>
          </w:tcPr>
          <w:p w14:paraId="31F9F0CC">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-0.04</w:t>
            </w:r>
          </w:p>
        </w:tc>
        <w:tc>
          <w:tcPr>
            <w:tcW w:w="1601" w:type="dxa"/>
          </w:tcPr>
          <w:p w14:paraId="5106E67E">
            <w:pPr>
              <w:tabs>
                <w:tab w:val="left" w:pos="1128"/>
              </w:tabs>
              <w:spacing w:after="0" w:line="360" w:lineRule="auto"/>
              <w:rPr>
                <w:rFonts w:ascii="Arial" w:hAnsi="Arial" w:cs="Arial"/>
                <w:bCs/>
                <w:color w:val="000000" w:themeColor="text1"/>
                <w:sz w:val="24"/>
                <w:szCs w:val="24"/>
                <w14:textFill>
                  <w14:solidFill>
                    <w14:schemeClr w14:val="tx1"/>
                  </w14:solidFill>
                </w14:textFill>
              </w:rPr>
            </w:pPr>
            <w:r>
              <w:rPr>
                <w:rFonts w:ascii="Arial" w:hAnsi="Arial" w:cs="Arial"/>
                <w:bCs/>
                <w:color w:val="000000" w:themeColor="text1"/>
                <w:sz w:val="24"/>
                <w:szCs w:val="24"/>
                <w14:textFill>
                  <w14:solidFill>
                    <w14:schemeClr w14:val="tx1"/>
                  </w14:solidFill>
                </w14:textFill>
              </w:rPr>
              <w:t>-0.514</w:t>
            </w:r>
          </w:p>
        </w:tc>
      </w:tr>
    </w:tbl>
    <w:p w14:paraId="5C4D4A9F">
      <w:pPr>
        <w:tabs>
          <w:tab w:val="left" w:pos="1128"/>
        </w:tabs>
        <w:spacing w:line="360" w:lineRule="auto"/>
        <w:rPr>
          <w:rStyle w:val="11"/>
          <w:rFonts w:ascii="Arial" w:hAnsi="Arial" w:cs="Arial"/>
          <w:color w:val="000000" w:themeColor="text1"/>
          <w:sz w:val="24"/>
          <w:szCs w:val="24"/>
          <w14:textFill>
            <w14:solidFill>
              <w14:schemeClr w14:val="tx1"/>
            </w14:solidFill>
          </w14:textFill>
        </w:rPr>
      </w:pPr>
    </w:p>
    <w:p w14:paraId="65C6B118">
      <w:pPr>
        <w:pStyle w:val="3"/>
        <w:spacing w:line="360" w:lineRule="auto"/>
        <w:rPr>
          <w:rStyle w:val="11"/>
          <w:rFonts w:ascii="Arial" w:hAnsi="Arial" w:cs="Arial"/>
          <w:color w:val="000000" w:themeColor="text1"/>
          <w:sz w:val="24"/>
          <w:szCs w:val="24"/>
          <w14:textFill>
            <w14:solidFill>
              <w14:schemeClr w14:val="tx1"/>
            </w14:solidFill>
          </w14:textFill>
        </w:rPr>
      </w:pPr>
      <w:bookmarkStart w:id="32" w:name="_Toc220693673"/>
      <w:r>
        <w:rPr>
          <w:rStyle w:val="11"/>
          <w:rFonts w:ascii="Arial" w:hAnsi="Arial" w:cs="Arial"/>
          <w:color w:val="000000" w:themeColor="text1"/>
          <w:sz w:val="24"/>
          <w:szCs w:val="24"/>
          <w14:textFill>
            <w14:solidFill>
              <w14:schemeClr w14:val="tx1"/>
            </w14:solidFill>
          </w14:textFill>
        </w:rPr>
        <w:t>4.4 Panel OLS Regression</w:t>
      </w:r>
      <w:bookmarkEnd w:id="32"/>
      <w:r>
        <w:rPr>
          <w:rStyle w:val="11"/>
          <w:rFonts w:ascii="Arial" w:hAnsi="Arial" w:cs="Arial"/>
          <w:color w:val="000000" w:themeColor="text1"/>
          <w:sz w:val="24"/>
          <w:szCs w:val="24"/>
          <w14:textFill>
            <w14:solidFill>
              <w14:schemeClr w14:val="tx1"/>
            </w14:solidFill>
          </w14:textFill>
        </w:rPr>
        <w:t xml:space="preserve">  </w:t>
      </w:r>
    </w:p>
    <w:p w14:paraId="59E06B6F">
      <w:pPr>
        <w:tabs>
          <w:tab w:val="left" w:pos="1128"/>
        </w:tabs>
        <w:spacing w:line="360" w:lineRule="auto"/>
        <w:jc w:val="both"/>
        <w:rPr>
          <w:rStyle w:val="11"/>
          <w:rFonts w:ascii="Arial" w:hAnsi="Arial" w:cs="Arial"/>
          <w:b w:val="0"/>
          <w:color w:val="000000" w:themeColor="text1"/>
          <w:sz w:val="24"/>
          <w:szCs w:val="24"/>
          <w14:textFill>
            <w14:solidFill>
              <w14:schemeClr w14:val="tx1"/>
            </w14:solidFill>
          </w14:textFill>
        </w:rPr>
      </w:pPr>
      <w:r>
        <w:rPr>
          <w:rStyle w:val="11"/>
          <w:rFonts w:ascii="Arial" w:hAnsi="Arial" w:cs="Arial"/>
          <w:b w:val="0"/>
          <w:color w:val="000000" w:themeColor="text1"/>
          <w:sz w:val="24"/>
          <w:szCs w:val="24"/>
          <w14:textFill>
            <w14:solidFill>
              <w14:schemeClr w14:val="tx1"/>
            </w14:solidFill>
          </w14:textFill>
        </w:rPr>
        <w:t xml:space="preserve">The panel OLS regression findings for the entire sample are shown in Table 4.4, which looks at how COVID-19 and corporate governance practices impact on the success of business. Firm profitability has declined in period after COVID-19, with the financial year dummy (FY_ Dummy), which is negative and statistically significant for ROA and ROE. These results are in line with existing research by Farwis et al. (2021) and Khatib &amp; Nour (2021) who has shown that COVID-19 has negative impact on accounting based performance indicators. For Tobin’s Q, the dummy variable is not significant, it indicates that market-based performance was quite strong. </w:t>
      </w:r>
    </w:p>
    <w:p w14:paraId="1716075A">
      <w:pPr>
        <w:tabs>
          <w:tab w:val="left" w:pos="1128"/>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Larger boards may have improved firm performance, especially during uncertain times, as seen by the positive and statistically significant association between board size and ROA and Tobin's Q. This result is in accordance with resource dependence theory that stresses on the importance of external associations and BGD (Haldar et al., 2018).</w:t>
      </w:r>
    </w:p>
    <w:p w14:paraId="2B8C82C4">
      <w:pPr>
        <w:tabs>
          <w:tab w:val="left" w:pos="1128"/>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 higher level of BI may acted as a constraint against the performance of the organization during the pandemic, as evident by the negative and considerable association between BI and ROA and ROE. Khatib &amp; Nour (2021) has revealed similar insignificant or negative effects of BI in the COVID-19.</w:t>
      </w:r>
    </w:p>
    <w:p w14:paraId="1D143E6E">
      <w:pPr>
        <w:tabs>
          <w:tab w:val="left" w:pos="1128"/>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While BFI and audit committee characteristics are not statistically significant across the majority of criteria, BM and BGD have negative links with Robin’s Q. On the other hand, accounting-based performance is adversely and strongly correlated with business size and leverage, suggesting that bigger and more leveraged enterprises were more financially strained during the epidemic. Farwis et al. (2021) found similar results from research carried out in emerging markets during the times of COVID-19. </w:t>
      </w:r>
    </w:p>
    <w:p w14:paraId="345E8D86">
      <w:pPr>
        <w:tabs>
          <w:tab w:val="left" w:pos="1128"/>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All models  have good explanatory power, based on the R-squared values. The statistical significance of the provided F-statistics supports the regression models' general validity (Hair et al., 2019).</w:t>
      </w:r>
    </w:p>
    <w:tbl>
      <w:tblPr>
        <w:tblStyle w:val="1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3"/>
        <w:gridCol w:w="1177"/>
        <w:gridCol w:w="1177"/>
        <w:gridCol w:w="1323"/>
      </w:tblGrid>
      <w:tr w14:paraId="308D39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jc w:val="center"/>
        </w:trPr>
        <w:tc>
          <w:tcPr>
            <w:tcW w:w="0" w:type="auto"/>
            <w:gridSpan w:val="4"/>
          </w:tcPr>
          <w:p w14:paraId="53ABFE29">
            <w:pPr>
              <w:spacing w:after="0" w:line="360" w:lineRule="auto"/>
              <w:jc w:val="center"/>
              <w:rPr>
                <w:rFonts w:ascii="Arial" w:hAnsi="Arial" w:cs="Arial"/>
                <w:b/>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Table 4.4: Panel OLS Regression</w:t>
            </w:r>
          </w:p>
        </w:tc>
      </w:tr>
      <w:tr w14:paraId="52664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D13FD3E">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Variables</w:t>
            </w:r>
          </w:p>
        </w:tc>
        <w:tc>
          <w:tcPr>
            <w:tcW w:w="0" w:type="auto"/>
          </w:tcPr>
          <w:p w14:paraId="7D0A74E5">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ROA</w:t>
            </w:r>
          </w:p>
        </w:tc>
        <w:tc>
          <w:tcPr>
            <w:tcW w:w="0" w:type="auto"/>
          </w:tcPr>
          <w:p w14:paraId="38C9F45F">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ROE</w:t>
            </w:r>
          </w:p>
        </w:tc>
        <w:tc>
          <w:tcPr>
            <w:tcW w:w="0" w:type="auto"/>
          </w:tcPr>
          <w:p w14:paraId="3B50442E">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Tobin’s Q</w:t>
            </w:r>
          </w:p>
        </w:tc>
      </w:tr>
      <w:tr w14:paraId="057E45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CFEDFE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FY_Dummy</w:t>
            </w:r>
          </w:p>
        </w:tc>
        <w:tc>
          <w:tcPr>
            <w:tcW w:w="0" w:type="auto"/>
          </w:tcPr>
          <w:p w14:paraId="3BF043D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-0.033* </w:t>
            </w:r>
          </w:p>
          <w:p w14:paraId="3C553B8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(-2.13)</w:t>
            </w:r>
          </w:p>
        </w:tc>
        <w:tc>
          <w:tcPr>
            <w:tcW w:w="0" w:type="auto"/>
          </w:tcPr>
          <w:p w14:paraId="4E96148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-0.046* </w:t>
            </w:r>
          </w:p>
          <w:p w14:paraId="0DACC37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(-1.91)</w:t>
            </w:r>
          </w:p>
        </w:tc>
        <w:tc>
          <w:tcPr>
            <w:tcW w:w="0" w:type="auto"/>
          </w:tcPr>
          <w:p w14:paraId="0469D7F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0.295 </w:t>
            </w:r>
          </w:p>
          <w:p w14:paraId="17F34DB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(0.80)</w:t>
            </w:r>
          </w:p>
        </w:tc>
      </w:tr>
      <w:tr w14:paraId="131401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AAC694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BS</w:t>
            </w:r>
          </w:p>
        </w:tc>
        <w:tc>
          <w:tcPr>
            <w:tcW w:w="0" w:type="auto"/>
          </w:tcPr>
          <w:p w14:paraId="39BD1F2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0.009** </w:t>
            </w:r>
          </w:p>
          <w:p w14:paraId="14527C5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(2.30)</w:t>
            </w:r>
          </w:p>
        </w:tc>
        <w:tc>
          <w:tcPr>
            <w:tcW w:w="0" w:type="auto"/>
          </w:tcPr>
          <w:p w14:paraId="656DB50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0.008 </w:t>
            </w:r>
          </w:p>
          <w:p w14:paraId="011EDA6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(1.21)</w:t>
            </w:r>
          </w:p>
        </w:tc>
        <w:tc>
          <w:tcPr>
            <w:tcW w:w="0" w:type="auto"/>
          </w:tcPr>
          <w:p w14:paraId="4B29F79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0.198* </w:t>
            </w:r>
          </w:p>
          <w:p w14:paraId="3627348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(2.04)</w:t>
            </w:r>
          </w:p>
        </w:tc>
      </w:tr>
      <w:tr w14:paraId="3B213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8A4AE5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BI</w:t>
            </w:r>
          </w:p>
        </w:tc>
        <w:tc>
          <w:tcPr>
            <w:tcW w:w="0" w:type="auto"/>
          </w:tcPr>
          <w:p w14:paraId="51246E6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-0.266* </w:t>
            </w:r>
          </w:p>
          <w:p w14:paraId="323AE1F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(-2.13)</w:t>
            </w:r>
          </w:p>
        </w:tc>
        <w:tc>
          <w:tcPr>
            <w:tcW w:w="0" w:type="auto"/>
          </w:tcPr>
          <w:p w14:paraId="6BA78DD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-0.517**</w:t>
            </w:r>
          </w:p>
          <w:p w14:paraId="6E7E532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(-2.67)</w:t>
            </w:r>
          </w:p>
        </w:tc>
        <w:tc>
          <w:tcPr>
            <w:tcW w:w="0" w:type="auto"/>
          </w:tcPr>
          <w:p w14:paraId="380FD1C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-4.938</w:t>
            </w:r>
          </w:p>
          <w:p w14:paraId="60B2466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(-1.67)</w:t>
            </w:r>
          </w:p>
        </w:tc>
      </w:tr>
      <w:tr w14:paraId="596A06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1DC765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BFL</w:t>
            </w:r>
          </w:p>
        </w:tc>
        <w:tc>
          <w:tcPr>
            <w:tcW w:w="0" w:type="auto"/>
          </w:tcPr>
          <w:p w14:paraId="309073F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-0.033 </w:t>
            </w:r>
          </w:p>
          <w:p w14:paraId="6DE4BF3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(-0.65)</w:t>
            </w:r>
          </w:p>
        </w:tc>
        <w:tc>
          <w:tcPr>
            <w:tcW w:w="0" w:type="auto"/>
          </w:tcPr>
          <w:p w14:paraId="439CAB3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0.009 </w:t>
            </w:r>
          </w:p>
          <w:p w14:paraId="7F85693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(0.12)</w:t>
            </w:r>
          </w:p>
        </w:tc>
        <w:tc>
          <w:tcPr>
            <w:tcW w:w="0" w:type="auto"/>
          </w:tcPr>
          <w:p w14:paraId="56E693E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1.044</w:t>
            </w:r>
          </w:p>
          <w:p w14:paraId="789E94D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(0.88)</w:t>
            </w:r>
          </w:p>
        </w:tc>
      </w:tr>
      <w:tr w14:paraId="44A905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2C3A99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BGD</w:t>
            </w:r>
          </w:p>
        </w:tc>
        <w:tc>
          <w:tcPr>
            <w:tcW w:w="0" w:type="auto"/>
          </w:tcPr>
          <w:p w14:paraId="4353BC5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-0.223 </w:t>
            </w:r>
          </w:p>
          <w:p w14:paraId="40CC21F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(-1.28)</w:t>
            </w:r>
          </w:p>
        </w:tc>
        <w:tc>
          <w:tcPr>
            <w:tcW w:w="0" w:type="auto"/>
          </w:tcPr>
          <w:p w14:paraId="046E64F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-0.204</w:t>
            </w:r>
          </w:p>
          <w:p w14:paraId="53AB4A8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(-0.76)</w:t>
            </w:r>
          </w:p>
        </w:tc>
        <w:tc>
          <w:tcPr>
            <w:tcW w:w="0" w:type="auto"/>
          </w:tcPr>
          <w:p w14:paraId="525F5A6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-7.577* </w:t>
            </w:r>
          </w:p>
          <w:p w14:paraId="03C162E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(-1.84)</w:t>
            </w:r>
          </w:p>
        </w:tc>
      </w:tr>
      <w:tr w14:paraId="1B15E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426E31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BM</w:t>
            </w:r>
          </w:p>
        </w:tc>
        <w:tc>
          <w:tcPr>
            <w:tcW w:w="0" w:type="auto"/>
          </w:tcPr>
          <w:p w14:paraId="59D19FF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0.000 </w:t>
            </w:r>
          </w:p>
          <w:p w14:paraId="04F4B1B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w:t>
            </w:r>
          </w:p>
        </w:tc>
        <w:tc>
          <w:tcPr>
            <w:tcW w:w="0" w:type="auto"/>
          </w:tcPr>
          <w:p w14:paraId="4EF42D4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-0.008 </w:t>
            </w:r>
          </w:p>
          <w:p w14:paraId="5996C93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(-0.67)</w:t>
            </w:r>
          </w:p>
        </w:tc>
        <w:tc>
          <w:tcPr>
            <w:tcW w:w="0" w:type="auto"/>
          </w:tcPr>
          <w:p w14:paraId="66B0F20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-0.557** </w:t>
            </w:r>
          </w:p>
          <w:p w14:paraId="721BD53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(-2.92)</w:t>
            </w:r>
          </w:p>
        </w:tc>
      </w:tr>
      <w:tr w14:paraId="07EB72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A3006C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ACS</w:t>
            </w:r>
          </w:p>
        </w:tc>
        <w:tc>
          <w:tcPr>
            <w:tcW w:w="0" w:type="auto"/>
          </w:tcPr>
          <w:p w14:paraId="0445617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-0.005</w:t>
            </w:r>
          </w:p>
          <w:p w14:paraId="6D53B31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(-0.22)</w:t>
            </w:r>
          </w:p>
        </w:tc>
        <w:tc>
          <w:tcPr>
            <w:tcW w:w="0" w:type="auto"/>
          </w:tcPr>
          <w:p w14:paraId="04E2F1A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0.012 </w:t>
            </w:r>
          </w:p>
          <w:p w14:paraId="2C7146F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(0.34)</w:t>
            </w:r>
          </w:p>
        </w:tc>
        <w:tc>
          <w:tcPr>
            <w:tcW w:w="0" w:type="auto"/>
          </w:tcPr>
          <w:p w14:paraId="01643AE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-0.299 </w:t>
            </w:r>
          </w:p>
          <w:p w14:paraId="1DEBA3B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(-0.53)</w:t>
            </w:r>
          </w:p>
        </w:tc>
      </w:tr>
      <w:tr w14:paraId="2A3477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85082A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ACM</w:t>
            </w:r>
          </w:p>
        </w:tc>
        <w:tc>
          <w:tcPr>
            <w:tcW w:w="0" w:type="auto"/>
          </w:tcPr>
          <w:p w14:paraId="2A8B25F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0.006 </w:t>
            </w:r>
          </w:p>
          <w:p w14:paraId="1FA0F94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(0.78)</w:t>
            </w:r>
          </w:p>
        </w:tc>
        <w:tc>
          <w:tcPr>
            <w:tcW w:w="0" w:type="auto"/>
          </w:tcPr>
          <w:p w14:paraId="502EC92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0.002 </w:t>
            </w:r>
          </w:p>
          <w:p w14:paraId="4AC5283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(0.16)</w:t>
            </w:r>
          </w:p>
        </w:tc>
        <w:tc>
          <w:tcPr>
            <w:tcW w:w="0" w:type="auto"/>
          </w:tcPr>
          <w:p w14:paraId="724EEA4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0.141 </w:t>
            </w:r>
          </w:p>
          <w:p w14:paraId="7EDCA93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(0.84)</w:t>
            </w:r>
          </w:p>
        </w:tc>
      </w:tr>
      <w:tr w14:paraId="5A79CA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4DDA71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FS_LnTA</w:t>
            </w:r>
          </w:p>
        </w:tc>
        <w:tc>
          <w:tcPr>
            <w:tcW w:w="0" w:type="auto"/>
          </w:tcPr>
          <w:p w14:paraId="651AFE1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-0.035*** </w:t>
            </w:r>
          </w:p>
          <w:p w14:paraId="77DDC37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(-5.02)</w:t>
            </w:r>
          </w:p>
        </w:tc>
        <w:tc>
          <w:tcPr>
            <w:tcW w:w="0" w:type="auto"/>
          </w:tcPr>
          <w:p w14:paraId="530C3A6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-0.055*** </w:t>
            </w:r>
          </w:p>
          <w:p w14:paraId="3579F47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(-5.06)</w:t>
            </w:r>
          </w:p>
        </w:tc>
        <w:tc>
          <w:tcPr>
            <w:tcW w:w="0" w:type="auto"/>
          </w:tcPr>
          <w:p w14:paraId="44EF2AF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-0.556*** </w:t>
            </w:r>
          </w:p>
          <w:p w14:paraId="397DFAE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(-3.36)</w:t>
            </w:r>
          </w:p>
        </w:tc>
      </w:tr>
      <w:tr w14:paraId="1DC5C7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A2DEB7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LEV</w:t>
            </w:r>
          </w:p>
        </w:tc>
        <w:tc>
          <w:tcPr>
            <w:tcW w:w="0" w:type="auto"/>
          </w:tcPr>
          <w:p w14:paraId="4C51391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-0.038*** </w:t>
            </w:r>
          </w:p>
          <w:p w14:paraId="2205041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(-3.96)</w:t>
            </w:r>
          </w:p>
        </w:tc>
        <w:tc>
          <w:tcPr>
            <w:tcW w:w="0" w:type="auto"/>
          </w:tcPr>
          <w:p w14:paraId="066F06C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-0.021 </w:t>
            </w:r>
          </w:p>
          <w:p w14:paraId="00E88EF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(-1.43)</w:t>
            </w:r>
          </w:p>
        </w:tc>
        <w:tc>
          <w:tcPr>
            <w:tcW w:w="0" w:type="auto"/>
          </w:tcPr>
          <w:p w14:paraId="34326DA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0.099 </w:t>
            </w:r>
          </w:p>
          <w:p w14:paraId="4C4C2C9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(0.43)</w:t>
            </w:r>
          </w:p>
        </w:tc>
      </w:tr>
      <w:tr w14:paraId="3C0EBE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BE6BF6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Constant</w:t>
            </w:r>
          </w:p>
        </w:tc>
        <w:tc>
          <w:tcPr>
            <w:tcW w:w="0" w:type="auto"/>
          </w:tcPr>
          <w:p w14:paraId="0C62B8C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0.569**</w:t>
            </w:r>
          </w:p>
        </w:tc>
        <w:tc>
          <w:tcPr>
            <w:tcW w:w="0" w:type="auto"/>
          </w:tcPr>
          <w:p w14:paraId="331814B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0.953**</w:t>
            </w:r>
          </w:p>
        </w:tc>
        <w:tc>
          <w:tcPr>
            <w:tcW w:w="0" w:type="auto"/>
          </w:tcPr>
          <w:p w14:paraId="042593E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13.160**</w:t>
            </w:r>
          </w:p>
        </w:tc>
      </w:tr>
      <w:tr w14:paraId="2C01F8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105D8A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R²</w:t>
            </w:r>
          </w:p>
        </w:tc>
        <w:tc>
          <w:tcPr>
            <w:tcW w:w="0" w:type="auto"/>
          </w:tcPr>
          <w:p w14:paraId="175A3681">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0.907</w:t>
            </w:r>
          </w:p>
        </w:tc>
        <w:tc>
          <w:tcPr>
            <w:tcW w:w="0" w:type="auto"/>
          </w:tcPr>
          <w:p w14:paraId="7C3243D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0.884</w:t>
            </w:r>
          </w:p>
        </w:tc>
        <w:tc>
          <w:tcPr>
            <w:tcW w:w="0" w:type="auto"/>
          </w:tcPr>
          <w:p w14:paraId="3A8E1E4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0.801</w:t>
            </w:r>
          </w:p>
        </w:tc>
      </w:tr>
      <w:tr w14:paraId="399932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D0301A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Adj. R²</w:t>
            </w:r>
          </w:p>
        </w:tc>
        <w:tc>
          <w:tcPr>
            <w:tcW w:w="0" w:type="auto"/>
          </w:tcPr>
          <w:p w14:paraId="1F5B25D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0.803</w:t>
            </w:r>
          </w:p>
        </w:tc>
        <w:tc>
          <w:tcPr>
            <w:tcW w:w="0" w:type="auto"/>
          </w:tcPr>
          <w:p w14:paraId="440B970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0.754</w:t>
            </w:r>
          </w:p>
        </w:tc>
        <w:tc>
          <w:tcPr>
            <w:tcW w:w="0" w:type="auto"/>
          </w:tcPr>
          <w:p w14:paraId="450BB85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0.581</w:t>
            </w:r>
          </w:p>
        </w:tc>
      </w:tr>
      <w:tr w14:paraId="28B8CB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F19DDD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F-statistic</w:t>
            </w:r>
          </w:p>
        </w:tc>
        <w:tc>
          <w:tcPr>
            <w:tcW w:w="0" w:type="auto"/>
          </w:tcPr>
          <w:p w14:paraId="7B65577E">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8.75</w:t>
            </w: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0" w:type="auto"/>
          </w:tcPr>
          <w:p w14:paraId="5E5D868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6.84</w:t>
            </w: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0" w:type="auto"/>
          </w:tcPr>
          <w:p w14:paraId="1ECD68F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3.87</w:t>
            </w:r>
          </w:p>
        </w:tc>
      </w:tr>
      <w:tr w14:paraId="5FE1FC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BBA10D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N</w:t>
            </w:r>
          </w:p>
        </w:tc>
        <w:tc>
          <w:tcPr>
            <w:tcW w:w="0" w:type="auto"/>
          </w:tcPr>
          <w:p w14:paraId="1871A90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20</w:t>
            </w:r>
          </w:p>
        </w:tc>
        <w:tc>
          <w:tcPr>
            <w:tcW w:w="0" w:type="auto"/>
          </w:tcPr>
          <w:p w14:paraId="158C669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20</w:t>
            </w:r>
          </w:p>
        </w:tc>
        <w:tc>
          <w:tcPr>
            <w:tcW w:w="0" w:type="auto"/>
          </w:tcPr>
          <w:p w14:paraId="3FB9667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20</w:t>
            </w:r>
          </w:p>
        </w:tc>
      </w:tr>
    </w:tbl>
    <w:p w14:paraId="74C0D364">
      <w:pPr>
        <w:spacing w:line="360" w:lineRule="auto"/>
        <w:ind w:left="993" w:hanging="993"/>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                Note: t-statistics are given in parentheses. ***, ** and * shows statistical significance at the 1%, 5% and 10% levels respectively. </w:t>
      </w:r>
    </w:p>
    <w:p w14:paraId="607904DD">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Regression coefficients’ statistical significance is evaluated using standard significant thresholds. The symbols *, ** and *** represents confidence levels of 90%, 95% and 99% respectively and coefficients significant at the 10%, 5% and 1% levels. This is in-line with existing research by Farwis et al. (2021) and Khatib &amp; Nour (2021)</w:t>
      </w:r>
    </w:p>
    <w:p w14:paraId="556E8798">
      <w:pPr>
        <w:pStyle w:val="3"/>
        <w:spacing w:line="360" w:lineRule="auto"/>
        <w:rPr>
          <w:rFonts w:ascii="Arial" w:hAnsi="Arial" w:cs="Arial"/>
          <w:b/>
          <w:color w:val="000000" w:themeColor="text1"/>
          <w:sz w:val="24"/>
          <w:szCs w:val="24"/>
          <w14:textFill>
            <w14:solidFill>
              <w14:schemeClr w14:val="tx1"/>
            </w14:solidFill>
          </w14:textFill>
        </w:rPr>
      </w:pPr>
      <w:bookmarkStart w:id="33" w:name="_Toc220693674"/>
      <w:r>
        <w:rPr>
          <w:rFonts w:ascii="Arial" w:hAnsi="Arial" w:cs="Arial"/>
          <w:b/>
          <w:color w:val="000000" w:themeColor="text1"/>
          <w:sz w:val="24"/>
          <w:szCs w:val="24"/>
          <w14:textFill>
            <w14:solidFill>
              <w14:schemeClr w14:val="tx1"/>
            </w14:solidFill>
          </w14:textFill>
        </w:rPr>
        <w:t>4.5 Panel OLS Regression: Year-wise Subsample Analysis</w:t>
      </w:r>
      <w:bookmarkEnd w:id="33"/>
    </w:p>
    <w:p w14:paraId="73DAD5C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year-wise subsample regression findings for FY2019-20 (before COVID-19) and FY2020-21 (after COVID-19) has been illustrated in table 4.5. </w:t>
      </w:r>
    </w:p>
    <w:p w14:paraId="2B6A431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Before COVID-19, ROA is negatively influenced by BI and LEV, but it has a strong negative correlation with the size of the organization. BS becomes positively significant after COVID-19, pointing out that larger boards would have helped during the crisis through better access to resources and advice on strategic matters (Haldar et al., 2018). </w:t>
      </w:r>
    </w:p>
    <w:p w14:paraId="3A8D3632">
      <w:pPr>
        <w:tabs>
          <w:tab w:val="left" w:pos="1455"/>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BI and BGD has a negative association with ROE performance before COVID-19. Whilst size of the organization continued to have a significant detrimental effect on equity returns, these impacts diminished after COVID-19. Similar findings has been pointed out by Khatib &amp; Nour (2021) that firm-specific financial features dominated governance consequences throughout the crisis.</w:t>
      </w:r>
    </w:p>
    <w:p w14:paraId="21DBA68A">
      <w:pPr>
        <w:tabs>
          <w:tab w:val="left" w:pos="1455"/>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the period after COVID-19, BM and company size become important for Tobin's Q. Consistent with other research findings, the negative correlation between BM and market valuation suggests that higher meeting frequency may show reactive governance approach to organization’s stress rather than a proactive value creation (Farwis et al., 2021). </w:t>
      </w:r>
    </w:p>
    <w:p w14:paraId="47F8C9B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In general, the subsample study illustrates that the occurrence of a significant economic crisis like COVID-19 impacts the association between organizational performance and corporate governance, which fluctuates over time. </w:t>
      </w:r>
    </w:p>
    <w:p w14:paraId="67C79C34">
      <w:pPr>
        <w:spacing w:line="360" w:lineRule="auto"/>
        <w:jc w:val="both"/>
        <w:rPr>
          <w:rFonts w:ascii="Arial" w:hAnsi="Arial" w:cs="Arial"/>
          <w:color w:val="000000" w:themeColor="text1"/>
          <w:sz w:val="24"/>
          <w:szCs w:val="24"/>
          <w14:textFill>
            <w14:solidFill>
              <w14:schemeClr w14:val="tx1"/>
            </w14:solidFill>
          </w14:textFill>
        </w:rPr>
      </w:pPr>
    </w:p>
    <w:p w14:paraId="6DAA8498">
      <w:pPr>
        <w:spacing w:line="360" w:lineRule="auto"/>
        <w:jc w:val="both"/>
        <w:rPr>
          <w:rFonts w:ascii="Arial" w:hAnsi="Arial" w:cs="Arial"/>
          <w:color w:val="000000" w:themeColor="text1"/>
          <w:sz w:val="24"/>
          <w:szCs w:val="24"/>
          <w14:textFill>
            <w14:solidFill>
              <w14:schemeClr w14:val="tx1"/>
            </w14:solidFill>
          </w14:textFill>
        </w:rPr>
      </w:pPr>
    </w:p>
    <w:p w14:paraId="79CDEA85">
      <w:pPr>
        <w:spacing w:line="360" w:lineRule="auto"/>
        <w:jc w:val="both"/>
        <w:rPr>
          <w:rFonts w:ascii="Arial" w:hAnsi="Arial" w:cs="Arial"/>
          <w:color w:val="000000" w:themeColor="text1"/>
          <w:sz w:val="24"/>
          <w:szCs w:val="24"/>
          <w14:textFill>
            <w14:solidFill>
              <w14:schemeClr w14:val="tx1"/>
            </w14:solidFill>
          </w14:textFill>
        </w:rPr>
      </w:pPr>
    </w:p>
    <w:p w14:paraId="66E267C2">
      <w:pPr>
        <w:spacing w:line="360" w:lineRule="auto"/>
        <w:jc w:val="both"/>
        <w:rPr>
          <w:rFonts w:ascii="Arial" w:hAnsi="Arial" w:cs="Arial"/>
          <w:color w:val="000000" w:themeColor="text1"/>
          <w:sz w:val="24"/>
          <w:szCs w:val="24"/>
          <w14:textFill>
            <w14:solidFill>
              <w14:schemeClr w14:val="tx1"/>
            </w14:solidFill>
          </w14:textFill>
        </w:rPr>
      </w:pPr>
    </w:p>
    <w:tbl>
      <w:tblPr>
        <w:tblStyle w:val="12"/>
        <w:tblW w:w="935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1"/>
        <w:gridCol w:w="1189"/>
        <w:gridCol w:w="1199"/>
        <w:gridCol w:w="1284"/>
        <w:gridCol w:w="1233"/>
        <w:gridCol w:w="1234"/>
        <w:gridCol w:w="1311"/>
      </w:tblGrid>
      <w:tr w14:paraId="533D2B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9351" w:type="dxa"/>
            <w:gridSpan w:val="7"/>
          </w:tcPr>
          <w:p w14:paraId="7425F1EC">
            <w:pPr>
              <w:spacing w:after="0" w:line="360" w:lineRule="auto"/>
              <w:jc w:val="both"/>
              <w:rPr>
                <w:rFonts w:ascii="Arial" w:hAnsi="Arial" w:cs="Arial"/>
                <w:b/>
                <w:color w:val="000000" w:themeColor="text1"/>
                <w:sz w:val="24"/>
                <w:szCs w:val="24"/>
                <w14:textFill>
                  <w14:solidFill>
                    <w14:schemeClr w14:val="tx1"/>
                  </w14:solidFill>
                </w14:textFill>
              </w:rPr>
            </w:pPr>
            <w:r>
              <w:rPr>
                <w:rFonts w:ascii="Arial" w:hAnsi="Arial" w:cs="Arial"/>
                <w:b/>
                <w:color w:val="000000" w:themeColor="text1"/>
                <w:sz w:val="24"/>
                <w:szCs w:val="24"/>
                <w14:textFill>
                  <w14:solidFill>
                    <w14:schemeClr w14:val="tx1"/>
                  </w14:solidFill>
                </w14:textFill>
              </w:rPr>
              <w:t>Table 4.5: Regression (Panel OLS) Analysis-Year-wise Subsample (ROA, ROE, Tobin’s Q as Dependent Variables)</w:t>
            </w:r>
          </w:p>
        </w:tc>
      </w:tr>
      <w:tr w14:paraId="2BEB95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227D6F5F">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Independent Variables</w:t>
            </w:r>
          </w:p>
        </w:tc>
        <w:tc>
          <w:tcPr>
            <w:tcW w:w="1194" w:type="dxa"/>
          </w:tcPr>
          <w:p w14:paraId="37EA216A">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ROA</w:t>
            </w:r>
          </w:p>
          <w:p w14:paraId="5D204A9A">
            <w:pPr>
              <w:spacing w:after="0" w:line="360" w:lineRule="auto"/>
              <w:ind w:left="-121" w:right="-45"/>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(2019-20)</w:t>
            </w:r>
          </w:p>
        </w:tc>
        <w:tc>
          <w:tcPr>
            <w:tcW w:w="1204" w:type="dxa"/>
          </w:tcPr>
          <w:p w14:paraId="5311C89E">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ROA</w:t>
            </w:r>
          </w:p>
          <w:p w14:paraId="0D97DC96">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(2020-21)</w:t>
            </w:r>
          </w:p>
        </w:tc>
        <w:tc>
          <w:tcPr>
            <w:tcW w:w="1289" w:type="dxa"/>
          </w:tcPr>
          <w:p w14:paraId="5AD0DA52">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ROE</w:t>
            </w:r>
          </w:p>
          <w:p w14:paraId="35270B60">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(2019-20)</w:t>
            </w:r>
          </w:p>
        </w:tc>
        <w:tc>
          <w:tcPr>
            <w:tcW w:w="1239" w:type="dxa"/>
          </w:tcPr>
          <w:p w14:paraId="6C77735B">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ROE (2020-21)</w:t>
            </w:r>
          </w:p>
        </w:tc>
        <w:tc>
          <w:tcPr>
            <w:tcW w:w="1243" w:type="dxa"/>
          </w:tcPr>
          <w:p w14:paraId="70F8B36D">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TQ</w:t>
            </w:r>
          </w:p>
          <w:p w14:paraId="76FD563A">
            <w:pPr>
              <w:spacing w:after="0" w:line="360" w:lineRule="auto"/>
              <w:ind w:left="-191" w:firstLine="191"/>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(2019-20)</w:t>
            </w:r>
          </w:p>
        </w:tc>
        <w:tc>
          <w:tcPr>
            <w:tcW w:w="1276" w:type="dxa"/>
          </w:tcPr>
          <w:p w14:paraId="23D5F1F1">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TQ (2020–21)</w:t>
            </w:r>
          </w:p>
        </w:tc>
      </w:tr>
      <w:tr w14:paraId="514D3F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32334E1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BS</w:t>
            </w:r>
          </w:p>
        </w:tc>
        <w:tc>
          <w:tcPr>
            <w:tcW w:w="1194" w:type="dxa"/>
          </w:tcPr>
          <w:p w14:paraId="1E85665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0.004</w:t>
            </w:r>
          </w:p>
        </w:tc>
        <w:tc>
          <w:tcPr>
            <w:tcW w:w="1204" w:type="dxa"/>
          </w:tcPr>
          <w:p w14:paraId="7285525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0.009*</w:t>
            </w:r>
          </w:p>
        </w:tc>
        <w:tc>
          <w:tcPr>
            <w:tcW w:w="1289" w:type="dxa"/>
          </w:tcPr>
          <w:p w14:paraId="09C55EC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0.004</w:t>
            </w:r>
          </w:p>
        </w:tc>
        <w:tc>
          <w:tcPr>
            <w:tcW w:w="1239" w:type="dxa"/>
          </w:tcPr>
          <w:p w14:paraId="740FDFD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0.010</w:t>
            </w:r>
          </w:p>
        </w:tc>
        <w:tc>
          <w:tcPr>
            <w:tcW w:w="1243" w:type="dxa"/>
          </w:tcPr>
          <w:p w14:paraId="0CFD5D01">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0.173</w:t>
            </w:r>
          </w:p>
        </w:tc>
        <w:tc>
          <w:tcPr>
            <w:tcW w:w="1276" w:type="dxa"/>
          </w:tcPr>
          <w:p w14:paraId="57378094">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0.147</w:t>
            </w:r>
          </w:p>
        </w:tc>
      </w:tr>
      <w:tr w14:paraId="4D4583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65FC1C1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BI</w:t>
            </w:r>
          </w:p>
        </w:tc>
        <w:tc>
          <w:tcPr>
            <w:tcW w:w="1194" w:type="dxa"/>
          </w:tcPr>
          <w:p w14:paraId="7B9C4A9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-0.385*</w:t>
            </w:r>
          </w:p>
        </w:tc>
        <w:tc>
          <w:tcPr>
            <w:tcW w:w="1204" w:type="dxa"/>
          </w:tcPr>
          <w:p w14:paraId="2D3A3FF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-0.288</w:t>
            </w:r>
          </w:p>
        </w:tc>
        <w:tc>
          <w:tcPr>
            <w:tcW w:w="1289" w:type="dxa"/>
          </w:tcPr>
          <w:p w14:paraId="713B844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-0.598**</w:t>
            </w:r>
          </w:p>
        </w:tc>
        <w:tc>
          <w:tcPr>
            <w:tcW w:w="1239" w:type="dxa"/>
          </w:tcPr>
          <w:p w14:paraId="2156F42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-0.654</w:t>
            </w:r>
          </w:p>
        </w:tc>
        <w:tc>
          <w:tcPr>
            <w:tcW w:w="1243" w:type="dxa"/>
          </w:tcPr>
          <w:p w14:paraId="79C206F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-2.956</w:t>
            </w:r>
          </w:p>
        </w:tc>
        <w:tc>
          <w:tcPr>
            <w:tcW w:w="1276" w:type="dxa"/>
          </w:tcPr>
          <w:p w14:paraId="014DEF0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-5.981</w:t>
            </w:r>
          </w:p>
        </w:tc>
      </w:tr>
      <w:tr w14:paraId="00F9F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3F93B8F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BGD</w:t>
            </w:r>
          </w:p>
        </w:tc>
        <w:tc>
          <w:tcPr>
            <w:tcW w:w="1194" w:type="dxa"/>
          </w:tcPr>
          <w:p w14:paraId="212EAE0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-0.349</w:t>
            </w:r>
          </w:p>
        </w:tc>
        <w:tc>
          <w:tcPr>
            <w:tcW w:w="1204" w:type="dxa"/>
          </w:tcPr>
          <w:p w14:paraId="5A72E32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-0.040</w:t>
            </w:r>
          </w:p>
        </w:tc>
        <w:tc>
          <w:tcPr>
            <w:tcW w:w="1289" w:type="dxa"/>
          </w:tcPr>
          <w:p w14:paraId="11C11B8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-0.585**</w:t>
            </w:r>
          </w:p>
        </w:tc>
        <w:tc>
          <w:tcPr>
            <w:tcW w:w="1239" w:type="dxa"/>
          </w:tcPr>
          <w:p w14:paraId="1F353EE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-0.020</w:t>
            </w:r>
          </w:p>
        </w:tc>
        <w:tc>
          <w:tcPr>
            <w:tcW w:w="1243" w:type="dxa"/>
          </w:tcPr>
          <w:p w14:paraId="66CDCA2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-3.469</w:t>
            </w:r>
          </w:p>
        </w:tc>
        <w:tc>
          <w:tcPr>
            <w:tcW w:w="1276" w:type="dxa"/>
          </w:tcPr>
          <w:p w14:paraId="0C2F6F7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-7.608</w:t>
            </w:r>
          </w:p>
        </w:tc>
      </w:tr>
      <w:tr w14:paraId="33D2D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4606963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BM</w:t>
            </w:r>
          </w:p>
        </w:tc>
        <w:tc>
          <w:tcPr>
            <w:tcW w:w="1194" w:type="dxa"/>
          </w:tcPr>
          <w:p w14:paraId="372858F2">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0.003</w:t>
            </w:r>
          </w:p>
        </w:tc>
        <w:tc>
          <w:tcPr>
            <w:tcW w:w="1204" w:type="dxa"/>
          </w:tcPr>
          <w:p w14:paraId="4C4B180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-0.003</w:t>
            </w:r>
          </w:p>
        </w:tc>
        <w:tc>
          <w:tcPr>
            <w:tcW w:w="1289" w:type="dxa"/>
          </w:tcPr>
          <w:p w14:paraId="76F25D9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-0.012</w:t>
            </w:r>
          </w:p>
        </w:tc>
        <w:tc>
          <w:tcPr>
            <w:tcW w:w="1239" w:type="dxa"/>
          </w:tcPr>
          <w:p w14:paraId="34CA446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-0.010</w:t>
            </w:r>
          </w:p>
        </w:tc>
        <w:tc>
          <w:tcPr>
            <w:tcW w:w="1243" w:type="dxa"/>
          </w:tcPr>
          <w:p w14:paraId="25B7DEE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-0.174</w:t>
            </w:r>
          </w:p>
        </w:tc>
        <w:tc>
          <w:tcPr>
            <w:tcW w:w="1276" w:type="dxa"/>
          </w:tcPr>
          <w:p w14:paraId="0B77E29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-0.766*</w:t>
            </w:r>
          </w:p>
        </w:tc>
      </w:tr>
      <w:tr w14:paraId="332E0E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2A25B13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FS_LnTA</w:t>
            </w:r>
          </w:p>
        </w:tc>
        <w:tc>
          <w:tcPr>
            <w:tcW w:w="1194" w:type="dxa"/>
          </w:tcPr>
          <w:p w14:paraId="0B3F1A3F">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-0.032**</w:t>
            </w:r>
          </w:p>
        </w:tc>
        <w:tc>
          <w:tcPr>
            <w:tcW w:w="1204" w:type="dxa"/>
          </w:tcPr>
          <w:p w14:paraId="75BD775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-0.036**</w:t>
            </w:r>
          </w:p>
        </w:tc>
        <w:tc>
          <w:tcPr>
            <w:tcW w:w="1289" w:type="dxa"/>
          </w:tcPr>
          <w:p w14:paraId="7F45D3F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-0.056***</w:t>
            </w:r>
          </w:p>
        </w:tc>
        <w:tc>
          <w:tcPr>
            <w:tcW w:w="1239" w:type="dxa"/>
          </w:tcPr>
          <w:p w14:paraId="4CEC5E8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-0.060**</w:t>
            </w:r>
          </w:p>
        </w:tc>
        <w:tc>
          <w:tcPr>
            <w:tcW w:w="1243" w:type="dxa"/>
          </w:tcPr>
          <w:p w14:paraId="2F368095">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-0.283</w:t>
            </w:r>
          </w:p>
        </w:tc>
        <w:tc>
          <w:tcPr>
            <w:tcW w:w="1276" w:type="dxa"/>
          </w:tcPr>
          <w:p w14:paraId="3B8DEB4D">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-0.738**</w:t>
            </w:r>
          </w:p>
        </w:tc>
      </w:tr>
      <w:tr w14:paraId="489C69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4DE8285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LEV</w:t>
            </w:r>
          </w:p>
        </w:tc>
        <w:tc>
          <w:tcPr>
            <w:tcW w:w="1194" w:type="dxa"/>
          </w:tcPr>
          <w:p w14:paraId="45F300C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-0.030*</w:t>
            </w:r>
          </w:p>
        </w:tc>
        <w:tc>
          <w:tcPr>
            <w:tcW w:w="1204" w:type="dxa"/>
          </w:tcPr>
          <w:p w14:paraId="1F52062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-0.035**</w:t>
            </w:r>
          </w:p>
        </w:tc>
        <w:tc>
          <w:tcPr>
            <w:tcW w:w="1289" w:type="dxa"/>
          </w:tcPr>
          <w:p w14:paraId="1FDE484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-0.014</w:t>
            </w:r>
          </w:p>
        </w:tc>
        <w:tc>
          <w:tcPr>
            <w:tcW w:w="1239" w:type="dxa"/>
          </w:tcPr>
          <w:p w14:paraId="79A2ADF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-0.024</w:t>
            </w:r>
          </w:p>
        </w:tc>
        <w:tc>
          <w:tcPr>
            <w:tcW w:w="1243" w:type="dxa"/>
          </w:tcPr>
          <w:p w14:paraId="7FA7E58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0.193</w:t>
            </w:r>
          </w:p>
        </w:tc>
        <w:tc>
          <w:tcPr>
            <w:tcW w:w="1276" w:type="dxa"/>
          </w:tcPr>
          <w:p w14:paraId="25120AC6">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0.422</w:t>
            </w:r>
          </w:p>
        </w:tc>
      </w:tr>
      <w:tr w14:paraId="4C089B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2C5CE64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Constant</w:t>
            </w:r>
          </w:p>
        </w:tc>
        <w:tc>
          <w:tcPr>
            <w:tcW w:w="1194" w:type="dxa"/>
          </w:tcPr>
          <w:p w14:paraId="1BC8108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0.657**</w:t>
            </w:r>
          </w:p>
        </w:tc>
        <w:tc>
          <w:tcPr>
            <w:tcW w:w="1204" w:type="dxa"/>
          </w:tcPr>
          <w:p w14:paraId="5415A1B9">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0.555**</w:t>
            </w:r>
          </w:p>
        </w:tc>
        <w:tc>
          <w:tcPr>
            <w:tcW w:w="1289" w:type="dxa"/>
          </w:tcPr>
          <w:p w14:paraId="63479C30">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1.183***</w:t>
            </w:r>
          </w:p>
        </w:tc>
        <w:tc>
          <w:tcPr>
            <w:tcW w:w="1239" w:type="dxa"/>
          </w:tcPr>
          <w:p w14:paraId="5497CCCB">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1.050**</w:t>
            </w:r>
          </w:p>
        </w:tc>
        <w:tc>
          <w:tcPr>
            <w:tcW w:w="1243" w:type="dxa"/>
          </w:tcPr>
          <w:p w14:paraId="7F1FCAB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5.896</w:t>
            </w:r>
          </w:p>
        </w:tc>
        <w:tc>
          <w:tcPr>
            <w:tcW w:w="1276" w:type="dxa"/>
          </w:tcPr>
          <w:p w14:paraId="24C8025C">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17.073**</w:t>
            </w:r>
          </w:p>
        </w:tc>
      </w:tr>
      <w:tr w14:paraId="3BC647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06" w:type="dxa"/>
          </w:tcPr>
          <w:p w14:paraId="3DC12D5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Observations</w:t>
            </w:r>
          </w:p>
        </w:tc>
        <w:tc>
          <w:tcPr>
            <w:tcW w:w="1194" w:type="dxa"/>
          </w:tcPr>
          <w:p w14:paraId="16A0969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c>
          <w:tcPr>
            <w:tcW w:w="1204" w:type="dxa"/>
          </w:tcPr>
          <w:p w14:paraId="19A8391A">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c>
          <w:tcPr>
            <w:tcW w:w="1289" w:type="dxa"/>
          </w:tcPr>
          <w:p w14:paraId="41FE7EDE">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c>
          <w:tcPr>
            <w:tcW w:w="1239" w:type="dxa"/>
          </w:tcPr>
          <w:p w14:paraId="5400A218">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c>
          <w:tcPr>
            <w:tcW w:w="1243" w:type="dxa"/>
          </w:tcPr>
          <w:p w14:paraId="508E6B73">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c>
          <w:tcPr>
            <w:tcW w:w="1276" w:type="dxa"/>
          </w:tcPr>
          <w:p w14:paraId="772727D7">
            <w:pPr>
              <w:spacing w:after="0" w:line="360" w:lineRule="auto"/>
              <w:jc w:val="right"/>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10</w:t>
            </w:r>
          </w:p>
        </w:tc>
      </w:tr>
    </w:tbl>
    <w:p w14:paraId="360A8E45">
      <w:pPr>
        <w:spacing w:line="360" w:lineRule="auto"/>
        <w:ind w:left="993" w:hanging="993"/>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Note: t-statistics are given in parentheses. ***, ** and * shows statistical significance at the 1%, 5% and 10% levels respectively. </w:t>
      </w:r>
    </w:p>
    <w:p w14:paraId="6D836AE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Overall, the findings from analysis suggest that while market-based performance demonstrated relative resilience, COVID-19 had a considerable negative impact on accounting-based financial performance. For both time periods, corporate governance mechanisms such as BI and BS played different roles. The findings from this research is in accordance with prior research by Farwis et al., (2021) and Khatib &amp; Nour (2021) by suggesting the significance of governance structures in forming organizational resilience during times of crises.  </w:t>
      </w:r>
    </w:p>
    <w:p w14:paraId="0C707CF4">
      <w:pPr>
        <w:spacing w:line="360" w:lineRule="auto"/>
        <w:jc w:val="both"/>
        <w:rPr>
          <w:rFonts w:ascii="Arial" w:hAnsi="Arial" w:cs="Arial"/>
          <w:color w:val="000000" w:themeColor="text1"/>
          <w:sz w:val="24"/>
          <w:szCs w:val="24"/>
          <w14:textFill>
            <w14:solidFill>
              <w14:schemeClr w14:val="tx1"/>
            </w14:solidFill>
          </w14:textFill>
        </w:rPr>
      </w:pPr>
    </w:p>
    <w:p w14:paraId="7D407337">
      <w:pPr>
        <w:spacing w:line="360" w:lineRule="auto"/>
        <w:jc w:val="both"/>
        <w:rPr>
          <w:rFonts w:ascii="Arial" w:hAnsi="Arial" w:cs="Arial"/>
          <w:color w:val="000000" w:themeColor="text1"/>
          <w:sz w:val="24"/>
          <w:szCs w:val="24"/>
          <w14:textFill>
            <w14:solidFill>
              <w14:schemeClr w14:val="tx1"/>
            </w14:solidFill>
          </w14:textFill>
        </w:rPr>
      </w:pPr>
    </w:p>
    <w:p w14:paraId="1BEB77E5">
      <w:pPr>
        <w:spacing w:line="360" w:lineRule="auto"/>
        <w:jc w:val="both"/>
        <w:rPr>
          <w:rFonts w:ascii="Arial" w:hAnsi="Arial" w:cs="Arial"/>
          <w:color w:val="000000" w:themeColor="text1"/>
          <w:sz w:val="24"/>
          <w:szCs w:val="24"/>
          <w14:textFill>
            <w14:solidFill>
              <w14:schemeClr w14:val="tx1"/>
            </w14:solidFill>
          </w14:textFill>
        </w:rPr>
      </w:pPr>
    </w:p>
    <w:p w14:paraId="75D90260">
      <w:pPr>
        <w:spacing w:line="360" w:lineRule="auto"/>
        <w:jc w:val="both"/>
        <w:rPr>
          <w:rFonts w:ascii="Arial" w:hAnsi="Arial" w:cs="Arial"/>
          <w:color w:val="000000" w:themeColor="text1"/>
          <w:sz w:val="24"/>
          <w:szCs w:val="24"/>
          <w14:textFill>
            <w14:solidFill>
              <w14:schemeClr w14:val="tx1"/>
            </w14:solidFill>
          </w14:textFill>
        </w:rPr>
      </w:pPr>
    </w:p>
    <w:p w14:paraId="5204D20F">
      <w:pPr>
        <w:spacing w:line="360" w:lineRule="auto"/>
        <w:jc w:val="both"/>
        <w:rPr>
          <w:rFonts w:ascii="Arial" w:hAnsi="Arial" w:cs="Arial"/>
          <w:color w:val="000000" w:themeColor="text1"/>
          <w:sz w:val="24"/>
          <w:szCs w:val="24"/>
          <w14:textFill>
            <w14:solidFill>
              <w14:schemeClr w14:val="tx1"/>
            </w14:solidFill>
          </w14:textFill>
        </w:rPr>
      </w:pPr>
    </w:p>
    <w:p w14:paraId="6E52472A">
      <w:pPr>
        <w:spacing w:line="360" w:lineRule="auto"/>
        <w:jc w:val="both"/>
        <w:rPr>
          <w:rFonts w:ascii="Arial" w:hAnsi="Arial" w:cs="Arial"/>
          <w:color w:val="000000" w:themeColor="text1"/>
          <w:sz w:val="24"/>
          <w:szCs w:val="24"/>
          <w14:textFill>
            <w14:solidFill>
              <w14:schemeClr w14:val="tx1"/>
            </w14:solidFill>
          </w14:textFill>
        </w:rPr>
      </w:pPr>
    </w:p>
    <w:p w14:paraId="56418156">
      <w:pPr>
        <w:spacing w:line="360" w:lineRule="auto"/>
        <w:jc w:val="both"/>
        <w:rPr>
          <w:rFonts w:ascii="Arial" w:hAnsi="Arial" w:cs="Arial"/>
          <w:color w:val="000000" w:themeColor="text1"/>
          <w:sz w:val="24"/>
          <w:szCs w:val="24"/>
          <w14:textFill>
            <w14:solidFill>
              <w14:schemeClr w14:val="tx1"/>
            </w14:solidFill>
          </w14:textFill>
        </w:rPr>
      </w:pPr>
    </w:p>
    <w:p w14:paraId="468907C8">
      <w:pPr>
        <w:pStyle w:val="3"/>
        <w:spacing w:line="360" w:lineRule="auto"/>
        <w:rPr>
          <w:rFonts w:ascii="Arial" w:hAnsi="Arial" w:cs="Arial"/>
          <w:b/>
          <w:color w:val="000000" w:themeColor="text1"/>
          <w:sz w:val="24"/>
          <w:szCs w:val="24"/>
          <w14:textFill>
            <w14:solidFill>
              <w14:schemeClr w14:val="tx1"/>
            </w14:solidFill>
          </w14:textFill>
        </w:rPr>
      </w:pPr>
      <w:bookmarkStart w:id="34" w:name="_Toc220693675"/>
      <w:r>
        <w:rPr>
          <w:rFonts w:ascii="Arial" w:hAnsi="Arial" w:cs="Arial"/>
          <w:b/>
          <w:color w:val="000000" w:themeColor="text1"/>
          <w:sz w:val="24"/>
          <w:szCs w:val="24"/>
          <w14:textFill>
            <w14:solidFill>
              <w14:schemeClr w14:val="tx1"/>
            </w14:solidFill>
          </w14:textFill>
        </w:rPr>
        <w:t>4.6 Results of hypothesis testing</w:t>
      </w:r>
      <w:bookmarkEnd w:id="34"/>
    </w:p>
    <w:p w14:paraId="277C2CF7">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Table 4.6 summarize the hypothesis testing based on the findings of the analysis. </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0"/>
        <w:gridCol w:w="1642"/>
        <w:gridCol w:w="1638"/>
        <w:gridCol w:w="2661"/>
        <w:gridCol w:w="1791"/>
      </w:tblGrid>
      <w:tr w14:paraId="4406D5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C112779">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Table 4.6 Summary of hypothesis testing</w:t>
            </w:r>
          </w:p>
        </w:tc>
      </w:tr>
      <w:tr w14:paraId="174B02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0091B6E">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Hypothesis</w:t>
            </w:r>
          </w:p>
        </w:tc>
        <w:tc>
          <w:tcPr>
            <w:tcW w:w="0" w:type="auto"/>
          </w:tcPr>
          <w:p w14:paraId="3C0C0A22">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Key Variables</w:t>
            </w:r>
          </w:p>
        </w:tc>
        <w:tc>
          <w:tcPr>
            <w:tcW w:w="1638" w:type="dxa"/>
          </w:tcPr>
          <w:p w14:paraId="7E021147">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Direction of the predicted relationship</w:t>
            </w:r>
          </w:p>
        </w:tc>
        <w:tc>
          <w:tcPr>
            <w:tcW w:w="2661" w:type="dxa"/>
          </w:tcPr>
          <w:p w14:paraId="07C309A8">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Findings</w:t>
            </w:r>
          </w:p>
        </w:tc>
        <w:tc>
          <w:tcPr>
            <w:tcW w:w="1791" w:type="dxa"/>
          </w:tcPr>
          <w:p w14:paraId="4C358955">
            <w:pPr>
              <w:spacing w:after="0" w:line="360" w:lineRule="auto"/>
              <w:jc w:val="center"/>
              <w:rPr>
                <w:rFonts w:ascii="Arial" w:hAnsi="Arial" w:eastAsia="Times New Roman" w:cs="Arial"/>
                <w:b/>
                <w:bCs/>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Decision</w:t>
            </w:r>
          </w:p>
        </w:tc>
      </w:tr>
      <w:tr w14:paraId="43D6FE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A7AB85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H1</w:t>
            </w:r>
          </w:p>
        </w:tc>
        <w:tc>
          <w:tcPr>
            <w:tcW w:w="0" w:type="auto"/>
          </w:tcPr>
          <w:p w14:paraId="092432A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FY_Dummy, </w:t>
            </w:r>
          </w:p>
          <w:p w14:paraId="3513974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t-test</w:t>
            </w:r>
          </w:p>
        </w:tc>
        <w:tc>
          <w:tcPr>
            <w:tcW w:w="1638" w:type="dxa"/>
          </w:tcPr>
          <w:p w14:paraId="4B1FE81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 - </w:t>
            </w:r>
          </w:p>
        </w:tc>
        <w:tc>
          <w:tcPr>
            <w:tcW w:w="2661" w:type="dxa"/>
          </w:tcPr>
          <w:p w14:paraId="6368754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Significant drop in ROA and ROE. However, TQ has increased.</w:t>
            </w:r>
          </w:p>
        </w:tc>
        <w:tc>
          <w:tcPr>
            <w:tcW w:w="1791" w:type="dxa"/>
          </w:tcPr>
          <w:p w14:paraId="55F2427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Supported</w:t>
            </w:r>
          </w:p>
        </w:tc>
      </w:tr>
      <w:tr w14:paraId="49E16D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EA8462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H2</w:t>
            </w:r>
          </w:p>
        </w:tc>
        <w:tc>
          <w:tcPr>
            <w:tcW w:w="0" w:type="auto"/>
          </w:tcPr>
          <w:p w14:paraId="3FECDC9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BS</w:t>
            </w:r>
          </w:p>
        </w:tc>
        <w:tc>
          <w:tcPr>
            <w:tcW w:w="1638" w:type="dxa"/>
          </w:tcPr>
          <w:p w14:paraId="56611B66">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3D76D07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Positive and significant for ROA and TQ</w:t>
            </w:r>
          </w:p>
        </w:tc>
        <w:tc>
          <w:tcPr>
            <w:tcW w:w="1791" w:type="dxa"/>
          </w:tcPr>
          <w:p w14:paraId="6BC74E4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Supported</w:t>
            </w:r>
          </w:p>
        </w:tc>
      </w:tr>
      <w:tr w14:paraId="2B1B30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0BBA00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H3</w:t>
            </w:r>
          </w:p>
        </w:tc>
        <w:tc>
          <w:tcPr>
            <w:tcW w:w="0" w:type="auto"/>
          </w:tcPr>
          <w:p w14:paraId="019273E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BI</w:t>
            </w:r>
          </w:p>
        </w:tc>
        <w:tc>
          <w:tcPr>
            <w:tcW w:w="1638" w:type="dxa"/>
          </w:tcPr>
          <w:p w14:paraId="2B864DD2">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18756A3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Negative and significant for ROA and ROE</w:t>
            </w:r>
          </w:p>
        </w:tc>
        <w:tc>
          <w:tcPr>
            <w:tcW w:w="1791" w:type="dxa"/>
          </w:tcPr>
          <w:p w14:paraId="5FEDAA0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r w14:paraId="2C5F49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895872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H4</w:t>
            </w:r>
          </w:p>
        </w:tc>
        <w:tc>
          <w:tcPr>
            <w:tcW w:w="0" w:type="auto"/>
          </w:tcPr>
          <w:p w14:paraId="18D971E4">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BFL</w:t>
            </w:r>
          </w:p>
        </w:tc>
        <w:tc>
          <w:tcPr>
            <w:tcW w:w="1638" w:type="dxa"/>
          </w:tcPr>
          <w:p w14:paraId="2CCDB85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5C34CE08">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 xml:space="preserve">Insignificant </w:t>
            </w:r>
          </w:p>
        </w:tc>
        <w:tc>
          <w:tcPr>
            <w:tcW w:w="1791" w:type="dxa"/>
          </w:tcPr>
          <w:p w14:paraId="2D53214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r w14:paraId="4D057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2A27F80">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H5</w:t>
            </w:r>
          </w:p>
        </w:tc>
        <w:tc>
          <w:tcPr>
            <w:tcW w:w="0" w:type="auto"/>
          </w:tcPr>
          <w:p w14:paraId="2168D0C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BGD</w:t>
            </w:r>
          </w:p>
        </w:tc>
        <w:tc>
          <w:tcPr>
            <w:tcW w:w="1638" w:type="dxa"/>
          </w:tcPr>
          <w:p w14:paraId="4979DEEB">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1E6963A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Negative and significant for TQ</w:t>
            </w:r>
          </w:p>
        </w:tc>
        <w:tc>
          <w:tcPr>
            <w:tcW w:w="1791" w:type="dxa"/>
          </w:tcPr>
          <w:p w14:paraId="0C7A3F9C">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r w14:paraId="179363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807338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H6</w:t>
            </w:r>
          </w:p>
        </w:tc>
        <w:tc>
          <w:tcPr>
            <w:tcW w:w="0" w:type="auto"/>
          </w:tcPr>
          <w:p w14:paraId="7D1F1D2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BM</w:t>
            </w:r>
          </w:p>
        </w:tc>
        <w:tc>
          <w:tcPr>
            <w:tcW w:w="1638" w:type="dxa"/>
          </w:tcPr>
          <w:p w14:paraId="5DDEBEE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5809B49D">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Negative and significant for TQ</w:t>
            </w:r>
          </w:p>
        </w:tc>
        <w:tc>
          <w:tcPr>
            <w:tcW w:w="1791" w:type="dxa"/>
          </w:tcPr>
          <w:p w14:paraId="3DAC8CB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r w14:paraId="1AF24F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B3BE7D9">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H7a</w:t>
            </w:r>
          </w:p>
        </w:tc>
        <w:tc>
          <w:tcPr>
            <w:tcW w:w="0" w:type="auto"/>
          </w:tcPr>
          <w:p w14:paraId="4DF5B957">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ACS</w:t>
            </w:r>
          </w:p>
        </w:tc>
        <w:tc>
          <w:tcPr>
            <w:tcW w:w="1638" w:type="dxa"/>
          </w:tcPr>
          <w:p w14:paraId="43B26E2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36C224CA">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Insignificant</w:t>
            </w:r>
          </w:p>
        </w:tc>
        <w:tc>
          <w:tcPr>
            <w:tcW w:w="1791" w:type="dxa"/>
          </w:tcPr>
          <w:p w14:paraId="77F180F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r w14:paraId="5D64ED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6D0739F">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
                <w:bCs/>
                <w:color w:val="000000" w:themeColor="text1"/>
                <w:kern w:val="0"/>
                <w:sz w:val="24"/>
                <w:szCs w:val="24"/>
                <w:lang w:eastAsia="en-GB"/>
                <w14:textFill>
                  <w14:solidFill>
                    <w14:schemeClr w14:val="tx1"/>
                  </w14:solidFill>
                </w14:textFill>
                <w14:ligatures w14:val="none"/>
              </w:rPr>
              <w:t>H7b</w:t>
            </w:r>
          </w:p>
        </w:tc>
        <w:tc>
          <w:tcPr>
            <w:tcW w:w="0" w:type="auto"/>
          </w:tcPr>
          <w:p w14:paraId="100E955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ACM</w:t>
            </w:r>
          </w:p>
        </w:tc>
        <w:tc>
          <w:tcPr>
            <w:tcW w:w="1638" w:type="dxa"/>
          </w:tcPr>
          <w:p w14:paraId="630F376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w:t>
            </w:r>
          </w:p>
        </w:tc>
        <w:tc>
          <w:tcPr>
            <w:tcW w:w="2661" w:type="dxa"/>
          </w:tcPr>
          <w:p w14:paraId="37172253">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color w:val="000000" w:themeColor="text1"/>
                <w:kern w:val="0"/>
                <w:sz w:val="24"/>
                <w:szCs w:val="24"/>
                <w:lang w:eastAsia="en-GB"/>
                <w14:textFill>
                  <w14:solidFill>
                    <w14:schemeClr w14:val="tx1"/>
                  </w14:solidFill>
                </w14:textFill>
                <w14:ligatures w14:val="none"/>
              </w:rPr>
              <w:t>Insignificant</w:t>
            </w:r>
          </w:p>
        </w:tc>
        <w:tc>
          <w:tcPr>
            <w:tcW w:w="1791" w:type="dxa"/>
          </w:tcPr>
          <w:p w14:paraId="54B3F4B5">
            <w:pPr>
              <w:spacing w:after="0" w:line="360" w:lineRule="auto"/>
              <w:rPr>
                <w:rFonts w:ascii="Arial" w:hAnsi="Arial" w:eastAsia="Times New Roman" w:cs="Arial"/>
                <w:color w:val="000000" w:themeColor="text1"/>
                <w:kern w:val="0"/>
                <w:sz w:val="24"/>
                <w:szCs w:val="24"/>
                <w:lang w:eastAsia="en-GB"/>
                <w14:textFill>
                  <w14:solidFill>
                    <w14:schemeClr w14:val="tx1"/>
                  </w14:solidFill>
                </w14:textFill>
                <w14:ligatures w14:val="none"/>
              </w:rPr>
            </w:pPr>
            <w:r>
              <w:rPr>
                <w:rFonts w:ascii="Arial" w:hAnsi="Arial" w:eastAsia="Times New Roman" w:cs="Arial"/>
                <w:bCs/>
                <w:color w:val="000000" w:themeColor="text1"/>
                <w:kern w:val="0"/>
                <w:sz w:val="24"/>
                <w:szCs w:val="24"/>
                <w:lang w:eastAsia="en-GB"/>
                <w14:textFill>
                  <w14:solidFill>
                    <w14:schemeClr w14:val="tx1"/>
                  </w14:solidFill>
                </w14:textFill>
                <w14:ligatures w14:val="none"/>
              </w:rPr>
              <w:t>Not supported</w:t>
            </w:r>
          </w:p>
        </w:tc>
      </w:tr>
    </w:tbl>
    <w:p w14:paraId="3E5AE1F8">
      <w:pPr>
        <w:spacing w:line="360" w:lineRule="auto"/>
        <w:rPr>
          <w:rFonts w:ascii="Arial" w:hAnsi="Arial" w:cs="Arial"/>
          <w:color w:val="000000" w:themeColor="text1"/>
          <w:sz w:val="24"/>
          <w:szCs w:val="24"/>
          <w14:textFill>
            <w14:solidFill>
              <w14:schemeClr w14:val="tx1"/>
            </w14:solidFill>
          </w14:textFill>
        </w:rPr>
      </w:pPr>
    </w:p>
    <w:p w14:paraId="65D174CF">
      <w:pPr>
        <w:tabs>
          <w:tab w:val="left" w:pos="1573"/>
        </w:tabs>
        <w:spacing w:line="360" w:lineRule="auto"/>
        <w:rPr>
          <w:rFonts w:ascii="Arial" w:hAnsi="Arial" w:cs="Arial"/>
          <w:color w:val="000000" w:themeColor="text1"/>
          <w:sz w:val="24"/>
          <w:szCs w:val="24"/>
          <w14:textFill>
            <w14:solidFill>
              <w14:schemeClr w14:val="tx1"/>
            </w14:solidFill>
          </w14:textFill>
        </w:rPr>
      </w:pPr>
    </w:p>
    <w:p w14:paraId="5792E233">
      <w:pPr>
        <w:tabs>
          <w:tab w:val="left" w:pos="1573"/>
        </w:tabs>
        <w:spacing w:line="360" w:lineRule="auto"/>
        <w:rPr>
          <w:rFonts w:ascii="Arial" w:hAnsi="Arial" w:cs="Arial"/>
          <w:color w:val="000000" w:themeColor="text1"/>
          <w:sz w:val="24"/>
          <w:szCs w:val="24"/>
          <w14:textFill>
            <w14:solidFill>
              <w14:schemeClr w14:val="tx1"/>
            </w14:solidFill>
          </w14:textFill>
        </w:rPr>
      </w:pPr>
    </w:p>
    <w:p w14:paraId="583316E1">
      <w:pPr>
        <w:tabs>
          <w:tab w:val="left" w:pos="1573"/>
        </w:tabs>
        <w:spacing w:line="360" w:lineRule="auto"/>
        <w:rPr>
          <w:rFonts w:ascii="Arial" w:hAnsi="Arial" w:cs="Arial"/>
          <w:color w:val="000000" w:themeColor="text1"/>
          <w:sz w:val="24"/>
          <w:szCs w:val="24"/>
          <w14:textFill>
            <w14:solidFill>
              <w14:schemeClr w14:val="tx1"/>
            </w14:solidFill>
          </w14:textFill>
        </w:rPr>
      </w:pPr>
    </w:p>
    <w:p w14:paraId="2CC2A7ED">
      <w:pPr>
        <w:tabs>
          <w:tab w:val="left" w:pos="1573"/>
        </w:tabs>
        <w:spacing w:line="360" w:lineRule="auto"/>
        <w:rPr>
          <w:rFonts w:ascii="Arial" w:hAnsi="Arial" w:cs="Arial"/>
          <w:color w:val="000000" w:themeColor="text1"/>
          <w:sz w:val="24"/>
          <w:szCs w:val="24"/>
          <w14:textFill>
            <w14:solidFill>
              <w14:schemeClr w14:val="tx1"/>
            </w14:solidFill>
          </w14:textFill>
        </w:rPr>
      </w:pPr>
    </w:p>
    <w:p w14:paraId="326F3966">
      <w:pPr>
        <w:tabs>
          <w:tab w:val="left" w:pos="1573"/>
        </w:tabs>
        <w:spacing w:line="360" w:lineRule="auto"/>
        <w:rPr>
          <w:rFonts w:ascii="Arial" w:hAnsi="Arial" w:cs="Arial"/>
          <w:color w:val="000000" w:themeColor="text1"/>
          <w:sz w:val="24"/>
          <w:szCs w:val="24"/>
          <w14:textFill>
            <w14:solidFill>
              <w14:schemeClr w14:val="tx1"/>
            </w14:solidFill>
          </w14:textFill>
        </w:rPr>
      </w:pPr>
    </w:p>
    <w:p w14:paraId="36935D88">
      <w:pPr>
        <w:tabs>
          <w:tab w:val="left" w:pos="1573"/>
        </w:tabs>
        <w:spacing w:line="360" w:lineRule="auto"/>
        <w:rPr>
          <w:rFonts w:ascii="Arial" w:hAnsi="Arial" w:cs="Arial"/>
          <w:color w:val="000000" w:themeColor="text1"/>
          <w:sz w:val="24"/>
          <w:szCs w:val="24"/>
          <w14:textFill>
            <w14:solidFill>
              <w14:schemeClr w14:val="tx1"/>
            </w14:solidFill>
          </w14:textFill>
        </w:rPr>
      </w:pPr>
    </w:p>
    <w:p w14:paraId="3715980D">
      <w:pPr>
        <w:pStyle w:val="2"/>
        <w:spacing w:line="360" w:lineRule="auto"/>
        <w:jc w:val="center"/>
        <w:rPr>
          <w:rFonts w:ascii="Arial" w:hAnsi="Arial" w:cs="Arial"/>
          <w:b/>
          <w:color w:val="000000" w:themeColor="text1"/>
          <w:sz w:val="24"/>
          <w:szCs w:val="24"/>
          <w14:textFill>
            <w14:solidFill>
              <w14:schemeClr w14:val="tx1"/>
            </w14:solidFill>
          </w14:textFill>
        </w:rPr>
      </w:pPr>
      <w:bookmarkStart w:id="35" w:name="_Toc220693676"/>
      <w:r>
        <w:rPr>
          <w:rFonts w:ascii="Arial" w:hAnsi="Arial" w:cs="Arial"/>
          <w:b/>
          <w:color w:val="000000" w:themeColor="text1"/>
          <w:sz w:val="24"/>
          <w:szCs w:val="24"/>
          <w14:textFill>
            <w14:solidFill>
              <w14:schemeClr w14:val="tx1"/>
            </w14:solidFill>
          </w14:textFill>
        </w:rPr>
        <w:t>Chapter 05 Conclusions, Recommendations and Limitations</w:t>
      </w:r>
      <w:bookmarkEnd w:id="35"/>
    </w:p>
    <w:p w14:paraId="37647F3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Based on the statistical analysis presented in Chapter 4, this chapter summarises the main findings of this study. It draws attention to the overall influence on financial performance by corporate governance practices on Indian automobile sector before to and during the COVID-19 epidemic. Following this, conclusions are offered in section 5.1, subsequently some useful recommendations are proposed for businesses and policymakers in section 5.2. Lastly, section 5.3 offers suggestions for future research studies to understand the effectiveness of corporate governance in times of economic crisis.   </w:t>
      </w:r>
    </w:p>
    <w:p w14:paraId="69379A02">
      <w:pPr>
        <w:pStyle w:val="3"/>
        <w:spacing w:line="360" w:lineRule="auto"/>
        <w:rPr>
          <w:rFonts w:ascii="Arial" w:hAnsi="Arial" w:cs="Arial"/>
          <w:b/>
          <w:color w:val="000000" w:themeColor="text1"/>
          <w:sz w:val="24"/>
          <w:szCs w:val="24"/>
          <w14:textFill>
            <w14:solidFill>
              <w14:schemeClr w14:val="tx1"/>
            </w14:solidFill>
          </w14:textFill>
        </w:rPr>
      </w:pPr>
      <w:bookmarkStart w:id="36" w:name="_Toc220693677"/>
      <w:r>
        <w:rPr>
          <w:rFonts w:ascii="Arial" w:hAnsi="Arial" w:cs="Arial"/>
          <w:b/>
          <w:color w:val="000000" w:themeColor="text1"/>
          <w:sz w:val="24"/>
          <w:szCs w:val="24"/>
          <w14:textFill>
            <w14:solidFill>
              <w14:schemeClr w14:val="tx1"/>
            </w14:solidFill>
          </w14:textFill>
        </w:rPr>
        <w:t>5.1 Conclusion</w:t>
      </w:r>
      <w:bookmarkEnd w:id="36"/>
    </w:p>
    <w:p w14:paraId="0BA0462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This study analysed how corporate governance practices affected performance of organisations in the Indian automobile industry both before and after the COVID-19 outbreak. To achieve the aims of this study, data has been collected through secondary sources for financial years 2019-2020 (before COVID-19) and 2020-21 (in COVID-19). Also, other statistical measures such as descriptive statistics, correlation analysis, paired sample t-tests and panel OLS regression analysis has been utilised. </w:t>
      </w:r>
    </w:p>
    <w:p w14:paraId="06F5FD1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The COVID-19 pandemic has significantly changed several aspects of corporate governance and financial performance, as corroborated by results from descriptive statistics and t-test. During COVID-19, financial performance as measured by Tobin’s Q and Return on Equity (ROE) deteriorated during the COVID-19, pointing out that the pandemic had an adverse effect on both market-based and accounting-based performance. Similar results have been shown by Tarighi et al., 2023; Khatib &amp; Nour, 2021). </w:t>
      </w:r>
    </w:p>
    <w:p w14:paraId="3F09C4EA">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Additionally, the paired sample t-test shows statistically significant variations between the two time periods in a number of governance variables. Differences have been found on AC characteristics, BM and BS were observed, suggesting that businesses altered their governance systems in reaction to operational limitations brought on by crises. These findings are in line with prior research who argued that in order to maintain continuity and oversight, boards frequently alter governance dynamics during uncertain times (see for example, Anas et al. 2023). </w:t>
      </w:r>
    </w:p>
    <w:p w14:paraId="4A62CB7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Based on the results of regression analysis, there is conflicting evidence regarding the link between performance and governance. There is a positive association between BS and organisational performance, which leads to the idea that larger boards might offer better oversight and more experience in times of crisis. Similar results has been revealed by Tarighi et al. (2023) and supports resource dependence theory, suggesting that diversified boards  plays the stabilising role in times of systemic shocks.</w:t>
      </w:r>
    </w:p>
    <w:p w14:paraId="4841855D">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However, BI does not have a positive impact organizational performance. Decision-making at times of crisis may be slowed by an over-reliance on independent directors, according to certain models that reveal a negligible or negative connection with independence. Khatib &amp; Nour (2021) also found similar results that independence by itself doesn’t ensure effectiveness in high uncertain circumstances.  </w:t>
      </w:r>
    </w:p>
    <w:p w14:paraId="3FE32DF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Business success is positively and statistically significantly associated with board financial competence. This indicates that decision quality, risk assessment and crisis response is improved when directors have deep understanding of financial matters. Anas et al. (2023) has also pointed out that such boards helped to prevent a fall in performance during COVID-19. </w:t>
      </w:r>
    </w:p>
    <w:p w14:paraId="19672FF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Diverse gender representation on boards yields conflicting outcomes. Although it plays a beneficial role in some specifications, however the impact of female representation is not consistent across all models. This suggests that rather than directly affecting financial results, gender diversity may have an indirect impact on performance through the quality of governance (also see Tarighi et al. 2023).</w:t>
      </w:r>
    </w:p>
    <w:p w14:paraId="26058866">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Specifically during the COVID-19 pandemic, there is a positive correlation between ACM and BM and performance of the organisation. This is backed by agency theory where it could be argued that active monitoring enhances management discipline in uncertain circumstances by emphasising the importance of regular monitoring and vigorous supervision during crises. </w:t>
      </w:r>
    </w:p>
    <w:p w14:paraId="069FE754">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These findings are further supported by year-wise subsample analysis, which demonstrates that governance factors have differing impact prior to and during COVID-19. Firm performance is more sensitive to governance activities during the time of pandemic, suggesting that systemic disturbances increase the importance of governance effectiveness. In general, depending on the specific performance measure and governance variable, the findings somewhat support H</w:t>
      </w:r>
      <w:r>
        <w:rPr>
          <w:rFonts w:ascii="Arial" w:hAnsi="Arial" w:cs="Arial"/>
          <w:color w:val="000000" w:themeColor="text1"/>
          <w:sz w:val="24"/>
          <w:szCs w:val="24"/>
          <w:vertAlign w:val="subscript"/>
          <w14:textFill>
            <w14:solidFill>
              <w14:schemeClr w14:val="tx1"/>
            </w14:solidFill>
          </w14:textFill>
        </w:rPr>
        <w:t>2</w:t>
      </w:r>
      <w:r>
        <w:rPr>
          <w:rFonts w:ascii="Arial" w:hAnsi="Arial" w:cs="Arial"/>
          <w:color w:val="000000" w:themeColor="text1"/>
          <w:sz w:val="24"/>
          <w:szCs w:val="24"/>
          <w14:textFill>
            <w14:solidFill>
              <w14:schemeClr w14:val="tx1"/>
            </w14:solidFill>
          </w14:textFill>
        </w:rPr>
        <w:t xml:space="preserve"> to H</w:t>
      </w:r>
      <w:r>
        <w:rPr>
          <w:rFonts w:ascii="Arial" w:hAnsi="Arial" w:cs="Arial"/>
          <w:color w:val="000000" w:themeColor="text1"/>
          <w:sz w:val="24"/>
          <w:szCs w:val="24"/>
          <w:vertAlign w:val="subscript"/>
          <w14:textFill>
            <w14:solidFill>
              <w14:schemeClr w14:val="tx1"/>
            </w14:solidFill>
          </w14:textFill>
        </w:rPr>
        <w:t>7</w:t>
      </w:r>
      <w:r>
        <w:rPr>
          <w:rFonts w:ascii="Arial" w:hAnsi="Arial" w:cs="Arial"/>
          <w:color w:val="000000" w:themeColor="text1"/>
          <w:sz w:val="24"/>
          <w:szCs w:val="24"/>
          <w14:textFill>
            <w14:solidFill>
              <w14:schemeClr w14:val="tx1"/>
            </w14:solidFill>
          </w14:textFill>
        </w:rPr>
        <w:t xml:space="preserve"> and support H</w:t>
      </w:r>
      <w:r>
        <w:rPr>
          <w:rFonts w:ascii="Arial" w:hAnsi="Arial" w:cs="Arial"/>
          <w:color w:val="000000" w:themeColor="text1"/>
          <w:sz w:val="24"/>
          <w:szCs w:val="24"/>
          <w:vertAlign w:val="subscript"/>
          <w14:textFill>
            <w14:solidFill>
              <w14:schemeClr w14:val="tx1"/>
            </w14:solidFill>
          </w14:textFill>
        </w:rPr>
        <w:t>1</w:t>
      </w:r>
      <w:r>
        <w:rPr>
          <w:rFonts w:ascii="Arial" w:hAnsi="Arial" w:cs="Arial"/>
          <w:color w:val="000000" w:themeColor="text1"/>
          <w:sz w:val="24"/>
          <w:szCs w:val="24"/>
          <w14:textFill>
            <w14:solidFill>
              <w14:schemeClr w14:val="tx1"/>
            </w14:solidFill>
          </w14:textFill>
        </w:rPr>
        <w:t xml:space="preserve">. </w:t>
      </w:r>
    </w:p>
    <w:p w14:paraId="6CAD9E3D">
      <w:pPr>
        <w:pStyle w:val="3"/>
        <w:spacing w:line="360" w:lineRule="auto"/>
        <w:rPr>
          <w:rFonts w:ascii="Arial" w:hAnsi="Arial" w:cs="Arial"/>
          <w:b/>
          <w:color w:val="000000" w:themeColor="text1"/>
          <w:sz w:val="24"/>
          <w:szCs w:val="24"/>
          <w14:textFill>
            <w14:solidFill>
              <w14:schemeClr w14:val="tx1"/>
            </w14:solidFill>
          </w14:textFill>
        </w:rPr>
      </w:pPr>
      <w:bookmarkStart w:id="37" w:name="_Toc220693678"/>
      <w:r>
        <w:rPr>
          <w:rFonts w:ascii="Arial" w:hAnsi="Arial" w:cs="Arial"/>
          <w:b/>
          <w:color w:val="000000" w:themeColor="text1"/>
          <w:sz w:val="24"/>
          <w:szCs w:val="24"/>
          <w14:textFill>
            <w14:solidFill>
              <w14:schemeClr w14:val="tx1"/>
            </w14:solidFill>
          </w14:textFill>
        </w:rPr>
        <w:t>5.2 Recommendations</w:t>
      </w:r>
      <w:bookmarkEnd w:id="37"/>
      <w:r>
        <w:rPr>
          <w:rFonts w:ascii="Arial" w:hAnsi="Arial" w:cs="Arial"/>
          <w:b/>
          <w:color w:val="000000" w:themeColor="text1"/>
          <w:sz w:val="24"/>
          <w:szCs w:val="24"/>
          <w14:textFill>
            <w14:solidFill>
              <w14:schemeClr w14:val="tx1"/>
            </w14:solidFill>
          </w14:textFill>
        </w:rPr>
        <w:t xml:space="preserve"> </w:t>
      </w:r>
    </w:p>
    <w:p w14:paraId="4CF8877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Numerous practical and policy based recommendations are put out in light of the empirical findings of this research study. </w:t>
      </w:r>
    </w:p>
    <w:p w14:paraId="32C1708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Firstly, instead of having very thin boards, organisations should keep their boards at an ideal size. With large BS may offer better oversight and provide  ore strategic advice in the times of crisis. Also, in such difficult times, organisations and regulators should not impose strict reductions on BS. </w:t>
      </w:r>
    </w:p>
    <w:p w14:paraId="66058DC8">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Secondly, there must a balance between executive expertise and BI. Whilst, independence is vital for good governance, but a divided board may make it more difficult to make proactive decisions in emergency situations. Therefore, a hybrid structure that combines independence with firm-specific expertise is recommended.</w:t>
      </w:r>
    </w:p>
    <w:p w14:paraId="0543D3C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Moreover, at the board level, financial literacy must be given a priority. Resilience during economic meltdowns may be improved by appointing directors who have sound financial backgrounds. Specifically in capital-intensive organisations, regulators must make it a mandatory requirement that board members should have financial expertise. </w:t>
      </w:r>
    </w:p>
    <w:p w14:paraId="67C899B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Additionally, organisations must encourage frequent BM and ACM, specifically in hard times. In order to maintain governance oversight in the event of future interruptions, online meetings must be held to monitor organisational activities. </w:t>
      </w:r>
    </w:p>
    <w:p w14:paraId="04361F75">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Furthermore, regulations related to gender diversity should be emphasised, but at the same time, efforts should be made to include female directors in important financial and strategic decision-making positions. It is important to note that diversity should not be seen as a mere compliance need, rather it should be viewed as a governance strength. </w:t>
      </w:r>
    </w:p>
    <w:p w14:paraId="29040A9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Subsequently, regulators and policymakers must develop crisis responsive corporate governance frameworks to permit flexibility and maintaining accountability at the same time. COVID-19 teach us that rather than incorporating rigid compliance-based models, adaptive governance should takes place. </w:t>
      </w:r>
    </w:p>
    <w:p w14:paraId="51890B01">
      <w:pPr>
        <w:spacing w:line="360" w:lineRule="auto"/>
        <w:jc w:val="both"/>
        <w:rPr>
          <w:rFonts w:ascii="Arial" w:hAnsi="Arial" w:cs="Arial"/>
          <w:color w:val="000000" w:themeColor="text1"/>
          <w:sz w:val="24"/>
          <w:szCs w:val="24"/>
          <w14:textFill>
            <w14:solidFill>
              <w14:schemeClr w14:val="tx1"/>
            </w14:solidFill>
          </w14:textFill>
        </w:rPr>
      </w:pPr>
    </w:p>
    <w:p w14:paraId="7D13C9FC">
      <w:pPr>
        <w:spacing w:line="360" w:lineRule="auto"/>
        <w:jc w:val="both"/>
        <w:rPr>
          <w:rFonts w:ascii="Arial" w:hAnsi="Arial" w:cs="Arial"/>
          <w:color w:val="000000" w:themeColor="text1"/>
          <w:sz w:val="24"/>
          <w:szCs w:val="24"/>
          <w14:textFill>
            <w14:solidFill>
              <w14:schemeClr w14:val="tx1"/>
            </w14:solidFill>
          </w14:textFill>
        </w:rPr>
      </w:pPr>
    </w:p>
    <w:p w14:paraId="3FC8A574">
      <w:pPr>
        <w:pStyle w:val="3"/>
        <w:spacing w:line="360" w:lineRule="auto"/>
        <w:rPr>
          <w:rFonts w:ascii="Arial" w:hAnsi="Arial" w:cs="Arial"/>
          <w:b/>
          <w:color w:val="000000" w:themeColor="text1"/>
          <w:sz w:val="24"/>
          <w:szCs w:val="24"/>
          <w14:textFill>
            <w14:solidFill>
              <w14:schemeClr w14:val="tx1"/>
            </w14:solidFill>
          </w14:textFill>
        </w:rPr>
      </w:pPr>
      <w:bookmarkStart w:id="38" w:name="_Toc220693679"/>
      <w:r>
        <w:rPr>
          <w:rFonts w:ascii="Arial" w:hAnsi="Arial" w:cs="Arial"/>
          <w:b/>
          <w:color w:val="000000" w:themeColor="text1"/>
          <w:sz w:val="24"/>
          <w:szCs w:val="24"/>
          <w14:textFill>
            <w14:solidFill>
              <w14:schemeClr w14:val="tx1"/>
            </w14:solidFill>
          </w14:textFill>
        </w:rPr>
        <w:t>5.3 Research Limitations</w:t>
      </w:r>
      <w:bookmarkEnd w:id="38"/>
    </w:p>
    <w:p w14:paraId="3EF4A9D2">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This research has several drawbacks despite its contributions.</w:t>
      </w:r>
    </w:p>
    <w:p w14:paraId="0B128ADE">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First of all, the results from this study can be applied to other sectors as the sample is limited to the Indian automobile industry. The governance mechanisms may be quite different for financial and service sectors. </w:t>
      </w:r>
    </w:p>
    <w:p w14:paraId="2416A2C7">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At second place, data from two financial years have been included in the analysis. An extended time horizon might have captured post pandemic recovery effects and could have provided a stronger causal inference. </w:t>
      </w:r>
    </w:p>
    <w:p w14:paraId="11E3312B">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At third place, this research may be subjective and prone to reporting bias as corporate governance measures were manually collected from annual reports. Despite a careful cross-checking, different organisations have different disclosure quality. </w:t>
      </w:r>
    </w:p>
    <w:p w14:paraId="28646D09">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In addition, Tobin’s Q and ROE  is used to measure the performance. Other indicators like ESG, market volatility or ROA may offer more information about the effectiveness of governance in times of crisis .</w:t>
      </w:r>
    </w:p>
    <w:p w14:paraId="0557A33C">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Meanwhile, endogenity issues might not have been completely resolved, although panel OLS regression is backed up by diagnostic tests. Future research studies can use advanced econometric methods like dynamic panel models. </w:t>
      </w:r>
    </w:p>
    <w:p w14:paraId="631DADCE">
      <w:pPr>
        <w:pStyle w:val="3"/>
        <w:spacing w:line="360" w:lineRule="auto"/>
        <w:rPr>
          <w:rFonts w:ascii="Arial" w:hAnsi="Arial" w:cs="Arial"/>
          <w:b/>
          <w:color w:val="000000" w:themeColor="text1"/>
          <w:sz w:val="24"/>
          <w:szCs w:val="24"/>
          <w14:textFill>
            <w14:solidFill>
              <w14:schemeClr w14:val="tx1"/>
            </w14:solidFill>
          </w14:textFill>
        </w:rPr>
      </w:pPr>
      <w:bookmarkStart w:id="39" w:name="_Toc220693680"/>
      <w:r>
        <w:rPr>
          <w:rFonts w:ascii="Arial" w:hAnsi="Arial" w:cs="Arial"/>
          <w:b/>
          <w:color w:val="000000" w:themeColor="text1"/>
          <w:sz w:val="24"/>
          <w:szCs w:val="24"/>
          <w14:textFill>
            <w14:solidFill>
              <w14:schemeClr w14:val="tx1"/>
            </w14:solidFill>
          </w14:textFill>
        </w:rPr>
        <w:t>5.4 Future Research Directions</w:t>
      </w:r>
      <w:bookmarkEnd w:id="39"/>
      <w:r>
        <w:rPr>
          <w:rFonts w:ascii="Arial" w:hAnsi="Arial" w:cs="Arial"/>
          <w:b/>
          <w:color w:val="000000" w:themeColor="text1"/>
          <w:sz w:val="24"/>
          <w:szCs w:val="24"/>
          <w14:textFill>
            <w14:solidFill>
              <w14:schemeClr w14:val="tx1"/>
            </w14:solidFill>
          </w14:textFill>
        </w:rPr>
        <w:t xml:space="preserve"> </w:t>
      </w:r>
    </w:p>
    <w:p w14:paraId="5F9A9010">
      <w:pPr>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Future research studies may expand on this study by analysing cross-national samples or multiple industries to evaluate the effectiveness of governance in hard financial times. Researchers in the future may also incorporate post-COVID 19 recovery years to examine the long-term effects of governance modifications started to take place during the COVID-19. Also, by including behavioural governance variables such as digital governance practices or ESG indicators could contribute to the literature in future. </w:t>
      </w:r>
    </w:p>
    <w:p w14:paraId="28F86D7C">
      <w:pPr>
        <w:tabs>
          <w:tab w:val="left" w:pos="1573"/>
        </w:tabs>
        <w:spacing w:line="360" w:lineRule="auto"/>
        <w:rPr>
          <w:rFonts w:ascii="Arial" w:hAnsi="Arial" w:cs="Arial"/>
          <w:color w:val="000000" w:themeColor="text1"/>
          <w:sz w:val="24"/>
          <w:szCs w:val="24"/>
          <w14:textFill>
            <w14:solidFill>
              <w14:schemeClr w14:val="tx1"/>
            </w14:solidFill>
          </w14:textFill>
        </w:rPr>
      </w:pPr>
    </w:p>
    <w:p w14:paraId="1A9805A1">
      <w:pPr>
        <w:tabs>
          <w:tab w:val="left" w:pos="1573"/>
        </w:tabs>
        <w:spacing w:line="360" w:lineRule="auto"/>
        <w:rPr>
          <w:rFonts w:ascii="Arial" w:hAnsi="Arial" w:cs="Arial"/>
          <w:color w:val="000000" w:themeColor="text1"/>
          <w:sz w:val="24"/>
          <w:szCs w:val="24"/>
          <w14:textFill>
            <w14:solidFill>
              <w14:schemeClr w14:val="tx1"/>
            </w14:solidFill>
          </w14:textFill>
        </w:rPr>
      </w:pPr>
    </w:p>
    <w:p w14:paraId="0964E3C0">
      <w:pPr>
        <w:tabs>
          <w:tab w:val="left" w:pos="1573"/>
        </w:tabs>
        <w:spacing w:line="360" w:lineRule="auto"/>
        <w:rPr>
          <w:rFonts w:ascii="Arial" w:hAnsi="Arial" w:cs="Arial"/>
          <w:color w:val="000000" w:themeColor="text1"/>
          <w:sz w:val="24"/>
          <w:szCs w:val="24"/>
          <w14:textFill>
            <w14:solidFill>
              <w14:schemeClr w14:val="tx1"/>
            </w14:solidFill>
          </w14:textFill>
        </w:rPr>
      </w:pPr>
    </w:p>
    <w:p w14:paraId="1C8E426D">
      <w:pPr>
        <w:pStyle w:val="2"/>
        <w:spacing w:line="360" w:lineRule="auto"/>
        <w:jc w:val="center"/>
        <w:rPr>
          <w:rFonts w:ascii="Arial" w:hAnsi="Arial" w:cs="Arial"/>
          <w:b/>
          <w:color w:val="000000" w:themeColor="text1"/>
          <w:sz w:val="24"/>
          <w:szCs w:val="24"/>
          <w14:textFill>
            <w14:solidFill>
              <w14:schemeClr w14:val="tx1"/>
            </w14:solidFill>
          </w14:textFill>
        </w:rPr>
      </w:pPr>
      <w:bookmarkStart w:id="40" w:name="_Toc220693681"/>
      <w:r>
        <w:rPr>
          <w:rFonts w:ascii="Arial" w:hAnsi="Arial" w:cs="Arial"/>
          <w:b/>
          <w:color w:val="000000" w:themeColor="text1"/>
          <w:sz w:val="24"/>
          <w:szCs w:val="24"/>
          <w14:textFill>
            <w14:solidFill>
              <w14:schemeClr w14:val="tx1"/>
            </w14:solidFill>
          </w14:textFill>
        </w:rPr>
        <w:t>Chapter 06: References</w:t>
      </w:r>
      <w:bookmarkEnd w:id="40"/>
    </w:p>
    <w:p w14:paraId="013A7BF8">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Abdeljawad, I., &amp; Masri, R. M. (2020). Board characteristics and corporate performance: Evidence from Palestine. </w:t>
      </w:r>
      <w:r>
        <w:rPr>
          <w:rFonts w:ascii="Arial" w:hAnsi="Arial" w:cs="Arial"/>
          <w:i/>
          <w:iCs/>
          <w:sz w:val="24"/>
          <w:szCs w:val="24"/>
          <w:shd w:val="clear" w:color="auto" w:fill="FFFFFF"/>
        </w:rPr>
        <w:t>An-Najah University Journal for Research-B (Humanities)</w:t>
      </w:r>
      <w:r>
        <w:rPr>
          <w:rFonts w:ascii="Arial" w:hAnsi="Arial" w:cs="Arial"/>
          <w:sz w:val="24"/>
          <w:szCs w:val="24"/>
          <w:shd w:val="clear" w:color="auto" w:fill="FFFFFF"/>
        </w:rPr>
        <w:t>, </w:t>
      </w:r>
      <w:r>
        <w:rPr>
          <w:rFonts w:ascii="Arial" w:hAnsi="Arial" w:cs="Arial"/>
          <w:i/>
          <w:iCs/>
          <w:sz w:val="24"/>
          <w:szCs w:val="24"/>
          <w:shd w:val="clear" w:color="auto" w:fill="FFFFFF"/>
        </w:rPr>
        <w:t>34</w:t>
      </w:r>
      <w:r>
        <w:rPr>
          <w:rFonts w:ascii="Arial" w:hAnsi="Arial" w:cs="Arial"/>
          <w:sz w:val="24"/>
          <w:szCs w:val="24"/>
          <w:shd w:val="clear" w:color="auto" w:fill="FFFFFF"/>
        </w:rPr>
        <w:t>(4), 745-770.</w:t>
      </w:r>
    </w:p>
    <w:p w14:paraId="7390D3B7">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Abdulazeez, D. A., Ndibe, L., &amp; Mercy, A. M. (2016). Corporate governance and financial performance of listed deposit money banks in Nigeria. </w:t>
      </w:r>
      <w:r>
        <w:rPr>
          <w:rFonts w:ascii="Arial" w:hAnsi="Arial" w:cs="Arial"/>
          <w:i/>
          <w:iCs/>
          <w:sz w:val="24"/>
          <w:szCs w:val="24"/>
          <w:shd w:val="clear" w:color="auto" w:fill="FFFFFF"/>
        </w:rPr>
        <w:t>Journal of Accounting and Marketing</w:t>
      </w:r>
      <w:r>
        <w:rPr>
          <w:rFonts w:ascii="Arial" w:hAnsi="Arial" w:cs="Arial"/>
          <w:sz w:val="24"/>
          <w:szCs w:val="24"/>
          <w:shd w:val="clear" w:color="auto" w:fill="FFFFFF"/>
        </w:rPr>
        <w:t>, </w:t>
      </w:r>
      <w:r>
        <w:rPr>
          <w:rFonts w:ascii="Arial" w:hAnsi="Arial" w:cs="Arial"/>
          <w:i/>
          <w:iCs/>
          <w:sz w:val="24"/>
          <w:szCs w:val="24"/>
          <w:shd w:val="clear" w:color="auto" w:fill="FFFFFF"/>
        </w:rPr>
        <w:t>5</w:t>
      </w:r>
      <w:r>
        <w:rPr>
          <w:rFonts w:ascii="Arial" w:hAnsi="Arial" w:cs="Arial"/>
          <w:sz w:val="24"/>
          <w:szCs w:val="24"/>
          <w:shd w:val="clear" w:color="auto" w:fill="FFFFFF"/>
        </w:rPr>
        <w:t>(1), 1-6.</w:t>
      </w:r>
    </w:p>
    <w:p w14:paraId="25F2F8DC">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Abdul R. R., &amp; Haneem M. A. F., (2006). Board, audit committee, culture and earnings management: Malaysian evidence. </w:t>
      </w:r>
      <w:r>
        <w:rPr>
          <w:rFonts w:ascii="Arial" w:hAnsi="Arial" w:cs="Arial"/>
          <w:i/>
          <w:iCs/>
          <w:sz w:val="24"/>
          <w:szCs w:val="24"/>
          <w:shd w:val="clear" w:color="auto" w:fill="FFFFFF"/>
        </w:rPr>
        <w:t>Managerial auditing journal</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(7), 783-804.</w:t>
      </w:r>
    </w:p>
    <w:p w14:paraId="3168D51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Abeygunasekera, A. W. J. C., Weerasuriya, R. M. I. H., &amp; Kehelwalatenna, S. (2021). Effect of attributes of audit committee on financial performance: The case of Sri Lanka. </w:t>
      </w:r>
      <w:r>
        <w:rPr>
          <w:rFonts w:ascii="Arial" w:hAnsi="Arial" w:cs="Arial"/>
          <w:i/>
          <w:iCs/>
          <w:sz w:val="24"/>
          <w:szCs w:val="24"/>
          <w:shd w:val="clear" w:color="auto" w:fill="FFFFFF"/>
        </w:rPr>
        <w:t>Global Review of Accounting and Finance</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(1), 43-57.</w:t>
      </w:r>
    </w:p>
    <w:p w14:paraId="7337B47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Adams, R. B., &amp; Funk, P. (2012). Beyond the glass ceiling: does gender matter?. </w:t>
      </w:r>
      <w:r>
        <w:rPr>
          <w:rFonts w:ascii="Arial" w:hAnsi="Arial" w:cs="Arial"/>
          <w:i/>
          <w:iCs/>
          <w:sz w:val="24"/>
          <w:szCs w:val="24"/>
          <w:shd w:val="clear" w:color="auto" w:fill="FFFFFF"/>
        </w:rPr>
        <w:t>Management science</w:t>
      </w:r>
      <w:r>
        <w:rPr>
          <w:rFonts w:ascii="Arial" w:hAnsi="Arial" w:cs="Arial"/>
          <w:sz w:val="24"/>
          <w:szCs w:val="24"/>
          <w:shd w:val="clear" w:color="auto" w:fill="FFFFFF"/>
        </w:rPr>
        <w:t>, </w:t>
      </w:r>
      <w:r>
        <w:rPr>
          <w:rFonts w:ascii="Arial" w:hAnsi="Arial" w:cs="Arial"/>
          <w:i/>
          <w:iCs/>
          <w:sz w:val="24"/>
          <w:szCs w:val="24"/>
          <w:shd w:val="clear" w:color="auto" w:fill="FFFFFF"/>
        </w:rPr>
        <w:t>58</w:t>
      </w:r>
      <w:r>
        <w:rPr>
          <w:rFonts w:ascii="Arial" w:hAnsi="Arial" w:cs="Arial"/>
          <w:sz w:val="24"/>
          <w:szCs w:val="24"/>
          <w:shd w:val="clear" w:color="auto" w:fill="FFFFFF"/>
        </w:rPr>
        <w:t>(2), 219-235.</w:t>
      </w:r>
    </w:p>
    <w:p w14:paraId="033A983C">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Ahmed Haji, A. (2014). The relationship between corporate governance attributes and firm performance before and after the revised code: Some Malaysian evidence. </w:t>
      </w:r>
      <w:r>
        <w:rPr>
          <w:rFonts w:ascii="Arial" w:hAnsi="Arial" w:cs="Arial"/>
          <w:i/>
          <w:iCs/>
          <w:sz w:val="24"/>
          <w:szCs w:val="24"/>
          <w:shd w:val="clear" w:color="auto" w:fill="FFFFFF"/>
        </w:rPr>
        <w:t>International Journal of Commerce and Management</w:t>
      </w:r>
      <w:r>
        <w:rPr>
          <w:rFonts w:ascii="Arial" w:hAnsi="Arial" w:cs="Arial"/>
          <w:sz w:val="24"/>
          <w:szCs w:val="24"/>
          <w:shd w:val="clear" w:color="auto" w:fill="FFFFFF"/>
        </w:rPr>
        <w:t>, </w:t>
      </w:r>
      <w:r>
        <w:rPr>
          <w:rFonts w:ascii="Arial" w:hAnsi="Arial" w:cs="Arial"/>
          <w:i/>
          <w:iCs/>
          <w:sz w:val="24"/>
          <w:szCs w:val="24"/>
          <w:shd w:val="clear" w:color="auto" w:fill="FFFFFF"/>
        </w:rPr>
        <w:t>24</w:t>
      </w:r>
      <w:r>
        <w:rPr>
          <w:rFonts w:ascii="Arial" w:hAnsi="Arial" w:cs="Arial"/>
          <w:sz w:val="24"/>
          <w:szCs w:val="24"/>
          <w:shd w:val="clear" w:color="auto" w:fill="FFFFFF"/>
        </w:rPr>
        <w:t>(2), 134-151.</w:t>
      </w:r>
    </w:p>
    <w:p w14:paraId="73047402">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Al-Jalahma, A. (2022). Impact of audit committee characteristics on firm performance: Evidence from Bahrain. </w:t>
      </w:r>
      <w:r>
        <w:rPr>
          <w:rFonts w:ascii="Arial" w:hAnsi="Arial" w:cs="Arial"/>
          <w:i/>
          <w:iCs/>
          <w:sz w:val="24"/>
          <w:szCs w:val="24"/>
          <w:shd w:val="clear" w:color="auto" w:fill="FFFFFF"/>
        </w:rPr>
        <w:t>Problems and Perspectives in Management</w:t>
      </w:r>
      <w:r>
        <w:rPr>
          <w:rFonts w:ascii="Arial" w:hAnsi="Arial" w:cs="Arial"/>
          <w:sz w:val="24"/>
          <w:szCs w:val="24"/>
          <w:shd w:val="clear" w:color="auto" w:fill="FFFFFF"/>
        </w:rPr>
        <w:t>, </w:t>
      </w:r>
      <w:r>
        <w:rPr>
          <w:rFonts w:ascii="Arial" w:hAnsi="Arial" w:cs="Arial"/>
          <w:i/>
          <w:iCs/>
          <w:sz w:val="24"/>
          <w:szCs w:val="24"/>
          <w:shd w:val="clear" w:color="auto" w:fill="FFFFFF"/>
        </w:rPr>
        <w:t>20</w:t>
      </w:r>
      <w:r>
        <w:rPr>
          <w:rFonts w:ascii="Arial" w:hAnsi="Arial" w:cs="Arial"/>
          <w:sz w:val="24"/>
          <w:szCs w:val="24"/>
          <w:shd w:val="clear" w:color="auto" w:fill="FFFFFF"/>
        </w:rPr>
        <w:t>(1), 247.</w:t>
      </w:r>
    </w:p>
    <w:p w14:paraId="68579289">
      <w:pPr>
        <w:numPr>
          <w:ilvl w:val="0"/>
          <w:numId w:val="4"/>
        </w:numPr>
        <w:spacing w:line="360" w:lineRule="auto"/>
        <w:jc w:val="both"/>
        <w:rPr>
          <w:rFonts w:ascii="Arial" w:hAnsi="Arial" w:cs="Arial"/>
          <w:sz w:val="24"/>
          <w:szCs w:val="24"/>
        </w:rPr>
      </w:pPr>
      <w:r>
        <w:rPr>
          <w:rFonts w:ascii="Arial" w:hAnsi="Arial" w:cs="Arial"/>
          <w:sz w:val="24"/>
          <w:szCs w:val="24"/>
        </w:rPr>
        <w:t>Alsamhi, M. H., Al-Ofairi, F. A., Farhan, N. H., Al-Ahdal, W. M., &amp; Siddiqui, A. (2022). Impact of Covid-19 on firms’ performance: Empirical evidence from India. </w:t>
      </w:r>
      <w:r>
        <w:rPr>
          <w:rFonts w:ascii="Arial" w:hAnsi="Arial" w:cs="Arial"/>
          <w:i/>
          <w:iCs/>
          <w:sz w:val="24"/>
          <w:szCs w:val="24"/>
        </w:rPr>
        <w:t>Cogent Business &amp; Management</w:t>
      </w:r>
      <w:r>
        <w:rPr>
          <w:rFonts w:ascii="Arial" w:hAnsi="Arial" w:cs="Arial"/>
          <w:sz w:val="24"/>
          <w:szCs w:val="24"/>
        </w:rPr>
        <w:t>, </w:t>
      </w:r>
      <w:r>
        <w:rPr>
          <w:rFonts w:ascii="Arial" w:hAnsi="Arial" w:cs="Arial"/>
          <w:i/>
          <w:iCs/>
          <w:sz w:val="24"/>
          <w:szCs w:val="24"/>
        </w:rPr>
        <w:t>9</w:t>
      </w:r>
      <w:r>
        <w:rPr>
          <w:rFonts w:ascii="Arial" w:hAnsi="Arial" w:cs="Arial"/>
          <w:sz w:val="24"/>
          <w:szCs w:val="24"/>
        </w:rPr>
        <w:t>(1), 2044593.</w:t>
      </w:r>
    </w:p>
    <w:p w14:paraId="20F6667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Altass, S. (2022). Board diligence, independence, size, and firm performance: Evidence from Saudi Arabia. </w:t>
      </w:r>
      <w:r>
        <w:rPr>
          <w:rFonts w:ascii="Arial" w:hAnsi="Arial" w:cs="Arial"/>
          <w:i/>
          <w:iCs/>
          <w:sz w:val="24"/>
          <w:szCs w:val="24"/>
          <w:shd w:val="clear" w:color="auto" w:fill="FFFFFF"/>
        </w:rPr>
        <w:t>Accounting</w:t>
      </w:r>
      <w:r>
        <w:rPr>
          <w:rFonts w:ascii="Arial" w:hAnsi="Arial" w:cs="Arial"/>
          <w:sz w:val="24"/>
          <w:szCs w:val="24"/>
          <w:shd w:val="clear" w:color="auto" w:fill="FFFFFF"/>
        </w:rPr>
        <w:t>, </w:t>
      </w:r>
      <w:r>
        <w:rPr>
          <w:rFonts w:ascii="Arial" w:hAnsi="Arial" w:cs="Arial"/>
          <w:i/>
          <w:iCs/>
          <w:sz w:val="24"/>
          <w:szCs w:val="24"/>
          <w:shd w:val="clear" w:color="auto" w:fill="FFFFFF"/>
        </w:rPr>
        <w:t>8</w:t>
      </w:r>
      <w:r>
        <w:rPr>
          <w:rFonts w:ascii="Arial" w:hAnsi="Arial" w:cs="Arial"/>
          <w:sz w:val="24"/>
          <w:szCs w:val="24"/>
          <w:shd w:val="clear" w:color="auto" w:fill="FFFFFF"/>
        </w:rPr>
        <w:t>(3), 269-276.</w:t>
      </w:r>
    </w:p>
    <w:p w14:paraId="59D25449">
      <w:pPr>
        <w:numPr>
          <w:ilvl w:val="0"/>
          <w:numId w:val="4"/>
        </w:numPr>
        <w:spacing w:line="360" w:lineRule="auto"/>
        <w:jc w:val="both"/>
        <w:rPr>
          <w:rFonts w:ascii="Arial" w:hAnsi="Arial" w:cs="Arial"/>
          <w:sz w:val="24"/>
          <w:szCs w:val="24"/>
        </w:rPr>
      </w:pPr>
      <w:r>
        <w:rPr>
          <w:rFonts w:ascii="Arial" w:hAnsi="Arial" w:cs="Arial"/>
          <w:sz w:val="24"/>
          <w:szCs w:val="24"/>
        </w:rPr>
        <w:t>Anas, M., Gulzar, I., Tabash, M. I., Ahmad, G., Yazdani, W., and Alam, M. F. (2023). ‘Investigating the Nexus between Corporate Governance and Firm Performance in India: Evidence from COVID-19’. </w:t>
      </w:r>
      <w:r>
        <w:rPr>
          <w:rFonts w:ascii="Arial" w:hAnsi="Arial" w:cs="Arial"/>
          <w:i/>
          <w:iCs/>
          <w:sz w:val="24"/>
          <w:szCs w:val="24"/>
        </w:rPr>
        <w:t>Journal of Risk and Financial Management</w:t>
      </w:r>
      <w:r>
        <w:rPr>
          <w:rFonts w:ascii="Arial" w:hAnsi="Arial" w:cs="Arial"/>
          <w:sz w:val="24"/>
          <w:szCs w:val="24"/>
        </w:rPr>
        <w:t>, </w:t>
      </w:r>
      <w:r>
        <w:rPr>
          <w:rFonts w:ascii="Arial" w:hAnsi="Arial" w:cs="Arial"/>
          <w:i/>
          <w:iCs/>
          <w:sz w:val="24"/>
          <w:szCs w:val="24"/>
        </w:rPr>
        <w:t>16</w:t>
      </w:r>
      <w:r>
        <w:rPr>
          <w:rFonts w:ascii="Arial" w:hAnsi="Arial" w:cs="Arial"/>
          <w:sz w:val="24"/>
          <w:szCs w:val="24"/>
        </w:rPr>
        <w:t xml:space="preserve">(7), 307. Available at: </w:t>
      </w:r>
      <w:r>
        <w:fldChar w:fldCharType="begin"/>
      </w:r>
      <w:r>
        <w:instrText xml:space="preserve"> HYPERLINK "https://doi.org/10.3390/jrfm16070307" </w:instrText>
      </w:r>
      <w:r>
        <w:fldChar w:fldCharType="separate"/>
      </w:r>
      <w:r>
        <w:rPr>
          <w:rStyle w:val="9"/>
          <w:rFonts w:ascii="Arial" w:hAnsi="Arial" w:cs="Arial"/>
          <w:sz w:val="24"/>
          <w:szCs w:val="24"/>
        </w:rPr>
        <w:t>https://doi.org/10.3390/jrfm16070307</w:t>
      </w:r>
      <w:r>
        <w:rPr>
          <w:rStyle w:val="9"/>
          <w:rFonts w:ascii="Arial" w:hAnsi="Arial" w:cs="Arial"/>
          <w:sz w:val="24"/>
          <w:szCs w:val="24"/>
        </w:rPr>
        <w:fldChar w:fldCharType="end"/>
      </w:r>
    </w:p>
    <w:p w14:paraId="5DCFDDFE">
      <w:pPr>
        <w:pStyle w:val="15"/>
        <w:numPr>
          <w:ilvl w:val="0"/>
          <w:numId w:val="4"/>
        </w:numPr>
        <w:spacing w:line="360" w:lineRule="auto"/>
        <w:jc w:val="both"/>
        <w:rPr>
          <w:rFonts w:ascii="Arial" w:hAnsi="Arial" w:cs="Arial"/>
          <w:color w:val="222222"/>
          <w:sz w:val="24"/>
          <w:szCs w:val="24"/>
          <w:shd w:val="clear" w:color="auto" w:fill="FFFFFF"/>
        </w:rPr>
      </w:pPr>
      <w:r>
        <w:rPr>
          <w:rFonts w:ascii="Arial" w:hAnsi="Arial" w:cs="Arial"/>
          <w:sz w:val="24"/>
          <w:szCs w:val="24"/>
        </w:rPr>
        <w:t>Aneja, R., &amp; Ahuja, V. (2021). An assessment of socioeconomic impact of COVID</w:t>
      </w:r>
      <w:r>
        <w:rPr>
          <w:rFonts w:ascii="Cambria Math" w:hAnsi="Cambria Math" w:cs="Cambria Math"/>
          <w:sz w:val="24"/>
          <w:szCs w:val="24"/>
        </w:rPr>
        <w:t>‐</w:t>
      </w:r>
      <w:r>
        <w:rPr>
          <w:rFonts w:ascii="Arial" w:hAnsi="Arial" w:cs="Arial"/>
          <w:sz w:val="24"/>
          <w:szCs w:val="24"/>
        </w:rPr>
        <w:t>19 pandemic in India. </w:t>
      </w:r>
      <w:r>
        <w:rPr>
          <w:rFonts w:ascii="Arial" w:hAnsi="Arial" w:cs="Arial"/>
          <w:i/>
          <w:iCs/>
          <w:sz w:val="24"/>
          <w:szCs w:val="24"/>
        </w:rPr>
        <w:t>Journal of Public Affairs</w:t>
      </w:r>
      <w:r>
        <w:rPr>
          <w:rFonts w:ascii="Arial" w:hAnsi="Arial" w:cs="Arial"/>
          <w:sz w:val="24"/>
          <w:szCs w:val="24"/>
        </w:rPr>
        <w:t>, </w:t>
      </w:r>
      <w:r>
        <w:rPr>
          <w:rFonts w:ascii="Arial" w:hAnsi="Arial" w:cs="Arial"/>
          <w:i/>
          <w:iCs/>
          <w:sz w:val="24"/>
          <w:szCs w:val="24"/>
        </w:rPr>
        <w:t>21</w:t>
      </w:r>
      <w:r>
        <w:rPr>
          <w:rFonts w:ascii="Arial" w:hAnsi="Arial" w:cs="Arial"/>
          <w:sz w:val="24"/>
          <w:szCs w:val="24"/>
        </w:rPr>
        <w:t xml:space="preserve">(2), e2266. Available at: </w:t>
      </w:r>
      <w:r>
        <w:fldChar w:fldCharType="begin"/>
      </w:r>
      <w:r>
        <w:instrText xml:space="preserve"> HYPERLINK "https://doi.org/10.1002/pa.2266" </w:instrText>
      </w:r>
      <w:r>
        <w:fldChar w:fldCharType="separate"/>
      </w:r>
      <w:r>
        <w:rPr>
          <w:rStyle w:val="9"/>
          <w:rFonts w:ascii="Arial" w:hAnsi="Arial" w:cs="Arial"/>
          <w:kern w:val="0"/>
          <w:sz w:val="24"/>
          <w:szCs w:val="24"/>
        </w:rPr>
        <w:t>https://doi.org/10.1002/pa.2266</w:t>
      </w:r>
      <w:r>
        <w:rPr>
          <w:rStyle w:val="9"/>
          <w:rFonts w:ascii="Arial" w:hAnsi="Arial" w:cs="Arial"/>
          <w:kern w:val="0"/>
          <w:sz w:val="24"/>
          <w:szCs w:val="24"/>
        </w:rPr>
        <w:fldChar w:fldCharType="end"/>
      </w:r>
    </w:p>
    <w:p w14:paraId="4D4A5D6F">
      <w:pPr>
        <w:numPr>
          <w:ilvl w:val="0"/>
          <w:numId w:val="4"/>
        </w:numPr>
        <w:spacing w:line="360" w:lineRule="auto"/>
        <w:jc w:val="both"/>
        <w:rPr>
          <w:rFonts w:ascii="Arial" w:hAnsi="Arial" w:cs="Arial"/>
          <w:sz w:val="24"/>
          <w:szCs w:val="24"/>
        </w:rPr>
      </w:pPr>
      <w:r>
        <w:rPr>
          <w:rFonts w:ascii="Arial" w:hAnsi="Arial" w:cs="Arial"/>
          <w:sz w:val="24"/>
          <w:szCs w:val="24"/>
        </w:rPr>
        <w:t>Arumona, J., Erin, O., Onmonya, L., &amp; Omotayo, V. (2019). Board financial education and firm performance: Evidence from the healthcare sector in Nigeria. </w:t>
      </w:r>
      <w:r>
        <w:rPr>
          <w:rFonts w:ascii="Arial" w:hAnsi="Arial" w:cs="Arial"/>
          <w:i/>
          <w:iCs/>
          <w:sz w:val="24"/>
          <w:szCs w:val="24"/>
        </w:rPr>
        <w:t>Academy of Strategic Management Journal</w:t>
      </w:r>
      <w:r>
        <w:rPr>
          <w:rFonts w:ascii="Arial" w:hAnsi="Arial" w:cs="Arial"/>
          <w:sz w:val="24"/>
          <w:szCs w:val="24"/>
        </w:rPr>
        <w:t>, </w:t>
      </w:r>
      <w:r>
        <w:rPr>
          <w:rFonts w:ascii="Arial" w:hAnsi="Arial" w:cs="Arial"/>
          <w:i/>
          <w:iCs/>
          <w:sz w:val="24"/>
          <w:szCs w:val="24"/>
        </w:rPr>
        <w:t>18</w:t>
      </w:r>
      <w:r>
        <w:rPr>
          <w:rFonts w:ascii="Arial" w:hAnsi="Arial" w:cs="Arial"/>
          <w:sz w:val="24"/>
          <w:szCs w:val="24"/>
        </w:rPr>
        <w:t>(4), 1-18.</w:t>
      </w:r>
    </w:p>
    <w:p w14:paraId="03ADD42D">
      <w:pPr>
        <w:numPr>
          <w:ilvl w:val="0"/>
          <w:numId w:val="4"/>
        </w:numPr>
        <w:spacing w:line="360" w:lineRule="auto"/>
        <w:jc w:val="both"/>
        <w:rPr>
          <w:rFonts w:ascii="Arial" w:hAnsi="Arial" w:cs="Arial"/>
          <w:sz w:val="24"/>
          <w:szCs w:val="24"/>
        </w:rPr>
      </w:pPr>
      <w:r>
        <w:rPr>
          <w:rFonts w:ascii="Arial" w:hAnsi="Arial" w:cs="Arial"/>
          <w:sz w:val="24"/>
          <w:szCs w:val="24"/>
        </w:rPr>
        <w:t>Bae, K. H., El Ghoul, S., Gong, Z. J., &amp; Guedhami, O. (2021). Does CSR matter in times of crisis? Evidence from the COVID-19 pandemic. </w:t>
      </w:r>
      <w:r>
        <w:rPr>
          <w:rFonts w:ascii="Arial" w:hAnsi="Arial" w:cs="Arial"/>
          <w:i/>
          <w:iCs/>
          <w:sz w:val="24"/>
          <w:szCs w:val="24"/>
        </w:rPr>
        <w:t>Journal of Corporate Finance</w:t>
      </w:r>
      <w:r>
        <w:rPr>
          <w:rFonts w:ascii="Arial" w:hAnsi="Arial" w:cs="Arial"/>
          <w:sz w:val="24"/>
          <w:szCs w:val="24"/>
        </w:rPr>
        <w:t>, </w:t>
      </w:r>
      <w:r>
        <w:rPr>
          <w:rFonts w:ascii="Arial" w:hAnsi="Arial" w:cs="Arial"/>
          <w:i/>
          <w:iCs/>
          <w:sz w:val="24"/>
          <w:szCs w:val="24"/>
        </w:rPr>
        <w:t>67</w:t>
      </w:r>
      <w:r>
        <w:rPr>
          <w:rFonts w:ascii="Arial" w:hAnsi="Arial" w:cs="Arial"/>
          <w:sz w:val="24"/>
          <w:szCs w:val="24"/>
        </w:rPr>
        <w:t>, 101876.</w:t>
      </w:r>
    </w:p>
    <w:p w14:paraId="153ADE5F">
      <w:pPr>
        <w:numPr>
          <w:ilvl w:val="0"/>
          <w:numId w:val="4"/>
        </w:numPr>
        <w:spacing w:line="360" w:lineRule="auto"/>
        <w:jc w:val="both"/>
        <w:rPr>
          <w:rFonts w:ascii="Arial" w:hAnsi="Arial" w:cs="Arial"/>
          <w:sz w:val="24"/>
          <w:szCs w:val="24"/>
        </w:rPr>
      </w:pPr>
      <w:r>
        <w:rPr>
          <w:rFonts w:ascii="Arial" w:hAnsi="Arial" w:cs="Arial"/>
          <w:sz w:val="24"/>
          <w:szCs w:val="24"/>
        </w:rPr>
        <w:t>Baldwin, R., &amp; Di Mauro, B. W. (2020). ‘Economics in the time of COVID-19: A new eBook’. </w:t>
      </w:r>
      <w:r>
        <w:rPr>
          <w:rFonts w:ascii="Arial" w:hAnsi="Arial" w:cs="Arial"/>
          <w:i/>
          <w:iCs/>
          <w:sz w:val="24"/>
          <w:szCs w:val="24"/>
        </w:rPr>
        <w:t>VOX CEPR Policy Portal</w:t>
      </w:r>
      <w:r>
        <w:rPr>
          <w:rFonts w:ascii="Arial" w:hAnsi="Arial" w:cs="Arial"/>
          <w:sz w:val="24"/>
          <w:szCs w:val="24"/>
        </w:rPr>
        <w:t>, </w:t>
      </w:r>
      <w:r>
        <w:rPr>
          <w:rFonts w:ascii="Arial" w:hAnsi="Arial" w:cs="Arial"/>
          <w:i/>
          <w:iCs/>
          <w:sz w:val="24"/>
          <w:szCs w:val="24"/>
        </w:rPr>
        <w:t>2</w:t>
      </w:r>
      <w:r>
        <w:rPr>
          <w:rFonts w:ascii="Arial" w:hAnsi="Arial" w:cs="Arial"/>
          <w:sz w:val="24"/>
          <w:szCs w:val="24"/>
        </w:rPr>
        <w:t>(3).</w:t>
      </w:r>
    </w:p>
    <w:p w14:paraId="53058B9C">
      <w:pPr>
        <w:numPr>
          <w:ilvl w:val="0"/>
          <w:numId w:val="4"/>
        </w:numPr>
        <w:spacing w:line="360" w:lineRule="auto"/>
        <w:jc w:val="both"/>
        <w:rPr>
          <w:rFonts w:ascii="Arial" w:hAnsi="Arial" w:cs="Arial"/>
          <w:sz w:val="24"/>
          <w:szCs w:val="24"/>
        </w:rPr>
      </w:pPr>
      <w:r>
        <w:rPr>
          <w:rFonts w:ascii="Arial" w:hAnsi="Arial" w:cs="Arial"/>
          <w:sz w:val="24"/>
          <w:szCs w:val="24"/>
        </w:rPr>
        <w:t>Baker, S. R., Bloom, N., Davis, S. J., Kost, K. J., Sammon, M. C., &amp; Viratyosin, T. (2020). </w:t>
      </w:r>
      <w:r>
        <w:rPr>
          <w:rFonts w:ascii="Arial" w:hAnsi="Arial" w:cs="Arial"/>
          <w:i/>
          <w:iCs/>
          <w:sz w:val="24"/>
          <w:szCs w:val="24"/>
        </w:rPr>
        <w:t>The unprecedented stock market impact of COVID-19</w:t>
      </w:r>
      <w:r>
        <w:rPr>
          <w:rFonts w:ascii="Arial" w:hAnsi="Arial" w:cs="Arial"/>
          <w:sz w:val="24"/>
          <w:szCs w:val="24"/>
        </w:rPr>
        <w:t> (No. w26945). national Bureau of economic research.</w:t>
      </w:r>
    </w:p>
    <w:p w14:paraId="4757450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Bansal, N., &amp; Sharma, A. K. (2016). Audit committee, corporate governance and firm performance: Empirical evidence from India. </w:t>
      </w:r>
      <w:r>
        <w:rPr>
          <w:rFonts w:ascii="Arial" w:hAnsi="Arial" w:cs="Arial"/>
          <w:i/>
          <w:iCs/>
          <w:sz w:val="24"/>
          <w:szCs w:val="24"/>
          <w:shd w:val="clear" w:color="auto" w:fill="FFFFFF"/>
        </w:rPr>
        <w:t>International journal of Economics and Finance</w:t>
      </w:r>
      <w:r>
        <w:rPr>
          <w:rFonts w:ascii="Arial" w:hAnsi="Arial" w:cs="Arial"/>
          <w:sz w:val="24"/>
          <w:szCs w:val="24"/>
          <w:shd w:val="clear" w:color="auto" w:fill="FFFFFF"/>
        </w:rPr>
        <w:t>, </w:t>
      </w:r>
      <w:r>
        <w:rPr>
          <w:rFonts w:ascii="Arial" w:hAnsi="Arial" w:cs="Arial"/>
          <w:i/>
          <w:iCs/>
          <w:sz w:val="24"/>
          <w:szCs w:val="24"/>
          <w:shd w:val="clear" w:color="auto" w:fill="FFFFFF"/>
        </w:rPr>
        <w:t>8</w:t>
      </w:r>
      <w:r>
        <w:rPr>
          <w:rFonts w:ascii="Arial" w:hAnsi="Arial" w:cs="Arial"/>
          <w:sz w:val="24"/>
          <w:szCs w:val="24"/>
          <w:shd w:val="clear" w:color="auto" w:fill="FFFFFF"/>
        </w:rPr>
        <w:t>(3), 103.</w:t>
      </w:r>
    </w:p>
    <w:p w14:paraId="2BE6F39A">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Baatwah, S. R., Aljaaidi, K. S., &amp; Almoataz, E. S. (2020). ‘Comprehensive dataset for corporate governance in Oman: Data for a three-level quality assessment of corporate governance’. </w:t>
      </w:r>
      <w:r>
        <w:rPr>
          <w:rFonts w:ascii="Arial" w:hAnsi="Arial" w:cs="Arial"/>
          <w:i/>
          <w:iCs/>
          <w:sz w:val="24"/>
          <w:szCs w:val="24"/>
          <w:shd w:val="clear" w:color="auto" w:fill="FFFFFF"/>
        </w:rPr>
        <w:t>Data in Brief</w:t>
      </w:r>
      <w:r>
        <w:rPr>
          <w:rFonts w:ascii="Arial" w:hAnsi="Arial" w:cs="Arial"/>
          <w:sz w:val="24"/>
          <w:szCs w:val="24"/>
          <w:shd w:val="clear" w:color="auto" w:fill="FFFFFF"/>
        </w:rPr>
        <w:t>, </w:t>
      </w:r>
      <w:r>
        <w:rPr>
          <w:rFonts w:ascii="Arial" w:hAnsi="Arial" w:cs="Arial"/>
          <w:i/>
          <w:iCs/>
          <w:sz w:val="24"/>
          <w:szCs w:val="24"/>
          <w:shd w:val="clear" w:color="auto" w:fill="FFFFFF"/>
        </w:rPr>
        <w:t>32</w:t>
      </w:r>
      <w:r>
        <w:rPr>
          <w:rFonts w:ascii="Arial" w:hAnsi="Arial" w:cs="Arial"/>
          <w:sz w:val="24"/>
          <w:szCs w:val="24"/>
          <w:shd w:val="clear" w:color="auto" w:fill="FFFFFF"/>
        </w:rPr>
        <w:t xml:space="preserve">, 106127. </w:t>
      </w:r>
    </w:p>
    <w:p w14:paraId="21A952A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Baysinger. BD and Butler, HN (1985),‘Corporate Governance and the Board of Directors: Performance Effects of Changes in Board Composition’. </w:t>
      </w:r>
      <w:r>
        <w:rPr>
          <w:rFonts w:ascii="Arial" w:hAnsi="Arial" w:cs="Arial"/>
          <w:i/>
          <w:iCs/>
          <w:sz w:val="24"/>
          <w:szCs w:val="24"/>
          <w:shd w:val="clear" w:color="auto" w:fill="FFFFFF"/>
        </w:rPr>
        <w:t>Journal of Law, Economics and Organization</w:t>
      </w:r>
      <w:r>
        <w:rPr>
          <w:rFonts w:ascii="Arial" w:hAnsi="Arial" w:cs="Arial"/>
          <w:sz w:val="24"/>
          <w:szCs w:val="24"/>
          <w:shd w:val="clear" w:color="auto" w:fill="FFFFFF"/>
        </w:rPr>
        <w:t>, </w:t>
      </w:r>
      <w:r>
        <w:rPr>
          <w:rFonts w:ascii="Arial" w:hAnsi="Arial" w:cs="Arial"/>
          <w:i/>
          <w:iCs/>
          <w:sz w:val="24"/>
          <w:szCs w:val="24"/>
          <w:shd w:val="clear" w:color="auto" w:fill="FFFFFF"/>
        </w:rPr>
        <w:t>1</w:t>
      </w:r>
      <w:r>
        <w:rPr>
          <w:rFonts w:ascii="Arial" w:hAnsi="Arial" w:cs="Arial"/>
          <w:sz w:val="24"/>
          <w:szCs w:val="24"/>
          <w:shd w:val="clear" w:color="auto" w:fill="FFFFFF"/>
        </w:rPr>
        <w:t>, 101.</w:t>
      </w:r>
    </w:p>
    <w:p w14:paraId="19F2EA4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Bhattrai, H. (2017). Effect of corporate governance on financial performance of bank in Nepal. </w:t>
      </w:r>
      <w:r>
        <w:rPr>
          <w:rFonts w:ascii="Arial" w:hAnsi="Arial" w:cs="Arial"/>
          <w:i/>
          <w:iCs/>
          <w:sz w:val="24"/>
          <w:szCs w:val="24"/>
          <w:shd w:val="clear" w:color="auto" w:fill="FFFFFF"/>
        </w:rPr>
        <w:t>ZENITH International Journal of Multidisciplinary Research</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(3), 97-110.</w:t>
      </w:r>
    </w:p>
    <w:p w14:paraId="34170A49">
      <w:pPr>
        <w:numPr>
          <w:ilvl w:val="0"/>
          <w:numId w:val="4"/>
        </w:numPr>
        <w:spacing w:line="360" w:lineRule="auto"/>
        <w:jc w:val="both"/>
        <w:rPr>
          <w:rFonts w:ascii="Arial" w:hAnsi="Arial" w:cs="Arial"/>
          <w:sz w:val="24"/>
          <w:szCs w:val="24"/>
        </w:rPr>
      </w:pPr>
      <w:r>
        <w:rPr>
          <w:rFonts w:ascii="Arial" w:hAnsi="Arial" w:cs="Arial"/>
          <w:sz w:val="24"/>
          <w:szCs w:val="24"/>
        </w:rPr>
        <w:t>Bose, S., Shams, S., Ali, M. J., &amp; Mihret, D. (2022). COVID</w:t>
      </w:r>
      <w:r>
        <w:rPr>
          <w:rFonts w:ascii="Cambria Math" w:hAnsi="Cambria Math" w:cs="Cambria Math"/>
          <w:sz w:val="24"/>
          <w:szCs w:val="24"/>
        </w:rPr>
        <w:t>‐</w:t>
      </w:r>
      <w:r>
        <w:rPr>
          <w:rFonts w:ascii="Arial" w:hAnsi="Arial" w:cs="Arial"/>
          <w:sz w:val="24"/>
          <w:szCs w:val="24"/>
        </w:rPr>
        <w:t>19 impact, sustainability performance and firm value: international evidence. </w:t>
      </w:r>
      <w:r>
        <w:rPr>
          <w:rFonts w:ascii="Arial" w:hAnsi="Arial" w:cs="Arial"/>
          <w:i/>
          <w:iCs/>
          <w:sz w:val="24"/>
          <w:szCs w:val="24"/>
        </w:rPr>
        <w:t>Accounting &amp; Finance</w:t>
      </w:r>
      <w:r>
        <w:rPr>
          <w:rFonts w:ascii="Arial" w:hAnsi="Arial" w:cs="Arial"/>
          <w:sz w:val="24"/>
          <w:szCs w:val="24"/>
        </w:rPr>
        <w:t>, </w:t>
      </w:r>
      <w:r>
        <w:rPr>
          <w:rFonts w:ascii="Arial" w:hAnsi="Arial" w:cs="Arial"/>
          <w:i/>
          <w:iCs/>
          <w:sz w:val="24"/>
          <w:szCs w:val="24"/>
        </w:rPr>
        <w:t>62</w:t>
      </w:r>
      <w:r>
        <w:rPr>
          <w:rFonts w:ascii="Arial" w:hAnsi="Arial" w:cs="Arial"/>
          <w:sz w:val="24"/>
          <w:szCs w:val="24"/>
        </w:rPr>
        <w:t>(1), 597-643.</w:t>
      </w:r>
    </w:p>
    <w:p w14:paraId="3B1B789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Boshnak, H. A., Alsharif, M., &amp; Alharthi, M. (2023). Corporate governance mechanisms and firm performance in Saudi Arabia before and during the COVID-19 outbreak. </w:t>
      </w:r>
      <w:r>
        <w:rPr>
          <w:rFonts w:ascii="Arial" w:hAnsi="Arial" w:cs="Arial"/>
          <w:i/>
          <w:iCs/>
          <w:sz w:val="24"/>
          <w:szCs w:val="24"/>
          <w:shd w:val="clear" w:color="auto" w:fill="FFFFFF"/>
        </w:rPr>
        <w:t>Cogent Business &amp; Management</w:t>
      </w:r>
      <w:r>
        <w:rPr>
          <w:rFonts w:ascii="Arial" w:hAnsi="Arial" w:cs="Arial"/>
          <w:sz w:val="24"/>
          <w:szCs w:val="24"/>
          <w:shd w:val="clear" w:color="auto" w:fill="FFFFFF"/>
        </w:rPr>
        <w:t>, </w:t>
      </w:r>
      <w:r>
        <w:rPr>
          <w:rFonts w:ascii="Arial" w:hAnsi="Arial" w:cs="Arial"/>
          <w:i/>
          <w:iCs/>
          <w:sz w:val="24"/>
          <w:szCs w:val="24"/>
          <w:shd w:val="clear" w:color="auto" w:fill="FFFFFF"/>
        </w:rPr>
        <w:t>10</w:t>
      </w:r>
      <w:r>
        <w:rPr>
          <w:rFonts w:ascii="Arial" w:hAnsi="Arial" w:cs="Arial"/>
          <w:sz w:val="24"/>
          <w:szCs w:val="24"/>
          <w:shd w:val="clear" w:color="auto" w:fill="FFFFFF"/>
        </w:rPr>
        <w:t>(1), 2195990.</w:t>
      </w:r>
    </w:p>
    <w:p w14:paraId="7655FFF7">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Brahma, S., Nwafor, C., &amp; Boateng, A. (2021). Board gender diversity and firm performance: The UK evidence. </w:t>
      </w:r>
      <w:r>
        <w:rPr>
          <w:rFonts w:ascii="Arial" w:hAnsi="Arial" w:cs="Arial"/>
          <w:i/>
          <w:iCs/>
          <w:sz w:val="24"/>
          <w:szCs w:val="24"/>
          <w:shd w:val="clear" w:color="auto" w:fill="FFFFFF"/>
        </w:rPr>
        <w:t>International Journal of Finance &amp; Economics</w:t>
      </w:r>
      <w:r>
        <w:rPr>
          <w:rFonts w:ascii="Arial" w:hAnsi="Arial" w:cs="Arial"/>
          <w:sz w:val="24"/>
          <w:szCs w:val="24"/>
          <w:shd w:val="clear" w:color="auto" w:fill="FFFFFF"/>
        </w:rPr>
        <w:t>, </w:t>
      </w:r>
      <w:r>
        <w:rPr>
          <w:rFonts w:ascii="Arial" w:hAnsi="Arial" w:cs="Arial"/>
          <w:i/>
          <w:iCs/>
          <w:sz w:val="24"/>
          <w:szCs w:val="24"/>
          <w:shd w:val="clear" w:color="auto" w:fill="FFFFFF"/>
        </w:rPr>
        <w:t>26</w:t>
      </w:r>
      <w:r>
        <w:rPr>
          <w:rFonts w:ascii="Arial" w:hAnsi="Arial" w:cs="Arial"/>
          <w:sz w:val="24"/>
          <w:szCs w:val="24"/>
          <w:shd w:val="clear" w:color="auto" w:fill="FFFFFF"/>
        </w:rPr>
        <w:t xml:space="preserve">(4), 5704-5719. </w:t>
      </w:r>
    </w:p>
    <w:p w14:paraId="1145EEB6">
      <w:pPr>
        <w:numPr>
          <w:ilvl w:val="0"/>
          <w:numId w:val="4"/>
        </w:numPr>
        <w:spacing w:line="360" w:lineRule="auto"/>
        <w:jc w:val="both"/>
        <w:rPr>
          <w:rFonts w:ascii="Arial" w:hAnsi="Arial" w:cs="Arial"/>
          <w:sz w:val="24"/>
          <w:szCs w:val="24"/>
        </w:rPr>
      </w:pPr>
      <w:r>
        <w:rPr>
          <w:rFonts w:ascii="Arial" w:hAnsi="Arial" w:cs="Arial"/>
          <w:sz w:val="24"/>
          <w:szCs w:val="24"/>
        </w:rPr>
        <w:t>Bui, H., &amp; Krajcsak, Z. (2024). The impacts of corporate governance on firms’ performance: from theories and approaches to empirical findings. </w:t>
      </w:r>
      <w:r>
        <w:rPr>
          <w:rFonts w:ascii="Arial" w:hAnsi="Arial" w:cs="Arial"/>
          <w:i/>
          <w:iCs/>
          <w:sz w:val="24"/>
          <w:szCs w:val="24"/>
        </w:rPr>
        <w:t>Journal of Financial Regulation and Compliance</w:t>
      </w:r>
      <w:r>
        <w:rPr>
          <w:rFonts w:ascii="Arial" w:hAnsi="Arial" w:cs="Arial"/>
          <w:sz w:val="24"/>
          <w:szCs w:val="24"/>
        </w:rPr>
        <w:t>, </w:t>
      </w:r>
      <w:r>
        <w:rPr>
          <w:rFonts w:ascii="Arial" w:hAnsi="Arial" w:cs="Arial"/>
          <w:i/>
          <w:iCs/>
          <w:sz w:val="24"/>
          <w:szCs w:val="24"/>
        </w:rPr>
        <w:t>32</w:t>
      </w:r>
      <w:r>
        <w:rPr>
          <w:rFonts w:ascii="Arial" w:hAnsi="Arial" w:cs="Arial"/>
          <w:sz w:val="24"/>
          <w:szCs w:val="24"/>
        </w:rPr>
        <w:t>(1), 18-46.</w:t>
      </w:r>
    </w:p>
    <w:p w14:paraId="77D1F3CB">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Burgess, D., &amp; Borgida, E. (1999). Who women are, who women should be: Descriptive and prescriptive gender stereotyping in sex discrimination. </w:t>
      </w:r>
      <w:r>
        <w:rPr>
          <w:rFonts w:ascii="Arial" w:hAnsi="Arial" w:cs="Arial"/>
          <w:i/>
          <w:iCs/>
          <w:sz w:val="24"/>
          <w:szCs w:val="24"/>
          <w:shd w:val="clear" w:color="auto" w:fill="FFFFFF"/>
        </w:rPr>
        <w:t>Psychology, public policy, and law</w:t>
      </w:r>
      <w:r>
        <w:rPr>
          <w:rFonts w:ascii="Arial" w:hAnsi="Arial" w:cs="Arial"/>
          <w:sz w:val="24"/>
          <w:szCs w:val="24"/>
          <w:shd w:val="clear" w:color="auto" w:fill="FFFFFF"/>
        </w:rPr>
        <w:t>, </w:t>
      </w:r>
      <w:r>
        <w:rPr>
          <w:rFonts w:ascii="Arial" w:hAnsi="Arial" w:cs="Arial"/>
          <w:i/>
          <w:iCs/>
          <w:sz w:val="24"/>
          <w:szCs w:val="24"/>
          <w:shd w:val="clear" w:color="auto" w:fill="FFFFFF"/>
        </w:rPr>
        <w:t>5</w:t>
      </w:r>
      <w:r>
        <w:rPr>
          <w:rFonts w:ascii="Arial" w:hAnsi="Arial" w:cs="Arial"/>
          <w:sz w:val="24"/>
          <w:szCs w:val="24"/>
          <w:shd w:val="clear" w:color="auto" w:fill="FFFFFF"/>
        </w:rPr>
        <w:t>(3), 665.</w:t>
      </w:r>
    </w:p>
    <w:p w14:paraId="592B964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Coleman, M., &amp; Wu, M. (2021). Corporate governance mechanisms and corporate performance of firms in Nigeria and Ghana. </w:t>
      </w:r>
      <w:r>
        <w:rPr>
          <w:rFonts w:ascii="Arial" w:hAnsi="Arial" w:cs="Arial"/>
          <w:i/>
          <w:iCs/>
          <w:sz w:val="24"/>
          <w:szCs w:val="24"/>
          <w:shd w:val="clear" w:color="auto" w:fill="FFFFFF"/>
        </w:rPr>
        <w:t>International Journal of Productivity and Performance Management</w:t>
      </w:r>
      <w:r>
        <w:rPr>
          <w:rFonts w:ascii="Arial" w:hAnsi="Arial" w:cs="Arial"/>
          <w:sz w:val="24"/>
          <w:szCs w:val="24"/>
          <w:shd w:val="clear" w:color="auto" w:fill="FFFFFF"/>
        </w:rPr>
        <w:t>, </w:t>
      </w:r>
      <w:r>
        <w:rPr>
          <w:rFonts w:ascii="Arial" w:hAnsi="Arial" w:cs="Arial"/>
          <w:i/>
          <w:iCs/>
          <w:sz w:val="24"/>
          <w:szCs w:val="24"/>
          <w:shd w:val="clear" w:color="auto" w:fill="FFFFFF"/>
        </w:rPr>
        <w:t>70</w:t>
      </w:r>
      <w:r>
        <w:rPr>
          <w:rFonts w:ascii="Arial" w:hAnsi="Arial" w:cs="Arial"/>
          <w:sz w:val="24"/>
          <w:szCs w:val="24"/>
          <w:shd w:val="clear" w:color="auto" w:fill="FFFFFF"/>
        </w:rPr>
        <w:t>(8), 2319-2351.</w:t>
      </w:r>
    </w:p>
    <w:p w14:paraId="4F00F876">
      <w:pPr>
        <w:pStyle w:val="15"/>
        <w:numPr>
          <w:ilvl w:val="0"/>
          <w:numId w:val="4"/>
        </w:num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Constantatos, A. F. (2018). ‘Corporate governance mechanisms in Greece and their effect on earnings management and firm performance’. Available online: </w:t>
      </w:r>
      <w:r>
        <w:fldChar w:fldCharType="begin"/>
      </w:r>
      <w:r>
        <w:instrText xml:space="preserve"> HYPERLINK "http://hdl.handle.net/1893/28907" </w:instrText>
      </w:r>
      <w:r>
        <w:fldChar w:fldCharType="separate"/>
      </w:r>
      <w:r>
        <w:rPr>
          <w:rStyle w:val="9"/>
          <w:rFonts w:ascii="Arial" w:hAnsi="Arial" w:cs="Arial"/>
          <w:sz w:val="24"/>
          <w:szCs w:val="24"/>
        </w:rPr>
        <w:t>http://hdl.handle.net/1893/28907</w:t>
      </w:r>
      <w:r>
        <w:rPr>
          <w:rStyle w:val="9"/>
          <w:rFonts w:ascii="Arial" w:hAnsi="Arial" w:cs="Arial"/>
          <w:sz w:val="24"/>
          <w:szCs w:val="24"/>
        </w:rPr>
        <w:fldChar w:fldCharType="end"/>
      </w:r>
      <w:r>
        <w:rPr>
          <w:rFonts w:ascii="Arial" w:hAnsi="Arial" w:cs="Arial"/>
          <w:sz w:val="24"/>
          <w:szCs w:val="24"/>
        </w:rPr>
        <w:t xml:space="preserve"> (Assessed on 06th November 2025).</w:t>
      </w:r>
    </w:p>
    <w:p w14:paraId="4D6A5B1F">
      <w:pPr>
        <w:pStyle w:val="10"/>
        <w:numPr>
          <w:ilvl w:val="0"/>
          <w:numId w:val="4"/>
        </w:numPr>
        <w:autoSpaceDE w:val="0"/>
        <w:autoSpaceDN w:val="0"/>
        <w:adjustRightInd w:val="0"/>
        <w:spacing w:after="0" w:line="360" w:lineRule="auto"/>
        <w:jc w:val="both"/>
        <w:rPr>
          <w:rFonts w:ascii="Arial" w:hAnsi="Arial" w:cs="Arial"/>
        </w:rPr>
      </w:pPr>
      <w:r>
        <w:rPr>
          <w:rFonts w:ascii="Arial" w:hAnsi="Arial" w:cs="Arial"/>
          <w:shd w:val="clear" w:color="auto" w:fill="FFFFFF"/>
        </w:rPr>
        <w:t>Creswell, J., &amp; Creswell, J. D. (2023). ‘</w:t>
      </w:r>
      <w:r>
        <w:rPr>
          <w:rFonts w:ascii="Arial" w:hAnsi="Arial" w:cs="Arial"/>
          <w:i/>
          <w:iCs/>
          <w:shd w:val="clear" w:color="auto" w:fill="FFFFFF"/>
        </w:rPr>
        <w:t>Research design qualitative, quantitative, and mixed methods approaches</w:t>
      </w:r>
      <w:r>
        <w:rPr>
          <w:rFonts w:ascii="Arial" w:hAnsi="Arial" w:cs="Arial"/>
          <w:iCs/>
          <w:shd w:val="clear" w:color="auto" w:fill="FFFFFF"/>
        </w:rPr>
        <w:t>’</w:t>
      </w:r>
      <w:r>
        <w:rPr>
          <w:rFonts w:ascii="Arial" w:hAnsi="Arial" w:cs="Arial"/>
          <w:shd w:val="clear" w:color="auto" w:fill="FFFFFF"/>
        </w:rPr>
        <w:t> (6th ed). Los Angeles: Sage Publicans.</w:t>
      </w:r>
    </w:p>
    <w:p w14:paraId="34614A8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Dalton, D. R., Daily, C. M., Johnson, J. L., &amp; Ellstrand, A. E. (1999). Number of directors and financial performance: A meta-analysis. </w:t>
      </w:r>
      <w:r>
        <w:rPr>
          <w:rFonts w:ascii="Arial" w:hAnsi="Arial" w:cs="Arial"/>
          <w:i/>
          <w:iCs/>
          <w:sz w:val="24"/>
          <w:szCs w:val="24"/>
          <w:shd w:val="clear" w:color="auto" w:fill="FFFFFF"/>
        </w:rPr>
        <w:t>Academy of Management journal</w:t>
      </w:r>
      <w:r>
        <w:rPr>
          <w:rFonts w:ascii="Arial" w:hAnsi="Arial" w:cs="Arial"/>
          <w:sz w:val="24"/>
          <w:szCs w:val="24"/>
          <w:shd w:val="clear" w:color="auto" w:fill="FFFFFF"/>
        </w:rPr>
        <w:t>, </w:t>
      </w:r>
      <w:r>
        <w:rPr>
          <w:rFonts w:ascii="Arial" w:hAnsi="Arial" w:cs="Arial"/>
          <w:i/>
          <w:iCs/>
          <w:sz w:val="24"/>
          <w:szCs w:val="24"/>
          <w:shd w:val="clear" w:color="auto" w:fill="FFFFFF"/>
        </w:rPr>
        <w:t>42</w:t>
      </w:r>
      <w:r>
        <w:rPr>
          <w:rFonts w:ascii="Arial" w:hAnsi="Arial" w:cs="Arial"/>
          <w:sz w:val="24"/>
          <w:szCs w:val="24"/>
          <w:shd w:val="clear" w:color="auto" w:fill="FFFFFF"/>
        </w:rPr>
        <w:t>(6), 674-686.</w:t>
      </w:r>
    </w:p>
    <w:p w14:paraId="4AAC86E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Danoshana, S., &amp; Ravivathani, T. (2019). The impact of the corporate governance on firm performance: A study on financial institutions in Sri Lanka. </w:t>
      </w:r>
      <w:r>
        <w:rPr>
          <w:rFonts w:ascii="Arial" w:hAnsi="Arial" w:cs="Arial"/>
          <w:i/>
          <w:iCs/>
          <w:sz w:val="24"/>
          <w:szCs w:val="24"/>
          <w:shd w:val="clear" w:color="auto" w:fill="FFFFFF"/>
        </w:rPr>
        <w:t>SAARJ Journal on Banking &amp; Insurance Research</w:t>
      </w:r>
      <w:r>
        <w:rPr>
          <w:rFonts w:ascii="Arial" w:hAnsi="Arial" w:cs="Arial"/>
          <w:sz w:val="24"/>
          <w:szCs w:val="24"/>
          <w:shd w:val="clear" w:color="auto" w:fill="FFFFFF"/>
        </w:rPr>
        <w:t>, </w:t>
      </w:r>
      <w:r>
        <w:rPr>
          <w:rFonts w:ascii="Arial" w:hAnsi="Arial" w:cs="Arial"/>
          <w:i/>
          <w:iCs/>
          <w:sz w:val="24"/>
          <w:szCs w:val="24"/>
          <w:shd w:val="clear" w:color="auto" w:fill="FFFFFF"/>
        </w:rPr>
        <w:t>8</w:t>
      </w:r>
      <w:r>
        <w:rPr>
          <w:rFonts w:ascii="Arial" w:hAnsi="Arial" w:cs="Arial"/>
          <w:sz w:val="24"/>
          <w:szCs w:val="24"/>
          <w:shd w:val="clear" w:color="auto" w:fill="FFFFFF"/>
        </w:rPr>
        <w:t>(1), 62-67.</w:t>
      </w:r>
    </w:p>
    <w:p w14:paraId="431A2C8C">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Datta, N. (2018). Impact of corporate governance on financial performance: A study on DSE listed insurance companies in Bangladesh. </w:t>
      </w:r>
      <w:r>
        <w:rPr>
          <w:rFonts w:ascii="Arial" w:hAnsi="Arial" w:cs="Arial"/>
          <w:i/>
          <w:iCs/>
          <w:sz w:val="24"/>
          <w:szCs w:val="24"/>
          <w:shd w:val="clear" w:color="auto" w:fill="FFFFFF"/>
        </w:rPr>
        <w:t>Global Journal of Management and Business Research</w:t>
      </w:r>
      <w:r>
        <w:rPr>
          <w:rFonts w:ascii="Arial" w:hAnsi="Arial" w:cs="Arial"/>
          <w:sz w:val="24"/>
          <w:szCs w:val="24"/>
          <w:shd w:val="clear" w:color="auto" w:fill="FFFFFF"/>
        </w:rPr>
        <w:t>, </w:t>
      </w:r>
      <w:r>
        <w:rPr>
          <w:rFonts w:ascii="Arial" w:hAnsi="Arial" w:cs="Arial"/>
          <w:i/>
          <w:iCs/>
          <w:sz w:val="24"/>
          <w:szCs w:val="24"/>
          <w:shd w:val="clear" w:color="auto" w:fill="FFFFFF"/>
        </w:rPr>
        <w:t>18</w:t>
      </w:r>
      <w:r>
        <w:rPr>
          <w:rFonts w:ascii="Arial" w:hAnsi="Arial" w:cs="Arial"/>
          <w:sz w:val="24"/>
          <w:szCs w:val="24"/>
          <w:shd w:val="clear" w:color="auto" w:fill="FFFFFF"/>
        </w:rPr>
        <w:t>(2), 32-39.</w:t>
      </w:r>
    </w:p>
    <w:p w14:paraId="33F2E2D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Denis, D. J., Denis, D. K., &amp; Sarin, A. (1997). Ownership structure and top executive turnover. </w:t>
      </w:r>
      <w:r>
        <w:rPr>
          <w:rFonts w:ascii="Arial" w:hAnsi="Arial" w:cs="Arial"/>
          <w:i/>
          <w:iCs/>
          <w:sz w:val="24"/>
          <w:szCs w:val="24"/>
          <w:shd w:val="clear" w:color="auto" w:fill="FFFFFF"/>
        </w:rPr>
        <w:t>Journal of financial economics</w:t>
      </w:r>
      <w:r>
        <w:rPr>
          <w:rFonts w:ascii="Arial" w:hAnsi="Arial" w:cs="Arial"/>
          <w:sz w:val="24"/>
          <w:szCs w:val="24"/>
          <w:shd w:val="clear" w:color="auto" w:fill="FFFFFF"/>
        </w:rPr>
        <w:t>, </w:t>
      </w:r>
      <w:r>
        <w:rPr>
          <w:rFonts w:ascii="Arial" w:hAnsi="Arial" w:cs="Arial"/>
          <w:i/>
          <w:iCs/>
          <w:sz w:val="24"/>
          <w:szCs w:val="24"/>
          <w:shd w:val="clear" w:color="auto" w:fill="FFFFFF"/>
        </w:rPr>
        <w:t>45</w:t>
      </w:r>
      <w:r>
        <w:rPr>
          <w:rFonts w:ascii="Arial" w:hAnsi="Arial" w:cs="Arial"/>
          <w:sz w:val="24"/>
          <w:szCs w:val="24"/>
          <w:shd w:val="clear" w:color="auto" w:fill="FFFFFF"/>
        </w:rPr>
        <w:t>(2), 193-221.</w:t>
      </w:r>
    </w:p>
    <w:p w14:paraId="6D3067E9">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Desvaux, G., Devillard, S., &amp; Sancier-Sultan, S. (2010). Women Matter 2010. Women at the top of corporations: Making it happen. </w:t>
      </w:r>
      <w:r>
        <w:rPr>
          <w:rFonts w:ascii="Arial" w:hAnsi="Arial" w:cs="Arial"/>
          <w:i/>
          <w:iCs/>
          <w:sz w:val="24"/>
          <w:szCs w:val="24"/>
          <w:shd w:val="clear" w:color="auto" w:fill="FFFFFF"/>
        </w:rPr>
        <w:t>McKinsey &amp; Company</w:t>
      </w:r>
      <w:r>
        <w:rPr>
          <w:rFonts w:ascii="Arial" w:hAnsi="Arial" w:cs="Arial"/>
          <w:sz w:val="24"/>
          <w:szCs w:val="24"/>
          <w:shd w:val="clear" w:color="auto" w:fill="FFFFFF"/>
        </w:rPr>
        <w:t>.</w:t>
      </w:r>
    </w:p>
    <w:p w14:paraId="239ADD12">
      <w:pPr>
        <w:pStyle w:val="15"/>
        <w:numPr>
          <w:ilvl w:val="0"/>
          <w:numId w:val="4"/>
        </w:numPr>
        <w:spacing w:line="360" w:lineRule="auto"/>
        <w:jc w:val="both"/>
        <w:rPr>
          <w:rFonts w:ascii="Arial" w:hAnsi="Arial" w:cs="Arial"/>
          <w:sz w:val="24"/>
          <w:szCs w:val="24"/>
          <w:shd w:val="clear" w:color="auto" w:fill="FFFFFF"/>
        </w:rPr>
      </w:pPr>
      <w:r>
        <w:rPr>
          <w:rFonts w:ascii="Arial" w:hAnsi="Arial" w:cs="Arial"/>
          <w:kern w:val="0"/>
          <w:sz w:val="24"/>
          <w:szCs w:val="24"/>
        </w:rPr>
        <w:t xml:space="preserve">Dev, S. M., &amp; Sengupta, R. (2020). </w:t>
      </w:r>
      <w:r>
        <w:rPr>
          <w:rFonts w:ascii="Arial" w:hAnsi="Arial" w:cs="Arial"/>
          <w:i/>
          <w:kern w:val="0"/>
          <w:sz w:val="24"/>
          <w:szCs w:val="24"/>
        </w:rPr>
        <w:t>Covid-19: Impact on the Indian economy</w:t>
      </w:r>
      <w:r>
        <w:rPr>
          <w:rFonts w:ascii="Arial" w:hAnsi="Arial" w:cs="Arial"/>
          <w:kern w:val="0"/>
          <w:sz w:val="24"/>
          <w:szCs w:val="24"/>
        </w:rPr>
        <w:t>. Mumbai: Indira Gandhi Institute of Development Research.</w:t>
      </w:r>
    </w:p>
    <w:p w14:paraId="6595CA8A">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Duchin, R., Matsusaka, J. G., &amp; Ozbas, O. (2010). When are outside directors effective?. </w:t>
      </w:r>
      <w:r>
        <w:rPr>
          <w:rFonts w:ascii="Arial" w:hAnsi="Arial" w:cs="Arial"/>
          <w:i/>
          <w:iCs/>
          <w:sz w:val="24"/>
          <w:szCs w:val="24"/>
          <w:shd w:val="clear" w:color="auto" w:fill="FFFFFF"/>
        </w:rPr>
        <w:t>Journal of financial economics</w:t>
      </w:r>
      <w:r>
        <w:rPr>
          <w:rFonts w:ascii="Arial" w:hAnsi="Arial" w:cs="Arial"/>
          <w:sz w:val="24"/>
          <w:szCs w:val="24"/>
          <w:shd w:val="clear" w:color="auto" w:fill="FFFFFF"/>
        </w:rPr>
        <w:t>, </w:t>
      </w:r>
      <w:r>
        <w:rPr>
          <w:rFonts w:ascii="Arial" w:hAnsi="Arial" w:cs="Arial"/>
          <w:i/>
          <w:iCs/>
          <w:sz w:val="24"/>
          <w:szCs w:val="24"/>
          <w:shd w:val="clear" w:color="auto" w:fill="FFFFFF"/>
        </w:rPr>
        <w:t>96</w:t>
      </w:r>
      <w:r>
        <w:rPr>
          <w:rFonts w:ascii="Arial" w:hAnsi="Arial" w:cs="Arial"/>
          <w:sz w:val="24"/>
          <w:szCs w:val="24"/>
          <w:shd w:val="clear" w:color="auto" w:fill="FFFFFF"/>
        </w:rPr>
        <w:t>(2), 195-214.</w:t>
      </w:r>
    </w:p>
    <w:p w14:paraId="5C4C218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Eisenberg, T., Sundgren, S., &amp; Wells, M. T. (1998). Larger board size and decreasing firm value in small firms. </w:t>
      </w:r>
      <w:r>
        <w:rPr>
          <w:rFonts w:ascii="Arial" w:hAnsi="Arial" w:cs="Arial"/>
          <w:i/>
          <w:iCs/>
          <w:sz w:val="24"/>
          <w:szCs w:val="24"/>
        </w:rPr>
        <w:t>Journal of financial economics</w:t>
      </w:r>
      <w:r>
        <w:rPr>
          <w:rFonts w:ascii="Arial" w:hAnsi="Arial" w:cs="Arial"/>
          <w:sz w:val="24"/>
          <w:szCs w:val="24"/>
        </w:rPr>
        <w:t>, </w:t>
      </w:r>
      <w:r>
        <w:rPr>
          <w:rFonts w:ascii="Arial" w:hAnsi="Arial" w:cs="Arial"/>
          <w:i/>
          <w:iCs/>
          <w:sz w:val="24"/>
          <w:szCs w:val="24"/>
        </w:rPr>
        <w:t>48</w:t>
      </w:r>
      <w:r>
        <w:rPr>
          <w:rFonts w:ascii="Arial" w:hAnsi="Arial" w:cs="Arial"/>
          <w:sz w:val="24"/>
          <w:szCs w:val="24"/>
        </w:rPr>
        <w:t>(1), 35-54.</w:t>
      </w:r>
    </w:p>
    <w:p w14:paraId="73EAE13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El-Chaarani, H., Abraham, R., &amp; Skaf, Y. (2022). The impact of corporate governance on the financial performance of the banking sector in the MENA (Middle Eastern and North African) region: An immunity test of banks for COVID-19. </w:t>
      </w:r>
      <w:r>
        <w:rPr>
          <w:rFonts w:ascii="Arial" w:hAnsi="Arial" w:cs="Arial"/>
          <w:i/>
          <w:iCs/>
          <w:sz w:val="24"/>
          <w:szCs w:val="24"/>
          <w:shd w:val="clear" w:color="auto" w:fill="FFFFFF"/>
        </w:rPr>
        <w:t>Journal of Risk and Financial Management</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(2), 82.</w:t>
      </w:r>
    </w:p>
    <w:p w14:paraId="18830C13">
      <w:pPr>
        <w:numPr>
          <w:ilvl w:val="0"/>
          <w:numId w:val="4"/>
        </w:numPr>
        <w:spacing w:line="360" w:lineRule="auto"/>
        <w:jc w:val="both"/>
        <w:rPr>
          <w:rFonts w:ascii="Arial" w:hAnsi="Arial" w:cs="Arial"/>
          <w:sz w:val="24"/>
          <w:szCs w:val="24"/>
          <w:lang w:val="en-US"/>
        </w:rPr>
      </w:pPr>
      <w:r>
        <w:rPr>
          <w:rFonts w:ascii="Arial" w:hAnsi="Arial" w:cs="Arial"/>
          <w:sz w:val="24"/>
          <w:szCs w:val="24"/>
          <w:lang w:val="en-US"/>
        </w:rPr>
        <w:t>Ellul, A., Erel, I., &amp; Rajan, U. (2020). ‘The COVID-19 pandemic crisis and corporate finance’. </w:t>
      </w:r>
      <w:r>
        <w:rPr>
          <w:rFonts w:ascii="Arial" w:hAnsi="Arial" w:cs="Arial"/>
          <w:i/>
          <w:iCs/>
          <w:sz w:val="24"/>
          <w:szCs w:val="24"/>
          <w:lang w:val="en-US"/>
        </w:rPr>
        <w:t>The Review of Corporate Finance Studies</w:t>
      </w:r>
      <w:r>
        <w:rPr>
          <w:rFonts w:ascii="Arial" w:hAnsi="Arial" w:cs="Arial"/>
          <w:sz w:val="24"/>
          <w:szCs w:val="24"/>
          <w:lang w:val="en-US"/>
        </w:rPr>
        <w:t>, </w:t>
      </w:r>
      <w:r>
        <w:rPr>
          <w:rFonts w:ascii="Arial" w:hAnsi="Arial" w:cs="Arial"/>
          <w:i/>
          <w:iCs/>
          <w:sz w:val="24"/>
          <w:szCs w:val="24"/>
          <w:lang w:val="en-US"/>
        </w:rPr>
        <w:t>9</w:t>
      </w:r>
      <w:r>
        <w:rPr>
          <w:rFonts w:ascii="Arial" w:hAnsi="Arial" w:cs="Arial"/>
          <w:sz w:val="24"/>
          <w:szCs w:val="24"/>
          <w:lang w:val="en-US"/>
        </w:rPr>
        <w:t>(3), 421-429.</w:t>
      </w:r>
    </w:p>
    <w:p w14:paraId="50E3C4AC">
      <w:pPr>
        <w:numPr>
          <w:ilvl w:val="0"/>
          <w:numId w:val="4"/>
        </w:numPr>
        <w:spacing w:line="360" w:lineRule="auto"/>
        <w:jc w:val="both"/>
        <w:rPr>
          <w:rFonts w:ascii="Arial" w:hAnsi="Arial" w:cs="Arial"/>
          <w:sz w:val="24"/>
          <w:szCs w:val="24"/>
          <w:lang w:val="en-US"/>
        </w:rPr>
      </w:pPr>
      <w:r>
        <w:rPr>
          <w:rFonts w:ascii="Arial" w:hAnsi="Arial" w:cs="Arial"/>
          <w:sz w:val="24"/>
          <w:szCs w:val="24"/>
        </w:rPr>
        <w:t>Eluyela, D. F., Akintimehin, O. O., Okere, W., Ozordi, E., Osuma, G. O., Ilogho, S. O., &amp; Oladipo, O. A. (2018). Board meeting frequency and firm performance: examining the nexus in Nigerian deposit money banks. </w:t>
      </w:r>
      <w:r>
        <w:rPr>
          <w:rFonts w:ascii="Arial" w:hAnsi="Arial" w:cs="Arial"/>
          <w:i/>
          <w:iCs/>
          <w:sz w:val="24"/>
          <w:szCs w:val="24"/>
        </w:rPr>
        <w:t>Heliyon</w:t>
      </w:r>
      <w:r>
        <w:rPr>
          <w:rFonts w:ascii="Arial" w:hAnsi="Arial" w:cs="Arial"/>
          <w:sz w:val="24"/>
          <w:szCs w:val="24"/>
        </w:rPr>
        <w:t>, </w:t>
      </w:r>
      <w:r>
        <w:rPr>
          <w:rFonts w:ascii="Arial" w:hAnsi="Arial" w:cs="Arial"/>
          <w:i/>
          <w:iCs/>
          <w:sz w:val="24"/>
          <w:szCs w:val="24"/>
        </w:rPr>
        <w:t>4</w:t>
      </w:r>
      <w:r>
        <w:rPr>
          <w:rFonts w:ascii="Arial" w:hAnsi="Arial" w:cs="Arial"/>
          <w:sz w:val="24"/>
          <w:szCs w:val="24"/>
        </w:rPr>
        <w:t>(10).</w:t>
      </w:r>
    </w:p>
    <w:p w14:paraId="3342044E">
      <w:pPr>
        <w:numPr>
          <w:ilvl w:val="0"/>
          <w:numId w:val="4"/>
        </w:numPr>
        <w:spacing w:line="360" w:lineRule="auto"/>
        <w:jc w:val="both"/>
        <w:rPr>
          <w:rFonts w:ascii="Arial" w:hAnsi="Arial" w:cs="Arial"/>
          <w:sz w:val="24"/>
          <w:szCs w:val="24"/>
        </w:rPr>
      </w:pPr>
      <w:r>
        <w:rPr>
          <w:rFonts w:ascii="Arial" w:hAnsi="Arial" w:cs="Arial"/>
          <w:sz w:val="24"/>
          <w:szCs w:val="24"/>
        </w:rPr>
        <w:t>Farwis, M., Siyam, M. M., Nazar, M. C. A., &amp; Aroosiya, M. F. (2021). ‘The nexus between corporate governance and firm performance during COVID-19 pandemic in Sri Lanka’. </w:t>
      </w:r>
      <w:r>
        <w:rPr>
          <w:rFonts w:ascii="Arial" w:hAnsi="Arial" w:cs="Arial"/>
          <w:i/>
          <w:iCs/>
          <w:sz w:val="24"/>
          <w:szCs w:val="24"/>
        </w:rPr>
        <w:t>Journal of Economics, Finance and Accounting Studies</w:t>
      </w:r>
      <w:r>
        <w:rPr>
          <w:rFonts w:ascii="Arial" w:hAnsi="Arial" w:cs="Arial"/>
          <w:sz w:val="24"/>
          <w:szCs w:val="24"/>
        </w:rPr>
        <w:t>, </w:t>
      </w:r>
      <w:r>
        <w:rPr>
          <w:rFonts w:ascii="Arial" w:hAnsi="Arial" w:cs="Arial"/>
          <w:i/>
          <w:iCs/>
          <w:sz w:val="24"/>
          <w:szCs w:val="24"/>
        </w:rPr>
        <w:t>3</w:t>
      </w:r>
      <w:r>
        <w:rPr>
          <w:rFonts w:ascii="Arial" w:hAnsi="Arial" w:cs="Arial"/>
          <w:sz w:val="24"/>
          <w:szCs w:val="24"/>
        </w:rPr>
        <w:t>(1), 81-88.</w:t>
      </w:r>
    </w:p>
    <w:p w14:paraId="06B58E2A">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Fariha, R., Hossain, M. M., &amp; Ghosh, R. (2022). Board characteristics, audit committee attributes and firm performance: empirical evidence from emerging economy. </w:t>
      </w:r>
      <w:r>
        <w:rPr>
          <w:rFonts w:ascii="Arial" w:hAnsi="Arial" w:cs="Arial"/>
          <w:i/>
          <w:iCs/>
          <w:sz w:val="24"/>
          <w:szCs w:val="24"/>
          <w:shd w:val="clear" w:color="auto" w:fill="FFFFFF"/>
        </w:rPr>
        <w:t>Asian Journal of Accounting Research</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(1), 84-96.</w:t>
      </w:r>
    </w:p>
    <w:p w14:paraId="52B40A04">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Field, L., Lowry, M., &amp; Mkrtchyan, A. (2013). Are busy boards detrimental?. </w:t>
      </w:r>
      <w:r>
        <w:rPr>
          <w:rFonts w:ascii="Arial" w:hAnsi="Arial" w:cs="Arial"/>
          <w:i/>
          <w:iCs/>
          <w:sz w:val="24"/>
          <w:szCs w:val="24"/>
        </w:rPr>
        <w:t>Journal of financial economics</w:t>
      </w:r>
      <w:r>
        <w:rPr>
          <w:rFonts w:ascii="Arial" w:hAnsi="Arial" w:cs="Arial"/>
          <w:sz w:val="24"/>
          <w:szCs w:val="24"/>
        </w:rPr>
        <w:t>, </w:t>
      </w:r>
      <w:r>
        <w:rPr>
          <w:rFonts w:ascii="Arial" w:hAnsi="Arial" w:cs="Arial"/>
          <w:i/>
          <w:iCs/>
          <w:sz w:val="24"/>
          <w:szCs w:val="24"/>
        </w:rPr>
        <w:t>109</w:t>
      </w:r>
      <w:r>
        <w:rPr>
          <w:rFonts w:ascii="Arial" w:hAnsi="Arial" w:cs="Arial"/>
          <w:sz w:val="24"/>
          <w:szCs w:val="24"/>
        </w:rPr>
        <w:t>(1), 63-82.</w:t>
      </w:r>
    </w:p>
    <w:p w14:paraId="2D9D1264">
      <w:pPr>
        <w:numPr>
          <w:ilvl w:val="0"/>
          <w:numId w:val="4"/>
        </w:numPr>
        <w:spacing w:line="360" w:lineRule="auto"/>
        <w:jc w:val="both"/>
        <w:rPr>
          <w:rFonts w:ascii="Arial" w:hAnsi="Arial" w:cs="Arial"/>
          <w:sz w:val="24"/>
          <w:szCs w:val="24"/>
        </w:rPr>
      </w:pPr>
      <w:r>
        <w:rPr>
          <w:rFonts w:ascii="Arial" w:hAnsi="Arial" w:cs="Arial"/>
          <w:sz w:val="24"/>
          <w:szCs w:val="24"/>
        </w:rPr>
        <w:t>Foss, N. J. (2020). The impact of the Covid</w:t>
      </w:r>
      <w:r>
        <w:rPr>
          <w:rFonts w:ascii="Cambria Math" w:hAnsi="Cambria Math" w:cs="Cambria Math"/>
          <w:sz w:val="24"/>
          <w:szCs w:val="24"/>
        </w:rPr>
        <w:t>‐</w:t>
      </w:r>
      <w:r>
        <w:rPr>
          <w:rFonts w:ascii="Arial" w:hAnsi="Arial" w:cs="Arial"/>
          <w:sz w:val="24"/>
          <w:szCs w:val="24"/>
        </w:rPr>
        <w:t>19 pandemic on firms’ organizational designs. </w:t>
      </w:r>
      <w:r>
        <w:rPr>
          <w:rFonts w:ascii="Arial" w:hAnsi="Arial" w:cs="Arial"/>
          <w:i/>
          <w:iCs/>
          <w:sz w:val="24"/>
          <w:szCs w:val="24"/>
        </w:rPr>
        <w:t>Journal of Management Studies</w:t>
      </w:r>
      <w:r>
        <w:rPr>
          <w:rFonts w:ascii="Arial" w:hAnsi="Arial" w:cs="Arial"/>
          <w:sz w:val="24"/>
          <w:szCs w:val="24"/>
        </w:rPr>
        <w:t>, </w:t>
      </w:r>
      <w:r>
        <w:rPr>
          <w:rFonts w:ascii="Arial" w:hAnsi="Arial" w:cs="Arial"/>
          <w:i/>
          <w:iCs/>
          <w:sz w:val="24"/>
          <w:szCs w:val="24"/>
        </w:rPr>
        <w:t>58</w:t>
      </w:r>
      <w:r>
        <w:rPr>
          <w:rFonts w:ascii="Arial" w:hAnsi="Arial" w:cs="Arial"/>
          <w:sz w:val="24"/>
          <w:szCs w:val="24"/>
        </w:rPr>
        <w:t>(1), 270.</w:t>
      </w:r>
    </w:p>
    <w:p w14:paraId="640405B7">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Francis, B. B., Hasan, I., &amp; Wu, Q. (2012). Do corporate boards affect firm performance? New evidence from the financial crisis. </w:t>
      </w:r>
      <w:r>
        <w:rPr>
          <w:rFonts w:ascii="Arial" w:hAnsi="Arial" w:cs="Arial"/>
          <w:i/>
          <w:iCs/>
          <w:sz w:val="24"/>
          <w:szCs w:val="24"/>
          <w:shd w:val="clear" w:color="auto" w:fill="FFFFFF"/>
        </w:rPr>
        <w:t>New Evidence from the Financial Crisis (April 12, 2012). Bank of Finland Research Discussion Paper</w:t>
      </w:r>
      <w:r>
        <w:rPr>
          <w:rFonts w:ascii="Arial" w:hAnsi="Arial" w:cs="Arial"/>
          <w:sz w:val="24"/>
          <w:szCs w:val="24"/>
          <w:shd w:val="clear" w:color="auto" w:fill="FFFFFF"/>
        </w:rPr>
        <w:t>, (11).</w:t>
      </w:r>
    </w:p>
    <w:p w14:paraId="543EDB9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Fuzi, S. F. S., Halim, S. A. A., &amp; Julizaerma, M. K. (2016). Board independence and firm performance. </w:t>
      </w:r>
      <w:r>
        <w:rPr>
          <w:rFonts w:ascii="Arial" w:hAnsi="Arial" w:cs="Arial"/>
          <w:i/>
          <w:iCs/>
          <w:sz w:val="24"/>
          <w:szCs w:val="24"/>
          <w:shd w:val="clear" w:color="auto" w:fill="FFFFFF"/>
        </w:rPr>
        <w:t>Procedia Economics and Finance</w:t>
      </w:r>
      <w:r>
        <w:rPr>
          <w:rFonts w:ascii="Arial" w:hAnsi="Arial" w:cs="Arial"/>
          <w:sz w:val="24"/>
          <w:szCs w:val="24"/>
          <w:shd w:val="clear" w:color="auto" w:fill="FFFFFF"/>
        </w:rPr>
        <w:t>, </w:t>
      </w:r>
      <w:r>
        <w:rPr>
          <w:rFonts w:ascii="Arial" w:hAnsi="Arial" w:cs="Arial"/>
          <w:i/>
          <w:iCs/>
          <w:sz w:val="24"/>
          <w:szCs w:val="24"/>
          <w:shd w:val="clear" w:color="auto" w:fill="FFFFFF"/>
        </w:rPr>
        <w:t>37</w:t>
      </w:r>
      <w:r>
        <w:rPr>
          <w:rFonts w:ascii="Arial" w:hAnsi="Arial" w:cs="Arial"/>
          <w:sz w:val="24"/>
          <w:szCs w:val="24"/>
          <w:shd w:val="clear" w:color="auto" w:fill="FFFFFF"/>
        </w:rPr>
        <w:t>(16), 460-465.</w:t>
      </w:r>
    </w:p>
    <w:p w14:paraId="0A4D7CF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Garcia-Sanchez, I. M., Martínez-Ferrero, J., &amp; García-Meca, E. (2017). Gender diversity, financial expertise and its effects on accounting quality. </w:t>
      </w:r>
      <w:r>
        <w:rPr>
          <w:rFonts w:ascii="Arial" w:hAnsi="Arial" w:cs="Arial"/>
          <w:i/>
          <w:iCs/>
          <w:sz w:val="24"/>
          <w:szCs w:val="24"/>
          <w:shd w:val="clear" w:color="auto" w:fill="FFFFFF"/>
        </w:rPr>
        <w:t>Management Decision</w:t>
      </w:r>
      <w:r>
        <w:rPr>
          <w:rFonts w:ascii="Arial" w:hAnsi="Arial" w:cs="Arial"/>
          <w:sz w:val="24"/>
          <w:szCs w:val="24"/>
          <w:shd w:val="clear" w:color="auto" w:fill="FFFFFF"/>
        </w:rPr>
        <w:t>, </w:t>
      </w:r>
      <w:r>
        <w:rPr>
          <w:rFonts w:ascii="Arial" w:hAnsi="Arial" w:cs="Arial"/>
          <w:i/>
          <w:iCs/>
          <w:sz w:val="24"/>
          <w:szCs w:val="24"/>
          <w:shd w:val="clear" w:color="auto" w:fill="FFFFFF"/>
        </w:rPr>
        <w:t>55</w:t>
      </w:r>
      <w:r>
        <w:rPr>
          <w:rFonts w:ascii="Arial" w:hAnsi="Arial" w:cs="Arial"/>
          <w:sz w:val="24"/>
          <w:szCs w:val="24"/>
          <w:shd w:val="clear" w:color="auto" w:fill="FFFFFF"/>
        </w:rPr>
        <w:t>(2), 347-382.</w:t>
      </w:r>
    </w:p>
    <w:p w14:paraId="70D7A010">
      <w:pPr>
        <w:numPr>
          <w:ilvl w:val="0"/>
          <w:numId w:val="4"/>
        </w:numPr>
        <w:spacing w:line="360" w:lineRule="auto"/>
        <w:jc w:val="both"/>
        <w:rPr>
          <w:rFonts w:ascii="Arial" w:hAnsi="Arial" w:cs="Arial"/>
          <w:sz w:val="24"/>
          <w:szCs w:val="24"/>
        </w:rPr>
      </w:pPr>
      <w:r>
        <w:rPr>
          <w:rFonts w:ascii="Arial" w:hAnsi="Arial" w:cs="Arial"/>
          <w:sz w:val="24"/>
          <w:szCs w:val="24"/>
        </w:rPr>
        <w:t>Gelter, M., &amp; Puaschunder, J. M. (2020). ‘COVID-19 and comparative corporate governance’. </w:t>
      </w:r>
      <w:r>
        <w:rPr>
          <w:rFonts w:ascii="Arial" w:hAnsi="Arial" w:cs="Arial"/>
          <w:i/>
          <w:iCs/>
          <w:sz w:val="24"/>
          <w:szCs w:val="24"/>
        </w:rPr>
        <w:t>J. Corp. L.</w:t>
      </w:r>
      <w:r>
        <w:rPr>
          <w:rFonts w:ascii="Arial" w:hAnsi="Arial" w:cs="Arial"/>
          <w:sz w:val="24"/>
          <w:szCs w:val="24"/>
        </w:rPr>
        <w:t>, </w:t>
      </w:r>
      <w:r>
        <w:rPr>
          <w:rFonts w:ascii="Arial" w:hAnsi="Arial" w:cs="Arial"/>
          <w:i/>
          <w:iCs/>
          <w:sz w:val="24"/>
          <w:szCs w:val="24"/>
        </w:rPr>
        <w:t>46</w:t>
      </w:r>
      <w:r>
        <w:rPr>
          <w:rFonts w:ascii="Arial" w:hAnsi="Arial" w:cs="Arial"/>
          <w:sz w:val="24"/>
          <w:szCs w:val="24"/>
        </w:rPr>
        <w:t>, 557.</w:t>
      </w:r>
    </w:p>
    <w:p w14:paraId="564C55A2">
      <w:pPr>
        <w:numPr>
          <w:ilvl w:val="0"/>
          <w:numId w:val="4"/>
        </w:numPr>
        <w:spacing w:line="360" w:lineRule="auto"/>
        <w:jc w:val="both"/>
        <w:rPr>
          <w:rFonts w:ascii="Arial" w:hAnsi="Arial" w:cs="Arial"/>
          <w:sz w:val="24"/>
          <w:szCs w:val="24"/>
        </w:rPr>
      </w:pPr>
      <w:r>
        <w:rPr>
          <w:rFonts w:ascii="Arial" w:hAnsi="Arial" w:cs="Arial"/>
          <w:sz w:val="24"/>
          <w:szCs w:val="24"/>
        </w:rPr>
        <w:t>Glinkowska, B., &amp; Kaczmarek, B. (2015). Classical and modern concepts of corporate governance (Stewardship Theory and Agency Theory). </w:t>
      </w:r>
      <w:r>
        <w:rPr>
          <w:rFonts w:ascii="Arial" w:hAnsi="Arial" w:cs="Arial"/>
          <w:i/>
          <w:iCs/>
          <w:sz w:val="24"/>
          <w:szCs w:val="24"/>
        </w:rPr>
        <w:t>Management</w:t>
      </w:r>
      <w:r>
        <w:rPr>
          <w:rFonts w:ascii="Arial" w:hAnsi="Arial" w:cs="Arial"/>
          <w:sz w:val="24"/>
          <w:szCs w:val="24"/>
        </w:rPr>
        <w:t> , </w:t>
      </w:r>
      <w:r>
        <w:rPr>
          <w:rFonts w:ascii="Arial" w:hAnsi="Arial" w:cs="Arial"/>
          <w:i/>
          <w:iCs/>
          <w:sz w:val="24"/>
          <w:szCs w:val="24"/>
        </w:rPr>
        <w:t>19</w:t>
      </w:r>
      <w:r>
        <w:rPr>
          <w:rFonts w:ascii="Arial" w:hAnsi="Arial" w:cs="Arial"/>
          <w:sz w:val="24"/>
          <w:szCs w:val="24"/>
        </w:rPr>
        <w:t> (2), 84.</w:t>
      </w:r>
    </w:p>
    <w:p w14:paraId="7603B96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Goel, A., Dhiman, R., Rana, S., &amp; Srivastava, V. (2022). Board composition and firm performance: Empirical evidence from Indian companies. </w:t>
      </w:r>
      <w:r>
        <w:rPr>
          <w:rFonts w:ascii="Arial" w:hAnsi="Arial" w:cs="Arial"/>
          <w:i/>
          <w:iCs/>
          <w:sz w:val="24"/>
          <w:szCs w:val="24"/>
          <w:shd w:val="clear" w:color="auto" w:fill="FFFFFF"/>
        </w:rPr>
        <w:t>Asia-pacific journal of business administration</w:t>
      </w:r>
      <w:r>
        <w:rPr>
          <w:rFonts w:ascii="Arial" w:hAnsi="Arial" w:cs="Arial"/>
          <w:sz w:val="24"/>
          <w:szCs w:val="24"/>
          <w:shd w:val="clear" w:color="auto" w:fill="FFFFFF"/>
        </w:rPr>
        <w:t>, </w:t>
      </w:r>
      <w:r>
        <w:rPr>
          <w:rFonts w:ascii="Arial" w:hAnsi="Arial" w:cs="Arial"/>
          <w:i/>
          <w:iCs/>
          <w:sz w:val="24"/>
          <w:szCs w:val="24"/>
          <w:shd w:val="clear" w:color="auto" w:fill="FFFFFF"/>
        </w:rPr>
        <w:t>14</w:t>
      </w:r>
      <w:r>
        <w:rPr>
          <w:rFonts w:ascii="Arial" w:hAnsi="Arial" w:cs="Arial"/>
          <w:sz w:val="24"/>
          <w:szCs w:val="24"/>
          <w:shd w:val="clear" w:color="auto" w:fill="FFFFFF"/>
        </w:rPr>
        <w:t>(4), 771-789.</w:t>
      </w:r>
    </w:p>
    <w:p w14:paraId="26EEF30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Golubeva, O. (2021). Firms’ performance during the COVID-19 outbreak: international evidence from 13 countries. </w:t>
      </w:r>
      <w:r>
        <w:rPr>
          <w:rFonts w:ascii="Arial" w:hAnsi="Arial" w:cs="Arial"/>
          <w:i/>
          <w:iCs/>
          <w:sz w:val="24"/>
          <w:szCs w:val="24"/>
          <w:shd w:val="clear" w:color="auto" w:fill="FFFFFF"/>
        </w:rPr>
        <w:t>Corporate Governance: The International Journal of Business in Society</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(6), 1011-1027.</w:t>
      </w:r>
    </w:p>
    <w:p w14:paraId="110D0B0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Guner, A. B., Malmendier, U., &amp; Tate, G. (2008). Financial expertise of directors. </w:t>
      </w:r>
      <w:r>
        <w:rPr>
          <w:rFonts w:ascii="Arial" w:hAnsi="Arial" w:cs="Arial"/>
          <w:i/>
          <w:iCs/>
          <w:sz w:val="24"/>
          <w:szCs w:val="24"/>
          <w:shd w:val="clear" w:color="auto" w:fill="FFFFFF"/>
        </w:rPr>
        <w:t>Journal of financial Economics</w:t>
      </w:r>
      <w:r>
        <w:rPr>
          <w:rFonts w:ascii="Arial" w:hAnsi="Arial" w:cs="Arial"/>
          <w:sz w:val="24"/>
          <w:szCs w:val="24"/>
          <w:shd w:val="clear" w:color="auto" w:fill="FFFFFF"/>
        </w:rPr>
        <w:t>, </w:t>
      </w:r>
      <w:r>
        <w:rPr>
          <w:rFonts w:ascii="Arial" w:hAnsi="Arial" w:cs="Arial"/>
          <w:i/>
          <w:iCs/>
          <w:sz w:val="24"/>
          <w:szCs w:val="24"/>
          <w:shd w:val="clear" w:color="auto" w:fill="FFFFFF"/>
        </w:rPr>
        <w:t>88</w:t>
      </w:r>
      <w:r>
        <w:rPr>
          <w:rFonts w:ascii="Arial" w:hAnsi="Arial" w:cs="Arial"/>
          <w:sz w:val="24"/>
          <w:szCs w:val="24"/>
          <w:shd w:val="clear" w:color="auto" w:fill="FFFFFF"/>
        </w:rPr>
        <w:t>(2), 323-354.</w:t>
      </w:r>
    </w:p>
    <w:p w14:paraId="33B647B7">
      <w:pPr>
        <w:pStyle w:val="15"/>
        <w:numPr>
          <w:ilvl w:val="0"/>
          <w:numId w:val="4"/>
        </w:num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Hair, J.F., Black, W.C., Babin, B.J. and Anderson, R.E. (2019) </w:t>
      </w:r>
      <w:r>
        <w:rPr>
          <w:rStyle w:val="6"/>
          <w:rFonts w:ascii="Arial" w:hAnsi="Arial" w:cs="Arial"/>
          <w:sz w:val="24"/>
          <w:szCs w:val="24"/>
        </w:rPr>
        <w:t>Multivariate Data Analysis</w:t>
      </w:r>
      <w:r>
        <w:rPr>
          <w:rFonts w:ascii="Arial" w:hAnsi="Arial" w:cs="Arial"/>
          <w:sz w:val="24"/>
          <w:szCs w:val="24"/>
        </w:rPr>
        <w:t>. 8th edn. Andover, Hampshire: Cengage Learning EMEA.</w:t>
      </w:r>
    </w:p>
    <w:p w14:paraId="5D8D003A">
      <w:pPr>
        <w:numPr>
          <w:ilvl w:val="0"/>
          <w:numId w:val="4"/>
        </w:numPr>
        <w:spacing w:line="360" w:lineRule="auto"/>
        <w:jc w:val="both"/>
        <w:rPr>
          <w:rFonts w:ascii="Arial" w:hAnsi="Arial" w:cs="Arial"/>
          <w:sz w:val="24"/>
          <w:szCs w:val="24"/>
        </w:rPr>
      </w:pPr>
      <w:r>
        <w:rPr>
          <w:rFonts w:ascii="Arial" w:hAnsi="Arial" w:cs="Arial"/>
          <w:sz w:val="24"/>
          <w:szCs w:val="24"/>
        </w:rPr>
        <w:t xml:space="preserve">Haldar, A., Shah, R., Nageswara Rao, S. V. D., Stokes, P., Demirbas, D., &amp; Dardour, A. (2018). Corporate performance: Does board independence matter? – Indian evidence. </w:t>
      </w:r>
      <w:r>
        <w:rPr>
          <w:rFonts w:ascii="Arial" w:hAnsi="Arial" w:cs="Arial"/>
          <w:i/>
          <w:iCs/>
          <w:sz w:val="24"/>
          <w:szCs w:val="24"/>
        </w:rPr>
        <w:t>International Journal of Organizational Analysis, 26</w:t>
      </w:r>
      <w:r>
        <w:rPr>
          <w:rFonts w:ascii="Arial" w:hAnsi="Arial" w:cs="Arial"/>
          <w:sz w:val="24"/>
          <w:szCs w:val="24"/>
        </w:rPr>
        <w:t xml:space="preserve">(1), 185–200. Available on: </w:t>
      </w:r>
      <w:r>
        <w:fldChar w:fldCharType="begin"/>
      </w:r>
      <w:r>
        <w:instrText xml:space="preserve"> HYPERLINK "https://doi.org/10.1108/IJOA-12-2017-1296" </w:instrText>
      </w:r>
      <w:r>
        <w:fldChar w:fldCharType="separate"/>
      </w:r>
      <w:r>
        <w:rPr>
          <w:rStyle w:val="9"/>
          <w:rFonts w:ascii="Arial" w:hAnsi="Arial" w:cs="Arial"/>
          <w:sz w:val="24"/>
          <w:szCs w:val="24"/>
        </w:rPr>
        <w:t>https://doi.org/10.1108/IJOA-12-2017-1296</w:t>
      </w:r>
      <w:r>
        <w:rPr>
          <w:rStyle w:val="9"/>
          <w:rFonts w:ascii="Arial" w:hAnsi="Arial" w:cs="Arial"/>
          <w:sz w:val="24"/>
          <w:szCs w:val="24"/>
        </w:rPr>
        <w:fldChar w:fldCharType="end"/>
      </w:r>
      <w:r>
        <w:rPr>
          <w:rFonts w:ascii="Arial" w:hAnsi="Arial" w:cs="Arial"/>
          <w:sz w:val="24"/>
          <w:szCs w:val="24"/>
        </w:rPr>
        <w:t xml:space="preserve"> </w:t>
      </w:r>
    </w:p>
    <w:p w14:paraId="5871FC8D">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Hajer, C., &amp; Anis, J. (2018). Analysis of the impact of governance on bank performance: case of commercial Tunisian banks. </w:t>
      </w:r>
      <w:r>
        <w:rPr>
          <w:rFonts w:ascii="Arial" w:hAnsi="Arial" w:cs="Arial"/>
          <w:i/>
          <w:iCs/>
          <w:sz w:val="24"/>
          <w:szCs w:val="24"/>
          <w:shd w:val="clear" w:color="auto" w:fill="FFFFFF"/>
        </w:rPr>
        <w:t>Journal of the Knowledge Economy</w:t>
      </w:r>
      <w:r>
        <w:rPr>
          <w:rFonts w:ascii="Arial" w:hAnsi="Arial" w:cs="Arial"/>
          <w:sz w:val="24"/>
          <w:szCs w:val="24"/>
          <w:shd w:val="clear" w:color="auto" w:fill="FFFFFF"/>
        </w:rPr>
        <w:t>, </w:t>
      </w:r>
      <w:r>
        <w:rPr>
          <w:rFonts w:ascii="Arial" w:hAnsi="Arial" w:cs="Arial"/>
          <w:i/>
          <w:iCs/>
          <w:sz w:val="24"/>
          <w:szCs w:val="24"/>
          <w:shd w:val="clear" w:color="auto" w:fill="FFFFFF"/>
        </w:rPr>
        <w:t>9</w:t>
      </w:r>
      <w:r>
        <w:rPr>
          <w:rFonts w:ascii="Arial" w:hAnsi="Arial" w:cs="Arial"/>
          <w:sz w:val="24"/>
          <w:szCs w:val="24"/>
          <w:shd w:val="clear" w:color="auto" w:fill="FFFFFF"/>
        </w:rPr>
        <w:t>(3), 871-895.</w:t>
      </w:r>
    </w:p>
    <w:p w14:paraId="70DCB830">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Hambrick, D. C., &amp; Mason, P. A. (1984). Upper echelons: The organization as a reflection of its top managers. </w:t>
      </w:r>
      <w:r>
        <w:rPr>
          <w:rFonts w:ascii="Arial" w:hAnsi="Arial" w:cs="Arial"/>
          <w:i/>
          <w:iCs/>
          <w:sz w:val="24"/>
          <w:szCs w:val="24"/>
          <w:shd w:val="clear" w:color="auto" w:fill="FFFFFF"/>
        </w:rPr>
        <w:t>Academy of management review</w:t>
      </w:r>
      <w:r>
        <w:rPr>
          <w:rFonts w:ascii="Arial" w:hAnsi="Arial" w:cs="Arial"/>
          <w:sz w:val="24"/>
          <w:szCs w:val="24"/>
          <w:shd w:val="clear" w:color="auto" w:fill="FFFFFF"/>
        </w:rPr>
        <w:t>, </w:t>
      </w:r>
      <w:r>
        <w:rPr>
          <w:rFonts w:ascii="Arial" w:hAnsi="Arial" w:cs="Arial"/>
          <w:i/>
          <w:iCs/>
          <w:sz w:val="24"/>
          <w:szCs w:val="24"/>
          <w:shd w:val="clear" w:color="auto" w:fill="FFFFFF"/>
        </w:rPr>
        <w:t>9</w:t>
      </w:r>
      <w:r>
        <w:rPr>
          <w:rFonts w:ascii="Arial" w:hAnsi="Arial" w:cs="Arial"/>
          <w:sz w:val="24"/>
          <w:szCs w:val="24"/>
          <w:shd w:val="clear" w:color="auto" w:fill="FFFFFF"/>
        </w:rPr>
        <w:t>(2), 193-206.</w:t>
      </w:r>
    </w:p>
    <w:p w14:paraId="0627A35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Hillman, A. J., &amp; Dalziel, T. (2003). Boards of directors and firm performance: Integrating agency and resource dependence perspectives. </w:t>
      </w:r>
      <w:r>
        <w:rPr>
          <w:rFonts w:ascii="Arial" w:hAnsi="Arial" w:cs="Arial"/>
          <w:i/>
          <w:iCs/>
          <w:sz w:val="24"/>
          <w:szCs w:val="24"/>
          <w:shd w:val="clear" w:color="auto" w:fill="FFFFFF"/>
        </w:rPr>
        <w:t>Academy of Management review</w:t>
      </w:r>
      <w:r>
        <w:rPr>
          <w:rFonts w:ascii="Arial" w:hAnsi="Arial" w:cs="Arial"/>
          <w:sz w:val="24"/>
          <w:szCs w:val="24"/>
          <w:shd w:val="clear" w:color="auto" w:fill="FFFFFF"/>
        </w:rPr>
        <w:t>, </w:t>
      </w:r>
      <w:r>
        <w:rPr>
          <w:rFonts w:ascii="Arial" w:hAnsi="Arial" w:cs="Arial"/>
          <w:i/>
          <w:iCs/>
          <w:sz w:val="24"/>
          <w:szCs w:val="24"/>
          <w:shd w:val="clear" w:color="auto" w:fill="FFFFFF"/>
        </w:rPr>
        <w:t>28</w:t>
      </w:r>
      <w:r>
        <w:rPr>
          <w:rFonts w:ascii="Arial" w:hAnsi="Arial" w:cs="Arial"/>
          <w:sz w:val="24"/>
          <w:szCs w:val="24"/>
          <w:shd w:val="clear" w:color="auto" w:fill="FFFFFF"/>
        </w:rPr>
        <w:t>(3), 383-396.</w:t>
      </w:r>
    </w:p>
    <w:p w14:paraId="39F15D13">
      <w:pPr>
        <w:numPr>
          <w:ilvl w:val="0"/>
          <w:numId w:val="4"/>
        </w:numPr>
        <w:spacing w:line="360" w:lineRule="auto"/>
        <w:jc w:val="both"/>
        <w:rPr>
          <w:rFonts w:ascii="Arial" w:hAnsi="Arial" w:cs="Arial"/>
          <w:sz w:val="24"/>
          <w:szCs w:val="24"/>
          <w:lang w:val="en-US"/>
        </w:rPr>
      </w:pPr>
      <w:r>
        <w:rPr>
          <w:rFonts w:ascii="Arial" w:hAnsi="Arial" w:cs="Arial"/>
          <w:sz w:val="24"/>
          <w:szCs w:val="24"/>
          <w:lang w:val="en-US"/>
        </w:rPr>
        <w:t>Ho, K. C., Wang, Q., Sun, X., &amp; Wang, L. F. (2022).’ How does corporate social responsibility affect firm leverage?’ </w:t>
      </w:r>
      <w:r>
        <w:rPr>
          <w:rFonts w:ascii="Arial" w:hAnsi="Arial" w:cs="Arial"/>
          <w:i/>
          <w:iCs/>
          <w:sz w:val="24"/>
          <w:szCs w:val="24"/>
          <w:lang w:val="en-US"/>
        </w:rPr>
        <w:t>Kybernetes</w:t>
      </w:r>
      <w:r>
        <w:rPr>
          <w:rFonts w:ascii="Arial" w:hAnsi="Arial" w:cs="Arial"/>
          <w:sz w:val="24"/>
          <w:szCs w:val="24"/>
          <w:lang w:val="en-US"/>
        </w:rPr>
        <w:t>, </w:t>
      </w:r>
      <w:r>
        <w:rPr>
          <w:rFonts w:ascii="Arial" w:hAnsi="Arial" w:cs="Arial"/>
          <w:i/>
          <w:iCs/>
          <w:sz w:val="24"/>
          <w:szCs w:val="24"/>
          <w:lang w:val="en-US"/>
        </w:rPr>
        <w:t>51</w:t>
      </w:r>
      <w:r>
        <w:rPr>
          <w:rFonts w:ascii="Arial" w:hAnsi="Arial" w:cs="Arial"/>
          <w:sz w:val="24"/>
          <w:szCs w:val="24"/>
          <w:lang w:val="en-US"/>
        </w:rPr>
        <w:t>(10), 2902-2926.</w:t>
      </w:r>
    </w:p>
    <w:p w14:paraId="773313DD">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Hsu, Y. L., &amp; Yang, Y. C. (2022). Corporate governance and financial reporting quality during the COVID-19 pandemic. </w:t>
      </w:r>
      <w:r>
        <w:rPr>
          <w:rFonts w:ascii="Arial" w:hAnsi="Arial" w:cs="Arial"/>
          <w:i/>
          <w:iCs/>
          <w:sz w:val="24"/>
          <w:szCs w:val="24"/>
          <w:shd w:val="clear" w:color="auto" w:fill="FFFFFF"/>
        </w:rPr>
        <w:t>Finance Research Letters</w:t>
      </w:r>
      <w:r>
        <w:rPr>
          <w:rFonts w:ascii="Arial" w:hAnsi="Arial" w:cs="Arial"/>
          <w:sz w:val="24"/>
          <w:szCs w:val="24"/>
          <w:shd w:val="clear" w:color="auto" w:fill="FFFFFF"/>
        </w:rPr>
        <w:t>, </w:t>
      </w:r>
      <w:r>
        <w:rPr>
          <w:rFonts w:ascii="Arial" w:hAnsi="Arial" w:cs="Arial"/>
          <w:i/>
          <w:iCs/>
          <w:sz w:val="24"/>
          <w:szCs w:val="24"/>
          <w:shd w:val="clear" w:color="auto" w:fill="FFFFFF"/>
        </w:rPr>
        <w:t>47</w:t>
      </w:r>
      <w:r>
        <w:rPr>
          <w:rFonts w:ascii="Arial" w:hAnsi="Arial" w:cs="Arial"/>
          <w:sz w:val="24"/>
          <w:szCs w:val="24"/>
          <w:shd w:val="clear" w:color="auto" w:fill="FFFFFF"/>
        </w:rPr>
        <w:t>, 102778.</w:t>
      </w:r>
    </w:p>
    <w:p w14:paraId="7A71186C">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Hu, X., Lin, D., &amp; Tosun, O. K. (2023). The effect of board independence on firm performance–new evidence from product market conditions. </w:t>
      </w:r>
      <w:r>
        <w:rPr>
          <w:rFonts w:ascii="Arial" w:hAnsi="Arial" w:cs="Arial"/>
          <w:i/>
          <w:iCs/>
          <w:sz w:val="24"/>
          <w:szCs w:val="24"/>
          <w:shd w:val="clear" w:color="auto" w:fill="FFFFFF"/>
        </w:rPr>
        <w:t>The European Journal of Finance</w:t>
      </w:r>
      <w:r>
        <w:rPr>
          <w:rFonts w:ascii="Arial" w:hAnsi="Arial" w:cs="Arial"/>
          <w:sz w:val="24"/>
          <w:szCs w:val="24"/>
          <w:shd w:val="clear" w:color="auto" w:fill="FFFFFF"/>
        </w:rPr>
        <w:t>, </w:t>
      </w:r>
      <w:r>
        <w:rPr>
          <w:rFonts w:ascii="Arial" w:hAnsi="Arial" w:cs="Arial"/>
          <w:i/>
          <w:iCs/>
          <w:sz w:val="24"/>
          <w:szCs w:val="24"/>
          <w:shd w:val="clear" w:color="auto" w:fill="FFFFFF"/>
        </w:rPr>
        <w:t>29</w:t>
      </w:r>
      <w:r>
        <w:rPr>
          <w:rFonts w:ascii="Arial" w:hAnsi="Arial" w:cs="Arial"/>
          <w:sz w:val="24"/>
          <w:szCs w:val="24"/>
          <w:shd w:val="clear" w:color="auto" w:fill="FFFFFF"/>
        </w:rPr>
        <w:t>(4), 363-392.</w:t>
      </w:r>
    </w:p>
    <w:p w14:paraId="094E4B24">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Hong, N. T. H., &amp; Linh, T. K. (2023). Institutional investors, corporate governance and firm performance in an emerging market: Evidence from Vietnam. </w:t>
      </w:r>
      <w:r>
        <w:rPr>
          <w:rFonts w:ascii="Arial" w:hAnsi="Arial" w:cs="Arial"/>
          <w:i/>
          <w:iCs/>
          <w:sz w:val="24"/>
          <w:szCs w:val="24"/>
          <w:shd w:val="clear" w:color="auto" w:fill="FFFFFF"/>
        </w:rPr>
        <w:t>Cogent Economics &amp; Finance</w:t>
      </w:r>
      <w:r>
        <w:rPr>
          <w:rFonts w:ascii="Arial" w:hAnsi="Arial" w:cs="Arial"/>
          <w:sz w:val="24"/>
          <w:szCs w:val="24"/>
          <w:shd w:val="clear" w:color="auto" w:fill="FFFFFF"/>
        </w:rPr>
        <w:t>, </w:t>
      </w:r>
      <w:r>
        <w:rPr>
          <w:rFonts w:ascii="Arial" w:hAnsi="Arial" w:cs="Arial"/>
          <w:i/>
          <w:iCs/>
          <w:sz w:val="24"/>
          <w:szCs w:val="24"/>
          <w:shd w:val="clear" w:color="auto" w:fill="FFFFFF"/>
        </w:rPr>
        <w:t>11</w:t>
      </w:r>
      <w:r>
        <w:rPr>
          <w:rFonts w:ascii="Arial" w:hAnsi="Arial" w:cs="Arial"/>
          <w:sz w:val="24"/>
          <w:szCs w:val="24"/>
          <w:shd w:val="clear" w:color="auto" w:fill="FFFFFF"/>
        </w:rPr>
        <w:t>(1), 2159735.</w:t>
      </w:r>
    </w:p>
    <w:p w14:paraId="2BCF985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International Monetary Fund (2022). ‘World Economic Outlook-Countering the Cost-of-Living Crisis’. </w:t>
      </w:r>
      <w:r>
        <w:rPr>
          <w:rFonts w:ascii="Arial" w:hAnsi="Arial" w:cs="Arial"/>
          <w:i/>
          <w:iCs/>
          <w:sz w:val="24"/>
          <w:szCs w:val="24"/>
          <w:shd w:val="clear" w:color="auto" w:fill="FFFFFF"/>
        </w:rPr>
        <w:t>Washington, DC</w:t>
      </w:r>
      <w:r>
        <w:rPr>
          <w:rFonts w:ascii="Arial" w:hAnsi="Arial" w:cs="Arial"/>
          <w:sz w:val="24"/>
          <w:szCs w:val="24"/>
          <w:shd w:val="clear" w:color="auto" w:fill="FFFFFF"/>
        </w:rPr>
        <w:t>.</w:t>
      </w:r>
    </w:p>
    <w:p w14:paraId="58724CD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International Monetary Fund (2020). ‘A crisis like no other, an uncertain recovery’. </w:t>
      </w:r>
      <w:r>
        <w:rPr>
          <w:rFonts w:ascii="Arial" w:hAnsi="Arial" w:cs="Arial"/>
          <w:i/>
          <w:iCs/>
          <w:sz w:val="24"/>
          <w:szCs w:val="24"/>
          <w:shd w:val="clear" w:color="auto" w:fill="FFFFFF"/>
        </w:rPr>
        <w:t>World Economic Outlook Update</w:t>
      </w:r>
      <w:r>
        <w:rPr>
          <w:rFonts w:ascii="Arial" w:hAnsi="Arial" w:cs="Arial"/>
          <w:sz w:val="24"/>
          <w:szCs w:val="24"/>
          <w:shd w:val="clear" w:color="auto" w:fill="FFFFFF"/>
        </w:rPr>
        <w:t>.</w:t>
      </w:r>
    </w:p>
    <w:p w14:paraId="1D9F5AEF">
      <w:pPr>
        <w:numPr>
          <w:ilvl w:val="0"/>
          <w:numId w:val="4"/>
        </w:numPr>
        <w:spacing w:line="360" w:lineRule="auto"/>
        <w:jc w:val="both"/>
        <w:rPr>
          <w:rFonts w:ascii="Arial" w:hAnsi="Arial" w:cs="Arial"/>
          <w:sz w:val="24"/>
          <w:szCs w:val="24"/>
        </w:rPr>
      </w:pPr>
      <w:r>
        <w:rPr>
          <w:rFonts w:ascii="Arial" w:hAnsi="Arial" w:cs="Arial"/>
          <w:sz w:val="24"/>
          <w:szCs w:val="24"/>
        </w:rPr>
        <w:t xml:space="preserve">Jebran, Khalil, &amp; Shihua Chen. 2023. ‘Can we learn lessons from the past? COVID-19 crisis and corporate governance responses’. </w:t>
      </w:r>
      <w:r>
        <w:rPr>
          <w:rFonts w:ascii="Arial" w:hAnsi="Arial" w:cs="Arial"/>
          <w:i/>
          <w:sz w:val="24"/>
          <w:szCs w:val="24"/>
        </w:rPr>
        <w:t>International Journal of Finance &amp; Economics</w:t>
      </w:r>
      <w:r>
        <w:rPr>
          <w:rFonts w:ascii="Arial" w:hAnsi="Arial" w:cs="Arial"/>
          <w:sz w:val="24"/>
          <w:szCs w:val="24"/>
        </w:rPr>
        <w:t xml:space="preserve"> 28: 421–29.</w:t>
      </w:r>
    </w:p>
    <w:p w14:paraId="066FEA4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Jensen, M. C., &amp; Meckling, W. H. (2019). Theory of the firm: Managerial behavior, agency costs and ownership structure. In </w:t>
      </w:r>
      <w:r>
        <w:rPr>
          <w:rFonts w:ascii="Arial" w:hAnsi="Arial" w:cs="Arial"/>
          <w:i/>
          <w:iCs/>
          <w:sz w:val="24"/>
          <w:szCs w:val="24"/>
          <w:shd w:val="clear" w:color="auto" w:fill="FFFFFF"/>
        </w:rPr>
        <w:t>Corporate governance</w:t>
      </w:r>
      <w:r>
        <w:rPr>
          <w:rFonts w:ascii="Arial" w:hAnsi="Arial" w:cs="Arial"/>
          <w:sz w:val="24"/>
          <w:szCs w:val="24"/>
          <w:shd w:val="clear" w:color="auto" w:fill="FFFFFF"/>
        </w:rPr>
        <w:t xml:space="preserve"> (pp. 77-132). </w:t>
      </w:r>
    </w:p>
    <w:p w14:paraId="77427ED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Johl, S. K., Kaur, S., and Cooper, B. J. (2015). ‘Board characteristics and firm performance: Evidence from Malaysian public listed firms’. </w:t>
      </w:r>
      <w:r>
        <w:rPr>
          <w:rFonts w:ascii="Arial" w:hAnsi="Arial" w:cs="Arial"/>
          <w:i/>
          <w:iCs/>
          <w:sz w:val="24"/>
          <w:szCs w:val="24"/>
          <w:shd w:val="clear" w:color="auto" w:fill="FFFFFF"/>
        </w:rPr>
        <w:t>Journal of Economics, Business and Management</w:t>
      </w:r>
      <w:r>
        <w:rPr>
          <w:rFonts w:ascii="Arial" w:hAnsi="Arial" w:cs="Arial"/>
          <w:sz w:val="24"/>
          <w:szCs w:val="24"/>
          <w:shd w:val="clear" w:color="auto" w:fill="FFFFFF"/>
        </w:rPr>
        <w:t>, </w:t>
      </w:r>
      <w:r>
        <w:rPr>
          <w:rFonts w:ascii="Arial" w:hAnsi="Arial" w:cs="Arial"/>
          <w:i/>
          <w:iCs/>
          <w:sz w:val="24"/>
          <w:szCs w:val="24"/>
          <w:shd w:val="clear" w:color="auto" w:fill="FFFFFF"/>
        </w:rPr>
        <w:t>3</w:t>
      </w:r>
      <w:r>
        <w:rPr>
          <w:rFonts w:ascii="Arial" w:hAnsi="Arial" w:cs="Arial"/>
          <w:sz w:val="24"/>
          <w:szCs w:val="24"/>
          <w:shd w:val="clear" w:color="auto" w:fill="FFFFFF"/>
        </w:rPr>
        <w:t>(2), 239-243.</w:t>
      </w:r>
    </w:p>
    <w:p w14:paraId="22FD39CD">
      <w:pPr>
        <w:numPr>
          <w:ilvl w:val="0"/>
          <w:numId w:val="4"/>
        </w:numPr>
        <w:spacing w:line="360" w:lineRule="auto"/>
        <w:jc w:val="both"/>
        <w:rPr>
          <w:rFonts w:ascii="Arial" w:hAnsi="Arial" w:cs="Arial"/>
          <w:sz w:val="24"/>
          <w:szCs w:val="24"/>
        </w:rPr>
      </w:pPr>
      <w:r>
        <w:rPr>
          <w:rFonts w:ascii="Arial" w:hAnsi="Arial" w:cs="Arial"/>
          <w:sz w:val="24"/>
          <w:szCs w:val="24"/>
        </w:rPr>
        <w:t>Kabir, A., Ikra, S. S., Saona, P., &amp; Azad, M. A. K. (2023). Board gender diversity and firm performance: New evidence from cultural diversity in the boardroom. </w:t>
      </w:r>
      <w:r>
        <w:rPr>
          <w:rFonts w:ascii="Arial" w:hAnsi="Arial" w:cs="Arial"/>
          <w:i/>
          <w:iCs/>
          <w:sz w:val="24"/>
          <w:szCs w:val="24"/>
        </w:rPr>
        <w:t>LBS Journal of Management &amp; Research</w:t>
      </w:r>
      <w:r>
        <w:rPr>
          <w:rFonts w:ascii="Arial" w:hAnsi="Arial" w:cs="Arial"/>
          <w:sz w:val="24"/>
          <w:szCs w:val="24"/>
        </w:rPr>
        <w:t>, </w:t>
      </w:r>
      <w:r>
        <w:rPr>
          <w:rFonts w:ascii="Arial" w:hAnsi="Arial" w:cs="Arial"/>
          <w:i/>
          <w:iCs/>
          <w:sz w:val="24"/>
          <w:szCs w:val="24"/>
        </w:rPr>
        <w:t>21</w:t>
      </w:r>
      <w:r>
        <w:rPr>
          <w:rFonts w:ascii="Arial" w:hAnsi="Arial" w:cs="Arial"/>
          <w:sz w:val="24"/>
          <w:szCs w:val="24"/>
        </w:rPr>
        <w:t>(1), 1-12.</w:t>
      </w:r>
    </w:p>
    <w:p w14:paraId="12235554">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Kajola, S. O. (2008). Corporate governance and firm performance: The case of Nigerian listed firms. </w:t>
      </w:r>
      <w:r>
        <w:rPr>
          <w:rFonts w:ascii="Arial" w:hAnsi="Arial" w:cs="Arial"/>
          <w:i/>
          <w:iCs/>
          <w:sz w:val="24"/>
          <w:szCs w:val="24"/>
          <w:shd w:val="clear" w:color="auto" w:fill="FFFFFF"/>
        </w:rPr>
        <w:t>European journal of economics, finance and administrative sciences</w:t>
      </w:r>
      <w:r>
        <w:rPr>
          <w:rFonts w:ascii="Arial" w:hAnsi="Arial" w:cs="Arial"/>
          <w:sz w:val="24"/>
          <w:szCs w:val="24"/>
          <w:shd w:val="clear" w:color="auto" w:fill="FFFFFF"/>
        </w:rPr>
        <w:t>, </w:t>
      </w:r>
      <w:r>
        <w:rPr>
          <w:rFonts w:ascii="Arial" w:hAnsi="Arial" w:cs="Arial"/>
          <w:i/>
          <w:iCs/>
          <w:sz w:val="24"/>
          <w:szCs w:val="24"/>
          <w:shd w:val="clear" w:color="auto" w:fill="FFFFFF"/>
        </w:rPr>
        <w:t>14</w:t>
      </w:r>
      <w:r>
        <w:rPr>
          <w:rFonts w:ascii="Arial" w:hAnsi="Arial" w:cs="Arial"/>
          <w:sz w:val="24"/>
          <w:szCs w:val="24"/>
          <w:shd w:val="clear" w:color="auto" w:fill="FFFFFF"/>
        </w:rPr>
        <w:t>(14), 16-28.</w:t>
      </w:r>
    </w:p>
    <w:p w14:paraId="53B9459E">
      <w:pPr>
        <w:pStyle w:val="15"/>
        <w:numPr>
          <w:ilvl w:val="0"/>
          <w:numId w:val="4"/>
        </w:numPr>
        <w:spacing w:line="360" w:lineRule="auto"/>
        <w:jc w:val="both"/>
        <w:rPr>
          <w:rFonts w:ascii="Arial" w:hAnsi="Arial" w:cs="Arial"/>
          <w:color w:val="222222"/>
          <w:sz w:val="24"/>
          <w:szCs w:val="24"/>
          <w:shd w:val="clear" w:color="auto" w:fill="FFFFFF"/>
        </w:rPr>
      </w:pPr>
      <w:r>
        <w:rPr>
          <w:rFonts w:ascii="Arial" w:hAnsi="Arial" w:cs="Arial"/>
          <w:sz w:val="24"/>
          <w:szCs w:val="24"/>
        </w:rPr>
        <w:t>Kar, S. K., Ransing, R., Arafat, S. Y., &amp; Menon, V. (2021). Second wave of COVID-19 pandemic in India: Barriers to effective governmental response. </w:t>
      </w:r>
      <w:r>
        <w:rPr>
          <w:rStyle w:val="17"/>
          <w:rFonts w:ascii="Arial" w:hAnsi="Arial" w:cs="Arial"/>
          <w:i/>
          <w:iCs/>
          <w:sz w:val="24"/>
          <w:szCs w:val="24"/>
        </w:rPr>
        <w:t>EClinical Medicine</w:t>
      </w:r>
      <w:r>
        <w:rPr>
          <w:rFonts w:ascii="Arial" w:hAnsi="Arial" w:cs="Arial"/>
          <w:sz w:val="24"/>
          <w:szCs w:val="24"/>
        </w:rPr>
        <w:t xml:space="preserve">, 36 100915. Available on:  </w:t>
      </w:r>
      <w:r>
        <w:fldChar w:fldCharType="begin"/>
      </w:r>
      <w:r>
        <w:instrText xml:space="preserve"> HYPERLINK "https://doi.org/10.1016/j.eclinm.2021.100915" </w:instrText>
      </w:r>
      <w:r>
        <w:fldChar w:fldCharType="separate"/>
      </w:r>
      <w:r>
        <w:rPr>
          <w:rStyle w:val="9"/>
          <w:rFonts w:ascii="Arial" w:hAnsi="Arial" w:cs="Arial"/>
          <w:sz w:val="24"/>
          <w:szCs w:val="24"/>
        </w:rPr>
        <w:t>https://doi.org/10.1016/j.eclinm.2021.100915</w:t>
      </w:r>
      <w:r>
        <w:rPr>
          <w:rStyle w:val="9"/>
          <w:rFonts w:ascii="Arial" w:hAnsi="Arial" w:cs="Arial"/>
          <w:sz w:val="24"/>
          <w:szCs w:val="24"/>
        </w:rPr>
        <w:fldChar w:fldCharType="end"/>
      </w:r>
    </w:p>
    <w:p w14:paraId="24C813C2">
      <w:pPr>
        <w:numPr>
          <w:ilvl w:val="0"/>
          <w:numId w:val="4"/>
        </w:numPr>
        <w:spacing w:line="360" w:lineRule="auto"/>
        <w:jc w:val="both"/>
        <w:rPr>
          <w:rFonts w:ascii="Arial" w:hAnsi="Arial" w:cs="Arial"/>
          <w:sz w:val="24"/>
          <w:szCs w:val="24"/>
        </w:rPr>
      </w:pPr>
      <w:r>
        <w:rPr>
          <w:rFonts w:ascii="Arial" w:hAnsi="Arial" w:cs="Arial"/>
          <w:sz w:val="24"/>
          <w:szCs w:val="24"/>
        </w:rPr>
        <w:t xml:space="preserve">Key Highlights of Economic Survey 2019–20. 2020. Press Information Bureau. Available online: </w:t>
      </w:r>
      <w:r>
        <w:fldChar w:fldCharType="begin"/>
      </w:r>
      <w:r>
        <w:instrText xml:space="preserve"> HYPERLINK "https://pib.gov.in/Pressreleaseshare.aspx?PRID=1601273" </w:instrText>
      </w:r>
      <w:r>
        <w:fldChar w:fldCharType="separate"/>
      </w:r>
      <w:r>
        <w:rPr>
          <w:rStyle w:val="9"/>
          <w:rFonts w:ascii="Arial" w:hAnsi="Arial" w:cs="Arial"/>
          <w:sz w:val="24"/>
          <w:szCs w:val="24"/>
        </w:rPr>
        <w:t>https://pib.gov.in/Pressreleaseshare.aspx?PRID=1601273</w:t>
      </w:r>
      <w:r>
        <w:rPr>
          <w:rStyle w:val="9"/>
          <w:rFonts w:ascii="Arial" w:hAnsi="Arial" w:cs="Arial"/>
          <w:sz w:val="24"/>
          <w:szCs w:val="24"/>
        </w:rPr>
        <w:fldChar w:fldCharType="end"/>
      </w:r>
      <w:r>
        <w:rPr>
          <w:rFonts w:ascii="Arial" w:hAnsi="Arial" w:cs="Arial"/>
          <w:sz w:val="24"/>
          <w:szCs w:val="24"/>
        </w:rPr>
        <w:t xml:space="preserve"> [accessed on 13 November 2025].</w:t>
      </w:r>
    </w:p>
    <w:p w14:paraId="2333AF3A">
      <w:pPr>
        <w:numPr>
          <w:ilvl w:val="0"/>
          <w:numId w:val="4"/>
        </w:numPr>
        <w:spacing w:line="360" w:lineRule="auto"/>
        <w:jc w:val="both"/>
        <w:rPr>
          <w:rFonts w:ascii="Arial" w:hAnsi="Arial" w:cs="Arial"/>
          <w:sz w:val="24"/>
          <w:szCs w:val="24"/>
        </w:rPr>
      </w:pPr>
      <w:r>
        <w:rPr>
          <w:rFonts w:ascii="Arial" w:hAnsi="Arial" w:cs="Arial"/>
          <w:sz w:val="24"/>
          <w:szCs w:val="24"/>
        </w:rPr>
        <w:t xml:space="preserve">Khatib, Saleh F. A., and Abdul-Naser Ibrahim Nour. 2021. ‘The impact of corporate governance on firm performance during the COVID-19 pandemic: Evidence from Malaysia’. </w:t>
      </w:r>
      <w:r>
        <w:rPr>
          <w:rFonts w:ascii="Arial" w:hAnsi="Arial" w:cs="Arial"/>
          <w:i/>
          <w:sz w:val="24"/>
          <w:szCs w:val="24"/>
        </w:rPr>
        <w:t>Journal of Asian Finance, Economics and Business</w:t>
      </w:r>
      <w:r>
        <w:rPr>
          <w:rFonts w:ascii="Arial" w:hAnsi="Arial" w:cs="Arial"/>
          <w:sz w:val="24"/>
          <w:szCs w:val="24"/>
        </w:rPr>
        <w:t xml:space="preserve"> 8: 943–52.</w:t>
      </w:r>
    </w:p>
    <w:p w14:paraId="68615AA2">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Kijkasiwat, P., Hussain, A., Nisar, U., &amp; Liew, C. Y. (2024). The Mediating Effect of Innovation on the Relationship between Corporate Governance and Firm Performance: Evidence from Developed and Developing Countries. </w:t>
      </w:r>
      <w:r>
        <w:rPr>
          <w:rFonts w:ascii="Arial" w:hAnsi="Arial" w:cs="Arial"/>
          <w:i/>
          <w:iCs/>
          <w:sz w:val="24"/>
          <w:szCs w:val="24"/>
          <w:shd w:val="clear" w:color="auto" w:fill="FFFFFF"/>
        </w:rPr>
        <w:t>Asian Academy of Management Journal</w:t>
      </w:r>
      <w:r>
        <w:rPr>
          <w:rFonts w:ascii="Arial" w:hAnsi="Arial" w:cs="Arial"/>
          <w:sz w:val="24"/>
          <w:szCs w:val="24"/>
          <w:shd w:val="clear" w:color="auto" w:fill="FFFFFF"/>
        </w:rPr>
        <w:t>, </w:t>
      </w:r>
      <w:r>
        <w:rPr>
          <w:rFonts w:ascii="Arial" w:hAnsi="Arial" w:cs="Arial"/>
          <w:i/>
          <w:iCs/>
          <w:sz w:val="24"/>
          <w:szCs w:val="24"/>
          <w:shd w:val="clear" w:color="auto" w:fill="FFFFFF"/>
        </w:rPr>
        <w:t>29</w:t>
      </w:r>
      <w:r>
        <w:rPr>
          <w:rFonts w:ascii="Arial" w:hAnsi="Arial" w:cs="Arial"/>
          <w:sz w:val="24"/>
          <w:szCs w:val="24"/>
          <w:shd w:val="clear" w:color="auto" w:fill="FFFFFF"/>
        </w:rPr>
        <w:t>(1), 55-93.</w:t>
      </w:r>
    </w:p>
    <w:p w14:paraId="617769DF">
      <w:pPr>
        <w:pStyle w:val="15"/>
        <w:numPr>
          <w:ilvl w:val="0"/>
          <w:numId w:val="4"/>
        </w:numPr>
        <w:autoSpaceDE w:val="0"/>
        <w:autoSpaceDN w:val="0"/>
        <w:adjustRightInd w:val="0"/>
        <w:spacing w:after="0" w:line="360" w:lineRule="auto"/>
        <w:jc w:val="both"/>
        <w:rPr>
          <w:rFonts w:ascii="Arial" w:hAnsi="Arial" w:cs="Arial"/>
          <w:sz w:val="24"/>
          <w:szCs w:val="24"/>
        </w:rPr>
      </w:pPr>
      <w:r>
        <w:rPr>
          <w:rFonts w:ascii="Arial" w:hAnsi="Arial" w:cs="Arial"/>
          <w:sz w:val="24"/>
          <w:szCs w:val="24"/>
          <w:shd w:val="clear" w:color="auto" w:fill="FFFFFF"/>
        </w:rPr>
        <w:t>Koutoupis, A., Kyriakogkonas, P., Pazarskis, M., &amp; Davidopoulos, L. (2021). ‘Corporate governance and COVID-19: a literature review’. </w:t>
      </w:r>
      <w:r>
        <w:rPr>
          <w:rFonts w:ascii="Arial" w:hAnsi="Arial" w:cs="Arial"/>
          <w:i/>
          <w:iCs/>
          <w:sz w:val="24"/>
          <w:szCs w:val="24"/>
          <w:shd w:val="clear" w:color="auto" w:fill="FFFFFF"/>
        </w:rPr>
        <w:t>Corporate Governance: The International Journal of Business in Society</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(6), 969-982.</w:t>
      </w:r>
    </w:p>
    <w:p w14:paraId="2913D53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Kumar, &amp; Kumar, S. (2021). Impact of Covid-19 on Indian economy with special reference to banking sector: An Indian perspective. </w:t>
      </w:r>
      <w:r>
        <w:rPr>
          <w:rStyle w:val="17"/>
          <w:rFonts w:ascii="Arial" w:hAnsi="Arial" w:cs="Arial"/>
          <w:i/>
          <w:iCs/>
          <w:sz w:val="24"/>
          <w:szCs w:val="24"/>
        </w:rPr>
        <w:t>International Journal of Law Management &amp; Humanities</w:t>
      </w:r>
      <w:r>
        <w:rPr>
          <w:rFonts w:ascii="Arial" w:hAnsi="Arial" w:cs="Arial"/>
          <w:sz w:val="24"/>
          <w:szCs w:val="24"/>
        </w:rPr>
        <w:t>, 4(1), 12–20.</w:t>
      </w:r>
    </w:p>
    <w:p w14:paraId="32F0DA34">
      <w:pPr>
        <w:numPr>
          <w:ilvl w:val="0"/>
          <w:numId w:val="4"/>
        </w:numPr>
        <w:spacing w:line="360" w:lineRule="auto"/>
        <w:jc w:val="both"/>
        <w:rPr>
          <w:rFonts w:ascii="Arial" w:hAnsi="Arial" w:cs="Arial"/>
          <w:sz w:val="24"/>
          <w:szCs w:val="24"/>
        </w:rPr>
      </w:pPr>
      <w:r>
        <w:rPr>
          <w:rFonts w:ascii="Arial" w:hAnsi="Arial" w:cs="Arial"/>
          <w:sz w:val="24"/>
          <w:szCs w:val="24"/>
        </w:rPr>
        <w:t xml:space="preserve">Kraus, Sascha, Thomas Clauss, Matthias Breier, Johanna Gast, Alessandro Zardini, and Victor Tiberius. 2020. The economics of COVID-19: Initial empirical evidence on how family firms in five European countries cope with the corona crisis. </w:t>
      </w:r>
      <w:r>
        <w:rPr>
          <w:rFonts w:ascii="Arial" w:hAnsi="Arial" w:cs="Arial"/>
          <w:i/>
          <w:sz w:val="24"/>
          <w:szCs w:val="24"/>
        </w:rPr>
        <w:t>International Journal of Entrepreneurial Behavior &amp; Research</w:t>
      </w:r>
      <w:r>
        <w:rPr>
          <w:rFonts w:ascii="Arial" w:hAnsi="Arial" w:cs="Arial"/>
          <w:sz w:val="24"/>
          <w:szCs w:val="24"/>
        </w:rPr>
        <w:t xml:space="preserve"> 26: 1067–92.</w:t>
      </w:r>
    </w:p>
    <w:p w14:paraId="2986FA73">
      <w:pPr>
        <w:numPr>
          <w:ilvl w:val="0"/>
          <w:numId w:val="4"/>
        </w:numPr>
        <w:spacing w:line="360" w:lineRule="auto"/>
        <w:jc w:val="both"/>
        <w:rPr>
          <w:rFonts w:ascii="Arial" w:hAnsi="Arial" w:cs="Arial"/>
          <w:sz w:val="24"/>
          <w:szCs w:val="24"/>
          <w:lang w:val="en-US"/>
        </w:rPr>
      </w:pPr>
      <w:r>
        <w:rPr>
          <w:rFonts w:ascii="Arial" w:hAnsi="Arial" w:cs="Arial"/>
          <w:sz w:val="24"/>
          <w:szCs w:val="24"/>
          <w:lang w:val="en-US"/>
        </w:rPr>
        <w:t>Koutoupis, A., Kyriakogkonas, P., Pazarskis, M., &amp; Davidopoulos, L. (2021). ‘Corporate governance and COVID-19: a literature review’. </w:t>
      </w:r>
      <w:r>
        <w:rPr>
          <w:rFonts w:ascii="Arial" w:hAnsi="Arial" w:cs="Arial"/>
          <w:i/>
          <w:iCs/>
          <w:sz w:val="24"/>
          <w:szCs w:val="24"/>
          <w:lang w:val="en-US"/>
        </w:rPr>
        <w:t>Corporate Governance: The International Journal of Business in Society</w:t>
      </w:r>
      <w:r>
        <w:rPr>
          <w:rFonts w:ascii="Arial" w:hAnsi="Arial" w:cs="Arial"/>
          <w:sz w:val="24"/>
          <w:szCs w:val="24"/>
          <w:lang w:val="en-US"/>
        </w:rPr>
        <w:t>, </w:t>
      </w:r>
      <w:r>
        <w:rPr>
          <w:rFonts w:ascii="Arial" w:hAnsi="Arial" w:cs="Arial"/>
          <w:i/>
          <w:iCs/>
          <w:sz w:val="24"/>
          <w:szCs w:val="24"/>
          <w:lang w:val="en-US"/>
        </w:rPr>
        <w:t>21</w:t>
      </w:r>
      <w:r>
        <w:rPr>
          <w:rFonts w:ascii="Arial" w:hAnsi="Arial" w:cs="Arial"/>
          <w:sz w:val="24"/>
          <w:szCs w:val="24"/>
          <w:lang w:val="en-US"/>
        </w:rPr>
        <w:t>(6), 969-982.</w:t>
      </w:r>
    </w:p>
    <w:p w14:paraId="5DC2C613">
      <w:pPr>
        <w:numPr>
          <w:ilvl w:val="0"/>
          <w:numId w:val="4"/>
        </w:numPr>
        <w:spacing w:line="360" w:lineRule="auto"/>
        <w:jc w:val="both"/>
        <w:rPr>
          <w:rFonts w:ascii="Arial" w:hAnsi="Arial" w:cs="Arial"/>
          <w:sz w:val="24"/>
          <w:szCs w:val="24"/>
        </w:rPr>
      </w:pPr>
      <w:r>
        <w:rPr>
          <w:rFonts w:ascii="Arial" w:hAnsi="Arial" w:cs="Arial"/>
          <w:sz w:val="24"/>
          <w:szCs w:val="24"/>
        </w:rPr>
        <w:t>Kumar, S. U., Kumar, D. T., Christopher, B. P., &amp; Doss, C. G. P. (2020). The rise and impact of COVID-19 in India. </w:t>
      </w:r>
      <w:r>
        <w:rPr>
          <w:rFonts w:ascii="Arial" w:hAnsi="Arial" w:cs="Arial"/>
          <w:i/>
          <w:iCs/>
          <w:sz w:val="24"/>
          <w:szCs w:val="24"/>
        </w:rPr>
        <w:t>Frontiers in medicine</w:t>
      </w:r>
      <w:r>
        <w:rPr>
          <w:rFonts w:ascii="Arial" w:hAnsi="Arial" w:cs="Arial"/>
          <w:sz w:val="24"/>
          <w:szCs w:val="24"/>
        </w:rPr>
        <w:t>, </w:t>
      </w:r>
      <w:r>
        <w:rPr>
          <w:rFonts w:ascii="Arial" w:hAnsi="Arial" w:cs="Arial"/>
          <w:i/>
          <w:iCs/>
          <w:sz w:val="24"/>
          <w:szCs w:val="24"/>
        </w:rPr>
        <w:t>7</w:t>
      </w:r>
      <w:r>
        <w:rPr>
          <w:rFonts w:ascii="Arial" w:hAnsi="Arial" w:cs="Arial"/>
          <w:sz w:val="24"/>
          <w:szCs w:val="24"/>
        </w:rPr>
        <w:t>, 250.</w:t>
      </w:r>
    </w:p>
    <w:p w14:paraId="610C8292">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Kyere, M., &amp; Ausloos, M. (2021). ‘Corporate governance and firms’ financial performance in the United Kingdom’. </w:t>
      </w:r>
      <w:r>
        <w:rPr>
          <w:rFonts w:ascii="Arial" w:hAnsi="Arial" w:cs="Arial"/>
          <w:i/>
          <w:iCs/>
          <w:sz w:val="24"/>
          <w:szCs w:val="24"/>
          <w:shd w:val="clear" w:color="auto" w:fill="FFFFFF"/>
        </w:rPr>
        <w:t>International Journal of Finance &amp; Economics</w:t>
      </w:r>
      <w:r>
        <w:rPr>
          <w:rFonts w:ascii="Arial" w:hAnsi="Arial" w:cs="Arial"/>
          <w:sz w:val="24"/>
          <w:szCs w:val="24"/>
          <w:shd w:val="clear" w:color="auto" w:fill="FFFFFF"/>
        </w:rPr>
        <w:t>, </w:t>
      </w:r>
      <w:r>
        <w:rPr>
          <w:rFonts w:ascii="Arial" w:hAnsi="Arial" w:cs="Arial"/>
          <w:i/>
          <w:iCs/>
          <w:sz w:val="24"/>
          <w:szCs w:val="24"/>
          <w:shd w:val="clear" w:color="auto" w:fill="FFFFFF"/>
        </w:rPr>
        <w:t>26</w:t>
      </w:r>
      <w:r>
        <w:rPr>
          <w:rFonts w:ascii="Arial" w:hAnsi="Arial" w:cs="Arial"/>
          <w:sz w:val="24"/>
          <w:szCs w:val="24"/>
          <w:shd w:val="clear" w:color="auto" w:fill="FFFFFF"/>
        </w:rPr>
        <w:t>(2), 1871-1885.</w:t>
      </w:r>
    </w:p>
    <w:p w14:paraId="0169AF0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Kyereboah-Coleman, A. (2008). Corporate governance and firm performance in Africa: A dynamic panel data analysis. </w:t>
      </w:r>
      <w:r>
        <w:rPr>
          <w:rFonts w:ascii="Arial" w:hAnsi="Arial" w:cs="Arial"/>
          <w:i/>
          <w:iCs/>
          <w:sz w:val="24"/>
          <w:szCs w:val="24"/>
          <w:shd w:val="clear" w:color="auto" w:fill="FFFFFF"/>
        </w:rPr>
        <w:t>Studies in Economics and econometrics</w:t>
      </w:r>
      <w:r>
        <w:rPr>
          <w:rFonts w:ascii="Arial" w:hAnsi="Arial" w:cs="Arial"/>
          <w:sz w:val="24"/>
          <w:szCs w:val="24"/>
          <w:shd w:val="clear" w:color="auto" w:fill="FFFFFF"/>
        </w:rPr>
        <w:t>, </w:t>
      </w:r>
      <w:r>
        <w:rPr>
          <w:rFonts w:ascii="Arial" w:hAnsi="Arial" w:cs="Arial"/>
          <w:i/>
          <w:iCs/>
          <w:sz w:val="24"/>
          <w:szCs w:val="24"/>
          <w:shd w:val="clear" w:color="auto" w:fill="FFFFFF"/>
        </w:rPr>
        <w:t>32</w:t>
      </w:r>
      <w:r>
        <w:rPr>
          <w:rFonts w:ascii="Arial" w:hAnsi="Arial" w:cs="Arial"/>
          <w:sz w:val="24"/>
          <w:szCs w:val="24"/>
          <w:shd w:val="clear" w:color="auto" w:fill="FFFFFF"/>
        </w:rPr>
        <w:t xml:space="preserve">(2), 1-24. </w:t>
      </w:r>
    </w:p>
    <w:p w14:paraId="7DD0FF0A">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Leung, S., Richardson, G., &amp; Jaggi, B. (2014). Corporate board and board committee independence, firm performance, and family ownership concentration: An analysis based on Hong Kong firms. </w:t>
      </w:r>
      <w:r>
        <w:rPr>
          <w:rFonts w:ascii="Arial" w:hAnsi="Arial" w:cs="Arial"/>
          <w:i/>
          <w:iCs/>
          <w:sz w:val="24"/>
          <w:szCs w:val="24"/>
          <w:shd w:val="clear" w:color="auto" w:fill="FFFFFF"/>
        </w:rPr>
        <w:t>Journal of Contemporary Accounting &amp; Economics</w:t>
      </w:r>
      <w:r>
        <w:rPr>
          <w:rFonts w:ascii="Arial" w:hAnsi="Arial" w:cs="Arial"/>
          <w:sz w:val="24"/>
          <w:szCs w:val="24"/>
          <w:shd w:val="clear" w:color="auto" w:fill="FFFFFF"/>
        </w:rPr>
        <w:t>, </w:t>
      </w:r>
      <w:r>
        <w:rPr>
          <w:rFonts w:ascii="Arial" w:hAnsi="Arial" w:cs="Arial"/>
          <w:i/>
          <w:iCs/>
          <w:sz w:val="24"/>
          <w:szCs w:val="24"/>
          <w:shd w:val="clear" w:color="auto" w:fill="FFFFFF"/>
        </w:rPr>
        <w:t>10</w:t>
      </w:r>
      <w:r>
        <w:rPr>
          <w:rFonts w:ascii="Arial" w:hAnsi="Arial" w:cs="Arial"/>
          <w:sz w:val="24"/>
          <w:szCs w:val="24"/>
          <w:shd w:val="clear" w:color="auto" w:fill="FFFFFF"/>
        </w:rPr>
        <w:t>(1), 16-31.</w:t>
      </w:r>
    </w:p>
    <w:p w14:paraId="63117E40">
      <w:pPr>
        <w:numPr>
          <w:ilvl w:val="0"/>
          <w:numId w:val="4"/>
        </w:numPr>
        <w:spacing w:line="360" w:lineRule="auto"/>
        <w:jc w:val="both"/>
        <w:rPr>
          <w:rFonts w:ascii="Arial" w:hAnsi="Arial" w:cs="Arial"/>
          <w:sz w:val="24"/>
          <w:szCs w:val="24"/>
        </w:rPr>
      </w:pPr>
      <w:r>
        <w:rPr>
          <w:rFonts w:ascii="Arial" w:hAnsi="Arial" w:cs="Arial"/>
          <w:sz w:val="24"/>
          <w:szCs w:val="24"/>
        </w:rPr>
        <w:t>Levy, David L. 2020. COVID-19 and global governance. Journal of Management Studies 58: 562.</w:t>
      </w:r>
    </w:p>
    <w:p w14:paraId="46D2A36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Lipton, M., &amp; Lorsch, J. W. (1992). A modest proposal for improved corporate governance. </w:t>
      </w:r>
      <w:r>
        <w:rPr>
          <w:rFonts w:ascii="Arial" w:hAnsi="Arial" w:cs="Arial"/>
          <w:i/>
          <w:iCs/>
          <w:sz w:val="24"/>
          <w:szCs w:val="24"/>
          <w:shd w:val="clear" w:color="auto" w:fill="FFFFFF"/>
        </w:rPr>
        <w:t>The business lawyer</w:t>
      </w:r>
      <w:r>
        <w:rPr>
          <w:rFonts w:ascii="Arial" w:hAnsi="Arial" w:cs="Arial"/>
          <w:sz w:val="24"/>
          <w:szCs w:val="24"/>
          <w:shd w:val="clear" w:color="auto" w:fill="FFFFFF"/>
        </w:rPr>
        <w:t xml:space="preserve">, 59-77. </w:t>
      </w:r>
      <w:r>
        <w:fldChar w:fldCharType="begin"/>
      </w:r>
      <w:r>
        <w:instrText xml:space="preserve"> HYPERLINK "https://www.jstor.org/stable/40687360" </w:instrText>
      </w:r>
      <w:r>
        <w:fldChar w:fldCharType="separate"/>
      </w:r>
      <w:r>
        <w:rPr>
          <w:rStyle w:val="9"/>
          <w:rFonts w:ascii="Arial" w:hAnsi="Arial" w:cs="Arial"/>
          <w:sz w:val="24"/>
          <w:szCs w:val="24"/>
          <w:shd w:val="clear" w:color="auto" w:fill="FFFFFF"/>
        </w:rPr>
        <w:t>https://www.jstor.org/stable/40687360</w:t>
      </w:r>
      <w:r>
        <w:rPr>
          <w:rStyle w:val="9"/>
          <w:rFonts w:ascii="Arial" w:hAnsi="Arial" w:cs="Arial"/>
          <w:sz w:val="24"/>
          <w:szCs w:val="24"/>
          <w:shd w:val="clear" w:color="auto" w:fill="FFFFFF"/>
        </w:rPr>
        <w:fldChar w:fldCharType="end"/>
      </w:r>
      <w:r>
        <w:rPr>
          <w:rFonts w:ascii="Arial" w:hAnsi="Arial" w:cs="Arial"/>
          <w:color w:val="222222"/>
          <w:sz w:val="24"/>
          <w:szCs w:val="24"/>
          <w:shd w:val="clear" w:color="auto" w:fill="FFFFFF"/>
        </w:rPr>
        <w:t xml:space="preserve"> </w:t>
      </w:r>
      <w:r>
        <w:rPr>
          <w:rFonts w:ascii="Arial" w:hAnsi="Arial" w:cs="Arial"/>
          <w:sz w:val="24"/>
          <w:szCs w:val="24"/>
          <w:shd w:val="clear" w:color="auto" w:fill="FFFFFF"/>
        </w:rPr>
        <w:t>[</w:t>
      </w:r>
      <w:r>
        <w:rPr>
          <w:rFonts w:ascii="Arial" w:hAnsi="Arial" w:cs="Arial"/>
          <w:iCs/>
          <w:sz w:val="24"/>
          <w:szCs w:val="24"/>
          <w:shd w:val="clear" w:color="auto" w:fill="FFFFFF"/>
        </w:rPr>
        <w:t>Assessed on: 05’th December, 2025]</w:t>
      </w:r>
    </w:p>
    <w:p w14:paraId="79BD6352">
      <w:pPr>
        <w:numPr>
          <w:ilvl w:val="0"/>
          <w:numId w:val="4"/>
        </w:numPr>
        <w:spacing w:line="360" w:lineRule="auto"/>
        <w:jc w:val="both"/>
        <w:rPr>
          <w:rFonts w:ascii="Arial" w:hAnsi="Arial" w:cs="Arial"/>
          <w:sz w:val="24"/>
          <w:szCs w:val="24"/>
        </w:rPr>
      </w:pPr>
      <w:r>
        <w:rPr>
          <w:rFonts w:ascii="Arial" w:hAnsi="Arial" w:cs="Arial"/>
          <w:sz w:val="24"/>
          <w:szCs w:val="24"/>
        </w:rPr>
        <w:t>Liu, H., Manzoor, A., Wang, C., Zhang, L., &amp; Manzoor, Z. (2020). The COVID-19 outbreak and affected countries stock markets response. </w:t>
      </w:r>
      <w:r>
        <w:rPr>
          <w:rFonts w:ascii="Arial" w:hAnsi="Arial" w:cs="Arial"/>
          <w:i/>
          <w:iCs/>
          <w:sz w:val="24"/>
          <w:szCs w:val="24"/>
        </w:rPr>
        <w:t>International journal of environmental research and public health</w:t>
      </w:r>
      <w:r>
        <w:rPr>
          <w:rFonts w:ascii="Arial" w:hAnsi="Arial" w:cs="Arial"/>
          <w:sz w:val="24"/>
          <w:szCs w:val="24"/>
        </w:rPr>
        <w:t>, </w:t>
      </w:r>
      <w:r>
        <w:rPr>
          <w:rFonts w:ascii="Arial" w:hAnsi="Arial" w:cs="Arial"/>
          <w:i/>
          <w:iCs/>
          <w:sz w:val="24"/>
          <w:szCs w:val="24"/>
        </w:rPr>
        <w:t>17</w:t>
      </w:r>
      <w:r>
        <w:rPr>
          <w:rFonts w:ascii="Arial" w:hAnsi="Arial" w:cs="Arial"/>
          <w:sz w:val="24"/>
          <w:szCs w:val="24"/>
        </w:rPr>
        <w:t>(8), 2800.</w:t>
      </w:r>
    </w:p>
    <w:p w14:paraId="03F82CEA">
      <w:pPr>
        <w:numPr>
          <w:ilvl w:val="0"/>
          <w:numId w:val="4"/>
        </w:numPr>
        <w:spacing w:line="360" w:lineRule="auto"/>
        <w:jc w:val="both"/>
        <w:rPr>
          <w:rFonts w:ascii="Arial" w:hAnsi="Arial" w:cs="Arial"/>
          <w:sz w:val="24"/>
          <w:szCs w:val="24"/>
        </w:rPr>
      </w:pPr>
      <w:r>
        <w:rPr>
          <w:rFonts w:ascii="Arial" w:hAnsi="Arial" w:cs="Arial"/>
          <w:sz w:val="24"/>
          <w:szCs w:val="24"/>
        </w:rPr>
        <w:t xml:space="preserve">Ltifi, M., &amp; Hichri, A. (2022). ‘The effects of corporate governance on the customer’s recommendations: a study of the banking sector at the time of COVID-19’. </w:t>
      </w:r>
      <w:r>
        <w:rPr>
          <w:rFonts w:ascii="Arial" w:hAnsi="Arial" w:cs="Arial"/>
          <w:i/>
          <w:iCs/>
          <w:sz w:val="24"/>
          <w:szCs w:val="24"/>
        </w:rPr>
        <w:t>Journal of Knowledge Management</w:t>
      </w:r>
      <w:r>
        <w:rPr>
          <w:rFonts w:ascii="Arial" w:hAnsi="Arial" w:cs="Arial"/>
          <w:sz w:val="24"/>
          <w:szCs w:val="24"/>
        </w:rPr>
        <w:t xml:space="preserve">, </w:t>
      </w:r>
      <w:r>
        <w:rPr>
          <w:rFonts w:ascii="Arial" w:hAnsi="Arial" w:cs="Arial"/>
          <w:i/>
          <w:iCs/>
          <w:sz w:val="24"/>
          <w:szCs w:val="24"/>
        </w:rPr>
        <w:t>26</w:t>
      </w:r>
      <w:r>
        <w:rPr>
          <w:rFonts w:ascii="Arial" w:hAnsi="Arial" w:cs="Arial"/>
          <w:sz w:val="24"/>
          <w:szCs w:val="24"/>
        </w:rPr>
        <w:t xml:space="preserve">(1), 165–191. </w:t>
      </w:r>
    </w:p>
    <w:p w14:paraId="49416F9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Mallapur, C. (2020). </w:t>
      </w:r>
      <w:r>
        <w:rPr>
          <w:rFonts w:ascii="Arial" w:hAnsi="Arial" w:cs="Arial"/>
          <w:i/>
          <w:iCs/>
          <w:sz w:val="24"/>
          <w:szCs w:val="24"/>
          <w:shd w:val="clear" w:color="auto" w:fill="FFFFFF"/>
        </w:rPr>
        <w:t xml:space="preserve">India’s Covid-19 lockdown may cause 38 million job losses in the travel and tourism industry. </w:t>
      </w:r>
      <w:r>
        <w:rPr>
          <w:rFonts w:ascii="Arial" w:hAnsi="Arial" w:cs="Arial"/>
          <w:iCs/>
          <w:sz w:val="24"/>
          <w:szCs w:val="24"/>
          <w:shd w:val="clear" w:color="auto" w:fill="FFFFFF"/>
        </w:rPr>
        <w:t>Available on:</w:t>
      </w:r>
      <w:r>
        <w:rPr>
          <w:rFonts w:ascii="Arial" w:hAnsi="Arial" w:cs="Arial"/>
          <w:i/>
          <w:iCs/>
          <w:sz w:val="24"/>
          <w:szCs w:val="24"/>
          <w:shd w:val="clear" w:color="auto" w:fill="FFFFFF"/>
        </w:rPr>
        <w:t xml:space="preserve"> </w:t>
      </w:r>
      <w:r>
        <w:fldChar w:fldCharType="begin"/>
      </w:r>
      <w:r>
        <w:instrText xml:space="preserve"> HYPERLINK "https://scroll.in/article/959045/India's%20lockdown%20may%20cause%2038%20million%20job%20losses%20in%20the%20travel%20and%20tourism%20industry" </w:instrText>
      </w:r>
      <w:r>
        <w:fldChar w:fldCharType="separate"/>
      </w:r>
      <w:r>
        <w:rPr>
          <w:rStyle w:val="9"/>
          <w:rFonts w:ascii="Arial" w:hAnsi="Arial" w:cs="Arial"/>
          <w:sz w:val="24"/>
          <w:szCs w:val="24"/>
        </w:rPr>
        <w:t>https://scroll.in/article/959045/India’s lockdown may cause 38 million job losses in the travel and tourism industry</w:t>
      </w:r>
      <w:r>
        <w:rPr>
          <w:rStyle w:val="9"/>
          <w:rFonts w:ascii="Arial" w:hAnsi="Arial" w:cs="Arial"/>
          <w:sz w:val="24"/>
          <w:szCs w:val="24"/>
        </w:rPr>
        <w:fldChar w:fldCharType="end"/>
      </w:r>
      <w:r>
        <w:rPr>
          <w:rFonts w:ascii="Arial" w:hAnsi="Arial" w:cs="Arial"/>
          <w:i/>
          <w:iCs/>
          <w:color w:val="222222"/>
          <w:sz w:val="24"/>
          <w:szCs w:val="24"/>
          <w:shd w:val="clear" w:color="auto" w:fill="FFFFFF"/>
        </w:rPr>
        <w:t xml:space="preserve"> </w:t>
      </w:r>
      <w:r>
        <w:rPr>
          <w:rFonts w:ascii="Arial" w:hAnsi="Arial" w:cs="Arial"/>
          <w:iCs/>
          <w:sz w:val="24"/>
          <w:szCs w:val="24"/>
          <w:shd w:val="clear" w:color="auto" w:fill="FFFFFF"/>
        </w:rPr>
        <w:t>[Assessed on: 05’th December, 2025]</w:t>
      </w:r>
      <w:r>
        <w:rPr>
          <w:rFonts w:ascii="Arial" w:hAnsi="Arial" w:cs="Arial"/>
          <w:sz w:val="24"/>
          <w:szCs w:val="24"/>
          <w:shd w:val="clear" w:color="auto" w:fill="FFFFFF"/>
        </w:rPr>
        <w:t>.</w:t>
      </w:r>
    </w:p>
    <w:p w14:paraId="21FD50C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Malik, M. S., &amp; Makhdoom, D. D. (2016). Does corporate governance beget firm performance in fortune global 500 companies?. </w:t>
      </w:r>
      <w:r>
        <w:rPr>
          <w:rFonts w:ascii="Arial" w:hAnsi="Arial" w:cs="Arial"/>
          <w:i/>
          <w:iCs/>
          <w:sz w:val="24"/>
          <w:szCs w:val="24"/>
          <w:shd w:val="clear" w:color="auto" w:fill="FFFFFF"/>
        </w:rPr>
        <w:t>Corporate Governance</w:t>
      </w:r>
      <w:r>
        <w:rPr>
          <w:rFonts w:ascii="Arial" w:hAnsi="Arial" w:cs="Arial"/>
          <w:sz w:val="24"/>
          <w:szCs w:val="24"/>
          <w:shd w:val="clear" w:color="auto" w:fill="FFFFFF"/>
        </w:rPr>
        <w:t>, </w:t>
      </w:r>
      <w:r>
        <w:rPr>
          <w:rFonts w:ascii="Arial" w:hAnsi="Arial" w:cs="Arial"/>
          <w:i/>
          <w:iCs/>
          <w:sz w:val="24"/>
          <w:szCs w:val="24"/>
          <w:shd w:val="clear" w:color="auto" w:fill="FFFFFF"/>
        </w:rPr>
        <w:t>16</w:t>
      </w:r>
      <w:r>
        <w:rPr>
          <w:rFonts w:ascii="Arial" w:hAnsi="Arial" w:cs="Arial"/>
          <w:sz w:val="24"/>
          <w:szCs w:val="24"/>
          <w:shd w:val="clear" w:color="auto" w:fill="FFFFFF"/>
        </w:rPr>
        <w:t>(4), 747-764.</w:t>
      </w:r>
    </w:p>
    <w:p w14:paraId="702CF619">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Markoczy, L., Sun, S. L., &amp; Zhu, J. (2020). Few women on boards: what’s identity got to do with it?. </w:t>
      </w:r>
      <w:r>
        <w:rPr>
          <w:rFonts w:ascii="Arial" w:hAnsi="Arial" w:cs="Arial"/>
          <w:i/>
          <w:iCs/>
          <w:sz w:val="24"/>
          <w:szCs w:val="24"/>
          <w:shd w:val="clear" w:color="auto" w:fill="FFFFFF"/>
        </w:rPr>
        <w:t>Journal of business ethics</w:t>
      </w:r>
      <w:r>
        <w:rPr>
          <w:rFonts w:ascii="Arial" w:hAnsi="Arial" w:cs="Arial"/>
          <w:sz w:val="24"/>
          <w:szCs w:val="24"/>
          <w:shd w:val="clear" w:color="auto" w:fill="FFFFFF"/>
        </w:rPr>
        <w:t>, </w:t>
      </w:r>
      <w:r>
        <w:rPr>
          <w:rFonts w:ascii="Arial" w:hAnsi="Arial" w:cs="Arial"/>
          <w:i/>
          <w:iCs/>
          <w:sz w:val="24"/>
          <w:szCs w:val="24"/>
          <w:shd w:val="clear" w:color="auto" w:fill="FFFFFF"/>
        </w:rPr>
        <w:t>165</w:t>
      </w:r>
      <w:r>
        <w:rPr>
          <w:rFonts w:ascii="Arial" w:hAnsi="Arial" w:cs="Arial"/>
          <w:sz w:val="24"/>
          <w:szCs w:val="24"/>
          <w:shd w:val="clear" w:color="auto" w:fill="FFFFFF"/>
        </w:rPr>
        <w:t>(2), 311-327.</w:t>
      </w:r>
    </w:p>
    <w:p w14:paraId="4BC67AE2">
      <w:pPr>
        <w:numPr>
          <w:ilvl w:val="0"/>
          <w:numId w:val="4"/>
        </w:numPr>
        <w:spacing w:line="360" w:lineRule="auto"/>
        <w:jc w:val="both"/>
        <w:rPr>
          <w:rFonts w:ascii="Arial" w:hAnsi="Arial" w:cs="Arial"/>
          <w:sz w:val="24"/>
          <w:szCs w:val="24"/>
        </w:rPr>
      </w:pPr>
      <w:r>
        <w:rPr>
          <w:rFonts w:ascii="Arial" w:hAnsi="Arial" w:cs="Arial"/>
          <w:sz w:val="24"/>
          <w:szCs w:val="24"/>
        </w:rPr>
        <w:t>Mather, P. (2020). Leadership and governance in a crisis: Some reflections on COVID-19</w:t>
      </w:r>
      <w:r>
        <w:rPr>
          <w:rFonts w:ascii="Arial" w:hAnsi="Arial" w:cs="Arial"/>
          <w:i/>
          <w:sz w:val="24"/>
          <w:szCs w:val="24"/>
        </w:rPr>
        <w:t xml:space="preserve">. Journal of Accounting &amp; Organizational Change </w:t>
      </w:r>
      <w:r>
        <w:rPr>
          <w:rFonts w:ascii="Arial" w:hAnsi="Arial" w:cs="Arial"/>
          <w:sz w:val="24"/>
          <w:szCs w:val="24"/>
        </w:rPr>
        <w:t>16: 579–85.</w:t>
      </w:r>
    </w:p>
    <w:p w14:paraId="29B977E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Menon, K., &amp; Williams, J. D. (1994). The use of audit committees for monitoring. </w:t>
      </w:r>
      <w:r>
        <w:rPr>
          <w:rFonts w:ascii="Arial" w:hAnsi="Arial" w:cs="Arial"/>
          <w:i/>
          <w:iCs/>
          <w:sz w:val="24"/>
          <w:szCs w:val="24"/>
          <w:shd w:val="clear" w:color="auto" w:fill="FFFFFF"/>
        </w:rPr>
        <w:t>Journal of accounting and public policy</w:t>
      </w:r>
      <w:r>
        <w:rPr>
          <w:rFonts w:ascii="Arial" w:hAnsi="Arial" w:cs="Arial"/>
          <w:sz w:val="24"/>
          <w:szCs w:val="24"/>
          <w:shd w:val="clear" w:color="auto" w:fill="FFFFFF"/>
        </w:rPr>
        <w:t>, </w:t>
      </w:r>
      <w:r>
        <w:rPr>
          <w:rFonts w:ascii="Arial" w:hAnsi="Arial" w:cs="Arial"/>
          <w:i/>
          <w:iCs/>
          <w:sz w:val="24"/>
          <w:szCs w:val="24"/>
          <w:shd w:val="clear" w:color="auto" w:fill="FFFFFF"/>
        </w:rPr>
        <w:t>13</w:t>
      </w:r>
      <w:r>
        <w:rPr>
          <w:rFonts w:ascii="Arial" w:hAnsi="Arial" w:cs="Arial"/>
          <w:sz w:val="24"/>
          <w:szCs w:val="24"/>
          <w:shd w:val="clear" w:color="auto" w:fill="FFFFFF"/>
        </w:rPr>
        <w:t>(2), 121-139.</w:t>
      </w:r>
    </w:p>
    <w:p w14:paraId="2A52B788">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Mohan, A., &amp; Chandramohan, S. (2018). </w:t>
      </w:r>
      <w:r>
        <w:rPr>
          <w:rFonts w:ascii="Arial" w:hAnsi="Arial" w:cs="Arial"/>
          <w:i/>
          <w:iCs/>
          <w:sz w:val="24"/>
          <w:szCs w:val="24"/>
          <w:shd w:val="clear" w:color="auto" w:fill="FFFFFF"/>
        </w:rPr>
        <w:t>Impact of Corporate Governance on Firm Performance: Empirical Evidence From India. IMPACT: International Journal of Research in Humanities, Arts and Literature (IMPACT: IJRHAL), 6 (2), 209–218</w:t>
      </w:r>
      <w:r>
        <w:rPr>
          <w:rFonts w:ascii="Arial" w:hAnsi="Arial" w:cs="Arial"/>
          <w:sz w:val="24"/>
          <w:szCs w:val="24"/>
          <w:shd w:val="clear" w:color="auto" w:fill="FFFFFF"/>
        </w:rPr>
        <w:t>.</w:t>
      </w:r>
    </w:p>
    <w:p w14:paraId="5BB5C5BD">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Mohd Saleh, N., Mohd Iskandar, T., &amp; Mohid Rahmat, M. (2007). Audit committee characteristics and earnings management: Evidence from Malaysia. </w:t>
      </w:r>
      <w:r>
        <w:rPr>
          <w:rFonts w:ascii="Arial" w:hAnsi="Arial" w:cs="Arial"/>
          <w:i/>
          <w:iCs/>
          <w:sz w:val="24"/>
          <w:szCs w:val="24"/>
          <w:shd w:val="clear" w:color="auto" w:fill="FFFFFF"/>
        </w:rPr>
        <w:t>Asian Review of Accounting</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 xml:space="preserve">(2), 147-163. Available on: </w:t>
      </w:r>
      <w:r>
        <w:fldChar w:fldCharType="begin"/>
      </w:r>
      <w:r>
        <w:instrText xml:space="preserve"> HYPERLINK "https://doi.org/10.1108/13217340710823369" </w:instrText>
      </w:r>
      <w:r>
        <w:fldChar w:fldCharType="separate"/>
      </w:r>
      <w:r>
        <w:rPr>
          <w:rStyle w:val="9"/>
          <w:rFonts w:ascii="Arial" w:hAnsi="Arial" w:cs="Arial"/>
          <w:sz w:val="24"/>
          <w:szCs w:val="24"/>
          <w:shd w:val="clear" w:color="auto" w:fill="FFFFFF"/>
        </w:rPr>
        <w:t>https://doi.org/10.1108/13217340710823369</w:t>
      </w:r>
      <w:r>
        <w:rPr>
          <w:rStyle w:val="9"/>
          <w:rFonts w:ascii="Arial" w:hAnsi="Arial" w:cs="Arial"/>
          <w:sz w:val="24"/>
          <w:szCs w:val="24"/>
          <w:shd w:val="clear" w:color="auto" w:fill="FFFFFF"/>
        </w:rPr>
        <w:fldChar w:fldCharType="end"/>
      </w:r>
      <w:r>
        <w:rPr>
          <w:rFonts w:ascii="Arial" w:hAnsi="Arial" w:cs="Arial"/>
          <w:sz w:val="24"/>
          <w:szCs w:val="24"/>
          <w:shd w:val="clear" w:color="auto" w:fill="FFFFFF"/>
        </w:rPr>
        <w:t xml:space="preserve"> [assessed on: 05’th Jan 2026]</w:t>
      </w:r>
    </w:p>
    <w:p w14:paraId="7176CFF8">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Muniandy, B., &amp; Hillier, J. (2015). Board independence, investment opportunity set and performance of South African firms. </w:t>
      </w:r>
      <w:r>
        <w:rPr>
          <w:rFonts w:ascii="Arial" w:hAnsi="Arial" w:cs="Arial"/>
          <w:i/>
          <w:iCs/>
          <w:sz w:val="24"/>
          <w:szCs w:val="24"/>
          <w:shd w:val="clear" w:color="auto" w:fill="FFFFFF"/>
        </w:rPr>
        <w:t>Pacific-Basin Finance Journal</w:t>
      </w:r>
      <w:r>
        <w:rPr>
          <w:rFonts w:ascii="Arial" w:hAnsi="Arial" w:cs="Arial"/>
          <w:sz w:val="24"/>
          <w:szCs w:val="24"/>
          <w:shd w:val="clear" w:color="auto" w:fill="FFFFFF"/>
        </w:rPr>
        <w:t>, </w:t>
      </w:r>
      <w:r>
        <w:rPr>
          <w:rFonts w:ascii="Arial" w:hAnsi="Arial" w:cs="Arial"/>
          <w:i/>
          <w:iCs/>
          <w:sz w:val="24"/>
          <w:szCs w:val="24"/>
          <w:shd w:val="clear" w:color="auto" w:fill="FFFFFF"/>
        </w:rPr>
        <w:t>35</w:t>
      </w:r>
      <w:r>
        <w:rPr>
          <w:rFonts w:ascii="Arial" w:hAnsi="Arial" w:cs="Arial"/>
          <w:sz w:val="24"/>
          <w:szCs w:val="24"/>
          <w:shd w:val="clear" w:color="auto" w:fill="FFFFFF"/>
        </w:rPr>
        <w:t>, 108-124.</w:t>
      </w:r>
    </w:p>
    <w:p w14:paraId="2E7CC4B0">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Musallam, S. R. (2020). Effects of board characteristics, audit committee and risk management on corporate performance: evidence from Palestinian listed companies. </w:t>
      </w:r>
      <w:r>
        <w:rPr>
          <w:rFonts w:ascii="Arial" w:hAnsi="Arial" w:cs="Arial"/>
          <w:i/>
          <w:iCs/>
          <w:sz w:val="24"/>
          <w:szCs w:val="24"/>
          <w:shd w:val="clear" w:color="auto" w:fill="FFFFFF"/>
        </w:rPr>
        <w:t>International Journal of Islamic and Middle Eastern Finance and Management</w:t>
      </w:r>
      <w:r>
        <w:rPr>
          <w:rFonts w:ascii="Arial" w:hAnsi="Arial" w:cs="Arial"/>
          <w:sz w:val="24"/>
          <w:szCs w:val="24"/>
          <w:shd w:val="clear" w:color="auto" w:fill="FFFFFF"/>
        </w:rPr>
        <w:t>, </w:t>
      </w:r>
      <w:r>
        <w:rPr>
          <w:rFonts w:ascii="Arial" w:hAnsi="Arial" w:cs="Arial"/>
          <w:i/>
          <w:iCs/>
          <w:sz w:val="24"/>
          <w:szCs w:val="24"/>
          <w:shd w:val="clear" w:color="auto" w:fill="FFFFFF"/>
        </w:rPr>
        <w:t>13</w:t>
      </w:r>
      <w:r>
        <w:rPr>
          <w:rFonts w:ascii="Arial" w:hAnsi="Arial" w:cs="Arial"/>
          <w:sz w:val="24"/>
          <w:szCs w:val="24"/>
          <w:shd w:val="clear" w:color="auto" w:fill="FFFFFF"/>
        </w:rPr>
        <w:t>(4), 691-706.</w:t>
      </w:r>
    </w:p>
    <w:p w14:paraId="3576D1E2">
      <w:pPr>
        <w:numPr>
          <w:ilvl w:val="0"/>
          <w:numId w:val="4"/>
        </w:numPr>
        <w:spacing w:line="360" w:lineRule="auto"/>
        <w:jc w:val="both"/>
        <w:rPr>
          <w:rFonts w:ascii="Arial" w:hAnsi="Arial" w:cs="Arial"/>
          <w:sz w:val="24"/>
          <w:szCs w:val="24"/>
        </w:rPr>
      </w:pPr>
      <w:r>
        <w:rPr>
          <w:rFonts w:ascii="Arial" w:hAnsi="Arial" w:cs="Arial"/>
          <w:sz w:val="24"/>
          <w:szCs w:val="24"/>
        </w:rPr>
        <w:t>Nayak, J., Mishra, M., Naik, B., Swapnarekha, H., Cengiz, K., &amp; Shanmuganathan, V. (2022). An impact study of COVID</w:t>
      </w:r>
      <w:r>
        <w:rPr>
          <w:rFonts w:ascii="Cambria Math" w:hAnsi="Cambria Math" w:cs="Cambria Math"/>
          <w:sz w:val="24"/>
          <w:szCs w:val="24"/>
        </w:rPr>
        <w:t>‐</w:t>
      </w:r>
      <w:r>
        <w:rPr>
          <w:rFonts w:ascii="Arial" w:hAnsi="Arial" w:cs="Arial"/>
          <w:sz w:val="24"/>
          <w:szCs w:val="24"/>
        </w:rPr>
        <w:t>19 on six different industries: Automobile, energy and power, agriculture, education, travel and tourism and consumer electronics. </w:t>
      </w:r>
      <w:r>
        <w:rPr>
          <w:rFonts w:ascii="Arial" w:hAnsi="Arial" w:cs="Arial"/>
          <w:i/>
          <w:iCs/>
          <w:sz w:val="24"/>
          <w:szCs w:val="24"/>
        </w:rPr>
        <w:t>Expert systems</w:t>
      </w:r>
      <w:r>
        <w:rPr>
          <w:rFonts w:ascii="Arial" w:hAnsi="Arial" w:cs="Arial"/>
          <w:sz w:val="24"/>
          <w:szCs w:val="24"/>
        </w:rPr>
        <w:t>, </w:t>
      </w:r>
      <w:r>
        <w:rPr>
          <w:rFonts w:ascii="Arial" w:hAnsi="Arial" w:cs="Arial"/>
          <w:i/>
          <w:iCs/>
          <w:sz w:val="24"/>
          <w:szCs w:val="24"/>
        </w:rPr>
        <w:t>39</w:t>
      </w:r>
      <w:r>
        <w:rPr>
          <w:rFonts w:ascii="Arial" w:hAnsi="Arial" w:cs="Arial"/>
          <w:sz w:val="24"/>
          <w:szCs w:val="24"/>
        </w:rPr>
        <w:t>(3), e12677.</w:t>
      </w:r>
    </w:p>
    <w:p w14:paraId="3051089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Nicholson, G. J., &amp; Kiel, G. C. (2007). Can directors impact performance? A case</w:t>
      </w:r>
      <w:r>
        <w:rPr>
          <w:rFonts w:ascii="Cambria Math" w:hAnsi="Cambria Math" w:cs="Cambria Math"/>
          <w:sz w:val="24"/>
          <w:szCs w:val="24"/>
          <w:shd w:val="clear" w:color="auto" w:fill="FFFFFF"/>
        </w:rPr>
        <w:t>‐</w:t>
      </w:r>
      <w:r>
        <w:rPr>
          <w:rFonts w:ascii="Arial" w:hAnsi="Arial" w:cs="Arial"/>
          <w:sz w:val="24"/>
          <w:szCs w:val="24"/>
          <w:shd w:val="clear" w:color="auto" w:fill="FFFFFF"/>
        </w:rPr>
        <w:t>based test of three theories of corporate governance. </w:t>
      </w:r>
      <w:r>
        <w:rPr>
          <w:rFonts w:ascii="Arial" w:hAnsi="Arial" w:cs="Arial"/>
          <w:i/>
          <w:iCs/>
          <w:sz w:val="24"/>
          <w:szCs w:val="24"/>
          <w:shd w:val="clear" w:color="auto" w:fill="FFFFFF"/>
        </w:rPr>
        <w:t>Corporate governance: An international review</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(4), 585-608.</w:t>
      </w:r>
    </w:p>
    <w:p w14:paraId="675DA6B7">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Ntim, C. G., &amp; Osei, K. A. (2011). The impact of corporate board meetings on corporate performance in South Africa. </w:t>
      </w:r>
      <w:r>
        <w:rPr>
          <w:rFonts w:ascii="Arial" w:hAnsi="Arial" w:cs="Arial"/>
          <w:i/>
          <w:iCs/>
          <w:sz w:val="24"/>
          <w:szCs w:val="24"/>
          <w:shd w:val="clear" w:color="auto" w:fill="FFFFFF"/>
        </w:rPr>
        <w:t>African Review of Economics and Finance</w:t>
      </w:r>
      <w:r>
        <w:rPr>
          <w:rFonts w:ascii="Arial" w:hAnsi="Arial" w:cs="Arial"/>
          <w:sz w:val="24"/>
          <w:szCs w:val="24"/>
          <w:shd w:val="clear" w:color="auto" w:fill="FFFFFF"/>
        </w:rPr>
        <w:t>, </w:t>
      </w:r>
      <w:r>
        <w:rPr>
          <w:rFonts w:ascii="Arial" w:hAnsi="Arial" w:cs="Arial"/>
          <w:i/>
          <w:iCs/>
          <w:sz w:val="24"/>
          <w:szCs w:val="24"/>
          <w:shd w:val="clear" w:color="auto" w:fill="FFFFFF"/>
        </w:rPr>
        <w:t>2</w:t>
      </w:r>
      <w:r>
        <w:rPr>
          <w:rFonts w:ascii="Arial" w:hAnsi="Arial" w:cs="Arial"/>
          <w:sz w:val="24"/>
          <w:szCs w:val="24"/>
          <w:shd w:val="clear" w:color="auto" w:fill="FFFFFF"/>
        </w:rPr>
        <w:t>(2), 83-103.</w:t>
      </w:r>
    </w:p>
    <w:p w14:paraId="7A5CF745">
      <w:pPr>
        <w:numPr>
          <w:ilvl w:val="0"/>
          <w:numId w:val="4"/>
        </w:numPr>
        <w:spacing w:line="360" w:lineRule="auto"/>
        <w:jc w:val="both"/>
        <w:rPr>
          <w:rFonts w:ascii="Arial" w:hAnsi="Arial" w:cs="Arial"/>
          <w:sz w:val="24"/>
          <w:szCs w:val="24"/>
        </w:rPr>
      </w:pPr>
      <w:r>
        <w:rPr>
          <w:rFonts w:ascii="Arial" w:hAnsi="Arial" w:cs="Arial"/>
          <w:sz w:val="24"/>
          <w:szCs w:val="24"/>
        </w:rPr>
        <w:t>Obrenovic, B., Du, J., Godinic, D., Tsoy, D., Khan, M. A. S., &amp; Jakhongirov, I. (2020). Sustaining enterprise operations and productivity during the COVID-19 pandemic: Enterprise Effectiveness and Sustainability Model. </w:t>
      </w:r>
      <w:r>
        <w:rPr>
          <w:rFonts w:ascii="Arial" w:hAnsi="Arial" w:cs="Arial"/>
          <w:i/>
          <w:iCs/>
          <w:sz w:val="24"/>
          <w:szCs w:val="24"/>
        </w:rPr>
        <w:t>Sustainability</w:t>
      </w:r>
      <w:r>
        <w:rPr>
          <w:rFonts w:ascii="Arial" w:hAnsi="Arial" w:cs="Arial"/>
          <w:sz w:val="24"/>
          <w:szCs w:val="24"/>
        </w:rPr>
        <w:t>, </w:t>
      </w:r>
      <w:r>
        <w:rPr>
          <w:rFonts w:ascii="Arial" w:hAnsi="Arial" w:cs="Arial"/>
          <w:i/>
          <w:iCs/>
          <w:sz w:val="24"/>
          <w:szCs w:val="24"/>
        </w:rPr>
        <w:t>12</w:t>
      </w:r>
      <w:r>
        <w:rPr>
          <w:rFonts w:ascii="Arial" w:hAnsi="Arial" w:cs="Arial"/>
          <w:sz w:val="24"/>
          <w:szCs w:val="24"/>
        </w:rPr>
        <w:t>(15), 5981.</w:t>
      </w:r>
    </w:p>
    <w:p w14:paraId="500E384B">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Orazalin, N. (2020). Board gender diversity, corporate governance, and earnings management: Evidence from an emerging market. </w:t>
      </w:r>
      <w:r>
        <w:rPr>
          <w:rFonts w:ascii="Arial" w:hAnsi="Arial" w:cs="Arial"/>
          <w:i/>
          <w:iCs/>
          <w:sz w:val="24"/>
          <w:szCs w:val="24"/>
          <w:shd w:val="clear" w:color="auto" w:fill="FFFFFF"/>
        </w:rPr>
        <w:t>Gender in Management: An International Journal</w:t>
      </w:r>
      <w:r>
        <w:rPr>
          <w:rFonts w:ascii="Arial" w:hAnsi="Arial" w:cs="Arial"/>
          <w:sz w:val="24"/>
          <w:szCs w:val="24"/>
          <w:shd w:val="clear" w:color="auto" w:fill="FFFFFF"/>
        </w:rPr>
        <w:t>, </w:t>
      </w:r>
      <w:r>
        <w:rPr>
          <w:rFonts w:ascii="Arial" w:hAnsi="Arial" w:cs="Arial"/>
          <w:i/>
          <w:iCs/>
          <w:sz w:val="24"/>
          <w:szCs w:val="24"/>
          <w:shd w:val="clear" w:color="auto" w:fill="FFFFFF"/>
        </w:rPr>
        <w:t>35</w:t>
      </w:r>
      <w:r>
        <w:rPr>
          <w:rFonts w:ascii="Arial" w:hAnsi="Arial" w:cs="Arial"/>
          <w:sz w:val="24"/>
          <w:szCs w:val="24"/>
          <w:shd w:val="clear" w:color="auto" w:fill="FFFFFF"/>
        </w:rPr>
        <w:t>(1), 37-60.</w:t>
      </w:r>
    </w:p>
    <w:p w14:paraId="5A6C03BE">
      <w:pPr>
        <w:numPr>
          <w:ilvl w:val="0"/>
          <w:numId w:val="4"/>
        </w:numPr>
        <w:spacing w:line="360" w:lineRule="auto"/>
        <w:jc w:val="both"/>
        <w:rPr>
          <w:rFonts w:ascii="Arial" w:hAnsi="Arial" w:cs="Arial"/>
          <w:sz w:val="24"/>
          <w:szCs w:val="24"/>
        </w:rPr>
      </w:pPr>
      <w:r>
        <w:rPr>
          <w:rFonts w:ascii="Arial" w:hAnsi="Arial" w:cs="Arial"/>
          <w:sz w:val="24"/>
          <w:szCs w:val="24"/>
        </w:rPr>
        <w:t>Organisation for Economic Co-Operation and Development (OECD). 2020. Corporate Sector Vulnerabilities during the COVID-19 Outbreak: Assessment and Policy Responses. Paris: OECD.</w:t>
      </w:r>
    </w:p>
    <w:p w14:paraId="6C863DC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Nguyen, V. C., &amp; Huynh, T. N. T. (2023). Characteristics of the board of directors and corporate financial performance—empirical evidence. </w:t>
      </w:r>
      <w:r>
        <w:rPr>
          <w:rFonts w:ascii="Arial" w:hAnsi="Arial" w:cs="Arial"/>
          <w:i/>
          <w:iCs/>
          <w:sz w:val="24"/>
          <w:szCs w:val="24"/>
          <w:shd w:val="clear" w:color="auto" w:fill="FFFFFF"/>
        </w:rPr>
        <w:t>Economies</w:t>
      </w:r>
      <w:r>
        <w:rPr>
          <w:rFonts w:ascii="Arial" w:hAnsi="Arial" w:cs="Arial"/>
          <w:sz w:val="24"/>
          <w:szCs w:val="24"/>
          <w:shd w:val="clear" w:color="auto" w:fill="FFFFFF"/>
        </w:rPr>
        <w:t>, </w:t>
      </w:r>
      <w:r>
        <w:rPr>
          <w:rFonts w:ascii="Arial" w:hAnsi="Arial" w:cs="Arial"/>
          <w:i/>
          <w:iCs/>
          <w:sz w:val="24"/>
          <w:szCs w:val="24"/>
          <w:shd w:val="clear" w:color="auto" w:fill="FFFFFF"/>
        </w:rPr>
        <w:t>11</w:t>
      </w:r>
      <w:r>
        <w:rPr>
          <w:rFonts w:ascii="Arial" w:hAnsi="Arial" w:cs="Arial"/>
          <w:sz w:val="24"/>
          <w:szCs w:val="24"/>
          <w:shd w:val="clear" w:color="auto" w:fill="FFFFFF"/>
        </w:rPr>
        <w:t>(2), 53.</w:t>
      </w:r>
    </w:p>
    <w:p w14:paraId="60E4B13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Nguyen, T. H. H., Ntim, C. G., &amp; Malagila, J. K. (2020). ‘Women on corporate boards and corporate financial and non-financial performance: A systematic literature review and future research agenda’. </w:t>
      </w:r>
      <w:r>
        <w:rPr>
          <w:rFonts w:ascii="Arial" w:hAnsi="Arial" w:cs="Arial"/>
          <w:i/>
          <w:iCs/>
          <w:sz w:val="24"/>
          <w:szCs w:val="24"/>
          <w:shd w:val="clear" w:color="auto" w:fill="FFFFFF"/>
        </w:rPr>
        <w:t>International review of financial analysis</w:t>
      </w:r>
      <w:r>
        <w:rPr>
          <w:rFonts w:ascii="Arial" w:hAnsi="Arial" w:cs="Arial"/>
          <w:sz w:val="24"/>
          <w:szCs w:val="24"/>
          <w:shd w:val="clear" w:color="auto" w:fill="FFFFFF"/>
        </w:rPr>
        <w:t>, </w:t>
      </w:r>
      <w:r>
        <w:rPr>
          <w:rFonts w:ascii="Arial" w:hAnsi="Arial" w:cs="Arial"/>
          <w:i/>
          <w:iCs/>
          <w:sz w:val="24"/>
          <w:szCs w:val="24"/>
          <w:shd w:val="clear" w:color="auto" w:fill="FFFFFF"/>
        </w:rPr>
        <w:t>71</w:t>
      </w:r>
      <w:r>
        <w:rPr>
          <w:rFonts w:ascii="Arial" w:hAnsi="Arial" w:cs="Arial"/>
          <w:sz w:val="24"/>
          <w:szCs w:val="24"/>
          <w:shd w:val="clear" w:color="auto" w:fill="FFFFFF"/>
        </w:rPr>
        <w:t>, 101554.</w:t>
      </w:r>
    </w:p>
    <w:p w14:paraId="0F9FCD00">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Padhan, R., &amp; Prabheesh, K. P. (2021). ‘The economics of COVID-19 pandemic: A survey’. </w:t>
      </w:r>
      <w:r>
        <w:rPr>
          <w:rFonts w:ascii="Arial" w:hAnsi="Arial" w:cs="Arial"/>
          <w:i/>
          <w:iCs/>
          <w:sz w:val="24"/>
          <w:szCs w:val="24"/>
          <w:shd w:val="clear" w:color="auto" w:fill="FFFFFF"/>
        </w:rPr>
        <w:t>Economic analysis and policy</w:t>
      </w:r>
      <w:r>
        <w:rPr>
          <w:rFonts w:ascii="Arial" w:hAnsi="Arial" w:cs="Arial"/>
          <w:sz w:val="24"/>
          <w:szCs w:val="24"/>
          <w:shd w:val="clear" w:color="auto" w:fill="FFFFFF"/>
        </w:rPr>
        <w:t>, </w:t>
      </w:r>
      <w:r>
        <w:rPr>
          <w:rFonts w:ascii="Arial" w:hAnsi="Arial" w:cs="Arial"/>
          <w:i/>
          <w:iCs/>
          <w:sz w:val="24"/>
          <w:szCs w:val="24"/>
          <w:shd w:val="clear" w:color="auto" w:fill="FFFFFF"/>
        </w:rPr>
        <w:t>70</w:t>
      </w:r>
      <w:r>
        <w:rPr>
          <w:rFonts w:ascii="Arial" w:hAnsi="Arial" w:cs="Arial"/>
          <w:sz w:val="24"/>
          <w:szCs w:val="24"/>
          <w:shd w:val="clear" w:color="auto" w:fill="FFFFFF"/>
        </w:rPr>
        <w:t>, 220-237.</w:t>
      </w:r>
    </w:p>
    <w:p w14:paraId="0F0448F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Pathan, S., &amp; Faff, R. (2013). Does board structure in banks really affect their performance?. </w:t>
      </w:r>
      <w:r>
        <w:rPr>
          <w:rFonts w:ascii="Arial" w:hAnsi="Arial" w:cs="Arial"/>
          <w:i/>
          <w:iCs/>
          <w:sz w:val="24"/>
          <w:szCs w:val="24"/>
          <w:shd w:val="clear" w:color="auto" w:fill="FFFFFF"/>
        </w:rPr>
        <w:t>Journal of Banking &amp; Finance</w:t>
      </w:r>
      <w:r>
        <w:rPr>
          <w:rFonts w:ascii="Arial" w:hAnsi="Arial" w:cs="Arial"/>
          <w:sz w:val="24"/>
          <w:szCs w:val="24"/>
          <w:shd w:val="clear" w:color="auto" w:fill="FFFFFF"/>
        </w:rPr>
        <w:t>, </w:t>
      </w:r>
      <w:r>
        <w:rPr>
          <w:rFonts w:ascii="Arial" w:hAnsi="Arial" w:cs="Arial"/>
          <w:i/>
          <w:iCs/>
          <w:sz w:val="24"/>
          <w:szCs w:val="24"/>
          <w:shd w:val="clear" w:color="auto" w:fill="FFFFFF"/>
        </w:rPr>
        <w:t>37</w:t>
      </w:r>
      <w:r>
        <w:rPr>
          <w:rFonts w:ascii="Arial" w:hAnsi="Arial" w:cs="Arial"/>
          <w:sz w:val="24"/>
          <w:szCs w:val="24"/>
          <w:shd w:val="clear" w:color="auto" w:fill="FFFFFF"/>
        </w:rPr>
        <w:t>(5), 1573-1589.</w:t>
      </w:r>
    </w:p>
    <w:p w14:paraId="6DAF7A45">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Peasnell, K. V., Pope, P. F., &amp; Young, S. (2005). Board monitoring and earnings management: do outside directors influence abnormal accruals?. </w:t>
      </w:r>
      <w:r>
        <w:rPr>
          <w:rFonts w:ascii="Arial" w:hAnsi="Arial" w:cs="Arial"/>
          <w:i/>
          <w:iCs/>
          <w:sz w:val="24"/>
          <w:szCs w:val="24"/>
          <w:shd w:val="clear" w:color="auto" w:fill="FFFFFF"/>
        </w:rPr>
        <w:t>Journal of business finance &amp; accounting</w:t>
      </w:r>
      <w:r>
        <w:rPr>
          <w:rFonts w:ascii="Arial" w:hAnsi="Arial" w:cs="Arial"/>
          <w:sz w:val="24"/>
          <w:szCs w:val="24"/>
          <w:shd w:val="clear" w:color="auto" w:fill="FFFFFF"/>
        </w:rPr>
        <w:t>, </w:t>
      </w:r>
      <w:r>
        <w:rPr>
          <w:rFonts w:ascii="Arial" w:hAnsi="Arial" w:cs="Arial"/>
          <w:i/>
          <w:iCs/>
          <w:sz w:val="24"/>
          <w:szCs w:val="24"/>
          <w:shd w:val="clear" w:color="auto" w:fill="FFFFFF"/>
        </w:rPr>
        <w:t>32</w:t>
      </w:r>
      <w:r>
        <w:rPr>
          <w:rFonts w:ascii="Arial" w:hAnsi="Arial" w:cs="Arial"/>
          <w:sz w:val="24"/>
          <w:szCs w:val="24"/>
          <w:shd w:val="clear" w:color="auto" w:fill="FFFFFF"/>
        </w:rPr>
        <w:t>(7</w:t>
      </w:r>
      <w:r>
        <w:rPr>
          <w:rFonts w:ascii="Cambria Math" w:hAnsi="Cambria Math" w:cs="Cambria Math"/>
          <w:sz w:val="24"/>
          <w:szCs w:val="24"/>
          <w:shd w:val="clear" w:color="auto" w:fill="FFFFFF"/>
        </w:rPr>
        <w:t>‐</w:t>
      </w:r>
      <w:r>
        <w:rPr>
          <w:rFonts w:ascii="Arial" w:hAnsi="Arial" w:cs="Arial"/>
          <w:sz w:val="24"/>
          <w:szCs w:val="24"/>
          <w:shd w:val="clear" w:color="auto" w:fill="FFFFFF"/>
        </w:rPr>
        <w:t>8), 1311-1346.</w:t>
      </w:r>
    </w:p>
    <w:p w14:paraId="0D397ABB">
      <w:pPr>
        <w:numPr>
          <w:ilvl w:val="0"/>
          <w:numId w:val="4"/>
        </w:numPr>
        <w:spacing w:line="360" w:lineRule="auto"/>
        <w:jc w:val="both"/>
        <w:rPr>
          <w:rFonts w:ascii="Arial" w:hAnsi="Arial" w:cs="Arial"/>
          <w:sz w:val="24"/>
          <w:szCs w:val="24"/>
        </w:rPr>
      </w:pPr>
      <w:r>
        <w:rPr>
          <w:rFonts w:ascii="Arial" w:hAnsi="Arial" w:cs="Arial"/>
          <w:sz w:val="24"/>
          <w:szCs w:val="24"/>
        </w:rPr>
        <w:t xml:space="preserve">Pibri, H., (2021). The Influence of Corporate Governance on Firm Value and Bank Performance in The Pandemic Crisis in Indonesia. </w:t>
      </w:r>
      <w:r>
        <w:rPr>
          <w:rFonts w:ascii="Arial" w:hAnsi="Arial" w:cs="Arial"/>
          <w:i/>
          <w:sz w:val="24"/>
          <w:szCs w:val="24"/>
        </w:rPr>
        <w:t>International Journal of Scientific and Research Publications (IJSRP)</w:t>
      </w:r>
      <w:r>
        <w:rPr>
          <w:rFonts w:ascii="Arial" w:hAnsi="Arial" w:cs="Arial"/>
          <w:sz w:val="24"/>
          <w:szCs w:val="24"/>
        </w:rPr>
        <w:t xml:space="preserve"> 11: 211–17.</w:t>
      </w:r>
    </w:p>
    <w:p w14:paraId="51596E02">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Pucheta-Martínez, M. C., &amp; Gallego-Álvarez, I. (2020). Do board characteristics drive firm performance? An international perspective. </w:t>
      </w:r>
      <w:r>
        <w:rPr>
          <w:rFonts w:ascii="Arial" w:hAnsi="Arial" w:cs="Arial"/>
          <w:i/>
          <w:iCs/>
          <w:sz w:val="24"/>
          <w:szCs w:val="24"/>
          <w:shd w:val="clear" w:color="auto" w:fill="FFFFFF"/>
        </w:rPr>
        <w:t>Review of Managerial Science</w:t>
      </w:r>
      <w:r>
        <w:rPr>
          <w:rFonts w:ascii="Arial" w:hAnsi="Arial" w:cs="Arial"/>
          <w:sz w:val="24"/>
          <w:szCs w:val="24"/>
          <w:shd w:val="clear" w:color="auto" w:fill="FFFFFF"/>
        </w:rPr>
        <w:t>, </w:t>
      </w:r>
      <w:r>
        <w:rPr>
          <w:rFonts w:ascii="Arial" w:hAnsi="Arial" w:cs="Arial"/>
          <w:i/>
          <w:iCs/>
          <w:sz w:val="24"/>
          <w:szCs w:val="24"/>
          <w:shd w:val="clear" w:color="auto" w:fill="FFFFFF"/>
        </w:rPr>
        <w:t>14</w:t>
      </w:r>
      <w:r>
        <w:rPr>
          <w:rFonts w:ascii="Arial" w:hAnsi="Arial" w:cs="Arial"/>
          <w:sz w:val="24"/>
          <w:szCs w:val="24"/>
          <w:shd w:val="clear" w:color="auto" w:fill="FFFFFF"/>
        </w:rPr>
        <w:t>(6), 1251-1297.</w:t>
      </w:r>
    </w:p>
    <w:p w14:paraId="11CA5CA0">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Putra, F. (2024). Good corporate governance, firm performance and COVID-19. </w:t>
      </w:r>
      <w:r>
        <w:rPr>
          <w:rFonts w:ascii="Arial" w:hAnsi="Arial" w:cs="Arial"/>
          <w:i/>
          <w:iCs/>
          <w:sz w:val="24"/>
          <w:szCs w:val="24"/>
          <w:shd w:val="clear" w:color="auto" w:fill="FFFFFF"/>
        </w:rPr>
        <w:t>Asian Journal of Accounting Research</w:t>
      </w:r>
      <w:r>
        <w:rPr>
          <w:rFonts w:ascii="Arial" w:hAnsi="Arial" w:cs="Arial"/>
          <w:sz w:val="24"/>
          <w:szCs w:val="24"/>
          <w:shd w:val="clear" w:color="auto" w:fill="FFFFFF"/>
        </w:rPr>
        <w:t>, </w:t>
      </w:r>
      <w:r>
        <w:rPr>
          <w:rFonts w:ascii="Arial" w:hAnsi="Arial" w:cs="Arial"/>
          <w:i/>
          <w:iCs/>
          <w:sz w:val="24"/>
          <w:szCs w:val="24"/>
          <w:shd w:val="clear" w:color="auto" w:fill="FFFFFF"/>
        </w:rPr>
        <w:t>9</w:t>
      </w:r>
      <w:r>
        <w:rPr>
          <w:rFonts w:ascii="Arial" w:hAnsi="Arial" w:cs="Arial"/>
          <w:sz w:val="24"/>
          <w:szCs w:val="24"/>
          <w:shd w:val="clear" w:color="auto" w:fill="FFFFFF"/>
        </w:rPr>
        <w:t>(4), 399-421.</w:t>
      </w:r>
    </w:p>
    <w:p w14:paraId="5AFA928A">
      <w:pPr>
        <w:numPr>
          <w:ilvl w:val="0"/>
          <w:numId w:val="4"/>
        </w:numPr>
        <w:spacing w:line="360" w:lineRule="auto"/>
        <w:jc w:val="both"/>
        <w:rPr>
          <w:rFonts w:ascii="Arial" w:hAnsi="Arial" w:cs="Arial"/>
          <w:sz w:val="24"/>
          <w:szCs w:val="24"/>
        </w:rPr>
      </w:pPr>
      <w:r>
        <w:rPr>
          <w:rFonts w:ascii="Arial" w:hAnsi="Arial" w:cs="Arial"/>
          <w:sz w:val="24"/>
          <w:szCs w:val="24"/>
        </w:rPr>
        <w:t>Qin, X., Huang, G., Shen, H., &amp; Fu, M. (2021). COVID-19 pandemic and firm-level cash holding—moderating effect of goodwill and goodwill impairment. In </w:t>
      </w:r>
      <w:r>
        <w:rPr>
          <w:rFonts w:ascii="Arial" w:hAnsi="Arial" w:cs="Arial"/>
          <w:i/>
          <w:iCs/>
          <w:sz w:val="24"/>
          <w:szCs w:val="24"/>
        </w:rPr>
        <w:t>Research on Pandemics</w:t>
      </w:r>
      <w:r>
        <w:rPr>
          <w:rFonts w:ascii="Arial" w:hAnsi="Arial" w:cs="Arial"/>
          <w:sz w:val="24"/>
          <w:szCs w:val="24"/>
        </w:rPr>
        <w:t> (pp. 111-126). Routledge.</w:t>
      </w:r>
    </w:p>
    <w:p w14:paraId="19D86CE8">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Rele, S. (2020). Emerging outbreaks and epidemic threats: the practicality and limitations in the development and manufacturing of treatments for Coronavirus (COVID-19). </w:t>
      </w:r>
      <w:r>
        <w:rPr>
          <w:rFonts w:ascii="Arial" w:hAnsi="Arial" w:cs="Arial"/>
          <w:i/>
          <w:iCs/>
          <w:sz w:val="24"/>
          <w:szCs w:val="24"/>
        </w:rPr>
        <w:t>Polymorphism</w:t>
      </w:r>
      <w:r>
        <w:rPr>
          <w:rFonts w:ascii="Arial" w:hAnsi="Arial" w:cs="Arial"/>
          <w:sz w:val="24"/>
          <w:szCs w:val="24"/>
        </w:rPr>
        <w:t>, </w:t>
      </w:r>
      <w:r>
        <w:rPr>
          <w:rFonts w:ascii="Arial" w:hAnsi="Arial" w:cs="Arial"/>
          <w:i/>
          <w:iCs/>
          <w:sz w:val="24"/>
          <w:szCs w:val="24"/>
        </w:rPr>
        <w:t>4</w:t>
      </w:r>
      <w:r>
        <w:rPr>
          <w:rFonts w:ascii="Arial" w:hAnsi="Arial" w:cs="Arial"/>
          <w:sz w:val="24"/>
          <w:szCs w:val="24"/>
        </w:rPr>
        <w:t>, 45-52.</w:t>
      </w:r>
    </w:p>
    <w:p w14:paraId="6C0F97AB">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Rezaei, S., &amp; Abbasi, E. (2015). Investigating the impact of audit committee characteristics on financial performance. In </w:t>
      </w:r>
      <w:r>
        <w:rPr>
          <w:rFonts w:ascii="Arial" w:hAnsi="Arial" w:cs="Arial"/>
          <w:i/>
          <w:iCs/>
          <w:sz w:val="24"/>
          <w:szCs w:val="24"/>
          <w:shd w:val="clear" w:color="auto" w:fill="FFFFFF"/>
        </w:rPr>
        <w:t>First National Conference on Management and Global Economy. Aliabad Katoul, Iran</w:t>
      </w:r>
      <w:r>
        <w:rPr>
          <w:rFonts w:ascii="Arial" w:hAnsi="Arial" w:cs="Arial"/>
          <w:sz w:val="24"/>
          <w:szCs w:val="24"/>
          <w:shd w:val="clear" w:color="auto" w:fill="FFFFFF"/>
        </w:rPr>
        <w:t>.</w:t>
      </w:r>
    </w:p>
    <w:p w14:paraId="59529C5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Rodriguez-Fernandez, M., Fernandez-Alonso, S., &amp; Rodriguez-Rodriguez, J. (2014). Board characteristics and firm performance in Spain. </w:t>
      </w:r>
      <w:r>
        <w:rPr>
          <w:rFonts w:ascii="Arial" w:hAnsi="Arial" w:cs="Arial"/>
          <w:i/>
          <w:iCs/>
          <w:sz w:val="24"/>
          <w:szCs w:val="24"/>
          <w:shd w:val="clear" w:color="auto" w:fill="FFFFFF"/>
        </w:rPr>
        <w:t>Corporate Governance</w:t>
      </w:r>
      <w:r>
        <w:rPr>
          <w:rFonts w:ascii="Arial" w:hAnsi="Arial" w:cs="Arial"/>
          <w:sz w:val="24"/>
          <w:szCs w:val="24"/>
          <w:shd w:val="clear" w:color="auto" w:fill="FFFFFF"/>
        </w:rPr>
        <w:t>, </w:t>
      </w:r>
      <w:r>
        <w:rPr>
          <w:rFonts w:ascii="Arial" w:hAnsi="Arial" w:cs="Arial"/>
          <w:i/>
          <w:iCs/>
          <w:sz w:val="24"/>
          <w:szCs w:val="24"/>
          <w:shd w:val="clear" w:color="auto" w:fill="FFFFFF"/>
        </w:rPr>
        <w:t>14</w:t>
      </w:r>
      <w:r>
        <w:rPr>
          <w:rFonts w:ascii="Arial" w:hAnsi="Arial" w:cs="Arial"/>
          <w:sz w:val="24"/>
          <w:szCs w:val="24"/>
          <w:shd w:val="clear" w:color="auto" w:fill="FFFFFF"/>
        </w:rPr>
        <w:t>(4), 485-503.</w:t>
      </w:r>
    </w:p>
    <w:p w14:paraId="3E29C14A">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Salehi, M., Zimon, G., Tarighi, H., &amp; Gholamzadeh, J. (2022). The effect of mandatory audit firm rotation on earnings management and audit fees: Evidence from Iran. </w:t>
      </w:r>
      <w:r>
        <w:rPr>
          <w:rFonts w:ascii="Arial" w:hAnsi="Arial" w:cs="Arial"/>
          <w:i/>
          <w:iCs/>
          <w:sz w:val="24"/>
          <w:szCs w:val="24"/>
          <w:shd w:val="clear" w:color="auto" w:fill="FFFFFF"/>
        </w:rPr>
        <w:t>Journal of Risk and Financial Management</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(3), 102.</w:t>
      </w:r>
    </w:p>
    <w:p w14:paraId="11BEE45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Salehi, M., Tahervafaei, M., &amp; Tarighi, H. (2018). The effect of characteristics of audit committee and board on corporate profitability in Iran. </w:t>
      </w:r>
      <w:r>
        <w:rPr>
          <w:rFonts w:ascii="Arial" w:hAnsi="Arial" w:cs="Arial"/>
          <w:i/>
          <w:iCs/>
          <w:sz w:val="24"/>
          <w:szCs w:val="24"/>
          <w:shd w:val="clear" w:color="auto" w:fill="FFFFFF"/>
        </w:rPr>
        <w:t>Journal of Economic and Administrative Sciences</w:t>
      </w:r>
      <w:r>
        <w:rPr>
          <w:rFonts w:ascii="Arial" w:hAnsi="Arial" w:cs="Arial"/>
          <w:sz w:val="24"/>
          <w:szCs w:val="24"/>
          <w:shd w:val="clear" w:color="auto" w:fill="FFFFFF"/>
        </w:rPr>
        <w:t>, </w:t>
      </w:r>
      <w:r>
        <w:rPr>
          <w:rFonts w:ascii="Arial" w:hAnsi="Arial" w:cs="Arial"/>
          <w:i/>
          <w:iCs/>
          <w:sz w:val="24"/>
          <w:szCs w:val="24"/>
          <w:shd w:val="clear" w:color="auto" w:fill="FFFFFF"/>
        </w:rPr>
        <w:t>34</w:t>
      </w:r>
      <w:r>
        <w:rPr>
          <w:rFonts w:ascii="Arial" w:hAnsi="Arial" w:cs="Arial"/>
          <w:sz w:val="24"/>
          <w:szCs w:val="24"/>
          <w:shd w:val="clear" w:color="auto" w:fill="FFFFFF"/>
        </w:rPr>
        <w:t>(1), 71-88.</w:t>
      </w:r>
    </w:p>
    <w:p w14:paraId="5B769260">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Sarkar, J., Sarkar, S., &amp; Sen, K. (2012). A corporate governance index for large listed companies in India. </w:t>
      </w:r>
      <w:r>
        <w:rPr>
          <w:rFonts w:ascii="Arial" w:hAnsi="Arial" w:cs="Arial"/>
          <w:i/>
          <w:iCs/>
          <w:sz w:val="24"/>
          <w:szCs w:val="24"/>
          <w:shd w:val="clear" w:color="auto" w:fill="FFFFFF"/>
        </w:rPr>
        <w:t>Pace University Accounting Research Paper</w:t>
      </w:r>
      <w:r>
        <w:rPr>
          <w:rFonts w:ascii="Arial" w:hAnsi="Arial" w:cs="Arial"/>
          <w:sz w:val="24"/>
          <w:szCs w:val="24"/>
          <w:shd w:val="clear" w:color="auto" w:fill="FFFFFF"/>
        </w:rPr>
        <w:t>, (2012/08).</w:t>
      </w:r>
    </w:p>
    <w:p w14:paraId="7170E09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 xml:space="preserve">Saunders, M., Lewis, P. &amp; Thornhill, A. (2019) </w:t>
      </w:r>
      <w:r>
        <w:rPr>
          <w:rStyle w:val="6"/>
          <w:rFonts w:ascii="Arial" w:hAnsi="Arial" w:cs="Arial"/>
          <w:sz w:val="24"/>
          <w:szCs w:val="24"/>
        </w:rPr>
        <w:t>Research Methods for Business Students</w:t>
      </w:r>
      <w:r>
        <w:rPr>
          <w:rFonts w:ascii="Arial" w:hAnsi="Arial" w:cs="Arial"/>
          <w:sz w:val="24"/>
          <w:szCs w:val="24"/>
        </w:rPr>
        <w:t>. 8th edn. Harlow: Pearson Education.</w:t>
      </w:r>
    </w:p>
    <w:p w14:paraId="592C1E4B">
      <w:pPr>
        <w:numPr>
          <w:ilvl w:val="0"/>
          <w:numId w:val="4"/>
        </w:numPr>
        <w:spacing w:line="360" w:lineRule="auto"/>
        <w:jc w:val="both"/>
        <w:rPr>
          <w:rFonts w:ascii="Arial" w:hAnsi="Arial" w:cs="Arial"/>
          <w:sz w:val="24"/>
          <w:szCs w:val="24"/>
        </w:rPr>
      </w:pPr>
      <w:r>
        <w:rPr>
          <w:rFonts w:ascii="Arial" w:hAnsi="Arial" w:cs="Arial"/>
          <w:sz w:val="24"/>
          <w:szCs w:val="24"/>
        </w:rPr>
        <w:t>Seetharaman, G. (2020). How different sectors of the economy are bearing the brunt of the coronavirus outbreak. </w:t>
      </w:r>
      <w:r>
        <w:rPr>
          <w:rFonts w:ascii="Arial" w:hAnsi="Arial" w:cs="Arial"/>
          <w:i/>
          <w:iCs/>
          <w:sz w:val="24"/>
          <w:szCs w:val="24"/>
        </w:rPr>
        <w:t>The Economic Time</w:t>
      </w:r>
      <w:r>
        <w:rPr>
          <w:rFonts w:ascii="Arial" w:hAnsi="Arial" w:cs="Arial"/>
          <w:sz w:val="24"/>
          <w:szCs w:val="24"/>
        </w:rPr>
        <w:t>.</w:t>
      </w:r>
    </w:p>
    <w:p w14:paraId="4F2A5041">
      <w:pPr>
        <w:pStyle w:val="15"/>
        <w:numPr>
          <w:ilvl w:val="0"/>
          <w:numId w:val="4"/>
        </w:numPr>
        <w:spacing w:line="360" w:lineRule="auto"/>
        <w:jc w:val="both"/>
        <w:rPr>
          <w:rFonts w:ascii="Arial" w:hAnsi="Arial" w:cs="Arial"/>
          <w:sz w:val="24"/>
          <w:szCs w:val="24"/>
          <w:shd w:val="clear" w:color="auto" w:fill="FFFFFF"/>
        </w:rPr>
      </w:pPr>
      <w:r>
        <w:rPr>
          <w:rFonts w:ascii="Arial" w:hAnsi="Arial" w:cs="Arial"/>
          <w:kern w:val="0"/>
          <w:sz w:val="24"/>
          <w:szCs w:val="24"/>
        </w:rPr>
        <w:t xml:space="preserve">Sengupta, R., &amp; Vardhan, H. (2019). </w:t>
      </w:r>
      <w:r>
        <w:rPr>
          <w:rFonts w:ascii="Arial" w:hAnsi="Arial" w:cs="Arial"/>
          <w:i/>
          <w:kern w:val="0"/>
          <w:sz w:val="24"/>
          <w:szCs w:val="24"/>
        </w:rPr>
        <w:t>Banking crisis is impeding India's economy</w:t>
      </w:r>
      <w:r>
        <w:rPr>
          <w:rFonts w:ascii="Arial" w:hAnsi="Arial" w:cs="Arial"/>
          <w:kern w:val="0"/>
          <w:sz w:val="24"/>
          <w:szCs w:val="24"/>
        </w:rPr>
        <w:t>. In East Asia Forum (Vol. 3).</w:t>
      </w:r>
    </w:p>
    <w:p w14:paraId="6D01306E">
      <w:pPr>
        <w:numPr>
          <w:ilvl w:val="0"/>
          <w:numId w:val="4"/>
        </w:numPr>
        <w:spacing w:line="360" w:lineRule="auto"/>
        <w:jc w:val="both"/>
        <w:rPr>
          <w:rFonts w:ascii="Arial" w:hAnsi="Arial" w:cs="Arial"/>
          <w:sz w:val="24"/>
          <w:szCs w:val="24"/>
        </w:rPr>
      </w:pPr>
      <w:r>
        <w:rPr>
          <w:rFonts w:ascii="Arial" w:hAnsi="Arial" w:cs="Arial"/>
          <w:sz w:val="24"/>
          <w:szCs w:val="24"/>
        </w:rPr>
        <w:t xml:space="preserve">Shafi, M., Liu, J., &amp; Ren, W. (2020). ‘Impact of COVID-19 pandemic on micro, small, and medium-sized Enterprises operating in Pakistan’. </w:t>
      </w:r>
      <w:r>
        <w:rPr>
          <w:rFonts w:ascii="Arial" w:hAnsi="Arial" w:cs="Arial"/>
          <w:i/>
          <w:sz w:val="24"/>
          <w:szCs w:val="24"/>
        </w:rPr>
        <w:t>Research in Globalization</w:t>
      </w:r>
      <w:r>
        <w:rPr>
          <w:rFonts w:ascii="Arial" w:hAnsi="Arial" w:cs="Arial"/>
          <w:sz w:val="24"/>
          <w:szCs w:val="24"/>
        </w:rPr>
        <w:t>, 2, 100018.</w:t>
      </w:r>
    </w:p>
    <w:p w14:paraId="1376676C">
      <w:pPr>
        <w:numPr>
          <w:ilvl w:val="0"/>
          <w:numId w:val="4"/>
        </w:numPr>
        <w:spacing w:line="360" w:lineRule="auto"/>
        <w:jc w:val="both"/>
        <w:rPr>
          <w:rFonts w:ascii="Arial" w:hAnsi="Arial" w:cs="Arial"/>
          <w:sz w:val="24"/>
          <w:szCs w:val="24"/>
        </w:rPr>
      </w:pPr>
      <w:r>
        <w:rPr>
          <w:rFonts w:ascii="Arial" w:hAnsi="Arial" w:cs="Arial"/>
          <w:sz w:val="24"/>
          <w:szCs w:val="24"/>
        </w:rPr>
        <w:t>Sharma, A., Adhikary, A., &amp; Borah, S. B. (2020). Covid-19′ s impact on supply chain decisions: Strategic insights from NASDAQ 100 firms using Twitter data. </w:t>
      </w:r>
      <w:r>
        <w:rPr>
          <w:rFonts w:ascii="Arial" w:hAnsi="Arial" w:cs="Arial"/>
          <w:i/>
          <w:iCs/>
          <w:sz w:val="24"/>
          <w:szCs w:val="24"/>
        </w:rPr>
        <w:t>Journal of business research</w:t>
      </w:r>
      <w:r>
        <w:rPr>
          <w:rFonts w:ascii="Arial" w:hAnsi="Arial" w:cs="Arial"/>
          <w:sz w:val="24"/>
          <w:szCs w:val="24"/>
        </w:rPr>
        <w:t>, </w:t>
      </w:r>
      <w:r>
        <w:rPr>
          <w:rFonts w:ascii="Arial" w:hAnsi="Arial" w:cs="Arial"/>
          <w:i/>
          <w:iCs/>
          <w:sz w:val="24"/>
          <w:szCs w:val="24"/>
        </w:rPr>
        <w:t>117</w:t>
      </w:r>
      <w:r>
        <w:rPr>
          <w:rFonts w:ascii="Arial" w:hAnsi="Arial" w:cs="Arial"/>
          <w:sz w:val="24"/>
          <w:szCs w:val="24"/>
        </w:rPr>
        <w:t>, 443-449.</w:t>
      </w:r>
    </w:p>
    <w:p w14:paraId="2785EB1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Shan, Y. G., &amp; McIver, R. P. (2011). Corporate governance mechanisms and financial performance in China: Panel data evidence on listed non-financial companies. </w:t>
      </w:r>
      <w:r>
        <w:rPr>
          <w:rFonts w:ascii="Arial" w:hAnsi="Arial" w:cs="Arial"/>
          <w:i/>
          <w:iCs/>
          <w:sz w:val="24"/>
          <w:szCs w:val="24"/>
          <w:shd w:val="clear" w:color="auto" w:fill="FFFFFF"/>
        </w:rPr>
        <w:t>Asia Pacific Business Review</w:t>
      </w:r>
      <w:r>
        <w:rPr>
          <w:rFonts w:ascii="Arial" w:hAnsi="Arial" w:cs="Arial"/>
          <w:sz w:val="24"/>
          <w:szCs w:val="24"/>
          <w:shd w:val="clear" w:color="auto" w:fill="FFFFFF"/>
        </w:rPr>
        <w:t>, </w:t>
      </w:r>
      <w:r>
        <w:rPr>
          <w:rFonts w:ascii="Arial" w:hAnsi="Arial" w:cs="Arial"/>
          <w:i/>
          <w:iCs/>
          <w:sz w:val="24"/>
          <w:szCs w:val="24"/>
          <w:shd w:val="clear" w:color="auto" w:fill="FFFFFF"/>
        </w:rPr>
        <w:t>17</w:t>
      </w:r>
      <w:r>
        <w:rPr>
          <w:rFonts w:ascii="Arial" w:hAnsi="Arial" w:cs="Arial"/>
          <w:sz w:val="24"/>
          <w:szCs w:val="24"/>
          <w:shd w:val="clear" w:color="auto" w:fill="FFFFFF"/>
        </w:rPr>
        <w:t>(3), 301-324.</w:t>
      </w:r>
    </w:p>
    <w:p w14:paraId="5675772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Shan, Y. G. (2019). Managerial ownership, board independence and firm performance. </w:t>
      </w:r>
      <w:r>
        <w:rPr>
          <w:rFonts w:ascii="Arial" w:hAnsi="Arial" w:cs="Arial"/>
          <w:i/>
          <w:iCs/>
          <w:sz w:val="24"/>
          <w:szCs w:val="24"/>
          <w:shd w:val="clear" w:color="auto" w:fill="FFFFFF"/>
        </w:rPr>
        <w:t>Accounting Research Journal</w:t>
      </w:r>
      <w:r>
        <w:rPr>
          <w:rFonts w:ascii="Arial" w:hAnsi="Arial" w:cs="Arial"/>
          <w:sz w:val="24"/>
          <w:szCs w:val="24"/>
          <w:shd w:val="clear" w:color="auto" w:fill="FFFFFF"/>
        </w:rPr>
        <w:t>, </w:t>
      </w:r>
      <w:r>
        <w:rPr>
          <w:rFonts w:ascii="Arial" w:hAnsi="Arial" w:cs="Arial"/>
          <w:i/>
          <w:iCs/>
          <w:sz w:val="24"/>
          <w:szCs w:val="24"/>
          <w:shd w:val="clear" w:color="auto" w:fill="FFFFFF"/>
        </w:rPr>
        <w:t>32</w:t>
      </w:r>
      <w:r>
        <w:rPr>
          <w:rFonts w:ascii="Arial" w:hAnsi="Arial" w:cs="Arial"/>
          <w:sz w:val="24"/>
          <w:szCs w:val="24"/>
          <w:shd w:val="clear" w:color="auto" w:fill="FFFFFF"/>
        </w:rPr>
        <w:t>(2), 203-220.</w:t>
      </w:r>
    </w:p>
    <w:p w14:paraId="5D5EF782">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Shen, H., Fu, M., Pan, H., Yu, Z., &amp; Chen, Y. (2020). ‘The impact of the COVID-19 pandemic on firm performance’. </w:t>
      </w:r>
      <w:r>
        <w:rPr>
          <w:rFonts w:ascii="Arial" w:hAnsi="Arial" w:cs="Arial"/>
          <w:i/>
          <w:iCs/>
          <w:sz w:val="24"/>
          <w:szCs w:val="24"/>
          <w:shd w:val="clear" w:color="auto" w:fill="FFFFFF"/>
        </w:rPr>
        <w:t>Emerging Markets Finance and Trade</w:t>
      </w:r>
      <w:r>
        <w:rPr>
          <w:rFonts w:ascii="Arial" w:hAnsi="Arial" w:cs="Arial"/>
          <w:sz w:val="24"/>
          <w:szCs w:val="24"/>
          <w:shd w:val="clear" w:color="auto" w:fill="FFFFFF"/>
        </w:rPr>
        <w:t>, </w:t>
      </w:r>
      <w:r>
        <w:rPr>
          <w:rFonts w:ascii="Arial" w:hAnsi="Arial" w:cs="Arial"/>
          <w:i/>
          <w:iCs/>
          <w:sz w:val="24"/>
          <w:szCs w:val="24"/>
          <w:shd w:val="clear" w:color="auto" w:fill="FFFFFF"/>
        </w:rPr>
        <w:t>56</w:t>
      </w:r>
      <w:r>
        <w:rPr>
          <w:rFonts w:ascii="Arial" w:hAnsi="Arial" w:cs="Arial"/>
          <w:sz w:val="24"/>
          <w:szCs w:val="24"/>
          <w:shd w:val="clear" w:color="auto" w:fill="FFFFFF"/>
        </w:rPr>
        <w:t>(10), 2213-2230.</w:t>
      </w:r>
    </w:p>
    <w:p w14:paraId="2F2088D6">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Simionescu, L. N., Gherghina, Ş. C., Tawil, H., &amp; Sheikha, Z. (2021). Does board gender diversity affect firm performance? Empirical evidence from Standard &amp; Poor’s 500 Information Technology Sector. </w:t>
      </w:r>
      <w:r>
        <w:rPr>
          <w:rFonts w:ascii="Arial" w:hAnsi="Arial" w:cs="Arial"/>
          <w:i/>
          <w:iCs/>
          <w:sz w:val="24"/>
          <w:szCs w:val="24"/>
          <w:shd w:val="clear" w:color="auto" w:fill="FFFFFF"/>
        </w:rPr>
        <w:t>Financial Innovation</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(1), 52.</w:t>
      </w:r>
    </w:p>
    <w:p w14:paraId="0C143AD1">
      <w:pPr>
        <w:numPr>
          <w:ilvl w:val="0"/>
          <w:numId w:val="4"/>
        </w:numPr>
        <w:spacing w:line="360" w:lineRule="auto"/>
        <w:jc w:val="both"/>
        <w:rPr>
          <w:rFonts w:ascii="Arial" w:hAnsi="Arial" w:cs="Arial"/>
          <w:sz w:val="24"/>
          <w:szCs w:val="24"/>
        </w:rPr>
      </w:pPr>
      <w:r>
        <w:rPr>
          <w:rFonts w:ascii="Arial" w:hAnsi="Arial" w:cs="Arial"/>
          <w:sz w:val="24"/>
          <w:szCs w:val="24"/>
        </w:rPr>
        <w:t>Slater, A. (2020). Soaring corporate debt is a risk to global growth. </w:t>
      </w:r>
      <w:r>
        <w:rPr>
          <w:rFonts w:ascii="Arial" w:hAnsi="Arial" w:cs="Arial"/>
          <w:i/>
          <w:iCs/>
          <w:sz w:val="24"/>
          <w:szCs w:val="24"/>
        </w:rPr>
        <w:t>Economic Outlook</w:t>
      </w:r>
      <w:r>
        <w:rPr>
          <w:rFonts w:ascii="Arial" w:hAnsi="Arial" w:cs="Arial"/>
          <w:sz w:val="24"/>
          <w:szCs w:val="24"/>
        </w:rPr>
        <w:t>, </w:t>
      </w:r>
      <w:r>
        <w:rPr>
          <w:rFonts w:ascii="Arial" w:hAnsi="Arial" w:cs="Arial"/>
          <w:i/>
          <w:iCs/>
          <w:sz w:val="24"/>
          <w:szCs w:val="24"/>
        </w:rPr>
        <w:t>44</w:t>
      </w:r>
      <w:r>
        <w:rPr>
          <w:rFonts w:ascii="Arial" w:hAnsi="Arial" w:cs="Arial"/>
          <w:sz w:val="24"/>
          <w:szCs w:val="24"/>
        </w:rPr>
        <w:t>(3), 19-23.</w:t>
      </w:r>
    </w:p>
    <w:p w14:paraId="4BABFAF6">
      <w:pPr>
        <w:pStyle w:val="15"/>
        <w:numPr>
          <w:ilvl w:val="0"/>
          <w:numId w:val="4"/>
        </w:num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Subramanian, A., &amp; Feman, J. (2020). </w:t>
      </w:r>
      <w:r>
        <w:rPr>
          <w:rFonts w:ascii="Arial" w:hAnsi="Arial" w:cs="Arial"/>
          <w:i/>
          <w:sz w:val="24"/>
          <w:szCs w:val="24"/>
        </w:rPr>
        <w:t>With Covid-19 crisis dealing sharp blow to struggling financial sector, revival calls for new approach</w:t>
      </w:r>
      <w:r>
        <w:rPr>
          <w:rFonts w:ascii="Arial" w:hAnsi="Arial" w:cs="Arial"/>
          <w:sz w:val="24"/>
          <w:szCs w:val="24"/>
        </w:rPr>
        <w:t xml:space="preserve">. The Indian Express. Available on: </w:t>
      </w:r>
      <w:r>
        <w:fldChar w:fldCharType="begin"/>
      </w:r>
      <w:r>
        <w:instrText xml:space="preserve"> HYPERLINK "https://indianexpress.com/article/opinion/columns/india-economy-npa-covid-19-arvind-subramanian-josh-felman-6400664/" </w:instrText>
      </w:r>
      <w:r>
        <w:fldChar w:fldCharType="separate"/>
      </w:r>
      <w:r>
        <w:rPr>
          <w:rStyle w:val="9"/>
          <w:rFonts w:ascii="Arial" w:hAnsi="Arial" w:cs="Arial"/>
          <w:sz w:val="24"/>
          <w:szCs w:val="24"/>
        </w:rPr>
        <w:t>https://indianexpress.com/article/opinion/columns/india-economy-npa-covid-19-arvind-subramanian-josh-felman-6400664/</w:t>
      </w:r>
      <w:r>
        <w:rPr>
          <w:rStyle w:val="9"/>
          <w:rFonts w:ascii="Arial" w:hAnsi="Arial" w:cs="Arial"/>
          <w:sz w:val="24"/>
          <w:szCs w:val="24"/>
        </w:rPr>
        <w:fldChar w:fldCharType="end"/>
      </w:r>
      <w:r>
        <w:rPr>
          <w:rFonts w:ascii="Arial" w:hAnsi="Arial" w:cs="Arial"/>
          <w:sz w:val="24"/>
          <w:szCs w:val="24"/>
        </w:rPr>
        <w:t xml:space="preserve"> </w:t>
      </w:r>
    </w:p>
    <w:p w14:paraId="07F891A4">
      <w:pPr>
        <w:numPr>
          <w:ilvl w:val="0"/>
          <w:numId w:val="4"/>
        </w:numPr>
        <w:spacing w:line="360" w:lineRule="auto"/>
        <w:jc w:val="both"/>
        <w:rPr>
          <w:rFonts w:ascii="Arial" w:hAnsi="Arial" w:cs="Arial"/>
          <w:sz w:val="24"/>
          <w:szCs w:val="24"/>
        </w:rPr>
      </w:pPr>
      <w:r>
        <w:rPr>
          <w:rFonts w:ascii="Arial" w:hAnsi="Arial" w:cs="Arial"/>
          <w:sz w:val="24"/>
          <w:szCs w:val="24"/>
        </w:rPr>
        <w:t>Tarighi, H., Hosseiny, Z. N., Akbari, M., &amp; Mohammadhosseini, E. (2023). ‘The Moderating Effect of the COVID-19 Pandemic on the Relation between Corporate Governance and Firm Performance’. </w:t>
      </w:r>
      <w:r>
        <w:rPr>
          <w:rFonts w:ascii="Arial" w:hAnsi="Arial" w:cs="Arial"/>
          <w:i/>
          <w:iCs/>
          <w:sz w:val="24"/>
          <w:szCs w:val="24"/>
        </w:rPr>
        <w:t>Journal of Risk and Financial Management</w:t>
      </w:r>
      <w:r>
        <w:rPr>
          <w:rFonts w:ascii="Arial" w:hAnsi="Arial" w:cs="Arial"/>
          <w:sz w:val="24"/>
          <w:szCs w:val="24"/>
        </w:rPr>
        <w:t>, </w:t>
      </w:r>
      <w:r>
        <w:rPr>
          <w:rFonts w:ascii="Arial" w:hAnsi="Arial" w:cs="Arial"/>
          <w:i/>
          <w:iCs/>
          <w:sz w:val="24"/>
          <w:szCs w:val="24"/>
        </w:rPr>
        <w:t>16</w:t>
      </w:r>
      <w:r>
        <w:rPr>
          <w:rFonts w:ascii="Arial" w:hAnsi="Arial" w:cs="Arial"/>
          <w:sz w:val="24"/>
          <w:szCs w:val="24"/>
        </w:rPr>
        <w:t>(7), 306.</w:t>
      </w:r>
    </w:p>
    <w:p w14:paraId="54689437">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Umar, U. H., Jibril, A. I., &amp; Musa, S. (2022). ‘Audit committee characteristics and corporate philanthropic donations before and during COVID-19.’ </w:t>
      </w:r>
      <w:r>
        <w:rPr>
          <w:rFonts w:ascii="Arial" w:hAnsi="Arial" w:cs="Arial"/>
          <w:i/>
          <w:iCs/>
          <w:sz w:val="24"/>
          <w:szCs w:val="24"/>
          <w:shd w:val="clear" w:color="auto" w:fill="FFFFFF"/>
        </w:rPr>
        <w:t>Corporate Governance: The International Journal of Business in Society</w:t>
      </w:r>
      <w:r>
        <w:rPr>
          <w:rFonts w:ascii="Arial" w:hAnsi="Arial" w:cs="Arial"/>
          <w:sz w:val="24"/>
          <w:szCs w:val="24"/>
          <w:shd w:val="clear" w:color="auto" w:fill="FFFFFF"/>
        </w:rPr>
        <w:t>, 23(2), 2021-0387.</w:t>
      </w:r>
    </w:p>
    <w:p w14:paraId="2017000C">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Vafeas, N. (1999). Board meeting frequency and firm performance. </w:t>
      </w:r>
      <w:r>
        <w:rPr>
          <w:rFonts w:ascii="Arial" w:hAnsi="Arial" w:cs="Arial"/>
          <w:i/>
          <w:iCs/>
          <w:sz w:val="24"/>
          <w:szCs w:val="24"/>
          <w:shd w:val="clear" w:color="auto" w:fill="FFFFFF"/>
        </w:rPr>
        <w:t>Journal of financial economics</w:t>
      </w:r>
      <w:r>
        <w:rPr>
          <w:rFonts w:ascii="Arial" w:hAnsi="Arial" w:cs="Arial"/>
          <w:sz w:val="24"/>
          <w:szCs w:val="24"/>
          <w:shd w:val="clear" w:color="auto" w:fill="FFFFFF"/>
        </w:rPr>
        <w:t>, </w:t>
      </w:r>
      <w:r>
        <w:rPr>
          <w:rFonts w:ascii="Arial" w:hAnsi="Arial" w:cs="Arial"/>
          <w:i/>
          <w:iCs/>
          <w:sz w:val="24"/>
          <w:szCs w:val="24"/>
          <w:shd w:val="clear" w:color="auto" w:fill="FFFFFF"/>
        </w:rPr>
        <w:t>53</w:t>
      </w:r>
      <w:r>
        <w:rPr>
          <w:rFonts w:ascii="Arial" w:hAnsi="Arial" w:cs="Arial"/>
          <w:sz w:val="24"/>
          <w:szCs w:val="24"/>
          <w:shd w:val="clear" w:color="auto" w:fill="FFFFFF"/>
        </w:rPr>
        <w:t>(1), 113-142.</w:t>
      </w:r>
    </w:p>
    <w:p w14:paraId="681BE7C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Van den Berghe, L. A., &amp; Levrau, A. (2004). Evaluating boards of directors: what constitutes a good corporate board?. </w:t>
      </w:r>
      <w:r>
        <w:rPr>
          <w:rFonts w:ascii="Arial" w:hAnsi="Arial" w:cs="Arial"/>
          <w:i/>
          <w:iCs/>
          <w:sz w:val="24"/>
          <w:szCs w:val="24"/>
          <w:shd w:val="clear" w:color="auto" w:fill="FFFFFF"/>
        </w:rPr>
        <w:t>Corporate Governance: an international review</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(4), 461-478.</w:t>
      </w:r>
    </w:p>
    <w:p w14:paraId="3EDFC8F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Van Essen, M., Engelen, P. J., &amp; Carney, M. (2013). Does “Good” corporate governance help in a crisis? The impact of country</w:t>
      </w:r>
      <w:r>
        <w:rPr>
          <w:rFonts w:ascii="Cambria Math" w:hAnsi="Cambria Math" w:cs="Cambria Math"/>
          <w:sz w:val="24"/>
          <w:szCs w:val="24"/>
          <w:shd w:val="clear" w:color="auto" w:fill="FFFFFF"/>
        </w:rPr>
        <w:t>‐</w:t>
      </w:r>
      <w:r>
        <w:rPr>
          <w:rFonts w:ascii="Arial" w:hAnsi="Arial" w:cs="Arial"/>
          <w:sz w:val="24"/>
          <w:szCs w:val="24"/>
          <w:shd w:val="clear" w:color="auto" w:fill="FFFFFF"/>
        </w:rPr>
        <w:t>and firm</w:t>
      </w:r>
      <w:r>
        <w:rPr>
          <w:rFonts w:ascii="Cambria Math" w:hAnsi="Cambria Math" w:cs="Cambria Math"/>
          <w:sz w:val="24"/>
          <w:szCs w:val="24"/>
          <w:shd w:val="clear" w:color="auto" w:fill="FFFFFF"/>
        </w:rPr>
        <w:t>‐</w:t>
      </w:r>
      <w:r>
        <w:rPr>
          <w:rFonts w:ascii="Arial" w:hAnsi="Arial" w:cs="Arial"/>
          <w:sz w:val="24"/>
          <w:szCs w:val="24"/>
          <w:shd w:val="clear" w:color="auto" w:fill="FFFFFF"/>
        </w:rPr>
        <w:t>level governance mechanisms in the E uropean financial crisis. </w:t>
      </w:r>
      <w:r>
        <w:rPr>
          <w:rFonts w:ascii="Arial" w:hAnsi="Arial" w:cs="Arial"/>
          <w:i/>
          <w:iCs/>
          <w:sz w:val="24"/>
          <w:szCs w:val="24"/>
          <w:shd w:val="clear" w:color="auto" w:fill="FFFFFF"/>
        </w:rPr>
        <w:t>Corporate governance: an international review</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(3), 201-224.</w:t>
      </w:r>
    </w:p>
    <w:p w14:paraId="154ECF61">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Vishwakarma, R., &amp; Kumar, A. (2015). Does corporate governance increases firm performance of IT industry? An empirical analysis. </w:t>
      </w:r>
      <w:r>
        <w:rPr>
          <w:rFonts w:ascii="Arial" w:hAnsi="Arial" w:cs="Arial"/>
          <w:i/>
          <w:iCs/>
          <w:sz w:val="24"/>
          <w:szCs w:val="24"/>
          <w:shd w:val="clear" w:color="auto" w:fill="FFFFFF"/>
        </w:rPr>
        <w:t>Journal of Management research</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(2), 82-90.</w:t>
      </w:r>
    </w:p>
    <w:p w14:paraId="2677F94F">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Vo, D., &amp; Phan, T. (2013). Corporate governance and firm performance: Empirical evidence from Vietnam. </w:t>
      </w:r>
      <w:r>
        <w:rPr>
          <w:rFonts w:ascii="Arial" w:hAnsi="Arial" w:cs="Arial"/>
          <w:i/>
          <w:iCs/>
          <w:sz w:val="24"/>
          <w:szCs w:val="24"/>
          <w:shd w:val="clear" w:color="auto" w:fill="FFFFFF"/>
        </w:rPr>
        <w:t>Journal of Economic Development</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(1), 62-78.</w:t>
      </w:r>
    </w:p>
    <w:p w14:paraId="5A34059B">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Xie, B., Davidson III, W. N., &amp; DaDalt, P. J. (2003). Earnings management and corporate governance: the role of the board and the audit committee. </w:t>
      </w:r>
      <w:r>
        <w:rPr>
          <w:rFonts w:ascii="Arial" w:hAnsi="Arial" w:cs="Arial"/>
          <w:i/>
          <w:iCs/>
          <w:sz w:val="24"/>
          <w:szCs w:val="24"/>
          <w:shd w:val="clear" w:color="auto" w:fill="FFFFFF"/>
        </w:rPr>
        <w:t>Journal of corporate finance</w:t>
      </w:r>
      <w:r>
        <w:rPr>
          <w:rFonts w:ascii="Arial" w:hAnsi="Arial" w:cs="Arial"/>
          <w:sz w:val="24"/>
          <w:szCs w:val="24"/>
          <w:shd w:val="clear" w:color="auto" w:fill="FFFFFF"/>
        </w:rPr>
        <w:t>, </w:t>
      </w:r>
      <w:r>
        <w:rPr>
          <w:rFonts w:ascii="Arial" w:hAnsi="Arial" w:cs="Arial"/>
          <w:i/>
          <w:iCs/>
          <w:sz w:val="24"/>
          <w:szCs w:val="24"/>
          <w:shd w:val="clear" w:color="auto" w:fill="FFFFFF"/>
        </w:rPr>
        <w:t>9</w:t>
      </w:r>
      <w:r>
        <w:rPr>
          <w:rFonts w:ascii="Arial" w:hAnsi="Arial" w:cs="Arial"/>
          <w:sz w:val="24"/>
          <w:szCs w:val="24"/>
          <w:shd w:val="clear" w:color="auto" w:fill="FFFFFF"/>
        </w:rPr>
        <w:t>(3), 295-316.</w:t>
      </w:r>
    </w:p>
    <w:p w14:paraId="5D7368D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Wan Yusoff, W. F., &amp; Armstrong, A. (2012). ‘What competencies should directors possess? Malaysia perspective’. </w:t>
      </w:r>
      <w:r>
        <w:rPr>
          <w:rFonts w:ascii="Arial" w:hAnsi="Arial" w:cs="Arial"/>
          <w:i/>
          <w:iCs/>
          <w:sz w:val="24"/>
          <w:szCs w:val="24"/>
          <w:shd w:val="clear" w:color="auto" w:fill="FFFFFF"/>
        </w:rPr>
        <w:t>International Journal of Business and Management</w:t>
      </w:r>
      <w:r>
        <w:rPr>
          <w:rFonts w:ascii="Arial" w:hAnsi="Arial" w:cs="Arial"/>
          <w:sz w:val="24"/>
          <w:szCs w:val="24"/>
          <w:shd w:val="clear" w:color="auto" w:fill="FFFFFF"/>
        </w:rPr>
        <w:t>, </w:t>
      </w:r>
      <w:r>
        <w:rPr>
          <w:rFonts w:ascii="Arial" w:hAnsi="Arial" w:cs="Arial"/>
          <w:i/>
          <w:iCs/>
          <w:sz w:val="24"/>
          <w:szCs w:val="24"/>
          <w:shd w:val="clear" w:color="auto" w:fill="FFFFFF"/>
        </w:rPr>
        <w:t>7</w:t>
      </w:r>
      <w:r>
        <w:rPr>
          <w:rFonts w:ascii="Arial" w:hAnsi="Arial" w:cs="Arial"/>
          <w:sz w:val="24"/>
          <w:szCs w:val="24"/>
          <w:shd w:val="clear" w:color="auto" w:fill="FFFFFF"/>
        </w:rPr>
        <w:t>(2), 142-149.</w:t>
      </w:r>
    </w:p>
    <w:p w14:paraId="606EA093">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Wang, Y., Abbasi, K., Babajide, B., &amp; Yekini, K. C. (2020). Corporate governance mechanisms and firm performance: evidence from the emerging market following the revised CG code. </w:t>
      </w:r>
      <w:r>
        <w:rPr>
          <w:rFonts w:ascii="Arial" w:hAnsi="Arial" w:cs="Arial"/>
          <w:i/>
          <w:iCs/>
          <w:sz w:val="24"/>
          <w:szCs w:val="24"/>
          <w:shd w:val="clear" w:color="auto" w:fill="FFFFFF"/>
        </w:rPr>
        <w:t>Corporate Governance: The international journal of business in society</w:t>
      </w:r>
      <w:r>
        <w:rPr>
          <w:rFonts w:ascii="Arial" w:hAnsi="Arial" w:cs="Arial"/>
          <w:sz w:val="24"/>
          <w:szCs w:val="24"/>
          <w:shd w:val="clear" w:color="auto" w:fill="FFFFFF"/>
        </w:rPr>
        <w:t>, </w:t>
      </w:r>
      <w:r>
        <w:rPr>
          <w:rFonts w:ascii="Arial" w:hAnsi="Arial" w:cs="Arial"/>
          <w:i/>
          <w:iCs/>
          <w:sz w:val="24"/>
          <w:szCs w:val="24"/>
          <w:shd w:val="clear" w:color="auto" w:fill="FFFFFF"/>
        </w:rPr>
        <w:t>20</w:t>
      </w:r>
      <w:r>
        <w:rPr>
          <w:rFonts w:ascii="Arial" w:hAnsi="Arial" w:cs="Arial"/>
          <w:sz w:val="24"/>
          <w:szCs w:val="24"/>
          <w:shd w:val="clear" w:color="auto" w:fill="FFFFFF"/>
        </w:rPr>
        <w:t>(1), 158-174.</w:t>
      </w:r>
    </w:p>
    <w:p w14:paraId="14D2F25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Wang, W. K., Lu, W. M., &amp; Lin, Y. L. (2012). Does corporate governance play an important role in BHC performance? Evidence from the US. </w:t>
      </w:r>
      <w:r>
        <w:rPr>
          <w:rFonts w:ascii="Arial" w:hAnsi="Arial" w:cs="Arial"/>
          <w:i/>
          <w:iCs/>
          <w:sz w:val="24"/>
          <w:szCs w:val="24"/>
          <w:shd w:val="clear" w:color="auto" w:fill="FFFFFF"/>
        </w:rPr>
        <w:t>Economic Modelling</w:t>
      </w:r>
      <w:r>
        <w:rPr>
          <w:rFonts w:ascii="Arial" w:hAnsi="Arial" w:cs="Arial"/>
          <w:sz w:val="24"/>
          <w:szCs w:val="24"/>
          <w:shd w:val="clear" w:color="auto" w:fill="FFFFFF"/>
        </w:rPr>
        <w:t>, </w:t>
      </w:r>
      <w:r>
        <w:rPr>
          <w:rFonts w:ascii="Arial" w:hAnsi="Arial" w:cs="Arial"/>
          <w:i/>
          <w:iCs/>
          <w:sz w:val="24"/>
          <w:szCs w:val="24"/>
          <w:shd w:val="clear" w:color="auto" w:fill="FFFFFF"/>
        </w:rPr>
        <w:t>29</w:t>
      </w:r>
      <w:r>
        <w:rPr>
          <w:rFonts w:ascii="Arial" w:hAnsi="Arial" w:cs="Arial"/>
          <w:sz w:val="24"/>
          <w:szCs w:val="24"/>
          <w:shd w:val="clear" w:color="auto" w:fill="FFFFFF"/>
        </w:rPr>
        <w:t>(3), 751-760.</w:t>
      </w:r>
    </w:p>
    <w:p w14:paraId="419F594B">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Wijethilake, C., Ekanayake, A., &amp; Perera, S. (2015). ‘Board involvement in corporate performance: evidence from a developing country’. </w:t>
      </w:r>
      <w:r>
        <w:rPr>
          <w:rFonts w:ascii="Arial" w:hAnsi="Arial" w:cs="Arial"/>
          <w:i/>
          <w:iCs/>
          <w:sz w:val="24"/>
          <w:szCs w:val="24"/>
          <w:shd w:val="clear" w:color="auto" w:fill="FFFFFF"/>
        </w:rPr>
        <w:t>Journal of Accounting in Emerging Economies</w:t>
      </w:r>
      <w:r>
        <w:rPr>
          <w:rFonts w:ascii="Arial" w:hAnsi="Arial" w:cs="Arial"/>
          <w:sz w:val="24"/>
          <w:szCs w:val="24"/>
          <w:shd w:val="clear" w:color="auto" w:fill="FFFFFF"/>
        </w:rPr>
        <w:t>, </w:t>
      </w:r>
      <w:r>
        <w:rPr>
          <w:rFonts w:ascii="Arial" w:hAnsi="Arial" w:cs="Arial"/>
          <w:i/>
          <w:iCs/>
          <w:sz w:val="24"/>
          <w:szCs w:val="24"/>
          <w:shd w:val="clear" w:color="auto" w:fill="FFFFFF"/>
        </w:rPr>
        <w:t>5</w:t>
      </w:r>
      <w:r>
        <w:rPr>
          <w:rFonts w:ascii="Arial" w:hAnsi="Arial" w:cs="Arial"/>
          <w:sz w:val="24"/>
          <w:szCs w:val="24"/>
          <w:shd w:val="clear" w:color="auto" w:fill="FFFFFF"/>
        </w:rPr>
        <w:t>(3), 250-268.</w:t>
      </w:r>
    </w:p>
    <w:p w14:paraId="15B545FE">
      <w:pPr>
        <w:pStyle w:val="15"/>
        <w:numPr>
          <w:ilvl w:val="0"/>
          <w:numId w:val="4"/>
        </w:numPr>
        <w:spacing w:line="360" w:lineRule="auto"/>
        <w:jc w:val="both"/>
        <w:rPr>
          <w:rFonts w:ascii="Arial" w:hAnsi="Arial" w:cs="Arial"/>
          <w:color w:val="222222"/>
          <w:sz w:val="24"/>
          <w:szCs w:val="24"/>
          <w:shd w:val="clear" w:color="auto" w:fill="FFFFFF"/>
        </w:rPr>
      </w:pPr>
      <w:r>
        <w:rPr>
          <w:rFonts w:ascii="Arial" w:hAnsi="Arial" w:cs="Arial"/>
          <w:sz w:val="24"/>
          <w:szCs w:val="24"/>
          <w:shd w:val="clear" w:color="auto" w:fill="FFFFFF"/>
        </w:rPr>
        <w:t>Williams, R. J., Fadil, P. A., &amp; Armstrong, R. W. (2005). Top management team tenure and corporate illegal activity: The moderating influence of board size. </w:t>
      </w:r>
      <w:r>
        <w:rPr>
          <w:rFonts w:ascii="Arial" w:hAnsi="Arial" w:cs="Arial"/>
          <w:i/>
          <w:iCs/>
          <w:sz w:val="24"/>
          <w:szCs w:val="24"/>
          <w:shd w:val="clear" w:color="auto" w:fill="FFFFFF"/>
        </w:rPr>
        <w:t>Journal of Managerial issues</w:t>
      </w:r>
      <w:r>
        <w:rPr>
          <w:rFonts w:ascii="Arial" w:hAnsi="Arial" w:cs="Arial"/>
          <w:sz w:val="24"/>
          <w:szCs w:val="24"/>
          <w:shd w:val="clear" w:color="auto" w:fill="FFFFFF"/>
        </w:rPr>
        <w:t xml:space="preserve">, 479-493. Available on: </w:t>
      </w:r>
      <w:r>
        <w:fldChar w:fldCharType="begin"/>
      </w:r>
      <w:r>
        <w:instrText xml:space="preserve"> HYPERLINK "https://www.jstor.org/stable/40604516" </w:instrText>
      </w:r>
      <w:r>
        <w:fldChar w:fldCharType="separate"/>
      </w:r>
      <w:r>
        <w:rPr>
          <w:rStyle w:val="9"/>
          <w:rFonts w:ascii="Arial" w:hAnsi="Arial" w:cs="Arial"/>
          <w:sz w:val="24"/>
          <w:szCs w:val="24"/>
          <w:shd w:val="clear" w:color="auto" w:fill="FFFFFF"/>
        </w:rPr>
        <w:t>https://www.jstor.org/stable/40604516</w:t>
      </w:r>
      <w:r>
        <w:rPr>
          <w:rStyle w:val="9"/>
          <w:rFonts w:ascii="Arial" w:hAnsi="Arial" w:cs="Arial"/>
          <w:sz w:val="24"/>
          <w:szCs w:val="24"/>
          <w:shd w:val="clear" w:color="auto" w:fill="FFFFFF"/>
        </w:rPr>
        <w:fldChar w:fldCharType="end"/>
      </w:r>
      <w:r>
        <w:rPr>
          <w:rFonts w:ascii="Arial" w:hAnsi="Arial" w:cs="Arial"/>
          <w:color w:val="222222"/>
          <w:sz w:val="24"/>
          <w:szCs w:val="24"/>
          <w:shd w:val="clear" w:color="auto" w:fill="FFFFFF"/>
        </w:rPr>
        <w:t xml:space="preserve"> </w:t>
      </w:r>
      <w:r>
        <w:rPr>
          <w:rFonts w:ascii="Arial" w:hAnsi="Arial" w:cs="Arial"/>
          <w:iCs/>
          <w:color w:val="222222"/>
          <w:sz w:val="24"/>
          <w:szCs w:val="24"/>
          <w:shd w:val="clear" w:color="auto" w:fill="FFFFFF"/>
        </w:rPr>
        <w:t>[Assessed on: 01st December, 2025]</w:t>
      </w:r>
      <w:r>
        <w:rPr>
          <w:rFonts w:ascii="Arial" w:hAnsi="Arial" w:cs="Arial"/>
          <w:color w:val="222222"/>
          <w:sz w:val="24"/>
          <w:szCs w:val="24"/>
          <w:shd w:val="clear" w:color="auto" w:fill="FFFFFF"/>
        </w:rPr>
        <w:t>.</w:t>
      </w:r>
    </w:p>
    <w:p w14:paraId="6CDB9BEF">
      <w:pPr>
        <w:numPr>
          <w:ilvl w:val="0"/>
          <w:numId w:val="4"/>
        </w:numPr>
        <w:spacing w:line="360" w:lineRule="auto"/>
        <w:jc w:val="both"/>
        <w:rPr>
          <w:rFonts w:ascii="Arial" w:hAnsi="Arial" w:cs="Arial"/>
          <w:sz w:val="24"/>
          <w:szCs w:val="24"/>
          <w:u w:val="single"/>
        </w:rPr>
      </w:pPr>
      <w:r>
        <w:rPr>
          <w:rFonts w:ascii="Arial" w:hAnsi="Arial" w:cs="Arial"/>
          <w:sz w:val="24"/>
          <w:szCs w:val="24"/>
        </w:rPr>
        <w:t xml:space="preserve">World Bank. 2020. COVID-19 to Plunge Global Economy into Worst Recession Since World War II. Available online: </w:t>
      </w:r>
      <w:r>
        <w:rPr>
          <w:rFonts w:ascii="Arial" w:hAnsi="Arial" w:cs="Arial"/>
          <w:color w:val="104862" w:themeColor="accent1" w:themeShade="BF"/>
          <w:sz w:val="24"/>
          <w:szCs w:val="24"/>
          <w:u w:val="single"/>
        </w:rPr>
        <w:t>https://www.worldbank.org/en/news/press-release/2020/06/08/COVID-19-to-plunge-global-economy-into-worstrecession-since-world-war-ii</w:t>
      </w:r>
      <w:r>
        <w:rPr>
          <w:rFonts w:ascii="Arial" w:hAnsi="Arial" w:cs="Arial"/>
          <w:color w:val="104862" w:themeColor="accent1" w:themeShade="BF"/>
          <w:sz w:val="24"/>
          <w:szCs w:val="24"/>
        </w:rPr>
        <w:t xml:space="preserve"> </w:t>
      </w:r>
      <w:r>
        <w:rPr>
          <w:rFonts w:ascii="Arial" w:hAnsi="Arial" w:cs="Arial"/>
          <w:sz w:val="24"/>
          <w:szCs w:val="24"/>
        </w:rPr>
        <w:t>[accessed on 16 November 2025].</w:t>
      </w:r>
    </w:p>
    <w:p w14:paraId="0662D8B8">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rPr>
        <w:t>Yasser, Q. R. (2012). ‘Affects of female directors on firms’ performance in Pakistan’. Modern Economy, 3, 817-825.</w:t>
      </w:r>
    </w:p>
    <w:p w14:paraId="68DCB51E">
      <w:pPr>
        <w:pStyle w:val="15"/>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Yermack, D. (1996). Higher market valuation of companies with a small board of directors. </w:t>
      </w:r>
      <w:r>
        <w:rPr>
          <w:rFonts w:ascii="Arial" w:hAnsi="Arial" w:cs="Arial"/>
          <w:i/>
          <w:iCs/>
          <w:sz w:val="24"/>
          <w:szCs w:val="24"/>
          <w:shd w:val="clear" w:color="auto" w:fill="FFFFFF"/>
        </w:rPr>
        <w:t>Journal of financial economics</w:t>
      </w:r>
      <w:r>
        <w:rPr>
          <w:rFonts w:ascii="Arial" w:hAnsi="Arial" w:cs="Arial"/>
          <w:sz w:val="24"/>
          <w:szCs w:val="24"/>
          <w:shd w:val="clear" w:color="auto" w:fill="FFFFFF"/>
        </w:rPr>
        <w:t>, </w:t>
      </w:r>
      <w:r>
        <w:rPr>
          <w:rFonts w:ascii="Arial" w:hAnsi="Arial" w:cs="Arial"/>
          <w:i/>
          <w:iCs/>
          <w:sz w:val="24"/>
          <w:szCs w:val="24"/>
          <w:shd w:val="clear" w:color="auto" w:fill="FFFFFF"/>
        </w:rPr>
        <w:t>40</w:t>
      </w:r>
      <w:r>
        <w:rPr>
          <w:rFonts w:ascii="Arial" w:hAnsi="Arial" w:cs="Arial"/>
          <w:sz w:val="24"/>
          <w:szCs w:val="24"/>
          <w:shd w:val="clear" w:color="auto" w:fill="FFFFFF"/>
        </w:rPr>
        <w:t>(2), 185-211.</w:t>
      </w:r>
    </w:p>
    <w:p w14:paraId="49E41D6E">
      <w:pPr>
        <w:spacing w:line="360" w:lineRule="auto"/>
        <w:jc w:val="both"/>
        <w:rPr>
          <w:rFonts w:ascii="Arial" w:hAnsi="Arial" w:cs="Arial"/>
          <w:sz w:val="24"/>
          <w:szCs w:val="24"/>
          <w:u w:val="single"/>
        </w:rPr>
      </w:pPr>
    </w:p>
    <w:p w14:paraId="772A8DB0">
      <w:pPr>
        <w:spacing w:line="360" w:lineRule="auto"/>
        <w:rPr>
          <w:rFonts w:ascii="Arial" w:hAnsi="Arial" w:cs="Arial"/>
          <w:sz w:val="24"/>
          <w:szCs w:val="24"/>
        </w:rPr>
      </w:pPr>
    </w:p>
    <w:p w14:paraId="7BAB6166">
      <w:pPr>
        <w:spacing w:line="360" w:lineRule="auto"/>
        <w:rPr>
          <w:rFonts w:ascii="Arial" w:hAnsi="Arial" w:cs="Arial"/>
          <w:sz w:val="24"/>
          <w:szCs w:val="24"/>
        </w:rPr>
      </w:pPr>
    </w:p>
    <w:p w14:paraId="3009A693">
      <w:pPr>
        <w:tabs>
          <w:tab w:val="left" w:pos="1573"/>
        </w:tabs>
        <w:spacing w:line="360" w:lineRule="auto"/>
        <w:rPr>
          <w:rFonts w:ascii="Arial" w:hAnsi="Arial" w:cs="Arial"/>
          <w:sz w:val="24"/>
          <w:szCs w:val="24"/>
        </w:rPr>
      </w:pPr>
    </w:p>
    <w:sectPr>
      <w:footerReference r:id="rId6" w:type="default"/>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Arial"/>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4849CF">
    <w:pPr>
      <w:pStyle w:val="7"/>
      <w:jc w:val="center"/>
    </w:pPr>
  </w:p>
  <w:p w14:paraId="5400AEF8">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34482261"/>
      <w:docPartObj>
        <w:docPartGallery w:val="autotext"/>
      </w:docPartObj>
    </w:sdtPr>
    <w:sdtContent>
      <w:p w14:paraId="6F7F11CC">
        <w:pPr>
          <w:pStyle w:val="7"/>
          <w:jc w:val="center"/>
        </w:pPr>
        <w:r>
          <w:fldChar w:fldCharType="begin"/>
        </w:r>
        <w:r>
          <w:instrText xml:space="preserve"> PAGE   \* MERGEFORMAT </w:instrText>
        </w:r>
        <w:r>
          <w:fldChar w:fldCharType="separate"/>
        </w:r>
        <w:r>
          <w:t>13</w:t>
        </w:r>
        <w:r>
          <w:fldChar w:fldCharType="end"/>
        </w:r>
      </w:p>
    </w:sdtContent>
  </w:sdt>
  <w:p w14:paraId="41FCB79F">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081C5D"/>
    <w:multiLevelType w:val="multilevel"/>
    <w:tmpl w:val="14081C5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3D732F37"/>
    <w:multiLevelType w:val="multilevel"/>
    <w:tmpl w:val="3D732F3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2B13B66"/>
    <w:multiLevelType w:val="multilevel"/>
    <w:tmpl w:val="42B13B66"/>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76126786"/>
    <w:multiLevelType w:val="multilevel"/>
    <w:tmpl w:val="76126786"/>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94F"/>
    <w:rsid w:val="00037764"/>
    <w:rsid w:val="00052046"/>
    <w:rsid w:val="000548F9"/>
    <w:rsid w:val="000763FC"/>
    <w:rsid w:val="00080D6D"/>
    <w:rsid w:val="000C60FB"/>
    <w:rsid w:val="000E120C"/>
    <w:rsid w:val="00102870"/>
    <w:rsid w:val="001677CA"/>
    <w:rsid w:val="00185700"/>
    <w:rsid w:val="00193E26"/>
    <w:rsid w:val="001A3640"/>
    <w:rsid w:val="001C6940"/>
    <w:rsid w:val="001F33F5"/>
    <w:rsid w:val="001F3EF9"/>
    <w:rsid w:val="00224886"/>
    <w:rsid w:val="00275CB2"/>
    <w:rsid w:val="002A3CE2"/>
    <w:rsid w:val="0036275F"/>
    <w:rsid w:val="00380495"/>
    <w:rsid w:val="003F3847"/>
    <w:rsid w:val="004320D4"/>
    <w:rsid w:val="00497D86"/>
    <w:rsid w:val="00517BBB"/>
    <w:rsid w:val="005778DB"/>
    <w:rsid w:val="00584AFA"/>
    <w:rsid w:val="005901E0"/>
    <w:rsid w:val="005A780A"/>
    <w:rsid w:val="005F21E9"/>
    <w:rsid w:val="005F4B57"/>
    <w:rsid w:val="00613AD2"/>
    <w:rsid w:val="00662DEE"/>
    <w:rsid w:val="00663DD3"/>
    <w:rsid w:val="00664F5C"/>
    <w:rsid w:val="00692E8D"/>
    <w:rsid w:val="006D734B"/>
    <w:rsid w:val="006F43A9"/>
    <w:rsid w:val="00766B86"/>
    <w:rsid w:val="00835075"/>
    <w:rsid w:val="00855F4D"/>
    <w:rsid w:val="00893A11"/>
    <w:rsid w:val="008A2B32"/>
    <w:rsid w:val="008C201D"/>
    <w:rsid w:val="008C3D22"/>
    <w:rsid w:val="00980E5A"/>
    <w:rsid w:val="009B74A9"/>
    <w:rsid w:val="009C6984"/>
    <w:rsid w:val="009F1668"/>
    <w:rsid w:val="00A1194F"/>
    <w:rsid w:val="00AE7329"/>
    <w:rsid w:val="00B01CE1"/>
    <w:rsid w:val="00B223B1"/>
    <w:rsid w:val="00B657D5"/>
    <w:rsid w:val="00B67B0E"/>
    <w:rsid w:val="00BA7576"/>
    <w:rsid w:val="00C73D25"/>
    <w:rsid w:val="00C95375"/>
    <w:rsid w:val="00C954C6"/>
    <w:rsid w:val="00D0184F"/>
    <w:rsid w:val="00D12219"/>
    <w:rsid w:val="00D44EE9"/>
    <w:rsid w:val="00E07737"/>
    <w:rsid w:val="00E148E8"/>
    <w:rsid w:val="00E35EDA"/>
    <w:rsid w:val="00E76613"/>
    <w:rsid w:val="00EA32CC"/>
    <w:rsid w:val="00ED17A2"/>
    <w:rsid w:val="00EE50B3"/>
    <w:rsid w:val="00F16350"/>
    <w:rsid w:val="00F5061F"/>
    <w:rsid w:val="00F7148C"/>
    <w:rsid w:val="00FA6CE6"/>
    <w:rsid w:val="41A83268"/>
    <w:rsid w:val="66E477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18"/>
    <w:qFormat/>
    <w:uiPriority w:val="9"/>
    <w:pPr>
      <w:keepNext/>
      <w:keepLines/>
      <w:spacing w:before="240" w:after="0"/>
      <w:outlineLvl w:val="0"/>
    </w:pPr>
    <w:rPr>
      <w:rFonts w:asciiTheme="majorHAnsi" w:hAnsiTheme="majorHAnsi" w:eastAsiaTheme="majorEastAsia" w:cstheme="majorBidi"/>
      <w:color w:val="104862" w:themeColor="accent1" w:themeShade="BF"/>
      <w:sz w:val="32"/>
      <w:szCs w:val="32"/>
    </w:rPr>
  </w:style>
  <w:style w:type="paragraph" w:styleId="3">
    <w:name w:val="heading 2"/>
    <w:basedOn w:val="1"/>
    <w:next w:val="1"/>
    <w:link w:val="19"/>
    <w:unhideWhenUsed/>
    <w:qFormat/>
    <w:uiPriority w:val="9"/>
    <w:pPr>
      <w:keepNext/>
      <w:keepLines/>
      <w:spacing w:before="40" w:after="0"/>
      <w:outlineLvl w:val="1"/>
    </w:pPr>
    <w:rPr>
      <w:rFonts w:asciiTheme="majorHAnsi" w:hAnsiTheme="majorHAnsi" w:eastAsiaTheme="majorEastAsia" w:cstheme="majorBidi"/>
      <w:color w:val="104862"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Emphasis"/>
    <w:basedOn w:val="4"/>
    <w:qFormat/>
    <w:uiPriority w:val="20"/>
    <w:rPr>
      <w:i/>
      <w:iCs/>
    </w:rPr>
  </w:style>
  <w:style w:type="paragraph" w:styleId="7">
    <w:name w:val="footer"/>
    <w:basedOn w:val="1"/>
    <w:link w:val="21"/>
    <w:unhideWhenUsed/>
    <w:qFormat/>
    <w:uiPriority w:val="99"/>
    <w:pPr>
      <w:tabs>
        <w:tab w:val="center" w:pos="4513"/>
        <w:tab w:val="right" w:pos="9026"/>
      </w:tabs>
      <w:spacing w:after="0" w:line="240" w:lineRule="auto"/>
    </w:pPr>
  </w:style>
  <w:style w:type="paragraph" w:styleId="8">
    <w:name w:val="header"/>
    <w:basedOn w:val="1"/>
    <w:link w:val="20"/>
    <w:unhideWhenUsed/>
    <w:qFormat/>
    <w:uiPriority w:val="99"/>
    <w:pPr>
      <w:tabs>
        <w:tab w:val="center" w:pos="4513"/>
        <w:tab w:val="right" w:pos="9026"/>
      </w:tabs>
      <w:spacing w:after="0" w:line="240" w:lineRule="auto"/>
    </w:pPr>
  </w:style>
  <w:style w:type="character" w:styleId="9">
    <w:name w:val="Hyperlink"/>
    <w:basedOn w:val="4"/>
    <w:unhideWhenUsed/>
    <w:uiPriority w:val="99"/>
    <w:rPr>
      <w:color w:val="467886" w:themeColor="hyperlink"/>
      <w:u w:val="single"/>
      <w14:textFill>
        <w14:solidFill>
          <w14:schemeClr w14:val="hlink"/>
        </w14:solidFill>
      </w14:textFill>
    </w:r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val="en-US"/>
      <w14:ligatures w14:val="none"/>
    </w:rPr>
  </w:style>
  <w:style w:type="character" w:styleId="11">
    <w:name w:val="Strong"/>
    <w:basedOn w:val="4"/>
    <w:qFormat/>
    <w:uiPriority w:val="22"/>
    <w:rPr>
      <w:b/>
      <w:bCs/>
    </w:rPr>
  </w:style>
  <w:style w:type="table" w:styleId="12">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20"/>
    </w:pPr>
  </w:style>
  <w:style w:type="paragraph" w:styleId="15">
    <w:name w:val="List Paragraph"/>
    <w:basedOn w:val="1"/>
    <w:qFormat/>
    <w:uiPriority w:val="34"/>
    <w:pPr>
      <w:ind w:left="720"/>
      <w:contextualSpacing/>
    </w:pPr>
  </w:style>
  <w:style w:type="table" w:customStyle="1" w:styleId="16">
    <w:name w:val="List Table 3"/>
    <w:basedOn w:val="5"/>
    <w:qFormat/>
    <w:uiPriority w:val="4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14:textFill>
          <w14:solidFill>
            <w14:schemeClr w14:val="bg1"/>
          </w14:solidFill>
        </w14:textFill>
      </w:rPr>
      <w:tcPr>
        <w:shd w:val="clear" w:color="auto" w:fill="000000" w:themeFill="text1"/>
      </w:tcPr>
    </w:tblStylePr>
    <w:tblStylePr w:type="lastRow">
      <w:rPr>
        <w:b/>
        <w:bCs/>
      </w:rPr>
      <w:tcPr>
        <w:tcBorders>
          <w:top w:val="double" w:color="000000" w:themeColor="text1"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000000" w:themeColor="text1" w:sz="4" w:space="0"/>
          <w:right w:val="single" w:color="000000" w:themeColor="text1" w:sz="4" w:space="0"/>
        </w:tcBorders>
      </w:tcPr>
    </w:tblStylePr>
    <w:tblStylePr w:type="band1Horz">
      <w:tcPr>
        <w:tcBorders>
          <w:top w:val="single" w:color="000000" w:themeColor="text1" w:sz="4" w:space="0"/>
          <w:bottom w:val="single" w:color="000000" w:themeColor="text1"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000000" w:themeColor="text1" w:sz="4" w:space="0"/>
          <w:left w:val="nil"/>
        </w:tcBorders>
      </w:tcPr>
    </w:tblStylePr>
    <w:tblStylePr w:type="swCell">
      <w:tcPr>
        <w:tcBorders>
          <w:top w:val="double" w:color="000000" w:themeColor="text1" w:sz="4" w:space="0"/>
          <w:right w:val="nil"/>
        </w:tcBorders>
      </w:tcPr>
    </w:tblStylePr>
  </w:style>
  <w:style w:type="character" w:customStyle="1" w:styleId="17">
    <w:name w:val="citation_source-journal"/>
    <w:basedOn w:val="4"/>
    <w:qFormat/>
    <w:uiPriority w:val="0"/>
  </w:style>
  <w:style w:type="character" w:customStyle="1" w:styleId="18">
    <w:name w:val="Heading 1 Char"/>
    <w:basedOn w:val="4"/>
    <w:link w:val="2"/>
    <w:uiPriority w:val="9"/>
    <w:rPr>
      <w:rFonts w:asciiTheme="majorHAnsi" w:hAnsiTheme="majorHAnsi" w:eastAsiaTheme="majorEastAsia" w:cstheme="majorBidi"/>
      <w:color w:val="104862" w:themeColor="accent1" w:themeShade="BF"/>
      <w:sz w:val="32"/>
      <w:szCs w:val="32"/>
    </w:rPr>
  </w:style>
  <w:style w:type="character" w:customStyle="1" w:styleId="19">
    <w:name w:val="Heading 2 Char"/>
    <w:basedOn w:val="4"/>
    <w:link w:val="3"/>
    <w:uiPriority w:val="9"/>
    <w:rPr>
      <w:rFonts w:asciiTheme="majorHAnsi" w:hAnsiTheme="majorHAnsi" w:eastAsiaTheme="majorEastAsia" w:cstheme="majorBidi"/>
      <w:color w:val="104862" w:themeColor="accent1" w:themeShade="BF"/>
      <w:sz w:val="26"/>
      <w:szCs w:val="26"/>
    </w:rPr>
  </w:style>
  <w:style w:type="character" w:customStyle="1" w:styleId="20">
    <w:name w:val="Header Char"/>
    <w:basedOn w:val="4"/>
    <w:link w:val="8"/>
    <w:uiPriority w:val="99"/>
  </w:style>
  <w:style w:type="character" w:customStyle="1" w:styleId="21">
    <w:name w:val="Footer Char"/>
    <w:basedOn w:val="4"/>
    <w:link w:val="7"/>
    <w:qFormat/>
    <w:uiPriority w:val="99"/>
  </w:style>
  <w:style w:type="paragraph" w:customStyle="1" w:styleId="22">
    <w:name w:val="TOC Heading"/>
    <w:basedOn w:val="2"/>
    <w:next w:val="1"/>
    <w:unhideWhenUsed/>
    <w:qFormat/>
    <w:uiPriority w:val="39"/>
    <w:pPr>
      <w:outlineLvl w:val="9"/>
    </w:pPr>
    <w:rPr>
      <w:kern w:val="0"/>
      <w:lang w:eastAsia="en-GB"/>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13253-9EE3-4C51-843A-0886EB3A5D08}">
  <ds:schemaRefs/>
</ds:datastoreItem>
</file>

<file path=docProps/app.xml><?xml version="1.0" encoding="utf-8"?>
<Properties xmlns="http://schemas.openxmlformats.org/officeDocument/2006/extended-properties" xmlns:vt="http://schemas.openxmlformats.org/officeDocument/2006/docPropsVTypes">
  <Template>Normal</Template>
  <Pages>58</Pages>
  <Words>15785</Words>
  <Characters>89978</Characters>
  <Lines>749</Lines>
  <Paragraphs>211</Paragraphs>
  <TotalTime>0</TotalTime>
  <ScaleCrop>false</ScaleCrop>
  <LinksUpToDate>false</LinksUpToDate>
  <CharactersWithSpaces>105552</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2026-01-13T23:19:00Z</dcterms:created>
  <dc:creator>Chelsea-Leigh Blankenship</dc:creator>
  <cp:lastModifiedBy>Yuvraj Singh Gill</cp:lastModifiedBy>
  <dcterms:modified xsi:type="dcterms:W3CDTF">2026-02-01T12:44:08Z</dcterms:modified>
  <cp:revision>40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57217CD92D704E6D83DADEF9190355A2_13</vt:lpwstr>
  </property>
</Properties>
</file>