
<file path=[Content_Types].xml><?xml version="1.0" encoding="utf-8"?>
<Types xmlns="http://schemas.openxmlformats.org/package/2006/content-types">
  <Default ContentType="image/gif" Extension="gif"/>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i w:val="1"/>
          <w:sz w:val="30"/>
          <w:szCs w:val="3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1704975</wp:posOffset>
            </wp:positionH>
            <wp:positionV relativeFrom="paragraph">
              <wp:posOffset>276225</wp:posOffset>
            </wp:positionV>
            <wp:extent cx="2152650" cy="2124075"/>
            <wp:effectExtent b="0" l="0" r="0" t="0"/>
            <wp:wrapNone/>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152650" cy="2124075"/>
                    </a:xfrm>
                    <a:prstGeom prst="rect"/>
                    <a:ln/>
                  </pic:spPr>
                </pic:pic>
              </a:graphicData>
            </a:graphic>
          </wp:anchor>
        </w:drawing>
      </w:r>
    </w:p>
    <w:p w:rsidR="00000000" w:rsidDel="00000000" w:rsidP="00000000" w:rsidRDefault="00000000" w:rsidRPr="00000000" w14:paraId="00000002">
      <w:pPr>
        <w:rPr>
          <w:b w:val="1"/>
          <w:i w:val="1"/>
          <w:sz w:val="30"/>
          <w:szCs w:val="30"/>
        </w:rPr>
      </w:pPr>
      <w:r w:rsidDel="00000000" w:rsidR="00000000" w:rsidRPr="00000000">
        <w:rPr>
          <w:rtl w:val="0"/>
        </w:rPr>
      </w:r>
    </w:p>
    <w:p w:rsidR="00000000" w:rsidDel="00000000" w:rsidP="00000000" w:rsidRDefault="00000000" w:rsidRPr="00000000" w14:paraId="00000003">
      <w:pPr>
        <w:rPr>
          <w:b w:val="1"/>
          <w:i w:val="1"/>
          <w:sz w:val="30"/>
          <w:szCs w:val="30"/>
        </w:rPr>
      </w:pPr>
      <w:r w:rsidDel="00000000" w:rsidR="00000000" w:rsidRPr="00000000">
        <w:rPr>
          <w:rtl w:val="0"/>
        </w:rPr>
      </w:r>
    </w:p>
    <w:p w:rsidR="00000000" w:rsidDel="00000000" w:rsidP="00000000" w:rsidRDefault="00000000" w:rsidRPr="00000000" w14:paraId="00000004">
      <w:pPr>
        <w:rPr>
          <w:b w:val="1"/>
          <w:i w:val="1"/>
          <w:sz w:val="30"/>
          <w:szCs w:val="30"/>
        </w:rPr>
      </w:pPr>
      <w:r w:rsidDel="00000000" w:rsidR="00000000" w:rsidRPr="00000000">
        <w:rPr>
          <w:rtl w:val="0"/>
        </w:rPr>
      </w:r>
    </w:p>
    <w:p w:rsidR="00000000" w:rsidDel="00000000" w:rsidP="00000000" w:rsidRDefault="00000000" w:rsidRPr="00000000" w14:paraId="00000005">
      <w:pPr>
        <w:rPr>
          <w:b w:val="1"/>
          <w:i w:val="1"/>
          <w:sz w:val="30"/>
          <w:szCs w:val="30"/>
        </w:rPr>
      </w:pPr>
      <w:r w:rsidDel="00000000" w:rsidR="00000000" w:rsidRPr="00000000">
        <w:rPr>
          <w:rtl w:val="0"/>
        </w:rPr>
      </w:r>
    </w:p>
    <w:p w:rsidR="00000000" w:rsidDel="00000000" w:rsidP="00000000" w:rsidRDefault="00000000" w:rsidRPr="00000000" w14:paraId="00000006">
      <w:pPr>
        <w:rPr>
          <w:b w:val="1"/>
          <w:i w:val="1"/>
          <w:sz w:val="30"/>
          <w:szCs w:val="30"/>
        </w:rPr>
      </w:pPr>
      <w:r w:rsidDel="00000000" w:rsidR="00000000" w:rsidRPr="00000000">
        <w:rPr>
          <w:rtl w:val="0"/>
        </w:rPr>
      </w:r>
    </w:p>
    <w:p w:rsidR="00000000" w:rsidDel="00000000" w:rsidP="00000000" w:rsidRDefault="00000000" w:rsidRPr="00000000" w14:paraId="00000007">
      <w:pPr>
        <w:rPr>
          <w:b w:val="1"/>
          <w:i w:val="1"/>
          <w:sz w:val="30"/>
          <w:szCs w:val="30"/>
        </w:rPr>
      </w:pPr>
      <w:r w:rsidDel="00000000" w:rsidR="00000000" w:rsidRPr="00000000">
        <w:rPr>
          <w:rtl w:val="0"/>
        </w:rPr>
      </w:r>
    </w:p>
    <w:p w:rsidR="00000000" w:rsidDel="00000000" w:rsidP="00000000" w:rsidRDefault="00000000" w:rsidRPr="00000000" w14:paraId="00000008">
      <w:pPr>
        <w:rPr>
          <w:b w:val="1"/>
          <w:i w:val="1"/>
          <w:sz w:val="30"/>
          <w:szCs w:val="30"/>
        </w:rPr>
      </w:pPr>
      <w:r w:rsidDel="00000000" w:rsidR="00000000" w:rsidRPr="00000000">
        <w:rPr>
          <w:rtl w:val="0"/>
        </w:rPr>
      </w:r>
    </w:p>
    <w:p w:rsidR="00000000" w:rsidDel="00000000" w:rsidP="00000000" w:rsidRDefault="00000000" w:rsidRPr="00000000" w14:paraId="00000009">
      <w:pPr>
        <w:rPr>
          <w:b w:val="1"/>
          <w:i w:val="1"/>
          <w:sz w:val="30"/>
          <w:szCs w:val="30"/>
        </w:rPr>
      </w:pPr>
      <w:r w:rsidDel="00000000" w:rsidR="00000000" w:rsidRPr="00000000">
        <w:rPr>
          <w:rtl w:val="0"/>
        </w:rPr>
      </w:r>
    </w:p>
    <w:p w:rsidR="00000000" w:rsidDel="00000000" w:rsidP="00000000" w:rsidRDefault="00000000" w:rsidRPr="00000000" w14:paraId="0000000A">
      <w:pPr>
        <w:rPr>
          <w:b w:val="1"/>
          <w:sz w:val="30"/>
          <w:szCs w:val="30"/>
        </w:rPr>
      </w:pPr>
      <w:r w:rsidDel="00000000" w:rsidR="00000000" w:rsidRPr="00000000">
        <w:rPr>
          <w:rtl w:val="0"/>
        </w:rPr>
      </w:r>
    </w:p>
    <w:p w:rsidR="00000000" w:rsidDel="00000000" w:rsidP="00000000" w:rsidRDefault="00000000" w:rsidRPr="00000000" w14:paraId="0000000B">
      <w:pPr>
        <w:jc w:val="left"/>
        <w:rPr>
          <w:b w:val="1"/>
          <w:sz w:val="30"/>
          <w:szCs w:val="30"/>
        </w:rPr>
      </w:pPr>
      <w:r w:rsidDel="00000000" w:rsidR="00000000" w:rsidRPr="00000000">
        <w:rPr>
          <w:b w:val="1"/>
          <w:sz w:val="30"/>
          <w:szCs w:val="30"/>
          <w:rtl w:val="0"/>
        </w:rPr>
        <w:t xml:space="preserve">                      </w:t>
      </w:r>
    </w:p>
    <w:p w:rsidR="00000000" w:rsidDel="00000000" w:rsidP="00000000" w:rsidRDefault="00000000" w:rsidRPr="00000000" w14:paraId="0000000C">
      <w:pPr>
        <w:jc w:val="left"/>
        <w:rPr>
          <w:b w:val="1"/>
          <w:sz w:val="30"/>
          <w:szCs w:val="30"/>
        </w:rPr>
      </w:pPr>
      <w:r w:rsidDel="00000000" w:rsidR="00000000" w:rsidRPr="00000000">
        <w:rPr>
          <w:rtl w:val="0"/>
        </w:rPr>
      </w:r>
    </w:p>
    <w:p w:rsidR="00000000" w:rsidDel="00000000" w:rsidP="00000000" w:rsidRDefault="00000000" w:rsidRPr="00000000" w14:paraId="0000000D">
      <w:pPr>
        <w:jc w:val="left"/>
        <w:rPr>
          <w:b w:val="1"/>
          <w:sz w:val="30"/>
          <w:szCs w:val="30"/>
        </w:rPr>
      </w:pPr>
      <w:r w:rsidDel="00000000" w:rsidR="00000000" w:rsidRPr="00000000">
        <w:rPr>
          <w:b w:val="1"/>
          <w:sz w:val="30"/>
          <w:szCs w:val="30"/>
          <w:rtl w:val="0"/>
        </w:rPr>
        <w:t xml:space="preserve">                       Independent Project - A Systematic Review                                                                              </w:t>
      </w:r>
    </w:p>
    <w:p w:rsidR="00000000" w:rsidDel="00000000" w:rsidP="00000000" w:rsidRDefault="00000000" w:rsidRPr="00000000" w14:paraId="0000000E">
      <w:pPr>
        <w:rPr>
          <w:b w:val="1"/>
          <w:sz w:val="30"/>
          <w:szCs w:val="30"/>
        </w:rPr>
      </w:pPr>
      <w:r w:rsidDel="00000000" w:rsidR="00000000" w:rsidRPr="00000000">
        <w:rPr>
          <w:rtl w:val="0"/>
        </w:rPr>
      </w:r>
    </w:p>
    <w:p w:rsidR="00000000" w:rsidDel="00000000" w:rsidP="00000000" w:rsidRDefault="00000000" w:rsidRPr="00000000" w14:paraId="0000000F">
      <w:pPr>
        <w:jc w:val="center"/>
        <w:rPr>
          <w:b w:val="1"/>
          <w:sz w:val="30"/>
          <w:szCs w:val="30"/>
        </w:rPr>
      </w:pPr>
      <w:r w:rsidDel="00000000" w:rsidR="00000000" w:rsidRPr="00000000">
        <w:rPr>
          <w:rtl w:val="0"/>
        </w:rPr>
      </w:r>
    </w:p>
    <w:p w:rsidR="00000000" w:rsidDel="00000000" w:rsidP="00000000" w:rsidRDefault="00000000" w:rsidRPr="00000000" w14:paraId="00000010">
      <w:pPr>
        <w:jc w:val="center"/>
        <w:rPr>
          <w:b w:val="1"/>
          <w:sz w:val="30"/>
          <w:szCs w:val="30"/>
        </w:rPr>
      </w:pPr>
      <w:r w:rsidDel="00000000" w:rsidR="00000000" w:rsidRPr="00000000">
        <w:rPr>
          <w:rtl w:val="0"/>
        </w:rPr>
      </w:r>
    </w:p>
    <w:p w:rsidR="00000000" w:rsidDel="00000000" w:rsidP="00000000" w:rsidRDefault="00000000" w:rsidRPr="00000000" w14:paraId="00000011">
      <w:pPr>
        <w:jc w:val="center"/>
        <w:rPr>
          <w:b w:val="1"/>
          <w:sz w:val="34"/>
          <w:szCs w:val="34"/>
        </w:rPr>
      </w:pPr>
      <w:r w:rsidDel="00000000" w:rsidR="00000000" w:rsidRPr="00000000">
        <w:rPr>
          <w:b w:val="1"/>
          <w:sz w:val="30"/>
          <w:szCs w:val="30"/>
          <w:rtl w:val="0"/>
        </w:rPr>
        <w:t xml:space="preserve">The Influence on Home Advantage in Football: What factors contribute to home advantage in football? A systematic review of psychological, tactical and environmental influences</w:t>
      </w:r>
      <w:r w:rsidDel="00000000" w:rsidR="00000000" w:rsidRPr="00000000">
        <w:rPr>
          <w:rtl w:val="0"/>
        </w:rPr>
      </w:r>
    </w:p>
    <w:p w:rsidR="00000000" w:rsidDel="00000000" w:rsidP="00000000" w:rsidRDefault="00000000" w:rsidRPr="00000000" w14:paraId="00000012">
      <w:pPr>
        <w:rPr>
          <w:b w:val="1"/>
          <w:i w:val="1"/>
          <w:sz w:val="30"/>
          <w:szCs w:val="30"/>
        </w:rPr>
      </w:pPr>
      <w:r w:rsidDel="00000000" w:rsidR="00000000" w:rsidRPr="00000000">
        <w:rPr>
          <w:rtl w:val="0"/>
        </w:rPr>
      </w:r>
    </w:p>
    <w:p w:rsidR="00000000" w:rsidDel="00000000" w:rsidP="00000000" w:rsidRDefault="00000000" w:rsidRPr="00000000" w14:paraId="00000013">
      <w:pPr>
        <w:jc w:val="center"/>
        <w:rPr>
          <w:b w:val="1"/>
          <w:i w:val="1"/>
          <w:sz w:val="30"/>
          <w:szCs w:val="30"/>
        </w:rPr>
      </w:pPr>
      <w:r w:rsidDel="00000000" w:rsidR="00000000" w:rsidRPr="00000000">
        <w:rPr>
          <w:rtl w:val="0"/>
        </w:rPr>
      </w:r>
    </w:p>
    <w:p w:rsidR="00000000" w:rsidDel="00000000" w:rsidP="00000000" w:rsidRDefault="00000000" w:rsidRPr="00000000" w14:paraId="00000014">
      <w:pPr>
        <w:jc w:val="center"/>
        <w:rPr>
          <w:b w:val="1"/>
          <w:i w:val="1"/>
          <w:sz w:val="30"/>
          <w:szCs w:val="30"/>
        </w:rPr>
      </w:pPr>
      <w:r w:rsidDel="00000000" w:rsidR="00000000" w:rsidRPr="00000000">
        <w:rPr>
          <w:b w:val="1"/>
          <w:i w:val="1"/>
          <w:sz w:val="30"/>
          <w:szCs w:val="30"/>
          <w:rtl w:val="0"/>
        </w:rPr>
        <w:t xml:space="preserve"> Ty Garland - 2104849</w:t>
      </w:r>
    </w:p>
    <w:p w:rsidR="00000000" w:rsidDel="00000000" w:rsidP="00000000" w:rsidRDefault="00000000" w:rsidRPr="00000000" w14:paraId="00000015">
      <w:pPr>
        <w:jc w:val="center"/>
        <w:rPr>
          <w:b w:val="1"/>
          <w:i w:val="1"/>
          <w:sz w:val="30"/>
          <w:szCs w:val="30"/>
        </w:rPr>
      </w:pPr>
      <w:r w:rsidDel="00000000" w:rsidR="00000000" w:rsidRPr="00000000">
        <w:rPr>
          <w:b w:val="1"/>
          <w:i w:val="1"/>
          <w:sz w:val="30"/>
          <w:szCs w:val="30"/>
          <w:rtl w:val="0"/>
        </w:rPr>
        <w:t xml:space="preserve">Ba Physical Education </w:t>
      </w:r>
    </w:p>
    <w:p w:rsidR="00000000" w:rsidDel="00000000" w:rsidP="00000000" w:rsidRDefault="00000000" w:rsidRPr="00000000" w14:paraId="00000016">
      <w:pPr>
        <w:jc w:val="center"/>
        <w:rPr>
          <w:b w:val="1"/>
          <w:i w:val="1"/>
          <w:sz w:val="30"/>
          <w:szCs w:val="30"/>
        </w:rPr>
      </w:pPr>
      <w:r w:rsidDel="00000000" w:rsidR="00000000" w:rsidRPr="00000000">
        <w:rPr>
          <w:b w:val="1"/>
          <w:i w:val="1"/>
          <w:sz w:val="30"/>
          <w:szCs w:val="30"/>
          <w:rtl w:val="0"/>
        </w:rPr>
        <w:t xml:space="preserve">Word Count: 7000</w:t>
      </w:r>
    </w:p>
    <w:p w:rsidR="00000000" w:rsidDel="00000000" w:rsidP="00000000" w:rsidRDefault="00000000" w:rsidRPr="00000000" w14:paraId="00000017">
      <w:pPr>
        <w:rPr>
          <w:b w:val="1"/>
          <w:i w:val="1"/>
          <w:sz w:val="30"/>
          <w:szCs w:val="30"/>
        </w:rPr>
      </w:pPr>
      <w:r w:rsidDel="00000000" w:rsidR="00000000" w:rsidRPr="00000000">
        <w:rPr>
          <w:rtl w:val="0"/>
        </w:rPr>
      </w:r>
    </w:p>
    <w:p w:rsidR="00000000" w:rsidDel="00000000" w:rsidP="00000000" w:rsidRDefault="00000000" w:rsidRPr="00000000" w14:paraId="00000018">
      <w:pPr>
        <w:rPr>
          <w:b w:val="1"/>
          <w:i w:val="1"/>
          <w:sz w:val="30"/>
          <w:szCs w:val="30"/>
        </w:rPr>
      </w:pPr>
      <w:r w:rsidDel="00000000" w:rsidR="00000000" w:rsidRPr="00000000">
        <w:rPr>
          <w:rtl w:val="0"/>
        </w:rPr>
      </w:r>
    </w:p>
    <w:p w:rsidR="00000000" w:rsidDel="00000000" w:rsidP="00000000" w:rsidRDefault="00000000" w:rsidRPr="00000000" w14:paraId="00000019">
      <w:pPr>
        <w:rPr>
          <w:b w:val="1"/>
          <w:i w:val="1"/>
          <w:sz w:val="30"/>
          <w:szCs w:val="30"/>
        </w:rPr>
      </w:pPr>
      <w:r w:rsidDel="00000000" w:rsidR="00000000" w:rsidRPr="00000000">
        <w:rPr>
          <w:rtl w:val="0"/>
        </w:rPr>
      </w:r>
    </w:p>
    <w:p w:rsidR="00000000" w:rsidDel="00000000" w:rsidP="00000000" w:rsidRDefault="00000000" w:rsidRPr="00000000" w14:paraId="0000001A">
      <w:pPr>
        <w:rPr>
          <w:b w:val="1"/>
          <w:i w:val="1"/>
          <w:sz w:val="30"/>
          <w:szCs w:val="30"/>
        </w:rPr>
      </w:pPr>
      <w:r w:rsidDel="00000000" w:rsidR="00000000" w:rsidRPr="00000000">
        <w:rPr>
          <w:rtl w:val="0"/>
        </w:rPr>
      </w:r>
    </w:p>
    <w:p w:rsidR="00000000" w:rsidDel="00000000" w:rsidP="00000000" w:rsidRDefault="00000000" w:rsidRPr="00000000" w14:paraId="0000001B">
      <w:pPr>
        <w:rPr>
          <w:b w:val="1"/>
          <w:i w:val="1"/>
          <w:sz w:val="30"/>
          <w:szCs w:val="30"/>
        </w:rPr>
      </w:pPr>
      <w:r w:rsidDel="00000000" w:rsidR="00000000" w:rsidRPr="00000000">
        <w:rPr>
          <w:rtl w:val="0"/>
        </w:rPr>
      </w:r>
    </w:p>
    <w:p w:rsidR="00000000" w:rsidDel="00000000" w:rsidP="00000000" w:rsidRDefault="00000000" w:rsidRPr="00000000" w14:paraId="0000001C">
      <w:pPr>
        <w:rPr>
          <w:b w:val="1"/>
          <w:i w:val="1"/>
          <w:sz w:val="30"/>
          <w:szCs w:val="30"/>
        </w:rPr>
      </w:pPr>
      <w:r w:rsidDel="00000000" w:rsidR="00000000" w:rsidRPr="00000000">
        <w:rPr>
          <w:rtl w:val="0"/>
        </w:rPr>
      </w:r>
    </w:p>
    <w:p w:rsidR="00000000" w:rsidDel="00000000" w:rsidP="00000000" w:rsidRDefault="00000000" w:rsidRPr="00000000" w14:paraId="0000001D">
      <w:pPr>
        <w:rPr>
          <w:b w:val="1"/>
          <w:i w:val="1"/>
          <w:sz w:val="30"/>
          <w:szCs w:val="30"/>
        </w:rPr>
      </w:pPr>
      <w:r w:rsidDel="00000000" w:rsidR="00000000" w:rsidRPr="00000000">
        <w:rPr>
          <w:rtl w:val="0"/>
        </w:rPr>
      </w:r>
    </w:p>
    <w:p w:rsidR="00000000" w:rsidDel="00000000" w:rsidP="00000000" w:rsidRDefault="00000000" w:rsidRPr="00000000" w14:paraId="0000001E">
      <w:pPr>
        <w:rPr>
          <w:b w:val="1"/>
          <w:i w:val="1"/>
          <w:sz w:val="30"/>
          <w:szCs w:val="30"/>
        </w:rPr>
      </w:pPr>
      <w:r w:rsidDel="00000000" w:rsidR="00000000" w:rsidRPr="00000000">
        <w:rPr>
          <w:rtl w:val="0"/>
        </w:rPr>
      </w:r>
    </w:p>
    <w:p w:rsidR="00000000" w:rsidDel="00000000" w:rsidP="00000000" w:rsidRDefault="00000000" w:rsidRPr="00000000" w14:paraId="0000001F">
      <w:pPr>
        <w:spacing w:line="240" w:lineRule="auto"/>
        <w:jc w:val="both"/>
        <w:rPr>
          <w:sz w:val="24"/>
          <w:szCs w:val="24"/>
        </w:rPr>
      </w:pPr>
      <w:bookmarkStart w:colFirst="0" w:colLast="0" w:name="_hzd89mg52ddy" w:id="0"/>
      <w:bookmarkEnd w:id="0"/>
      <w:r w:rsidDel="00000000" w:rsidR="00000000" w:rsidRPr="00000000">
        <w:rPr>
          <w:rtl w:val="0"/>
        </w:rPr>
      </w:r>
    </w:p>
    <w:p w:rsidR="00000000" w:rsidDel="00000000" w:rsidP="00000000" w:rsidRDefault="00000000" w:rsidRPr="00000000" w14:paraId="00000020">
      <w:pPr>
        <w:spacing w:line="240" w:lineRule="auto"/>
        <w:jc w:val="center"/>
        <w:rPr>
          <w:b w:val="1"/>
          <w:sz w:val="24"/>
          <w:szCs w:val="24"/>
        </w:rPr>
      </w:pPr>
      <w:r w:rsidDel="00000000" w:rsidR="00000000" w:rsidRPr="00000000">
        <w:rPr>
          <w:b w:val="1"/>
          <w:sz w:val="24"/>
          <w:szCs w:val="24"/>
          <w:rtl w:val="0"/>
        </w:rPr>
        <w:t xml:space="preserve">Undergraduate Dissertation Certificate</w:t>
      </w:r>
    </w:p>
    <w:p w:rsidR="00000000" w:rsidDel="00000000" w:rsidP="00000000" w:rsidRDefault="00000000" w:rsidRPr="00000000" w14:paraId="00000021">
      <w:pPr>
        <w:spacing w:line="240" w:lineRule="auto"/>
        <w:rPr>
          <w:b w:val="1"/>
          <w:sz w:val="28"/>
          <w:szCs w:val="28"/>
          <w:u w:val="single"/>
        </w:rPr>
      </w:pPr>
      <w:r w:rsidDel="00000000" w:rsidR="00000000" w:rsidRPr="00000000">
        <w:rPr>
          <w:rtl w:val="0"/>
        </w:rPr>
      </w:r>
    </w:p>
    <w:p w:rsidR="00000000" w:rsidDel="00000000" w:rsidP="00000000" w:rsidRDefault="00000000" w:rsidRPr="00000000" w14:paraId="00000022">
      <w:pPr>
        <w:spacing w:line="240" w:lineRule="auto"/>
        <w:jc w:val="center"/>
        <w:rPr>
          <w:b w:val="1"/>
          <w:sz w:val="28"/>
          <w:szCs w:val="28"/>
          <w:u w:val="single"/>
        </w:rPr>
      </w:pPr>
      <w:r w:rsidDel="00000000" w:rsidR="00000000" w:rsidRPr="00000000">
        <w:rPr>
          <w:color w:val="777777"/>
          <w:sz w:val="21"/>
          <w:szCs w:val="21"/>
        </w:rPr>
        <w:drawing>
          <wp:inline distB="0" distT="0" distL="0" distR="0">
            <wp:extent cx="2952750" cy="762000"/>
            <wp:effectExtent b="0" l="0" r="0" t="0"/>
            <wp:docPr descr="UWTSD Logo" id="2" name="image1.gif"/>
            <a:graphic>
              <a:graphicData uri="http://schemas.openxmlformats.org/drawingml/2006/picture">
                <pic:pic>
                  <pic:nvPicPr>
                    <pic:cNvPr descr="UWTSD Logo" id="0" name="image1.gif"/>
                    <pic:cNvPicPr preferRelativeResize="0"/>
                  </pic:nvPicPr>
                  <pic:blipFill>
                    <a:blip r:embed="rId7"/>
                    <a:srcRect b="0" l="0" r="0" t="0"/>
                    <a:stretch>
                      <a:fillRect/>
                    </a:stretch>
                  </pic:blipFill>
                  <pic:spPr>
                    <a:xfrm>
                      <a:off x="0" y="0"/>
                      <a:ext cx="2952750" cy="7620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240" w:lineRule="auto"/>
        <w:jc w:val="center"/>
        <w:rPr>
          <w:sz w:val="24"/>
          <w:szCs w:val="24"/>
        </w:rPr>
      </w:pPr>
      <w:r w:rsidDel="00000000" w:rsidR="00000000" w:rsidRPr="00000000">
        <w:rPr>
          <w:rtl w:val="0"/>
        </w:rPr>
      </w:r>
    </w:p>
    <w:p w:rsidR="00000000" w:rsidDel="00000000" w:rsidP="00000000" w:rsidRDefault="00000000" w:rsidRPr="00000000" w14:paraId="00000024">
      <w:pPr>
        <w:spacing w:line="240" w:lineRule="auto"/>
        <w:jc w:val="center"/>
        <w:rPr>
          <w:sz w:val="24"/>
          <w:szCs w:val="24"/>
        </w:rPr>
      </w:pPr>
      <w:r w:rsidDel="00000000" w:rsidR="00000000" w:rsidRPr="00000000">
        <w:rPr>
          <w:rtl w:val="0"/>
        </w:rPr>
      </w:r>
    </w:p>
    <w:p w:rsidR="00000000" w:rsidDel="00000000" w:rsidP="00000000" w:rsidRDefault="00000000" w:rsidRPr="00000000" w14:paraId="00000025">
      <w:pPr>
        <w:spacing w:line="240" w:lineRule="auto"/>
        <w:jc w:val="center"/>
        <w:rPr>
          <w:sz w:val="24"/>
          <w:szCs w:val="24"/>
        </w:rPr>
      </w:pPr>
      <w:r w:rsidDel="00000000" w:rsidR="00000000" w:rsidRPr="00000000">
        <w:rPr>
          <w:rtl w:val="0"/>
        </w:rPr>
      </w:r>
    </w:p>
    <w:p w:rsidR="00000000" w:rsidDel="00000000" w:rsidP="00000000" w:rsidRDefault="00000000" w:rsidRPr="00000000" w14:paraId="00000026">
      <w:pPr>
        <w:spacing w:line="240" w:lineRule="auto"/>
        <w:rPr>
          <w:b w:val="1"/>
          <w:sz w:val="24"/>
          <w:szCs w:val="24"/>
        </w:rPr>
      </w:pPr>
      <w:r w:rsidDel="00000000" w:rsidR="00000000" w:rsidRPr="00000000">
        <w:rPr>
          <w:rtl w:val="0"/>
        </w:rPr>
      </w:r>
    </w:p>
    <w:p w:rsidR="00000000" w:rsidDel="00000000" w:rsidP="00000000" w:rsidRDefault="00000000" w:rsidRPr="00000000" w14:paraId="00000027">
      <w:pPr>
        <w:spacing w:line="240" w:lineRule="auto"/>
        <w:rPr>
          <w:b w:val="1"/>
          <w:sz w:val="24"/>
          <w:szCs w:val="24"/>
        </w:rPr>
      </w:pPr>
      <w:r w:rsidDel="00000000" w:rsidR="00000000" w:rsidRPr="00000000">
        <w:rPr>
          <w:rtl w:val="0"/>
        </w:rPr>
      </w:r>
    </w:p>
    <w:p w:rsidR="00000000" w:rsidDel="00000000" w:rsidP="00000000" w:rsidRDefault="00000000" w:rsidRPr="00000000" w14:paraId="00000028">
      <w:pPr>
        <w:spacing w:line="240" w:lineRule="auto"/>
        <w:rPr>
          <w:b w:val="1"/>
          <w:sz w:val="24"/>
          <w:szCs w:val="24"/>
        </w:rPr>
      </w:pPr>
      <w:r w:rsidDel="00000000" w:rsidR="00000000" w:rsidRPr="00000000">
        <w:rPr>
          <w:rtl w:val="0"/>
        </w:rPr>
      </w:r>
    </w:p>
    <w:p w:rsidR="00000000" w:rsidDel="00000000" w:rsidP="00000000" w:rsidRDefault="00000000" w:rsidRPr="00000000" w14:paraId="00000029">
      <w:pPr>
        <w:spacing w:line="240" w:lineRule="auto"/>
        <w:rPr>
          <w:b w:val="1"/>
          <w:sz w:val="24"/>
          <w:szCs w:val="24"/>
        </w:rPr>
      </w:pPr>
      <w:r w:rsidDel="00000000" w:rsidR="00000000" w:rsidRPr="00000000">
        <w:rPr>
          <w:b w:val="1"/>
          <w:sz w:val="24"/>
          <w:szCs w:val="24"/>
          <w:rtl w:val="0"/>
        </w:rPr>
        <w:t xml:space="preserve">Name of the Programme of Study: BA Physical Education </w:t>
      </w:r>
    </w:p>
    <w:p w:rsidR="00000000" w:rsidDel="00000000" w:rsidP="00000000" w:rsidRDefault="00000000" w:rsidRPr="00000000" w14:paraId="0000002A">
      <w:pPr>
        <w:spacing w:line="240" w:lineRule="auto"/>
        <w:rPr>
          <w:b w:val="1"/>
          <w:sz w:val="24"/>
          <w:szCs w:val="24"/>
        </w:rPr>
      </w:pPr>
      <w:r w:rsidDel="00000000" w:rsidR="00000000" w:rsidRPr="00000000">
        <w:rPr>
          <w:rtl w:val="0"/>
        </w:rPr>
      </w:r>
    </w:p>
    <w:p w:rsidR="00000000" w:rsidDel="00000000" w:rsidP="00000000" w:rsidRDefault="00000000" w:rsidRPr="00000000" w14:paraId="0000002B">
      <w:pPr>
        <w:spacing w:line="240" w:lineRule="auto"/>
        <w:rPr>
          <w:b w:val="1"/>
          <w:sz w:val="24"/>
          <w:szCs w:val="24"/>
        </w:rPr>
      </w:pPr>
      <w:r w:rsidDel="00000000" w:rsidR="00000000" w:rsidRPr="00000000">
        <w:rPr>
          <w:b w:val="1"/>
          <w:sz w:val="24"/>
          <w:szCs w:val="24"/>
          <w:rtl w:val="0"/>
        </w:rPr>
        <w:t xml:space="preserve">Name of Student (Capital Letters): TY GARLAND</w:t>
      </w:r>
    </w:p>
    <w:p w:rsidR="00000000" w:rsidDel="00000000" w:rsidP="00000000" w:rsidRDefault="00000000" w:rsidRPr="00000000" w14:paraId="0000002C">
      <w:pPr>
        <w:spacing w:line="240" w:lineRule="auto"/>
        <w:rPr>
          <w:b w:val="1"/>
          <w:sz w:val="24"/>
          <w:szCs w:val="24"/>
        </w:rPr>
      </w:pPr>
      <w:r w:rsidDel="00000000" w:rsidR="00000000" w:rsidRPr="00000000">
        <w:rPr>
          <w:rtl w:val="0"/>
        </w:rPr>
      </w:r>
    </w:p>
    <w:p w:rsidR="00000000" w:rsidDel="00000000" w:rsidP="00000000" w:rsidRDefault="00000000" w:rsidRPr="00000000" w14:paraId="0000002D">
      <w:pPr>
        <w:spacing w:line="240" w:lineRule="auto"/>
        <w:rPr>
          <w:b w:val="1"/>
          <w:sz w:val="24"/>
          <w:szCs w:val="24"/>
        </w:rPr>
      </w:pPr>
      <w:r w:rsidDel="00000000" w:rsidR="00000000" w:rsidRPr="00000000">
        <w:rPr>
          <w:rtl w:val="0"/>
        </w:rPr>
      </w:r>
    </w:p>
    <w:p w:rsidR="00000000" w:rsidDel="00000000" w:rsidP="00000000" w:rsidRDefault="00000000" w:rsidRPr="00000000" w14:paraId="0000002E">
      <w:pPr>
        <w:spacing w:line="240" w:lineRule="auto"/>
        <w:rPr>
          <w:b w:val="1"/>
          <w:sz w:val="24"/>
          <w:szCs w:val="24"/>
        </w:rPr>
      </w:pPr>
      <w:r w:rsidDel="00000000" w:rsidR="00000000" w:rsidRPr="00000000">
        <w:rPr>
          <w:rtl w:val="0"/>
        </w:rPr>
      </w:r>
    </w:p>
    <w:p w:rsidR="00000000" w:rsidDel="00000000" w:rsidP="00000000" w:rsidRDefault="00000000" w:rsidRPr="00000000" w14:paraId="0000002F">
      <w:pPr>
        <w:spacing w:line="240" w:lineRule="auto"/>
        <w:rPr>
          <w:b w:val="1"/>
          <w:sz w:val="24"/>
          <w:szCs w:val="24"/>
        </w:rPr>
      </w:pPr>
      <w:r w:rsidDel="00000000" w:rsidR="00000000" w:rsidRPr="00000000">
        <w:rPr>
          <w:b w:val="1"/>
          <w:sz w:val="24"/>
          <w:szCs w:val="24"/>
          <w:rtl w:val="0"/>
        </w:rPr>
        <w:t xml:space="preserve">DECLARATION</w:t>
      </w:r>
    </w:p>
    <w:p w:rsidR="00000000" w:rsidDel="00000000" w:rsidP="00000000" w:rsidRDefault="00000000" w:rsidRPr="00000000" w14:paraId="00000030">
      <w:pPr>
        <w:spacing w:line="240" w:lineRule="auto"/>
        <w:rPr>
          <w:b w:val="1"/>
          <w:sz w:val="24"/>
          <w:szCs w:val="24"/>
        </w:rPr>
      </w:pPr>
      <w:r w:rsidDel="00000000" w:rsidR="00000000" w:rsidRPr="00000000">
        <w:rPr>
          <w:rtl w:val="0"/>
        </w:rPr>
      </w:r>
    </w:p>
    <w:p w:rsidR="00000000" w:rsidDel="00000000" w:rsidP="00000000" w:rsidRDefault="00000000" w:rsidRPr="00000000" w14:paraId="00000031">
      <w:pPr>
        <w:spacing w:line="240" w:lineRule="auto"/>
        <w:rPr>
          <w:b w:val="1"/>
          <w:sz w:val="24"/>
          <w:szCs w:val="24"/>
        </w:rPr>
      </w:pPr>
      <w:r w:rsidDel="00000000" w:rsidR="00000000" w:rsidRPr="00000000">
        <w:rPr>
          <w:b w:val="1"/>
          <w:sz w:val="24"/>
          <w:szCs w:val="24"/>
          <w:rtl w:val="0"/>
        </w:rPr>
        <w:t xml:space="preserve">I certify that the whole of this work is the result of my individual effort, and that all sources have been acknowledged.</w:t>
      </w:r>
    </w:p>
    <w:p w:rsidR="00000000" w:rsidDel="00000000" w:rsidP="00000000" w:rsidRDefault="00000000" w:rsidRPr="00000000" w14:paraId="00000032">
      <w:pPr>
        <w:spacing w:line="240" w:lineRule="auto"/>
        <w:rPr>
          <w:b w:val="1"/>
          <w:sz w:val="24"/>
          <w:szCs w:val="24"/>
        </w:rPr>
      </w:pPr>
      <w:r w:rsidDel="00000000" w:rsidR="00000000" w:rsidRPr="00000000">
        <w:rPr>
          <w:rtl w:val="0"/>
        </w:rPr>
      </w:r>
    </w:p>
    <w:p w:rsidR="00000000" w:rsidDel="00000000" w:rsidP="00000000" w:rsidRDefault="00000000" w:rsidRPr="00000000" w14:paraId="00000033">
      <w:pPr>
        <w:spacing w:line="240" w:lineRule="auto"/>
        <w:rPr>
          <w:b w:val="1"/>
          <w:sz w:val="24"/>
          <w:szCs w:val="24"/>
        </w:rPr>
      </w:pPr>
      <w:r w:rsidDel="00000000" w:rsidR="00000000" w:rsidRPr="00000000">
        <w:rPr>
          <w:b w:val="1"/>
          <w:sz w:val="24"/>
          <w:szCs w:val="24"/>
          <w:rtl w:val="0"/>
        </w:rPr>
        <w:t xml:space="preserve">Signed . TY GARLAND (Student)</w:t>
      </w:r>
    </w:p>
    <w:p w:rsidR="00000000" w:rsidDel="00000000" w:rsidP="00000000" w:rsidRDefault="00000000" w:rsidRPr="00000000" w14:paraId="00000034">
      <w:pPr>
        <w:spacing w:line="240" w:lineRule="auto"/>
        <w:rPr>
          <w:b w:val="1"/>
          <w:sz w:val="24"/>
          <w:szCs w:val="24"/>
        </w:rPr>
      </w:pPr>
      <w:r w:rsidDel="00000000" w:rsidR="00000000" w:rsidRPr="00000000">
        <w:rPr>
          <w:rtl w:val="0"/>
        </w:rPr>
      </w:r>
    </w:p>
    <w:p w:rsidR="00000000" w:rsidDel="00000000" w:rsidP="00000000" w:rsidRDefault="00000000" w:rsidRPr="00000000" w14:paraId="00000035">
      <w:pPr>
        <w:spacing w:line="240" w:lineRule="auto"/>
        <w:rPr>
          <w:b w:val="1"/>
          <w:sz w:val="24"/>
          <w:szCs w:val="24"/>
        </w:rPr>
      </w:pPr>
      <w:r w:rsidDel="00000000" w:rsidR="00000000" w:rsidRPr="00000000">
        <w:rPr>
          <w:b w:val="1"/>
          <w:sz w:val="24"/>
          <w:szCs w:val="24"/>
          <w:rtl w:val="0"/>
        </w:rPr>
        <w:t xml:space="preserve">Date     . 03/04/2025 </w:t>
      </w:r>
    </w:p>
    <w:p w:rsidR="00000000" w:rsidDel="00000000" w:rsidP="00000000" w:rsidRDefault="00000000" w:rsidRPr="00000000" w14:paraId="00000036">
      <w:pPr>
        <w:spacing w:line="240" w:lineRule="auto"/>
        <w:rPr>
          <w:b w:val="1"/>
          <w:sz w:val="24"/>
          <w:szCs w:val="24"/>
        </w:rPr>
      </w:pPr>
      <w:r w:rsidDel="00000000" w:rsidR="00000000" w:rsidRPr="00000000">
        <w:rPr>
          <w:rtl w:val="0"/>
        </w:rPr>
      </w:r>
    </w:p>
    <w:p w:rsidR="00000000" w:rsidDel="00000000" w:rsidP="00000000" w:rsidRDefault="00000000" w:rsidRPr="00000000" w14:paraId="00000037">
      <w:pPr>
        <w:spacing w:line="240" w:lineRule="auto"/>
        <w:rPr>
          <w:b w:val="1"/>
          <w:sz w:val="24"/>
          <w:szCs w:val="24"/>
        </w:rPr>
      </w:pPr>
      <w:r w:rsidDel="00000000" w:rsidR="00000000" w:rsidRPr="00000000">
        <w:rPr>
          <w:rtl w:val="0"/>
        </w:rPr>
      </w:r>
    </w:p>
    <w:p w:rsidR="00000000" w:rsidDel="00000000" w:rsidP="00000000" w:rsidRDefault="00000000" w:rsidRPr="00000000" w14:paraId="00000038">
      <w:pPr>
        <w:spacing w:line="240" w:lineRule="auto"/>
        <w:rPr>
          <w:b w:val="1"/>
          <w:sz w:val="24"/>
          <w:szCs w:val="24"/>
        </w:rPr>
      </w:pPr>
      <w:r w:rsidDel="00000000" w:rsidR="00000000" w:rsidRPr="00000000">
        <w:rPr>
          <w:rtl w:val="0"/>
        </w:rPr>
      </w:r>
    </w:p>
    <w:p w:rsidR="00000000" w:rsidDel="00000000" w:rsidP="00000000" w:rsidRDefault="00000000" w:rsidRPr="00000000" w14:paraId="00000039">
      <w:pPr>
        <w:spacing w:line="240" w:lineRule="auto"/>
        <w:rPr>
          <w:b w:val="1"/>
          <w:sz w:val="24"/>
          <w:szCs w:val="24"/>
        </w:rPr>
      </w:pPr>
      <w:r w:rsidDel="00000000" w:rsidR="00000000" w:rsidRPr="00000000">
        <w:rPr>
          <w:rtl w:val="0"/>
        </w:rPr>
      </w:r>
    </w:p>
    <w:p w:rsidR="00000000" w:rsidDel="00000000" w:rsidP="00000000" w:rsidRDefault="00000000" w:rsidRPr="00000000" w14:paraId="0000003A">
      <w:pPr>
        <w:spacing w:line="240" w:lineRule="auto"/>
        <w:rPr>
          <w:b w:val="1"/>
          <w:sz w:val="24"/>
          <w:szCs w:val="24"/>
        </w:rPr>
      </w:pPr>
      <w:r w:rsidDel="00000000" w:rsidR="00000000" w:rsidRPr="00000000">
        <w:rPr>
          <w:b w:val="1"/>
          <w:sz w:val="24"/>
          <w:szCs w:val="24"/>
          <w:rtl w:val="0"/>
        </w:rPr>
        <w:t xml:space="preserve">DECLARATION</w:t>
      </w:r>
    </w:p>
    <w:p w:rsidR="00000000" w:rsidDel="00000000" w:rsidP="00000000" w:rsidRDefault="00000000" w:rsidRPr="00000000" w14:paraId="0000003B">
      <w:pPr>
        <w:spacing w:line="240" w:lineRule="auto"/>
        <w:rPr>
          <w:b w:val="1"/>
          <w:sz w:val="24"/>
          <w:szCs w:val="24"/>
        </w:rPr>
      </w:pPr>
      <w:r w:rsidDel="00000000" w:rsidR="00000000" w:rsidRPr="00000000">
        <w:rPr>
          <w:rtl w:val="0"/>
        </w:rPr>
      </w:r>
    </w:p>
    <w:p w:rsidR="00000000" w:rsidDel="00000000" w:rsidP="00000000" w:rsidRDefault="00000000" w:rsidRPr="00000000" w14:paraId="0000003C">
      <w:pPr>
        <w:spacing w:line="240" w:lineRule="auto"/>
        <w:rPr>
          <w:b w:val="1"/>
          <w:sz w:val="24"/>
          <w:szCs w:val="24"/>
        </w:rPr>
      </w:pPr>
      <w:r w:rsidDel="00000000" w:rsidR="00000000" w:rsidRPr="00000000">
        <w:rPr>
          <w:b w:val="1"/>
          <w:sz w:val="24"/>
          <w:szCs w:val="24"/>
          <w:rtl w:val="0"/>
        </w:rPr>
        <w:t xml:space="preserve">I am satisfied that this work is the result of the Student’s effort.</w:t>
      </w:r>
    </w:p>
    <w:p w:rsidR="00000000" w:rsidDel="00000000" w:rsidP="00000000" w:rsidRDefault="00000000" w:rsidRPr="00000000" w14:paraId="0000003D">
      <w:pPr>
        <w:spacing w:line="240" w:lineRule="auto"/>
        <w:rPr>
          <w:b w:val="1"/>
          <w:sz w:val="24"/>
          <w:szCs w:val="24"/>
        </w:rPr>
      </w:pPr>
      <w:r w:rsidDel="00000000" w:rsidR="00000000" w:rsidRPr="00000000">
        <w:rPr>
          <w:rtl w:val="0"/>
        </w:rPr>
      </w:r>
    </w:p>
    <w:p w:rsidR="00000000" w:rsidDel="00000000" w:rsidP="00000000" w:rsidRDefault="00000000" w:rsidRPr="00000000" w14:paraId="0000003E">
      <w:pPr>
        <w:spacing w:line="240" w:lineRule="auto"/>
        <w:rPr>
          <w:b w:val="1"/>
          <w:sz w:val="24"/>
          <w:szCs w:val="24"/>
        </w:rPr>
      </w:pPr>
      <w:r w:rsidDel="00000000" w:rsidR="00000000" w:rsidRPr="00000000">
        <w:rPr>
          <w:b w:val="1"/>
          <w:sz w:val="24"/>
          <w:szCs w:val="24"/>
          <w:rtl w:val="0"/>
        </w:rPr>
        <w:t xml:space="preserve">Signed .............................................................. (Lecturer)</w:t>
      </w:r>
    </w:p>
    <w:p w:rsidR="00000000" w:rsidDel="00000000" w:rsidP="00000000" w:rsidRDefault="00000000" w:rsidRPr="00000000" w14:paraId="0000003F">
      <w:pPr>
        <w:spacing w:line="240" w:lineRule="auto"/>
        <w:rPr>
          <w:b w:val="1"/>
          <w:sz w:val="24"/>
          <w:szCs w:val="24"/>
        </w:rPr>
      </w:pPr>
      <w:r w:rsidDel="00000000" w:rsidR="00000000" w:rsidRPr="00000000">
        <w:rPr>
          <w:rtl w:val="0"/>
        </w:rPr>
      </w:r>
    </w:p>
    <w:p w:rsidR="00000000" w:rsidDel="00000000" w:rsidP="00000000" w:rsidRDefault="00000000" w:rsidRPr="00000000" w14:paraId="00000040">
      <w:pPr>
        <w:spacing w:line="240" w:lineRule="auto"/>
        <w:rPr>
          <w:b w:val="1"/>
          <w:sz w:val="24"/>
          <w:szCs w:val="24"/>
        </w:rPr>
      </w:pPr>
      <w:r w:rsidDel="00000000" w:rsidR="00000000" w:rsidRPr="00000000">
        <w:rPr>
          <w:b w:val="1"/>
          <w:sz w:val="24"/>
          <w:szCs w:val="24"/>
          <w:rtl w:val="0"/>
        </w:rPr>
        <w:t xml:space="preserve">Date     ..............................................................</w:t>
      </w:r>
    </w:p>
    <w:p w:rsidR="00000000" w:rsidDel="00000000" w:rsidP="00000000" w:rsidRDefault="00000000" w:rsidRPr="00000000" w14:paraId="00000041">
      <w:pPr>
        <w:rPr>
          <w:b w:val="1"/>
          <w:i w:val="1"/>
          <w:sz w:val="30"/>
          <w:szCs w:val="30"/>
        </w:rPr>
      </w:pPr>
      <w:r w:rsidDel="00000000" w:rsidR="00000000" w:rsidRPr="00000000">
        <w:rPr>
          <w:rtl w:val="0"/>
        </w:rPr>
      </w:r>
    </w:p>
    <w:p w:rsidR="00000000" w:rsidDel="00000000" w:rsidP="00000000" w:rsidRDefault="00000000" w:rsidRPr="00000000" w14:paraId="00000042">
      <w:pPr>
        <w:rPr>
          <w:b w:val="1"/>
          <w:i w:val="1"/>
          <w:sz w:val="30"/>
          <w:szCs w:val="30"/>
        </w:rPr>
      </w:pPr>
      <w:r w:rsidDel="00000000" w:rsidR="00000000" w:rsidRPr="00000000">
        <w:rPr>
          <w:rtl w:val="0"/>
        </w:rPr>
      </w:r>
    </w:p>
    <w:p w:rsidR="00000000" w:rsidDel="00000000" w:rsidP="00000000" w:rsidRDefault="00000000" w:rsidRPr="00000000" w14:paraId="00000043">
      <w:pPr>
        <w:rPr>
          <w:b w:val="1"/>
          <w:i w:val="1"/>
          <w:sz w:val="30"/>
          <w:szCs w:val="30"/>
        </w:rPr>
      </w:pPr>
      <w:r w:rsidDel="00000000" w:rsidR="00000000" w:rsidRPr="00000000">
        <w:rPr>
          <w:rtl w:val="0"/>
        </w:rPr>
      </w:r>
    </w:p>
    <w:p w:rsidR="00000000" w:rsidDel="00000000" w:rsidP="00000000" w:rsidRDefault="00000000" w:rsidRPr="00000000" w14:paraId="00000044">
      <w:pPr>
        <w:rPr>
          <w:b w:val="1"/>
          <w:i w:val="1"/>
          <w:sz w:val="30"/>
          <w:szCs w:val="30"/>
        </w:rPr>
      </w:pPr>
      <w:r w:rsidDel="00000000" w:rsidR="00000000" w:rsidRPr="00000000">
        <w:rPr>
          <w:rtl w:val="0"/>
        </w:rPr>
      </w:r>
    </w:p>
    <w:p w:rsidR="00000000" w:rsidDel="00000000" w:rsidP="00000000" w:rsidRDefault="00000000" w:rsidRPr="00000000" w14:paraId="00000045">
      <w:pPr>
        <w:rPr>
          <w:b w:val="1"/>
          <w:i w:val="1"/>
          <w:sz w:val="26"/>
          <w:szCs w:val="26"/>
        </w:rPr>
      </w:pPr>
      <w:r w:rsidDel="00000000" w:rsidR="00000000" w:rsidRPr="00000000">
        <w:rPr>
          <w:rtl w:val="0"/>
        </w:rPr>
      </w:r>
    </w:p>
    <w:p w:rsidR="00000000" w:rsidDel="00000000" w:rsidP="00000000" w:rsidRDefault="00000000" w:rsidRPr="00000000" w14:paraId="00000046">
      <w:pPr>
        <w:pStyle w:val="Heading2"/>
        <w:keepLines w:val="0"/>
        <w:spacing w:after="0" w:before="0" w:line="240" w:lineRule="auto"/>
        <w:ind w:left="567" w:firstLine="142.00000000000003"/>
        <w:jc w:val="both"/>
        <w:rPr>
          <w:b w:val="1"/>
          <w:sz w:val="22"/>
          <w:szCs w:val="22"/>
        </w:rPr>
      </w:pPr>
      <w:r w:rsidDel="00000000" w:rsidR="00000000" w:rsidRPr="00000000">
        <w:rPr>
          <w:b w:val="1"/>
          <w:sz w:val="22"/>
          <w:szCs w:val="22"/>
          <w:rtl w:val="0"/>
        </w:rPr>
        <w:t xml:space="preserve">Use of Generative AI in Assessment</w:t>
      </w:r>
    </w:p>
    <w:p w:rsidR="00000000" w:rsidDel="00000000" w:rsidP="00000000" w:rsidRDefault="00000000" w:rsidRPr="00000000" w14:paraId="00000047">
      <w:pPr>
        <w:spacing w:line="240" w:lineRule="auto"/>
        <w:rPr/>
      </w:pPr>
      <w:r w:rsidDel="00000000" w:rsidR="00000000" w:rsidRPr="00000000">
        <w:rPr>
          <w:rtl w:val="0"/>
        </w:rPr>
        <w:tab/>
        <w:t xml:space="preserve">(Lecturer to indicate Yes or Not against each element)</w:t>
      </w:r>
    </w:p>
    <w:p w:rsidR="00000000" w:rsidDel="00000000" w:rsidP="00000000" w:rsidRDefault="00000000" w:rsidRPr="00000000" w14:paraId="00000048">
      <w:pPr>
        <w:spacing w:line="240" w:lineRule="auto"/>
        <w:rPr/>
      </w:pPr>
      <w:r w:rsidDel="00000000" w:rsidR="00000000" w:rsidRPr="00000000">
        <w:rPr>
          <w:rtl w:val="0"/>
        </w:rPr>
        <w:tab/>
        <w:tab/>
        <w:tab/>
        <w:tab/>
        <w:tab/>
        <w:tab/>
        <w:tab/>
        <w:tab/>
        <w:tab/>
        <w:tab/>
        <w:tab/>
        <w:tab/>
      </w:r>
    </w:p>
    <w:p w:rsidR="00000000" w:rsidDel="00000000" w:rsidP="00000000" w:rsidRDefault="00000000" w:rsidRPr="00000000" w14:paraId="00000049">
      <w:pPr>
        <w:spacing w:line="240" w:lineRule="auto"/>
        <w:rPr/>
      </w:pPr>
      <w:r w:rsidDel="00000000" w:rsidR="00000000" w:rsidRPr="00000000">
        <w:rPr>
          <w:rtl w:val="0"/>
        </w:rPr>
      </w:r>
    </w:p>
    <w:tbl>
      <w:tblPr>
        <w:tblStyle w:val="Table1"/>
        <w:tblW w:w="9064.0" w:type="dxa"/>
        <w:jc w:val="left"/>
        <w:tblInd w:w="502.0" w:type="dxa"/>
        <w:tblBorders>
          <w:top w:color="000000" w:space="0" w:sz="6" w:val="single"/>
          <w:left w:color="000000" w:space="0" w:sz="6" w:val="single"/>
          <w:bottom w:color="000000" w:space="0" w:sz="6" w:val="single"/>
          <w:right w:color="000000" w:space="0" w:sz="6" w:val="single"/>
          <w:insideH w:color="000000" w:space="0" w:sz="4" w:val="single"/>
          <w:insideV w:color="000000" w:space="0" w:sz="4" w:val="single"/>
        </w:tblBorders>
        <w:tblLayout w:type="fixed"/>
        <w:tblLook w:val="0400"/>
      </w:tblPr>
      <w:tblGrid>
        <w:gridCol w:w="2250"/>
        <w:gridCol w:w="5397"/>
        <w:gridCol w:w="1417"/>
        <w:tblGridChange w:id="0">
          <w:tblGrid>
            <w:gridCol w:w="2250"/>
            <w:gridCol w:w="5397"/>
            <w:gridCol w:w="1417"/>
          </w:tblGrid>
        </w:tblGridChange>
      </w:tblGrid>
      <w:tr>
        <w:trPr>
          <w:cantSplit w:val="0"/>
          <w:trHeight w:val="300" w:hRule="atLeast"/>
          <w:tblHeader w:val="0"/>
        </w:trPr>
        <w:tc>
          <w:tcPr>
            <w:tcMar>
              <w:left w:w="105.0" w:type="dxa"/>
              <w:right w:w="105.0" w:type="dxa"/>
            </w:tcMar>
          </w:tcPr>
          <w:p w:rsidR="00000000" w:rsidDel="00000000" w:rsidP="00000000" w:rsidRDefault="00000000" w:rsidRPr="00000000" w14:paraId="0000004A">
            <w:pPr>
              <w:spacing w:line="259" w:lineRule="auto"/>
              <w:rPr/>
            </w:pPr>
            <w:r w:rsidDel="00000000" w:rsidR="00000000" w:rsidRPr="00000000">
              <w:rPr>
                <w:rtl w:val="0"/>
              </w:rPr>
              <w:t xml:space="preserve">RESEARCH</w:t>
            </w:r>
          </w:p>
        </w:tc>
        <w:tc>
          <w:tcPr>
            <w:tcMar>
              <w:left w:w="105.0" w:type="dxa"/>
              <w:right w:w="105.0" w:type="dxa"/>
            </w:tcMar>
          </w:tcPr>
          <w:p w:rsidR="00000000" w:rsidDel="00000000" w:rsidP="00000000" w:rsidRDefault="00000000" w:rsidRPr="00000000" w14:paraId="0000004B">
            <w:pPr>
              <w:spacing w:line="259" w:lineRule="auto"/>
              <w:rPr/>
            </w:pPr>
            <w:r w:rsidDel="00000000" w:rsidR="00000000" w:rsidRPr="00000000">
              <w:rPr>
                <w:rtl w:val="0"/>
              </w:rPr>
              <w:t xml:space="preserve">For this assessment, you can use Generative AI to support you in research, including searching for bibliography, using tools to summarise, compare and interrogate materials.</w:t>
            </w:r>
          </w:p>
        </w:tc>
        <w:tc>
          <w:tcPr/>
          <w:p w:rsidR="00000000" w:rsidDel="00000000" w:rsidP="00000000" w:rsidRDefault="00000000" w:rsidRPr="00000000" w14:paraId="0000004C">
            <w:pPr>
              <w:spacing w:line="240" w:lineRule="auto"/>
              <w:rPr/>
            </w:pPr>
            <w:r w:rsidDel="00000000" w:rsidR="00000000" w:rsidRPr="00000000">
              <w:rPr>
                <w:rtl w:val="0"/>
              </w:rPr>
              <w:t xml:space="preserve">Yes </w:t>
            </w: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p w:rsidR="00000000" w:rsidDel="00000000" w:rsidP="00000000" w:rsidRDefault="00000000" w:rsidRPr="00000000" w14:paraId="0000004D">
            <w:pPr>
              <w:spacing w:line="240" w:lineRule="auto"/>
              <w:rPr/>
            </w:pPr>
            <w:r w:rsidDel="00000000" w:rsidR="00000000" w:rsidRPr="00000000">
              <w:rPr>
                <w:rtl w:val="0"/>
              </w:rPr>
            </w:r>
          </w:p>
          <w:p w:rsidR="00000000" w:rsidDel="00000000" w:rsidP="00000000" w:rsidRDefault="00000000" w:rsidRPr="00000000" w14:paraId="0000004E">
            <w:pPr>
              <w:spacing w:line="240" w:lineRule="auto"/>
              <w:rPr/>
            </w:pPr>
            <w:r w:rsidDel="00000000" w:rsidR="00000000" w:rsidRPr="00000000">
              <w:rPr>
                <w:rtl w:val="0"/>
              </w:rPr>
              <w:t xml:space="preserve">No  </w:t>
            </w: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4F">
            <w:pPr>
              <w:spacing w:line="259" w:lineRule="auto"/>
              <w:rPr/>
            </w:pPr>
            <w:r w:rsidDel="00000000" w:rsidR="00000000" w:rsidRPr="00000000">
              <w:rPr>
                <w:rtl w:val="0"/>
              </w:rPr>
            </w:r>
          </w:p>
          <w:p w:rsidR="00000000" w:rsidDel="00000000" w:rsidP="00000000" w:rsidRDefault="00000000" w:rsidRPr="00000000" w14:paraId="00000050">
            <w:pPr>
              <w:spacing w:line="259" w:lineRule="auto"/>
              <w:rPr/>
            </w:pPr>
            <w:r w:rsidDel="00000000" w:rsidR="00000000" w:rsidRPr="00000000">
              <w:rPr>
                <w:rtl w:val="0"/>
              </w:rPr>
              <w:t xml:space="preserve">STRUCTURE</w:t>
            </w:r>
          </w:p>
        </w:tc>
        <w:tc>
          <w:tcPr>
            <w:tcMar>
              <w:left w:w="105.0" w:type="dxa"/>
              <w:right w:w="105.0" w:type="dxa"/>
            </w:tcMar>
          </w:tcPr>
          <w:p w:rsidR="00000000" w:rsidDel="00000000" w:rsidP="00000000" w:rsidRDefault="00000000" w:rsidRPr="00000000" w14:paraId="00000051">
            <w:pPr>
              <w:spacing w:line="259" w:lineRule="auto"/>
              <w:rPr/>
            </w:pPr>
            <w:r w:rsidDel="00000000" w:rsidR="00000000" w:rsidRPr="00000000">
              <w:rPr>
                <w:rtl w:val="0"/>
              </w:rPr>
              <w:t xml:space="preserve">For this assessment, you can use Generative AI to support you in structuring your submission, including creating a draft argument structure, identifying parts and headings, etc.</w:t>
            </w:r>
          </w:p>
        </w:tc>
        <w:tc>
          <w:tcPr/>
          <w:p w:rsidR="00000000" w:rsidDel="00000000" w:rsidP="00000000" w:rsidRDefault="00000000" w:rsidRPr="00000000" w14:paraId="00000052">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53">
            <w:pPr>
              <w:spacing w:line="240" w:lineRule="auto"/>
              <w:rPr/>
            </w:pPr>
            <w:r w:rsidDel="00000000" w:rsidR="00000000" w:rsidRPr="00000000">
              <w:rPr>
                <w:rtl w:val="0"/>
              </w:rPr>
            </w:r>
          </w:p>
          <w:p w:rsidR="00000000" w:rsidDel="00000000" w:rsidP="00000000" w:rsidRDefault="00000000" w:rsidRPr="00000000" w14:paraId="00000054">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55">
            <w:pPr>
              <w:spacing w:line="259" w:lineRule="auto"/>
              <w:rPr/>
            </w:pPr>
            <w:r w:rsidDel="00000000" w:rsidR="00000000" w:rsidRPr="00000000">
              <w:rPr>
                <w:rtl w:val="0"/>
              </w:rPr>
              <w:t xml:space="preserve">PROOFREADING</w:t>
            </w:r>
          </w:p>
        </w:tc>
        <w:tc>
          <w:tcPr>
            <w:tcMar>
              <w:left w:w="105.0" w:type="dxa"/>
              <w:right w:w="105.0" w:type="dxa"/>
            </w:tcMar>
          </w:tcPr>
          <w:p w:rsidR="00000000" w:rsidDel="00000000" w:rsidP="00000000" w:rsidRDefault="00000000" w:rsidRPr="00000000" w14:paraId="00000056">
            <w:pPr>
              <w:spacing w:line="259" w:lineRule="auto"/>
              <w:rPr/>
            </w:pPr>
            <w:r w:rsidDel="00000000" w:rsidR="00000000" w:rsidRPr="00000000">
              <w:rPr>
                <w:rtl w:val="0"/>
              </w:rPr>
              <w:t xml:space="preserve">For this assessment, you can use Generative AI to check your own text/creation for grammatical and syntactical mistakes, including rephrasing of your own work within specific standards.</w:t>
            </w:r>
          </w:p>
        </w:tc>
        <w:tc>
          <w:tcPr/>
          <w:p w:rsidR="00000000" w:rsidDel="00000000" w:rsidP="00000000" w:rsidRDefault="00000000" w:rsidRPr="00000000" w14:paraId="00000057">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58">
            <w:pPr>
              <w:spacing w:line="240" w:lineRule="auto"/>
              <w:rPr/>
            </w:pPr>
            <w:r w:rsidDel="00000000" w:rsidR="00000000" w:rsidRPr="00000000">
              <w:rPr>
                <w:rtl w:val="0"/>
              </w:rPr>
            </w:r>
          </w:p>
          <w:p w:rsidR="00000000" w:rsidDel="00000000" w:rsidP="00000000" w:rsidRDefault="00000000" w:rsidRPr="00000000" w14:paraId="00000059">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5A">
            <w:pPr>
              <w:spacing w:line="259" w:lineRule="auto"/>
              <w:rPr/>
            </w:pPr>
            <w:r w:rsidDel="00000000" w:rsidR="00000000" w:rsidRPr="00000000">
              <w:rPr>
                <w:rtl w:val="0"/>
              </w:rPr>
              <w:t xml:space="preserve">WRITING</w:t>
            </w:r>
          </w:p>
        </w:tc>
        <w:tc>
          <w:tcPr>
            <w:tcMar>
              <w:left w:w="105.0" w:type="dxa"/>
              <w:right w:w="105.0" w:type="dxa"/>
            </w:tcMar>
          </w:tcPr>
          <w:p w:rsidR="00000000" w:rsidDel="00000000" w:rsidP="00000000" w:rsidRDefault="00000000" w:rsidRPr="00000000" w14:paraId="0000005B">
            <w:pPr>
              <w:spacing w:line="259" w:lineRule="auto"/>
              <w:rPr/>
            </w:pPr>
            <w:r w:rsidDel="00000000" w:rsidR="00000000" w:rsidRPr="00000000">
              <w:rPr>
                <w:rtl w:val="0"/>
              </w:rPr>
              <w:t xml:space="preserve">For this assessment, you can use Generative AI to create text for submission.</w:t>
            </w:r>
          </w:p>
        </w:tc>
        <w:tc>
          <w:tcPr/>
          <w:p w:rsidR="00000000" w:rsidDel="00000000" w:rsidP="00000000" w:rsidRDefault="00000000" w:rsidRPr="00000000" w14:paraId="0000005C">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5D">
            <w:pPr>
              <w:spacing w:line="240" w:lineRule="auto"/>
              <w:rPr/>
            </w:pPr>
            <w:r w:rsidDel="00000000" w:rsidR="00000000" w:rsidRPr="00000000">
              <w:rPr>
                <w:rtl w:val="0"/>
              </w:rPr>
            </w:r>
          </w:p>
          <w:p w:rsidR="00000000" w:rsidDel="00000000" w:rsidP="00000000" w:rsidRDefault="00000000" w:rsidRPr="00000000" w14:paraId="0000005E">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5F">
            <w:pPr>
              <w:spacing w:line="259" w:lineRule="auto"/>
              <w:rPr/>
            </w:pPr>
            <w:r w:rsidDel="00000000" w:rsidR="00000000" w:rsidRPr="00000000">
              <w:rPr>
                <w:rtl w:val="0"/>
              </w:rPr>
              <w:t xml:space="preserve">CREATIVE</w:t>
            </w:r>
          </w:p>
        </w:tc>
        <w:tc>
          <w:tcPr>
            <w:tcMar>
              <w:left w:w="105.0" w:type="dxa"/>
              <w:right w:w="105.0" w:type="dxa"/>
            </w:tcMar>
          </w:tcPr>
          <w:p w:rsidR="00000000" w:rsidDel="00000000" w:rsidP="00000000" w:rsidRDefault="00000000" w:rsidRPr="00000000" w14:paraId="00000060">
            <w:pPr>
              <w:spacing w:line="259" w:lineRule="auto"/>
              <w:rPr/>
            </w:pPr>
            <w:r w:rsidDel="00000000" w:rsidR="00000000" w:rsidRPr="00000000">
              <w:rPr>
                <w:rtl w:val="0"/>
              </w:rPr>
              <w:t xml:space="preserve">For this assessment, you can use Generative AI to create creative materials, such as images.</w:t>
            </w:r>
          </w:p>
        </w:tc>
        <w:tc>
          <w:tcPr/>
          <w:p w:rsidR="00000000" w:rsidDel="00000000" w:rsidP="00000000" w:rsidRDefault="00000000" w:rsidRPr="00000000" w14:paraId="00000061">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62">
            <w:pPr>
              <w:spacing w:line="240" w:lineRule="auto"/>
              <w:rPr/>
            </w:pPr>
            <w:r w:rsidDel="00000000" w:rsidR="00000000" w:rsidRPr="00000000">
              <w:rPr>
                <w:rtl w:val="0"/>
              </w:rPr>
            </w:r>
          </w:p>
          <w:p w:rsidR="00000000" w:rsidDel="00000000" w:rsidP="00000000" w:rsidRDefault="00000000" w:rsidRPr="00000000" w14:paraId="00000063">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64">
            <w:pPr>
              <w:spacing w:line="259" w:lineRule="auto"/>
              <w:rPr/>
            </w:pPr>
            <w:r w:rsidDel="00000000" w:rsidR="00000000" w:rsidRPr="00000000">
              <w:rPr>
                <w:rtl w:val="0"/>
              </w:rPr>
              <w:t xml:space="preserve">PROGRAMING</w:t>
            </w:r>
          </w:p>
        </w:tc>
        <w:tc>
          <w:tcPr>
            <w:tcMar>
              <w:left w:w="105.0" w:type="dxa"/>
              <w:right w:w="105.0" w:type="dxa"/>
            </w:tcMar>
          </w:tcPr>
          <w:p w:rsidR="00000000" w:rsidDel="00000000" w:rsidP="00000000" w:rsidRDefault="00000000" w:rsidRPr="00000000" w14:paraId="00000065">
            <w:pPr>
              <w:spacing w:line="259" w:lineRule="auto"/>
              <w:rPr/>
            </w:pPr>
            <w:r w:rsidDel="00000000" w:rsidR="00000000" w:rsidRPr="00000000">
              <w:rPr>
                <w:rtl w:val="0"/>
              </w:rPr>
              <w:t xml:space="preserve">For this assessment, you can use Generative AI to create and check code.</w:t>
            </w:r>
          </w:p>
        </w:tc>
        <w:tc>
          <w:tcPr/>
          <w:p w:rsidR="00000000" w:rsidDel="00000000" w:rsidP="00000000" w:rsidRDefault="00000000" w:rsidRPr="00000000" w14:paraId="00000066">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67">
            <w:pPr>
              <w:spacing w:line="240" w:lineRule="auto"/>
              <w:rPr/>
            </w:pPr>
            <w:r w:rsidDel="00000000" w:rsidR="00000000" w:rsidRPr="00000000">
              <w:rPr>
                <w:rtl w:val="0"/>
              </w:rPr>
            </w:r>
          </w:p>
          <w:p w:rsidR="00000000" w:rsidDel="00000000" w:rsidP="00000000" w:rsidRDefault="00000000" w:rsidRPr="00000000" w14:paraId="00000068">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00" w:hRule="atLeast"/>
          <w:tblHeader w:val="0"/>
        </w:trPr>
        <w:tc>
          <w:tcPr>
            <w:tcMar>
              <w:left w:w="105.0" w:type="dxa"/>
              <w:right w:w="105.0" w:type="dxa"/>
            </w:tcMar>
          </w:tcPr>
          <w:p w:rsidR="00000000" w:rsidDel="00000000" w:rsidP="00000000" w:rsidRDefault="00000000" w:rsidRPr="00000000" w14:paraId="00000069">
            <w:pPr>
              <w:spacing w:line="259" w:lineRule="auto"/>
              <w:rPr/>
            </w:pPr>
            <w:r w:rsidDel="00000000" w:rsidR="00000000" w:rsidRPr="00000000">
              <w:rPr>
                <w:rtl w:val="0"/>
              </w:rPr>
              <w:t xml:space="preserve">NONE</w:t>
            </w:r>
          </w:p>
        </w:tc>
        <w:tc>
          <w:tcPr>
            <w:tcMar>
              <w:left w:w="105.0" w:type="dxa"/>
              <w:right w:w="105.0" w:type="dxa"/>
            </w:tcMar>
          </w:tcPr>
          <w:p w:rsidR="00000000" w:rsidDel="00000000" w:rsidP="00000000" w:rsidRDefault="00000000" w:rsidRPr="00000000" w14:paraId="0000006A">
            <w:pPr>
              <w:spacing w:line="259" w:lineRule="auto"/>
              <w:rPr/>
            </w:pPr>
            <w:r w:rsidDel="00000000" w:rsidR="00000000" w:rsidRPr="00000000">
              <w:rPr>
                <w:rtl w:val="0"/>
              </w:rPr>
              <w:t xml:space="preserve">For this assessment, you are not allowed to use </w:t>
            </w:r>
            <w:r w:rsidDel="00000000" w:rsidR="00000000" w:rsidRPr="00000000">
              <w:rPr>
                <w:b w:val="1"/>
                <w:rtl w:val="0"/>
              </w:rPr>
              <w:t xml:space="preserve">any</w:t>
            </w:r>
            <w:r w:rsidDel="00000000" w:rsidR="00000000" w:rsidRPr="00000000">
              <w:rPr>
                <w:rtl w:val="0"/>
              </w:rPr>
              <w:t xml:space="preserve"> type of Generative AI support. This includes research support, structure support, writing/proofreading support and creative support.</w:t>
            </w:r>
          </w:p>
        </w:tc>
        <w:tc>
          <w:tcPr/>
          <w:p w:rsidR="00000000" w:rsidDel="00000000" w:rsidP="00000000" w:rsidRDefault="00000000" w:rsidRPr="00000000" w14:paraId="0000006B">
            <w:pPr>
              <w:spacing w:line="240" w:lineRule="auto"/>
              <w:rPr/>
            </w:pPr>
            <w:r w:rsidDel="00000000" w:rsidR="00000000" w:rsidRPr="00000000">
              <w:rPr>
                <w:rtl w:val="0"/>
              </w:rPr>
              <w:t xml:space="preserve">Yes </w:t>
            </w: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06C">
            <w:pPr>
              <w:spacing w:line="240" w:lineRule="auto"/>
              <w:rPr/>
            </w:pPr>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rtl w:val="0"/>
              </w:rPr>
              <w:t xml:space="preserve">No  </w:t>
            </w: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06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6F">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70">
      <w:pPr>
        <w:spacing w:line="240" w:lineRule="auto"/>
        <w:rPr>
          <w:sz w:val="24"/>
          <w:szCs w:val="24"/>
        </w:rPr>
      </w:pPr>
      <w:r w:rsidDel="00000000" w:rsidR="00000000" w:rsidRPr="00000000">
        <w:rPr>
          <w:rtl w:val="0"/>
        </w:rPr>
      </w:r>
    </w:p>
    <w:p w:rsidR="00000000" w:rsidDel="00000000" w:rsidP="00000000" w:rsidRDefault="00000000" w:rsidRPr="00000000" w14:paraId="00000071">
      <w:pPr>
        <w:spacing w:line="240" w:lineRule="auto"/>
        <w:rPr>
          <w:sz w:val="24"/>
          <w:szCs w:val="24"/>
        </w:rPr>
      </w:pPr>
      <w:r w:rsidDel="00000000" w:rsidR="00000000" w:rsidRPr="00000000">
        <w:rPr>
          <w:sz w:val="24"/>
          <w:szCs w:val="24"/>
          <w:rtl w:val="0"/>
        </w:rPr>
        <w:t xml:space="preserve">I acknowledge the use of AI to proofread my work in order to minimise grammar and spelling mistakes. </w:t>
      </w:r>
    </w:p>
    <w:p w:rsidR="00000000" w:rsidDel="00000000" w:rsidP="00000000" w:rsidRDefault="00000000" w:rsidRPr="00000000" w14:paraId="00000072">
      <w:pPr>
        <w:spacing w:line="240" w:lineRule="auto"/>
        <w:rPr>
          <w:sz w:val="24"/>
          <w:szCs w:val="24"/>
        </w:rPr>
      </w:pPr>
      <w:r w:rsidDel="00000000" w:rsidR="00000000" w:rsidRPr="00000000">
        <w:rPr>
          <w:rtl w:val="0"/>
        </w:rPr>
      </w:r>
    </w:p>
    <w:p w:rsidR="00000000" w:rsidDel="00000000" w:rsidP="00000000" w:rsidRDefault="00000000" w:rsidRPr="00000000" w14:paraId="00000073">
      <w:pPr>
        <w:spacing w:line="240" w:lineRule="auto"/>
        <w:rPr>
          <w:sz w:val="24"/>
          <w:szCs w:val="24"/>
        </w:rPr>
      </w:pPr>
      <w:r w:rsidDel="00000000" w:rsidR="00000000" w:rsidRPr="00000000">
        <w:rPr>
          <w:sz w:val="24"/>
          <w:szCs w:val="24"/>
          <w:rtl w:val="0"/>
        </w:rPr>
        <w:t xml:space="preserve">I acknowledge the use of AI to guide and help me find the relevant research  to begin with. </w:t>
      </w:r>
    </w:p>
    <w:p w:rsidR="00000000" w:rsidDel="00000000" w:rsidP="00000000" w:rsidRDefault="00000000" w:rsidRPr="00000000" w14:paraId="00000074">
      <w:pPr>
        <w:spacing w:line="240" w:lineRule="auto"/>
        <w:rPr>
          <w:sz w:val="24"/>
          <w:szCs w:val="24"/>
        </w:rPr>
      </w:pPr>
      <w:r w:rsidDel="00000000" w:rsidR="00000000" w:rsidRPr="00000000">
        <w:rPr>
          <w:rtl w:val="0"/>
        </w:rPr>
      </w:r>
    </w:p>
    <w:p w:rsidR="00000000" w:rsidDel="00000000" w:rsidP="00000000" w:rsidRDefault="00000000" w:rsidRPr="00000000" w14:paraId="00000075">
      <w:pPr>
        <w:spacing w:line="240" w:lineRule="auto"/>
        <w:rPr>
          <w:b w:val="1"/>
          <w:i w:val="1"/>
          <w:sz w:val="30"/>
          <w:szCs w:val="30"/>
          <w:u w:val="single"/>
        </w:rPr>
      </w:pPr>
      <w:r w:rsidDel="00000000" w:rsidR="00000000" w:rsidRPr="00000000">
        <w:rPr>
          <w:sz w:val="24"/>
          <w:szCs w:val="24"/>
          <w:rtl w:val="0"/>
        </w:rPr>
        <w:t xml:space="preserve">I can confirm I have not presented any AI text as my own work. AI was used in researching the relevant information and proofreading. </w:t>
      </w:r>
      <w:r w:rsidDel="00000000" w:rsidR="00000000" w:rsidRPr="00000000">
        <w:rPr>
          <w:rtl w:val="0"/>
        </w:rPr>
      </w:r>
    </w:p>
    <w:p w:rsidR="00000000" w:rsidDel="00000000" w:rsidP="00000000" w:rsidRDefault="00000000" w:rsidRPr="00000000" w14:paraId="00000076">
      <w:pPr>
        <w:rPr>
          <w:b w:val="1"/>
          <w:i w:val="1"/>
          <w:sz w:val="30"/>
          <w:szCs w:val="30"/>
          <w:u w:val="single"/>
        </w:rPr>
      </w:pPr>
      <w:r w:rsidDel="00000000" w:rsidR="00000000" w:rsidRPr="00000000">
        <w:rPr>
          <w:rtl w:val="0"/>
        </w:rPr>
      </w:r>
    </w:p>
    <w:p w:rsidR="00000000" w:rsidDel="00000000" w:rsidP="00000000" w:rsidRDefault="00000000" w:rsidRPr="00000000" w14:paraId="00000077">
      <w:pPr>
        <w:rPr>
          <w:b w:val="1"/>
          <w:i w:val="1"/>
          <w:sz w:val="30"/>
          <w:szCs w:val="30"/>
          <w:u w:val="single"/>
        </w:rPr>
      </w:pPr>
      <w:r w:rsidDel="00000000" w:rsidR="00000000" w:rsidRPr="00000000">
        <w:rPr>
          <w:rtl w:val="0"/>
        </w:rPr>
      </w:r>
    </w:p>
    <w:p w:rsidR="00000000" w:rsidDel="00000000" w:rsidP="00000000" w:rsidRDefault="00000000" w:rsidRPr="00000000" w14:paraId="00000078">
      <w:pPr>
        <w:rPr>
          <w:b w:val="1"/>
          <w:i w:val="1"/>
          <w:sz w:val="30"/>
          <w:szCs w:val="30"/>
          <w:u w:val="single"/>
        </w:rPr>
      </w:pPr>
      <w:r w:rsidDel="00000000" w:rsidR="00000000" w:rsidRPr="00000000">
        <w:rPr>
          <w:rtl w:val="0"/>
        </w:rPr>
      </w:r>
    </w:p>
    <w:p w:rsidR="00000000" w:rsidDel="00000000" w:rsidP="00000000" w:rsidRDefault="00000000" w:rsidRPr="00000000" w14:paraId="00000079">
      <w:pPr>
        <w:rPr>
          <w:b w:val="1"/>
          <w:i w:val="1"/>
          <w:sz w:val="30"/>
          <w:szCs w:val="30"/>
          <w:u w:val="single"/>
        </w:rPr>
      </w:pPr>
      <w:r w:rsidDel="00000000" w:rsidR="00000000" w:rsidRPr="00000000">
        <w:rPr>
          <w:rtl w:val="0"/>
        </w:rPr>
      </w:r>
    </w:p>
    <w:p w:rsidR="00000000" w:rsidDel="00000000" w:rsidP="00000000" w:rsidRDefault="00000000" w:rsidRPr="00000000" w14:paraId="0000007A">
      <w:pPr>
        <w:rPr>
          <w:b w:val="1"/>
          <w:i w:val="1"/>
          <w:sz w:val="30"/>
          <w:szCs w:val="30"/>
          <w:u w:val="single"/>
        </w:rPr>
      </w:pPr>
      <w:r w:rsidDel="00000000" w:rsidR="00000000" w:rsidRPr="00000000">
        <w:rPr>
          <w:rtl w:val="0"/>
        </w:rPr>
      </w:r>
    </w:p>
    <w:p w:rsidR="00000000" w:rsidDel="00000000" w:rsidP="00000000" w:rsidRDefault="00000000" w:rsidRPr="00000000" w14:paraId="0000007B">
      <w:pPr>
        <w:rPr>
          <w:b w:val="1"/>
          <w:i w:val="1"/>
          <w:sz w:val="30"/>
          <w:szCs w:val="30"/>
          <w:u w:val="single"/>
        </w:rPr>
      </w:pPr>
      <w:r w:rsidDel="00000000" w:rsidR="00000000" w:rsidRPr="00000000">
        <w:rPr>
          <w:b w:val="1"/>
          <w:i w:val="1"/>
          <w:sz w:val="30"/>
          <w:szCs w:val="30"/>
          <w:u w:val="single"/>
          <w:rtl w:val="0"/>
        </w:rPr>
        <w:t xml:space="preserve">Table of Contents</w:t>
      </w:r>
    </w:p>
    <w:p w:rsidR="00000000" w:rsidDel="00000000" w:rsidP="00000000" w:rsidRDefault="00000000" w:rsidRPr="00000000" w14:paraId="0000007C">
      <w:pPr>
        <w:rPr>
          <w:b w:val="1"/>
          <w:i w:val="1"/>
          <w:sz w:val="30"/>
          <w:szCs w:val="30"/>
        </w:rPr>
      </w:pPr>
      <w:r w:rsidDel="00000000" w:rsidR="00000000" w:rsidRPr="00000000">
        <w:rPr>
          <w:rtl w:val="0"/>
        </w:rPr>
      </w:r>
    </w:p>
    <w:p w:rsidR="00000000" w:rsidDel="00000000" w:rsidP="00000000" w:rsidRDefault="00000000" w:rsidRPr="00000000" w14:paraId="0000007D">
      <w:pPr>
        <w:rPr>
          <w:i w:val="1"/>
          <w:sz w:val="30"/>
          <w:szCs w:val="30"/>
        </w:rPr>
      </w:pPr>
      <w:r w:rsidDel="00000000" w:rsidR="00000000" w:rsidRPr="00000000">
        <w:rPr>
          <w:b w:val="1"/>
          <w:sz w:val="30"/>
          <w:szCs w:val="30"/>
          <w:rtl w:val="0"/>
        </w:rPr>
        <w:t xml:space="preserve">Abstract</w:t>
      </w:r>
      <w:r w:rsidDel="00000000" w:rsidR="00000000" w:rsidRPr="00000000">
        <w:rPr>
          <w:i w:val="1"/>
          <w:sz w:val="30"/>
          <w:szCs w:val="30"/>
          <w:rtl w:val="0"/>
        </w:rPr>
        <w:t xml:space="preserve">- Page 5</w:t>
      </w:r>
    </w:p>
    <w:p w:rsidR="00000000" w:rsidDel="00000000" w:rsidP="00000000" w:rsidRDefault="00000000" w:rsidRPr="00000000" w14:paraId="0000007E">
      <w:pPr>
        <w:rPr>
          <w:i w:val="1"/>
          <w:sz w:val="30"/>
          <w:szCs w:val="30"/>
        </w:rPr>
      </w:pPr>
      <w:r w:rsidDel="00000000" w:rsidR="00000000" w:rsidRPr="00000000">
        <w:rPr>
          <w:rtl w:val="0"/>
        </w:rPr>
      </w:r>
    </w:p>
    <w:p w:rsidR="00000000" w:rsidDel="00000000" w:rsidP="00000000" w:rsidRDefault="00000000" w:rsidRPr="00000000" w14:paraId="0000007F">
      <w:pPr>
        <w:rPr>
          <w:i w:val="1"/>
          <w:sz w:val="30"/>
          <w:szCs w:val="30"/>
        </w:rPr>
      </w:pPr>
      <w:r w:rsidDel="00000000" w:rsidR="00000000" w:rsidRPr="00000000">
        <w:rPr>
          <w:b w:val="1"/>
          <w:sz w:val="30"/>
          <w:szCs w:val="30"/>
          <w:rtl w:val="0"/>
        </w:rPr>
        <w:t xml:space="preserve">Introduction</w:t>
      </w:r>
      <w:r w:rsidDel="00000000" w:rsidR="00000000" w:rsidRPr="00000000">
        <w:rPr>
          <w:i w:val="1"/>
          <w:sz w:val="30"/>
          <w:szCs w:val="30"/>
          <w:rtl w:val="0"/>
        </w:rPr>
        <w:t xml:space="preserve">- Page 6</w:t>
      </w:r>
    </w:p>
    <w:p w:rsidR="00000000" w:rsidDel="00000000" w:rsidP="00000000" w:rsidRDefault="00000000" w:rsidRPr="00000000" w14:paraId="00000080">
      <w:pPr>
        <w:rPr>
          <w:i w:val="1"/>
          <w:sz w:val="30"/>
          <w:szCs w:val="30"/>
        </w:rPr>
      </w:pPr>
      <w:r w:rsidDel="00000000" w:rsidR="00000000" w:rsidRPr="00000000">
        <w:rPr>
          <w:rtl w:val="0"/>
        </w:rPr>
      </w:r>
    </w:p>
    <w:p w:rsidR="00000000" w:rsidDel="00000000" w:rsidP="00000000" w:rsidRDefault="00000000" w:rsidRPr="00000000" w14:paraId="00000081">
      <w:pPr>
        <w:rPr>
          <w:i w:val="1"/>
          <w:sz w:val="30"/>
          <w:szCs w:val="30"/>
        </w:rPr>
      </w:pPr>
      <w:r w:rsidDel="00000000" w:rsidR="00000000" w:rsidRPr="00000000">
        <w:rPr>
          <w:b w:val="1"/>
          <w:sz w:val="30"/>
          <w:szCs w:val="30"/>
          <w:rtl w:val="0"/>
        </w:rPr>
        <w:t xml:space="preserve">Methodology</w:t>
      </w:r>
      <w:r w:rsidDel="00000000" w:rsidR="00000000" w:rsidRPr="00000000">
        <w:rPr>
          <w:i w:val="1"/>
          <w:sz w:val="30"/>
          <w:szCs w:val="30"/>
          <w:rtl w:val="0"/>
        </w:rPr>
        <w:t xml:space="preserve">- Page 9</w:t>
      </w:r>
    </w:p>
    <w:p w:rsidR="00000000" w:rsidDel="00000000" w:rsidP="00000000" w:rsidRDefault="00000000" w:rsidRPr="00000000" w14:paraId="00000082">
      <w:pPr>
        <w:rPr>
          <w:i w:val="1"/>
          <w:sz w:val="30"/>
          <w:szCs w:val="30"/>
        </w:rPr>
      </w:pPr>
      <w:r w:rsidDel="00000000" w:rsidR="00000000" w:rsidRPr="00000000">
        <w:rPr>
          <w:rtl w:val="0"/>
        </w:rPr>
      </w:r>
    </w:p>
    <w:p w:rsidR="00000000" w:rsidDel="00000000" w:rsidP="00000000" w:rsidRDefault="00000000" w:rsidRPr="00000000" w14:paraId="00000083">
      <w:pPr>
        <w:rPr>
          <w:i w:val="1"/>
          <w:sz w:val="30"/>
          <w:szCs w:val="30"/>
        </w:rPr>
      </w:pPr>
      <w:r w:rsidDel="00000000" w:rsidR="00000000" w:rsidRPr="00000000">
        <w:rPr>
          <w:b w:val="1"/>
          <w:sz w:val="30"/>
          <w:szCs w:val="30"/>
          <w:rtl w:val="0"/>
        </w:rPr>
        <w:t xml:space="preserve">Results</w:t>
      </w:r>
      <w:r w:rsidDel="00000000" w:rsidR="00000000" w:rsidRPr="00000000">
        <w:rPr>
          <w:i w:val="1"/>
          <w:sz w:val="30"/>
          <w:szCs w:val="30"/>
          <w:rtl w:val="0"/>
        </w:rPr>
        <w:t xml:space="preserve">- Page 13</w:t>
      </w:r>
    </w:p>
    <w:p w:rsidR="00000000" w:rsidDel="00000000" w:rsidP="00000000" w:rsidRDefault="00000000" w:rsidRPr="00000000" w14:paraId="00000084">
      <w:pPr>
        <w:rPr>
          <w:i w:val="1"/>
          <w:sz w:val="30"/>
          <w:szCs w:val="30"/>
        </w:rPr>
      </w:pPr>
      <w:r w:rsidDel="00000000" w:rsidR="00000000" w:rsidRPr="00000000">
        <w:rPr>
          <w:rtl w:val="0"/>
        </w:rPr>
      </w:r>
    </w:p>
    <w:p w:rsidR="00000000" w:rsidDel="00000000" w:rsidP="00000000" w:rsidRDefault="00000000" w:rsidRPr="00000000" w14:paraId="00000085">
      <w:pPr>
        <w:rPr>
          <w:i w:val="1"/>
          <w:sz w:val="30"/>
          <w:szCs w:val="30"/>
        </w:rPr>
      </w:pPr>
      <w:r w:rsidDel="00000000" w:rsidR="00000000" w:rsidRPr="00000000">
        <w:rPr>
          <w:b w:val="1"/>
          <w:sz w:val="30"/>
          <w:szCs w:val="30"/>
          <w:rtl w:val="0"/>
        </w:rPr>
        <w:t xml:space="preserve">Discussion</w:t>
      </w:r>
      <w:r w:rsidDel="00000000" w:rsidR="00000000" w:rsidRPr="00000000">
        <w:rPr>
          <w:i w:val="1"/>
          <w:sz w:val="30"/>
          <w:szCs w:val="30"/>
          <w:rtl w:val="0"/>
        </w:rPr>
        <w:t xml:space="preserve">- Page 20</w:t>
      </w:r>
    </w:p>
    <w:p w:rsidR="00000000" w:rsidDel="00000000" w:rsidP="00000000" w:rsidRDefault="00000000" w:rsidRPr="00000000" w14:paraId="00000086">
      <w:pPr>
        <w:rPr>
          <w:i w:val="1"/>
          <w:sz w:val="30"/>
          <w:szCs w:val="30"/>
        </w:rPr>
      </w:pPr>
      <w:r w:rsidDel="00000000" w:rsidR="00000000" w:rsidRPr="00000000">
        <w:rPr>
          <w:rtl w:val="0"/>
        </w:rPr>
      </w:r>
    </w:p>
    <w:p w:rsidR="00000000" w:rsidDel="00000000" w:rsidP="00000000" w:rsidRDefault="00000000" w:rsidRPr="00000000" w14:paraId="00000087">
      <w:pPr>
        <w:rPr>
          <w:i w:val="1"/>
          <w:sz w:val="30"/>
          <w:szCs w:val="30"/>
        </w:rPr>
      </w:pPr>
      <w:r w:rsidDel="00000000" w:rsidR="00000000" w:rsidRPr="00000000">
        <w:rPr>
          <w:b w:val="1"/>
          <w:sz w:val="30"/>
          <w:szCs w:val="30"/>
          <w:rtl w:val="0"/>
        </w:rPr>
        <w:t xml:space="preserve">Conclusion</w:t>
      </w:r>
      <w:r w:rsidDel="00000000" w:rsidR="00000000" w:rsidRPr="00000000">
        <w:rPr>
          <w:i w:val="1"/>
          <w:sz w:val="30"/>
          <w:szCs w:val="30"/>
          <w:rtl w:val="0"/>
        </w:rPr>
        <w:t xml:space="preserve">- Page 25</w:t>
      </w:r>
    </w:p>
    <w:p w:rsidR="00000000" w:rsidDel="00000000" w:rsidP="00000000" w:rsidRDefault="00000000" w:rsidRPr="00000000" w14:paraId="00000088">
      <w:pPr>
        <w:rPr>
          <w:i w:val="1"/>
          <w:sz w:val="30"/>
          <w:szCs w:val="30"/>
        </w:rPr>
      </w:pPr>
      <w:r w:rsidDel="00000000" w:rsidR="00000000" w:rsidRPr="00000000">
        <w:rPr>
          <w:rtl w:val="0"/>
        </w:rPr>
      </w:r>
    </w:p>
    <w:p w:rsidR="00000000" w:rsidDel="00000000" w:rsidP="00000000" w:rsidRDefault="00000000" w:rsidRPr="00000000" w14:paraId="00000089">
      <w:pPr>
        <w:rPr>
          <w:i w:val="1"/>
          <w:sz w:val="30"/>
          <w:szCs w:val="30"/>
        </w:rPr>
      </w:pPr>
      <w:r w:rsidDel="00000000" w:rsidR="00000000" w:rsidRPr="00000000">
        <w:rPr>
          <w:b w:val="1"/>
          <w:sz w:val="30"/>
          <w:szCs w:val="30"/>
          <w:rtl w:val="0"/>
        </w:rPr>
        <w:t xml:space="preserve">Reference List</w:t>
      </w:r>
      <w:r w:rsidDel="00000000" w:rsidR="00000000" w:rsidRPr="00000000">
        <w:rPr>
          <w:i w:val="1"/>
          <w:sz w:val="30"/>
          <w:szCs w:val="30"/>
          <w:rtl w:val="0"/>
        </w:rPr>
        <w:t xml:space="preserve">- Page</w:t>
      </w:r>
      <w:r w:rsidDel="00000000" w:rsidR="00000000" w:rsidRPr="00000000">
        <w:rPr>
          <w:b w:val="1"/>
          <w:i w:val="1"/>
          <w:sz w:val="30"/>
          <w:szCs w:val="30"/>
          <w:rtl w:val="0"/>
        </w:rPr>
        <w:t xml:space="preserve"> </w:t>
      </w:r>
      <w:r w:rsidDel="00000000" w:rsidR="00000000" w:rsidRPr="00000000">
        <w:rPr>
          <w:i w:val="1"/>
          <w:sz w:val="30"/>
          <w:szCs w:val="30"/>
          <w:rtl w:val="0"/>
        </w:rPr>
        <w:t xml:space="preserve">27</w:t>
      </w:r>
    </w:p>
    <w:p w:rsidR="00000000" w:rsidDel="00000000" w:rsidP="00000000" w:rsidRDefault="00000000" w:rsidRPr="00000000" w14:paraId="0000008A">
      <w:pPr>
        <w:rPr>
          <w:b w:val="1"/>
          <w:i w:val="1"/>
          <w:sz w:val="30"/>
          <w:szCs w:val="30"/>
        </w:rPr>
      </w:pPr>
      <w:r w:rsidDel="00000000" w:rsidR="00000000" w:rsidRPr="00000000">
        <w:rPr>
          <w:rtl w:val="0"/>
        </w:rPr>
      </w:r>
    </w:p>
    <w:p w:rsidR="00000000" w:rsidDel="00000000" w:rsidP="00000000" w:rsidRDefault="00000000" w:rsidRPr="00000000" w14:paraId="0000008B">
      <w:pPr>
        <w:rPr>
          <w:b w:val="1"/>
          <w:i w:val="1"/>
          <w:sz w:val="30"/>
          <w:szCs w:val="30"/>
        </w:rPr>
      </w:pPr>
      <w:r w:rsidDel="00000000" w:rsidR="00000000" w:rsidRPr="00000000">
        <w:rPr>
          <w:rtl w:val="0"/>
        </w:rPr>
      </w:r>
    </w:p>
    <w:p w:rsidR="00000000" w:rsidDel="00000000" w:rsidP="00000000" w:rsidRDefault="00000000" w:rsidRPr="00000000" w14:paraId="0000008C">
      <w:pPr>
        <w:rPr>
          <w:b w:val="1"/>
          <w:i w:val="1"/>
          <w:sz w:val="26"/>
          <w:szCs w:val="26"/>
        </w:rPr>
      </w:pPr>
      <w:r w:rsidDel="00000000" w:rsidR="00000000" w:rsidRPr="00000000">
        <w:rPr>
          <w:rtl w:val="0"/>
        </w:rPr>
      </w:r>
    </w:p>
    <w:p w:rsidR="00000000" w:rsidDel="00000000" w:rsidP="00000000" w:rsidRDefault="00000000" w:rsidRPr="00000000" w14:paraId="0000008D">
      <w:pPr>
        <w:rPr>
          <w:b w:val="1"/>
          <w:sz w:val="26"/>
          <w:szCs w:val="26"/>
          <w:u w:val="single"/>
        </w:rPr>
      </w:pPr>
      <w:r w:rsidDel="00000000" w:rsidR="00000000" w:rsidRPr="00000000">
        <w:rPr>
          <w:rtl w:val="0"/>
        </w:rPr>
      </w:r>
    </w:p>
    <w:p w:rsidR="00000000" w:rsidDel="00000000" w:rsidP="00000000" w:rsidRDefault="00000000" w:rsidRPr="00000000" w14:paraId="0000008E">
      <w:pPr>
        <w:rPr>
          <w:b w:val="1"/>
          <w:sz w:val="26"/>
          <w:szCs w:val="26"/>
          <w:u w:val="single"/>
        </w:rPr>
      </w:pPr>
      <w:r w:rsidDel="00000000" w:rsidR="00000000" w:rsidRPr="00000000">
        <w:rPr>
          <w:rtl w:val="0"/>
        </w:rPr>
      </w:r>
    </w:p>
    <w:p w:rsidR="00000000" w:rsidDel="00000000" w:rsidP="00000000" w:rsidRDefault="00000000" w:rsidRPr="00000000" w14:paraId="0000008F">
      <w:pPr>
        <w:rPr>
          <w:b w:val="1"/>
          <w:sz w:val="26"/>
          <w:szCs w:val="26"/>
          <w:u w:val="single"/>
        </w:rPr>
      </w:pPr>
      <w:r w:rsidDel="00000000" w:rsidR="00000000" w:rsidRPr="00000000">
        <w:rPr>
          <w:rtl w:val="0"/>
        </w:rPr>
      </w:r>
    </w:p>
    <w:p w:rsidR="00000000" w:rsidDel="00000000" w:rsidP="00000000" w:rsidRDefault="00000000" w:rsidRPr="00000000" w14:paraId="00000090">
      <w:pPr>
        <w:rPr>
          <w:b w:val="1"/>
          <w:sz w:val="26"/>
          <w:szCs w:val="26"/>
          <w:u w:val="single"/>
        </w:rPr>
      </w:pPr>
      <w:r w:rsidDel="00000000" w:rsidR="00000000" w:rsidRPr="00000000">
        <w:rPr>
          <w:rtl w:val="0"/>
        </w:rPr>
      </w:r>
    </w:p>
    <w:p w:rsidR="00000000" w:rsidDel="00000000" w:rsidP="00000000" w:rsidRDefault="00000000" w:rsidRPr="00000000" w14:paraId="00000091">
      <w:pPr>
        <w:rPr>
          <w:b w:val="1"/>
          <w:sz w:val="26"/>
          <w:szCs w:val="26"/>
          <w:u w:val="single"/>
        </w:rPr>
      </w:pPr>
      <w:r w:rsidDel="00000000" w:rsidR="00000000" w:rsidRPr="00000000">
        <w:rPr>
          <w:rtl w:val="0"/>
        </w:rPr>
      </w:r>
    </w:p>
    <w:p w:rsidR="00000000" w:rsidDel="00000000" w:rsidP="00000000" w:rsidRDefault="00000000" w:rsidRPr="00000000" w14:paraId="00000092">
      <w:pPr>
        <w:rPr>
          <w:b w:val="1"/>
          <w:sz w:val="26"/>
          <w:szCs w:val="26"/>
          <w:u w:val="single"/>
        </w:rPr>
      </w:pPr>
      <w:r w:rsidDel="00000000" w:rsidR="00000000" w:rsidRPr="00000000">
        <w:rPr>
          <w:rtl w:val="0"/>
        </w:rPr>
      </w:r>
    </w:p>
    <w:p w:rsidR="00000000" w:rsidDel="00000000" w:rsidP="00000000" w:rsidRDefault="00000000" w:rsidRPr="00000000" w14:paraId="00000093">
      <w:pPr>
        <w:rPr>
          <w:b w:val="1"/>
          <w:sz w:val="26"/>
          <w:szCs w:val="26"/>
          <w:u w:val="single"/>
        </w:rPr>
      </w:pPr>
      <w:r w:rsidDel="00000000" w:rsidR="00000000" w:rsidRPr="00000000">
        <w:rPr>
          <w:rtl w:val="0"/>
        </w:rPr>
      </w:r>
    </w:p>
    <w:p w:rsidR="00000000" w:rsidDel="00000000" w:rsidP="00000000" w:rsidRDefault="00000000" w:rsidRPr="00000000" w14:paraId="00000094">
      <w:pPr>
        <w:rPr>
          <w:b w:val="1"/>
          <w:sz w:val="26"/>
          <w:szCs w:val="26"/>
          <w:u w:val="single"/>
        </w:rPr>
      </w:pPr>
      <w:r w:rsidDel="00000000" w:rsidR="00000000" w:rsidRPr="00000000">
        <w:rPr>
          <w:rtl w:val="0"/>
        </w:rPr>
      </w:r>
    </w:p>
    <w:p w:rsidR="00000000" w:rsidDel="00000000" w:rsidP="00000000" w:rsidRDefault="00000000" w:rsidRPr="00000000" w14:paraId="00000095">
      <w:pPr>
        <w:rPr>
          <w:b w:val="1"/>
          <w:sz w:val="26"/>
          <w:szCs w:val="26"/>
          <w:u w:val="single"/>
        </w:rPr>
      </w:pPr>
      <w:r w:rsidDel="00000000" w:rsidR="00000000" w:rsidRPr="00000000">
        <w:rPr>
          <w:rtl w:val="0"/>
        </w:rPr>
      </w:r>
    </w:p>
    <w:p w:rsidR="00000000" w:rsidDel="00000000" w:rsidP="00000000" w:rsidRDefault="00000000" w:rsidRPr="00000000" w14:paraId="00000096">
      <w:pPr>
        <w:rPr>
          <w:b w:val="1"/>
          <w:sz w:val="26"/>
          <w:szCs w:val="26"/>
          <w:u w:val="single"/>
        </w:rPr>
      </w:pPr>
      <w:r w:rsidDel="00000000" w:rsidR="00000000" w:rsidRPr="00000000">
        <w:rPr>
          <w:rtl w:val="0"/>
        </w:rPr>
      </w:r>
    </w:p>
    <w:p w:rsidR="00000000" w:rsidDel="00000000" w:rsidP="00000000" w:rsidRDefault="00000000" w:rsidRPr="00000000" w14:paraId="00000097">
      <w:pPr>
        <w:rPr>
          <w:b w:val="1"/>
          <w:sz w:val="26"/>
          <w:szCs w:val="26"/>
          <w:u w:val="single"/>
        </w:rPr>
      </w:pPr>
      <w:r w:rsidDel="00000000" w:rsidR="00000000" w:rsidRPr="00000000">
        <w:rPr>
          <w:rtl w:val="0"/>
        </w:rPr>
      </w:r>
    </w:p>
    <w:p w:rsidR="00000000" w:rsidDel="00000000" w:rsidP="00000000" w:rsidRDefault="00000000" w:rsidRPr="00000000" w14:paraId="00000098">
      <w:pPr>
        <w:rPr>
          <w:b w:val="1"/>
          <w:sz w:val="26"/>
          <w:szCs w:val="26"/>
          <w:u w:val="single"/>
        </w:rPr>
      </w:pPr>
      <w:r w:rsidDel="00000000" w:rsidR="00000000" w:rsidRPr="00000000">
        <w:rPr>
          <w:rtl w:val="0"/>
        </w:rPr>
      </w:r>
    </w:p>
    <w:p w:rsidR="00000000" w:rsidDel="00000000" w:rsidP="00000000" w:rsidRDefault="00000000" w:rsidRPr="00000000" w14:paraId="00000099">
      <w:pPr>
        <w:rPr>
          <w:b w:val="1"/>
          <w:sz w:val="26"/>
          <w:szCs w:val="26"/>
          <w:u w:val="single"/>
        </w:rPr>
      </w:pPr>
      <w:r w:rsidDel="00000000" w:rsidR="00000000" w:rsidRPr="00000000">
        <w:rPr>
          <w:rtl w:val="0"/>
        </w:rPr>
      </w:r>
    </w:p>
    <w:p w:rsidR="00000000" w:rsidDel="00000000" w:rsidP="00000000" w:rsidRDefault="00000000" w:rsidRPr="00000000" w14:paraId="0000009A">
      <w:pPr>
        <w:rPr>
          <w:b w:val="1"/>
          <w:sz w:val="26"/>
          <w:szCs w:val="26"/>
          <w:u w:val="single"/>
        </w:rPr>
      </w:pPr>
      <w:r w:rsidDel="00000000" w:rsidR="00000000" w:rsidRPr="00000000">
        <w:rPr>
          <w:rtl w:val="0"/>
        </w:rPr>
      </w:r>
    </w:p>
    <w:p w:rsidR="00000000" w:rsidDel="00000000" w:rsidP="00000000" w:rsidRDefault="00000000" w:rsidRPr="00000000" w14:paraId="0000009B">
      <w:pPr>
        <w:rPr>
          <w:b w:val="1"/>
          <w:sz w:val="26"/>
          <w:szCs w:val="26"/>
          <w:u w:val="single"/>
        </w:rPr>
      </w:pPr>
      <w:r w:rsidDel="00000000" w:rsidR="00000000" w:rsidRPr="00000000">
        <w:rPr>
          <w:rtl w:val="0"/>
        </w:rPr>
      </w:r>
    </w:p>
    <w:p w:rsidR="00000000" w:rsidDel="00000000" w:rsidP="00000000" w:rsidRDefault="00000000" w:rsidRPr="00000000" w14:paraId="0000009C">
      <w:pPr>
        <w:rPr>
          <w:b w:val="1"/>
          <w:sz w:val="26"/>
          <w:szCs w:val="26"/>
          <w:u w:val="single"/>
        </w:rPr>
      </w:pPr>
      <w:r w:rsidDel="00000000" w:rsidR="00000000" w:rsidRPr="00000000">
        <w:rPr>
          <w:rtl w:val="0"/>
        </w:rPr>
      </w:r>
    </w:p>
    <w:p w:rsidR="00000000" w:rsidDel="00000000" w:rsidP="00000000" w:rsidRDefault="00000000" w:rsidRPr="00000000" w14:paraId="0000009D">
      <w:pPr>
        <w:rPr>
          <w:b w:val="1"/>
          <w:sz w:val="26"/>
          <w:szCs w:val="26"/>
          <w:u w:val="single"/>
        </w:rPr>
      </w:pPr>
      <w:r w:rsidDel="00000000" w:rsidR="00000000" w:rsidRPr="00000000">
        <w:rPr>
          <w:rtl w:val="0"/>
        </w:rPr>
      </w:r>
    </w:p>
    <w:p w:rsidR="00000000" w:rsidDel="00000000" w:rsidP="00000000" w:rsidRDefault="00000000" w:rsidRPr="00000000" w14:paraId="0000009E">
      <w:pPr>
        <w:spacing w:line="360" w:lineRule="auto"/>
        <w:rPr>
          <w:b w:val="1"/>
          <w:sz w:val="24"/>
          <w:szCs w:val="24"/>
        </w:rPr>
      </w:pPr>
      <w:r w:rsidDel="00000000" w:rsidR="00000000" w:rsidRPr="00000000">
        <w:rPr>
          <w:b w:val="1"/>
          <w:sz w:val="24"/>
          <w:szCs w:val="24"/>
          <w:rtl w:val="0"/>
        </w:rPr>
        <w:t xml:space="preserve">Abstract</w:t>
      </w:r>
    </w:p>
    <w:p w:rsidR="00000000" w:rsidDel="00000000" w:rsidP="00000000" w:rsidRDefault="00000000" w:rsidRPr="00000000" w14:paraId="0000009F">
      <w:pPr>
        <w:spacing w:line="360" w:lineRule="auto"/>
        <w:rPr>
          <w:b w:val="1"/>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In football, Home advantage (HA) is a well-established phenomena where teams typically perform better whilst playing at their home ground  as opposed to away. The fundamental factors that generate HA are still complex and poorly understood, despite the fact that this trend is widely acknowledged across leagues and levels of play. In addition to assessing the interaction between these domains and the consequences for performance, officiating, and sporting fairness, the goal of this systematic review is to synthesise recent research on the psychological, tactical, and environmental elements that contribute to HA in football.</w:t>
      </w:r>
    </w:p>
    <w:p w:rsidR="00000000" w:rsidDel="00000000" w:rsidP="00000000" w:rsidRDefault="00000000" w:rsidRPr="00000000" w14:paraId="000000A1">
      <w:pPr>
        <w:spacing w:line="360"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Five electronic databases Google Scholar, ResearchGate, PubMed, University of Wales Trinity St David (UWTSD) Library and ProQuest were thoroughly searched, finding literature that was published between works published between 1999 and 2025. A total of 37 studies were included in the final synthesis, which was created  in accordance with PRISMA (2020) standards, as well as using quality appraisal methods such as CASP (2024) and MMAT (Hong et al., 2018). Due to differences within methods and results across studies, a narrative approach was used in order to bring the research together.</w:t>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Strong and consistent evidence for the importance of psychological factors in HA was found during the review. The most significant of them is crowd influence, which has been demonstrated to both boost player performance and motivation and exacerbate referee prejudice (Boyko, Boyko and Boyko, 2007). These claims were supported by matches played during the COVID-19 epidemic without spectators, which showed a significant drop in home win percentages and a more evenly distributed distribution of cards and fouls from referees (Wunderlich et al., 2021). As a result of enhanced confidence, audience support, and familiarity with the pitch changes to tactics have been noted. Teams that play at home have been shown to use more aggressive tactics and pressing behaviours (Lago-Peñas and Dellal, 2010). Environmental factors such as pitch conditions, altitude, and travel fatigue were all found to have an adverse effect on away teams performance, especially in leagues with long travel distances or harsh weather (Clements et al., 2023).</w:t>
      </w:r>
    </w:p>
    <w:p w:rsidR="00000000" w:rsidDel="00000000" w:rsidP="00000000" w:rsidRDefault="00000000" w:rsidRPr="00000000" w14:paraId="000000A6">
      <w:pPr>
        <w:spacing w:line="360" w:lineRule="auto"/>
        <w:rPr>
          <w:sz w:val="24"/>
          <w:szCs w:val="24"/>
        </w:rPr>
      </w:pPr>
      <w:r w:rsidDel="00000000" w:rsidR="00000000" w:rsidRPr="00000000">
        <w:rPr>
          <w:rtl w:val="0"/>
        </w:rPr>
      </w:r>
    </w:p>
    <w:p w:rsidR="00000000" w:rsidDel="00000000" w:rsidP="00000000" w:rsidRDefault="00000000" w:rsidRPr="00000000" w14:paraId="000000A7">
      <w:pPr>
        <w:spacing w:line="360" w:lineRule="auto"/>
        <w:rPr>
          <w:b w:val="1"/>
          <w:sz w:val="24"/>
          <w:szCs w:val="24"/>
        </w:rPr>
      </w:pPr>
      <w:r w:rsidDel="00000000" w:rsidR="00000000" w:rsidRPr="00000000">
        <w:rPr>
          <w:sz w:val="24"/>
          <w:szCs w:val="24"/>
          <w:rtl w:val="0"/>
        </w:rPr>
        <w:t xml:space="preserve">According to the findings in the review,HA is a multifactorial phenomenon that is a result of environmental conditioning, tactical adaptation, and psychological stimulation. These results have positive effects for football officials, coaches, players, and analysts. The research develops the theory that it is important to consider many factors whilst analysing performance, referee training and tactical planning in order to understand HA. In order to further develop the research in the future of the HA effect, future studies should consider the use of biometric testing (movement data, Heart rate etc) and advanced performance tools in order to understand the HA at a deeper level. It is also important to broaden the area of research in order to include other factors that may have different influences on HA such as women's football, post-pandemic situations, and under-represented leagues.</w:t>
      </w:r>
      <w:r w:rsidDel="00000000" w:rsidR="00000000" w:rsidRPr="00000000">
        <w:rPr>
          <w:rtl w:val="0"/>
        </w:rPr>
      </w:r>
    </w:p>
    <w:p w:rsidR="00000000" w:rsidDel="00000000" w:rsidP="00000000" w:rsidRDefault="00000000" w:rsidRPr="00000000" w14:paraId="000000A8">
      <w:pPr>
        <w:spacing w:line="360" w:lineRule="auto"/>
        <w:rPr>
          <w:b w:val="1"/>
          <w:sz w:val="24"/>
          <w:szCs w:val="24"/>
        </w:rPr>
      </w:pPr>
      <w:r w:rsidDel="00000000" w:rsidR="00000000" w:rsidRPr="00000000">
        <w:rPr>
          <w:rtl w:val="0"/>
        </w:rPr>
      </w:r>
    </w:p>
    <w:p w:rsidR="00000000" w:rsidDel="00000000" w:rsidP="00000000" w:rsidRDefault="00000000" w:rsidRPr="00000000" w14:paraId="000000A9">
      <w:pPr>
        <w:spacing w:line="360" w:lineRule="auto"/>
        <w:rPr>
          <w:b w:val="1"/>
          <w:sz w:val="24"/>
          <w:szCs w:val="24"/>
        </w:rPr>
      </w:pPr>
      <w:r w:rsidDel="00000000" w:rsidR="00000000" w:rsidRPr="00000000">
        <w:rPr>
          <w:rtl w:val="0"/>
        </w:rPr>
      </w:r>
    </w:p>
    <w:p w:rsidR="00000000" w:rsidDel="00000000" w:rsidP="00000000" w:rsidRDefault="00000000" w:rsidRPr="00000000" w14:paraId="000000AA">
      <w:pPr>
        <w:spacing w:line="360" w:lineRule="auto"/>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AB">
      <w:pPr>
        <w:spacing w:line="360" w:lineRule="auto"/>
        <w:rPr>
          <w:b w:val="1"/>
          <w:sz w:val="24"/>
          <w:szCs w:val="24"/>
        </w:rPr>
      </w:pPr>
      <w:r w:rsidDel="00000000" w:rsidR="00000000" w:rsidRPr="00000000">
        <w:rPr>
          <w:rtl w:val="0"/>
        </w:rPr>
      </w:r>
    </w:p>
    <w:p w:rsidR="00000000" w:rsidDel="00000000" w:rsidP="00000000" w:rsidRDefault="00000000" w:rsidRPr="00000000" w14:paraId="000000AC">
      <w:pPr>
        <w:spacing w:line="360" w:lineRule="auto"/>
        <w:rPr>
          <w:sz w:val="24"/>
          <w:szCs w:val="24"/>
        </w:rPr>
      </w:pPr>
      <w:r w:rsidDel="00000000" w:rsidR="00000000" w:rsidRPr="00000000">
        <w:rPr>
          <w:sz w:val="24"/>
          <w:szCs w:val="24"/>
          <w:rtl w:val="0"/>
        </w:rPr>
        <w:t xml:space="preserve">The HA phenomena in football has been a point of interest for many players, coaches, analysts, and scholars for many years . This is due to the persistent finding that football clubs typically perform better when playing at home as opposed to away (Pollard, 2006). Despite this advantage being well acknowledged, the fundamental causes still remain complex and varied due to different approaches taken by football clubs whilst having HA. Although psychological, tactical, and environmental factors are thought to be key determinants on HA, the extent and mechanisms of their influence are still being researched (Legaz Arrese, Moliner Urdiales and Munguía Izquierdo, 2013). The aim of this systematic review is to analyse the most recent findings on the elements that contribute to HA in football, with an emphasis on the psychological, tactical, and environmental aspects that influence this phenomena.</w:t>
      </w:r>
    </w:p>
    <w:p w:rsidR="00000000" w:rsidDel="00000000" w:rsidP="00000000" w:rsidRDefault="00000000" w:rsidRPr="00000000" w14:paraId="000000AD">
      <w:pPr>
        <w:spacing w:line="360" w:lineRule="auto"/>
        <w:rPr>
          <w:sz w:val="24"/>
          <w:szCs w:val="24"/>
        </w:rPr>
      </w:pPr>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Comparative victory percentages between home and away games have traditionally been used to measure home advantage. Football home sides often win more than 49.3% of their games, according to research conducted on the 2022/23 Premier league season by Clarke (2022) , however this percentage varies by league, nation, and competition structure. From domestic leagues such as the Premier League and elite competitions like the UEFA Champions League, HA still exists, despite significant changes in technology and the globalisation of the sport since these early findings (Pollard, 2008).</w:t>
      </w:r>
    </w:p>
    <w:p w:rsidR="00000000" w:rsidDel="00000000" w:rsidP="00000000" w:rsidRDefault="00000000" w:rsidRPr="00000000" w14:paraId="000000AF">
      <w:pPr>
        <w:spacing w:line="360" w:lineRule="auto"/>
        <w:rPr>
          <w:sz w:val="24"/>
          <w:szCs w:val="24"/>
        </w:rPr>
      </w:pPr>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sz w:val="24"/>
          <w:szCs w:val="24"/>
          <w:rtl w:val="0"/>
        </w:rPr>
        <w:t xml:space="preserve">One of the most frequently recognised factors of HA is psychological factors.A supportive home crowd can increase players' drive and confidence for many reason such as intimidating opponents and influencing referee decisions due to challenging choices and creating a hostile environment due to noise from the crowd (Nevill, Balmer and Mark Williams, 2002). Crowd density, noise levels, and verbal encouragement have all been found to have an impact on performance outcomes and pressure perceptions (Koyama and James, 2009). Additionally, it has been demonstrated that referees give more advantages to home teams, allowing them more breaches of play and penalties from a result of pressure from home fans (Unkelbach and Memmert, 2010). The “12th man” is the idea which views the home audience as an active participant in the competition , and is consistent with this "social pressure" approach (Ramchandani and Millar, 2021).</w:t>
      </w:r>
    </w:p>
    <w:p w:rsidR="00000000" w:rsidDel="00000000" w:rsidP="00000000" w:rsidRDefault="00000000" w:rsidRPr="00000000" w14:paraId="000000B1">
      <w:pPr>
        <w:spacing w:line="360" w:lineRule="auto"/>
        <w:rPr>
          <w:sz w:val="24"/>
          <w:szCs w:val="24"/>
        </w:rPr>
      </w:pPr>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The absence of supporters during the COVID-19 epidemic offered a unique experience and experiment to study HA. HA significantly reduced during games played in empty stadiums throughout Europe, indicating that the psychological impact of the audience largely increases the HA (Bryson et al., 2021). These results offer strong support for the involvement of psychological factors in home advantage and reinforce its significance.Additionally, tactical components are essential. When playing at home, teams frequently change their tactics, implementing more offensive tactics and putting up stronger defensive lines as opposed to when playing away (Lago-Peñas and Dellal, 2010). This is influenced by the familiarity of the pitch and their perception of risk, managers may feel more comfortable using aggressive tactics at home. An article by Nevill and Holder (1999) around the impact of HA in sports highlights that players have higher spatial and situational awareness in their home grounds , presumably due to habitual exposure to the field’s dimensions, surface conditions, and visual surroundings . These familiar settings also help with tactics, team routines, and smooth planning, which help players feel more mentally prepared and adapt better during games.</w:t>
      </w:r>
    </w:p>
    <w:p w:rsidR="00000000" w:rsidDel="00000000" w:rsidP="00000000" w:rsidRDefault="00000000" w:rsidRPr="00000000" w14:paraId="000000B3">
      <w:pPr>
        <w:spacing w:line="360" w:lineRule="auto"/>
        <w:rPr>
          <w:sz w:val="24"/>
          <w:szCs w:val="24"/>
        </w:rPr>
      </w:pPr>
      <w:r w:rsidDel="00000000" w:rsidR="00000000" w:rsidRPr="00000000">
        <w:rPr>
          <w:rtl w:val="0"/>
        </w:rPr>
      </w:r>
    </w:p>
    <w:p w:rsidR="00000000" w:rsidDel="00000000" w:rsidP="00000000" w:rsidRDefault="00000000" w:rsidRPr="00000000" w14:paraId="000000B4">
      <w:pPr>
        <w:spacing w:line="360" w:lineRule="auto"/>
        <w:rPr>
          <w:sz w:val="24"/>
          <w:szCs w:val="24"/>
        </w:rPr>
      </w:pPr>
      <w:r w:rsidDel="00000000" w:rsidR="00000000" w:rsidRPr="00000000">
        <w:rPr>
          <w:sz w:val="24"/>
          <w:szCs w:val="24"/>
          <w:rtl w:val="0"/>
        </w:rPr>
        <w:t xml:space="preserve">HA is also influenced by environmental factors, which include things such as pitch conditions, altitude, climate, and travel fatigue. Travel, especially in leagues that require long-distance travel, will affect players' rest and impair their physical performance(Lee and Galvez, 2012). This may not have such an impact on leagues such the Premier League, however is more common in nations with greater geographic areas or in international tournaments. Geographical and climatic factors such as temperature and altitude also affect performance because teams used to particular conditions may find it difficult to adjust when playing away(Pollard, 2008). Additionally, stadium architecture, playing surface and pitch size can affect player movement patterns and ball speed, giving the home team small advantages, especially if teams are use to playing on certain terrain (James, Mellalieu and Hollely, 2002)</w:t>
      </w:r>
    </w:p>
    <w:p w:rsidR="00000000" w:rsidDel="00000000" w:rsidP="00000000" w:rsidRDefault="00000000" w:rsidRPr="00000000" w14:paraId="000000B5">
      <w:pPr>
        <w:spacing w:line="360" w:lineRule="auto"/>
        <w:rPr>
          <w:sz w:val="24"/>
          <w:szCs w:val="24"/>
        </w:rPr>
      </w:pPr>
      <w:r w:rsidDel="00000000" w:rsidR="00000000" w:rsidRPr="00000000">
        <w:rPr>
          <w:rtl w:val="0"/>
        </w:rPr>
      </w:r>
    </w:p>
    <w:p w:rsidR="00000000" w:rsidDel="00000000" w:rsidP="00000000" w:rsidRDefault="00000000" w:rsidRPr="00000000" w14:paraId="000000B6">
      <w:pPr>
        <w:spacing w:line="360" w:lineRule="auto"/>
        <w:rPr>
          <w:sz w:val="24"/>
          <w:szCs w:val="24"/>
        </w:rPr>
      </w:pPr>
      <w:r w:rsidDel="00000000" w:rsidR="00000000" w:rsidRPr="00000000">
        <w:rPr>
          <w:sz w:val="24"/>
          <w:szCs w:val="24"/>
          <w:rtl w:val="0"/>
        </w:rPr>
        <w:t xml:space="preserve">Officiating bias is another important factor that is frequently disregarded. Numerous studies have shown that referees are influenced by outside factors, such as home support and crowd noise, which could result in more favourable judgements for home teams (Boyko,2007). During games such as league finals etc, where pressure is increased and decision-making is critiqued more, these effects are more noticeable. Early evaluations indicate that, despite the goal of reducing such gaps, Video Assistant Referee (VAR) technology has not completely eradicated bias, especially when it comes to decisions like penalties or red cards (Zhang et al., 2022)</w:t>
      </w:r>
    </w:p>
    <w:p w:rsidR="00000000" w:rsidDel="00000000" w:rsidP="00000000" w:rsidRDefault="00000000" w:rsidRPr="00000000" w14:paraId="000000B7">
      <w:pPr>
        <w:spacing w:line="360" w:lineRule="auto"/>
        <w:rPr>
          <w:sz w:val="24"/>
          <w:szCs w:val="24"/>
        </w:rPr>
      </w:pPr>
      <w:r w:rsidDel="00000000" w:rsidR="00000000" w:rsidRPr="00000000">
        <w:rPr>
          <w:sz w:val="24"/>
          <w:szCs w:val="24"/>
          <w:rtl w:val="0"/>
        </w:rPr>
        <w:t xml:space="preserve">There is no single factor, only a multi factory reason for HA, and the precise influences  remain controversial despite the wide range of research on the subject. This lack of conclusion demonstrates the need for a systematic review to identify key patterns, highlight gaps in knowledge, and critically analyse current research. Understanding HA is important for coaching, teams and fair competition, especially as football continues to evolve tactically, commercially, and technologically.</w:t>
      </w:r>
    </w:p>
    <w:p w:rsidR="00000000" w:rsidDel="00000000" w:rsidP="00000000" w:rsidRDefault="00000000" w:rsidRPr="00000000" w14:paraId="000000B8">
      <w:pPr>
        <w:spacing w:line="360" w:lineRule="auto"/>
        <w:rPr>
          <w:sz w:val="24"/>
          <w:szCs w:val="24"/>
        </w:rPr>
      </w:pPr>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sz w:val="24"/>
          <w:szCs w:val="24"/>
          <w:rtl w:val="0"/>
        </w:rPr>
        <w:t xml:space="preserve">In order to give a thorough analysis of the existing knowledge and suggest future study possibilities, this review will analyse the psychological, tactical, and environmental factors separately and in combination. By doing this, it will provide insightful information to all professionals involved in the football community, including players, coaches, analysts, and regulating authorities.</w:t>
      </w:r>
      <w:r w:rsidDel="00000000" w:rsidR="00000000" w:rsidRPr="00000000">
        <w:rPr>
          <w:rtl w:val="0"/>
        </w:rPr>
      </w:r>
    </w:p>
    <w:p w:rsidR="00000000" w:rsidDel="00000000" w:rsidP="00000000" w:rsidRDefault="00000000" w:rsidRPr="00000000" w14:paraId="000000BA">
      <w:pPr>
        <w:spacing w:line="360" w:lineRule="auto"/>
        <w:rPr>
          <w:b w:val="1"/>
          <w:sz w:val="24"/>
          <w:szCs w:val="24"/>
        </w:rPr>
      </w:pPr>
      <w:r w:rsidDel="00000000" w:rsidR="00000000" w:rsidRPr="00000000">
        <w:rPr>
          <w:rtl w:val="0"/>
        </w:rPr>
      </w:r>
    </w:p>
    <w:p w:rsidR="00000000" w:rsidDel="00000000" w:rsidP="00000000" w:rsidRDefault="00000000" w:rsidRPr="00000000" w14:paraId="000000BB">
      <w:pPr>
        <w:spacing w:line="360" w:lineRule="auto"/>
        <w:rPr>
          <w:b w:val="1"/>
          <w:sz w:val="24"/>
          <w:szCs w:val="24"/>
        </w:rPr>
      </w:pPr>
      <w:r w:rsidDel="00000000" w:rsidR="00000000" w:rsidRPr="00000000">
        <w:rPr>
          <w:rtl w:val="0"/>
        </w:rPr>
      </w:r>
    </w:p>
    <w:p w:rsidR="00000000" w:rsidDel="00000000" w:rsidP="00000000" w:rsidRDefault="00000000" w:rsidRPr="00000000" w14:paraId="000000BC">
      <w:pPr>
        <w:spacing w:line="360" w:lineRule="auto"/>
        <w:rPr>
          <w:b w:val="1"/>
          <w:sz w:val="24"/>
          <w:szCs w:val="24"/>
        </w:rPr>
      </w:pPr>
      <w:r w:rsidDel="00000000" w:rsidR="00000000" w:rsidRPr="00000000">
        <w:rPr>
          <w:b w:val="1"/>
          <w:sz w:val="24"/>
          <w:szCs w:val="24"/>
          <w:rtl w:val="0"/>
        </w:rPr>
        <w:t xml:space="preserve">Methodology</w:t>
      </w:r>
    </w:p>
    <w:p w:rsidR="00000000" w:rsidDel="00000000" w:rsidP="00000000" w:rsidRDefault="00000000" w:rsidRPr="00000000" w14:paraId="000000BD">
      <w:pPr>
        <w:spacing w:line="360" w:lineRule="auto"/>
        <w:rPr>
          <w:b w:val="1"/>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sz w:val="24"/>
          <w:szCs w:val="24"/>
          <w:rtl w:val="0"/>
        </w:rPr>
        <w:t xml:space="preserve">To ensure this systematic review is a clear, transparent and repeatable procedure, this systematic review was carried out in accordance with the Preferred Reporting Items for Systematic Reviews and Meta-Analyses (PRISMA) 2020 standards (PRISMA, 2020).PRISMA (2020) was created in order to improve the quality of systematic reviews and meta analysis, using a set of evidence based guidelines.The standards provide a 27-item checklist and a flow diagram that allow researchers to present their process of finding research clearly and transparently, allowing the reader to understand where information was found and how it was sourced clearly (PRISMA, 2020). </w:t>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sz w:val="24"/>
          <w:szCs w:val="24"/>
          <w:rtl w:val="0"/>
        </w:rPr>
        <w:t xml:space="preserve">The checklist ensures that the key aspects of the review are reported in a structured manner—such as objectives, eligibility criteria, data sources, and results. The flow diagram visually shows how the selection process of studies works  , detailing how much research sources were identified, screened, excluded, and included, along with reasoning for their exclusions. PRISMA is widely used across many academic disciplines and is often a requirement in academicjournals, as it ensures transparency in sourcing research (PRISMA, 2020). </w:t>
      </w:r>
    </w:p>
    <w:p w:rsidR="00000000" w:rsidDel="00000000" w:rsidP="00000000" w:rsidRDefault="00000000" w:rsidRPr="00000000" w14:paraId="000000C1">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C2">
      <w:pPr>
        <w:spacing w:line="360" w:lineRule="auto"/>
        <w:rPr>
          <w:sz w:val="24"/>
          <w:szCs w:val="24"/>
        </w:rPr>
      </w:pPr>
      <w:r w:rsidDel="00000000" w:rsidR="00000000" w:rsidRPr="00000000">
        <w:rPr>
          <w:sz w:val="24"/>
          <w:szCs w:val="24"/>
          <w:rtl w:val="0"/>
        </w:rPr>
        <w:t xml:space="preserve">The search strategy for this systematic review was developed in order to thoroughly find research exploring the psychological, tactical, and environmental elements that affect HA in football. There were five main research platforms that were searched in order to get this information, which were : Google Scholar,Research Gate, PubMed, University of Wales Trinity St David (UWTSD) Library and ProQuest. These platforms were specifically chosen due to vast coverage of sports science, psychology, and performance analysis literature in these databases.The primary research platform used was UWTSD library as it allowed access into  many other platforms and other sources such as articles,books etc. Research throughout these databases had varied results,  keywords were used in order to look at information from the beginning of each database until March 2025, despite much evidence being old, many of the research found had similar results to current research, however many research articles had conflicting opinions regarding HA. Keywords were utilised in order to guarantee a variety of research. There were several combinations of the following words used in order to get relevant information for the review, these main search terms include : "home advantage," "home field advantage," "football," , "crowd effect," "psychological," "referee bias," "tactical,", “Tea, strategy”, “crowd impact”, “12th man advantage”, "formation," "strategy," "travel fatigue," "altitude," and "environmental factors."</w:t>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Only English-language publications were included in order to ensure the relevance of the studies to the topic of research by applying language filters on research platforms. To also ensure that all necessary studies were found, a search throughout the reference list of the authors other published work was conducted in order to see if the same authors had produced other work linked to the topic of HA. Once all research papers had been checked for accuracy and relevance they were put into MyBib (which is a site that helps manage bibliographies,citations and research)  in order to store and manage all relevant studies.</w:t>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The selection of research sources followed a structured, multi-phase screening process. The initial stage ensured that any duplications of research materials were removed, and titles and abstracts were checked against using criteria that had been established from the PICOS framework, ensuring that studies included were focused on professional or elite football. PICOS, which is an acronym  for population,intervention,comparison,outcome and study, is a framework used to develop focused research topics such as systematic reviews (Critical Appraisal Skills Programme, 2025). </w:t>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sz w:val="24"/>
          <w:szCs w:val="24"/>
          <w:rtl w:val="0"/>
        </w:rPr>
        <w:t xml:space="preserve">Population refers to the group of participants/people of interest, therefore football clubs, players, coaches or games at different levels of competition would be the population in this review . Intervention includes factors that are  thought to affect HA, such as environmental considerations (e.g., facility familiarity or travel fatigue), tactical choices (e.g., changes in formation), or psychological factors (e.g., crowd support). Comparison is typically between home and away performances, allowing for a direct analysis of differences in outcomes based on venue. The Outcome, would primarily focus on measurable indicators of HA, such as win rates, goal differences, or performance statistics.Lastly, Study covers the type of research that was analysed, including psychological experiments, match analysis, and observational studies. This review's use of the PICOS framework guarantees that the elements influencing HA are methodically and objectively assessed .</w:t>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rPr>
      </w:pPr>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sz w:val="24"/>
          <w:szCs w:val="24"/>
          <w:rtl w:val="0"/>
        </w:rPr>
        <w:t xml:space="preserve">The research papers examined at least one psychological, tactical, or environmental factor contributing to HA, and were peer-reviewed original research articles. Exclusion criteria included  any other research paper article on sport apart from football and non-English publications. This was to ensure that the review was specific to football and the strategies used by teams/clubs are specific to the HA. Studies that also failed to provide sufficient methodological detail or transparency were also excluded.At each stage, the number of articles that were found, screened, eliminated, and incorporated was displayed in a PRISMA 2020 flow diagram (Diagram 1)</w:t>
      </w:r>
      <w:r w:rsidDel="00000000" w:rsidR="00000000" w:rsidRPr="00000000">
        <w:rPr>
          <w:b w:val="1"/>
          <w:sz w:val="24"/>
          <w:szCs w:val="24"/>
          <w:rtl w:val="0"/>
        </w:rPr>
        <w:t xml:space="preserve"> </w:t>
      </w:r>
      <w:r w:rsidDel="00000000" w:rsidR="00000000" w:rsidRPr="00000000">
        <w:rPr>
          <w:sz w:val="24"/>
          <w:szCs w:val="24"/>
          <w:rtl w:val="0"/>
        </w:rPr>
        <w:t xml:space="preserve">From the original 45 research materials that were used only 23 qualitative research materials remained, this was due to a series of screening process to eliminate materials that did not meet the criteria or was repetitive. The trustworthiness of the review is increased because readers can comprehend the reasoning behind inclusion and exclusion decisions thanks to this open reporting structure.</w:t>
      </w:r>
    </w:p>
    <w:p w:rsidR="00000000" w:rsidDel="00000000" w:rsidP="00000000" w:rsidRDefault="00000000" w:rsidRPr="00000000" w14:paraId="000000CC">
      <w:pPr>
        <w:spacing w:line="360" w:lineRule="auto"/>
        <w:rPr>
          <w:sz w:val="24"/>
          <w:szCs w:val="24"/>
        </w:rPr>
      </w:pPr>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sz w:val="24"/>
          <w:szCs w:val="24"/>
          <w:rtl w:val="0"/>
        </w:rPr>
        <w:t xml:space="preserve">In regards to quality assessment, The quality of the included studies were assessed using appropriate critical appraisal tools based on their methodology. The Critical Appraisal Skills Programme (CASP) checklist for cohort and case-control studies were used to evaluate quantitative research found (CASP, 2024). The Mixed Methods Appraisal Tool (MMAT), created by (Hong et al., 2018), was used to assess mixed-methods studies, whereas the CASP qualitative checklist was used for qualitative research. These methods made it possible to conduct a systematic assessment of the quality of the study using criteria such as research objectives, design suitability, participant selection, data collecting, bias reduction and the reliability of findings.</w:t>
      </w:r>
    </w:p>
    <w:p w:rsidR="00000000" w:rsidDel="00000000" w:rsidP="00000000" w:rsidRDefault="00000000" w:rsidRPr="00000000" w14:paraId="000000CE">
      <w:pPr>
        <w:spacing w:line="360" w:lineRule="auto"/>
        <w:rPr>
          <w:sz w:val="24"/>
          <w:szCs w:val="24"/>
        </w:rPr>
      </w:pPr>
      <w:r w:rsidDel="00000000" w:rsidR="00000000" w:rsidRPr="00000000">
        <w:rPr>
          <w:rtl w:val="0"/>
        </w:rPr>
      </w:r>
    </w:p>
    <w:p w:rsidR="00000000" w:rsidDel="00000000" w:rsidP="00000000" w:rsidRDefault="00000000" w:rsidRPr="00000000" w14:paraId="000000CF">
      <w:pPr>
        <w:spacing w:line="360" w:lineRule="auto"/>
        <w:rPr>
          <w:sz w:val="24"/>
          <w:szCs w:val="24"/>
        </w:rPr>
      </w:pPr>
      <w:r w:rsidDel="00000000" w:rsidR="00000000" w:rsidRPr="00000000">
        <w:rPr>
          <w:sz w:val="24"/>
          <w:szCs w:val="24"/>
          <w:rtl w:val="0"/>
        </w:rPr>
        <w:t xml:space="preserve">In order to extract data. Each studies details such as the authors, year of publication, study location, research design, sample characteristics (like league level and number of games or participants), and the type of factors studied (psychological, tactical, or environmental) were taking into consideration therefore making it easier to identify the factors contributing and easy when reading research . The meta-analytic methodology was unsuitable for this review due to the variation in study designs, research methodologies, and outcome measures with the included studies. Instead, following the recommendations of Popay (2006), a narrative synthesis approach was utilised. This method allowed for the integration of findings from different sources and made it possible to identify patterns, themes, and contradictions across the psychological, tactical, and environmental domains related to HA in football, therefore making this approach more relevant to the study outcomes (Popay, 2006).</w:t>
      </w:r>
    </w:p>
    <w:p w:rsidR="00000000" w:rsidDel="00000000" w:rsidP="00000000" w:rsidRDefault="00000000" w:rsidRPr="00000000" w14:paraId="000000D0">
      <w:pPr>
        <w:spacing w:after="240" w:before="240" w:line="360" w:lineRule="auto"/>
        <w:rPr>
          <w:sz w:val="24"/>
          <w:szCs w:val="24"/>
        </w:rPr>
      </w:pPr>
      <w:r w:rsidDel="00000000" w:rsidR="00000000" w:rsidRPr="00000000">
        <w:rPr>
          <w:sz w:val="24"/>
          <w:szCs w:val="24"/>
          <w:rtl w:val="0"/>
        </w:rPr>
        <w:t xml:space="preserve">Using narrative synthesis allowed this systematic review to bring together evidence from studies with different approaches, designs, and metrics. This approach allowed for the exploration of how and why various factors may contribute to HA, offering a broader and more flexible understanding of the complex influences.</w:t>
      </w:r>
    </w:p>
    <w:p w:rsidR="00000000" w:rsidDel="00000000" w:rsidP="00000000" w:rsidRDefault="00000000" w:rsidRPr="00000000" w14:paraId="000000D1">
      <w:pPr>
        <w:spacing w:line="360" w:lineRule="auto"/>
        <w:rPr>
          <w:sz w:val="24"/>
          <w:szCs w:val="24"/>
        </w:rPr>
      </w:pPr>
      <w:r w:rsidDel="00000000" w:rsidR="00000000" w:rsidRPr="00000000">
        <w:rPr>
          <w:rtl w:val="0"/>
        </w:rPr>
      </w:r>
    </w:p>
    <w:p w:rsidR="00000000" w:rsidDel="00000000" w:rsidP="00000000" w:rsidRDefault="00000000" w:rsidRPr="00000000" w14:paraId="000000D2">
      <w:pPr>
        <w:spacing w:line="360" w:lineRule="auto"/>
        <w:rPr>
          <w:sz w:val="24"/>
          <w:szCs w:val="24"/>
        </w:rPr>
      </w:pPr>
      <w:r w:rsidDel="00000000" w:rsidR="00000000" w:rsidRPr="00000000">
        <w:rPr>
          <w:sz w:val="24"/>
          <w:szCs w:val="24"/>
          <w:rtl w:val="0"/>
        </w:rPr>
        <w:t xml:space="preserve">A clear examination of each contributing aspect was made possible by the thematic synthesis format. A thematic synthesis format is a method of organising and analysing information by categorising it into themes and topics (Thomas and Harden, 2008). It searches for common themes or patterns across multiple studies and helps to summarise findings by demonstrating what other studies have said about similar issues. Stronger studies which had more reliable research contributing to HA were given more interpretative weight, whilst other factors including league type, crowd size, or pandemic-related circumstances were also considered where suitable in order to investigate alternative effects of HA effects.</w:t>
      </w:r>
    </w:p>
    <w:p w:rsidR="00000000" w:rsidDel="00000000" w:rsidP="00000000" w:rsidRDefault="00000000" w:rsidRPr="00000000" w14:paraId="000000D3">
      <w:pPr>
        <w:spacing w:line="360" w:lineRule="auto"/>
        <w:rPr>
          <w:sz w:val="24"/>
          <w:szCs w:val="24"/>
        </w:rPr>
      </w:pPr>
      <w:r w:rsidDel="00000000" w:rsidR="00000000" w:rsidRPr="00000000">
        <w:rPr>
          <w:rtl w:val="0"/>
        </w:rPr>
      </w:r>
    </w:p>
    <w:p w:rsidR="00000000" w:rsidDel="00000000" w:rsidP="00000000" w:rsidRDefault="00000000" w:rsidRPr="00000000" w14:paraId="000000D4">
      <w:pPr>
        <w:spacing w:line="360" w:lineRule="auto"/>
        <w:rPr>
          <w:sz w:val="24"/>
          <w:szCs w:val="24"/>
        </w:rPr>
      </w:pPr>
      <w:r w:rsidDel="00000000" w:rsidR="00000000" w:rsidRPr="00000000">
        <w:rPr>
          <w:sz w:val="24"/>
          <w:szCs w:val="24"/>
          <w:rtl w:val="0"/>
        </w:rPr>
        <w:t xml:space="preserve">The methodology for this systematic review is transparent and consistent with best practices for evidence synthesis. The review aims to ensure the reliability and relevance of its conclusions by using a clearly defined search strategy, screening process, structured quality assessment, and narrative synthesis. This methodological approach allows for a solid foundation for interpreting the findings and drawing meaningful results for future research and practice in the field of HA in football.</w:t>
      </w:r>
    </w:p>
    <w:p w:rsidR="00000000" w:rsidDel="00000000" w:rsidP="00000000" w:rsidRDefault="00000000" w:rsidRPr="00000000" w14:paraId="000000D5">
      <w:pPr>
        <w:spacing w:line="360" w:lineRule="auto"/>
        <w:rPr>
          <w:sz w:val="24"/>
          <w:szCs w:val="24"/>
        </w:rPr>
      </w:pPr>
      <w:r w:rsidDel="00000000" w:rsidR="00000000" w:rsidRPr="00000000">
        <w:rPr>
          <w:rtl w:val="0"/>
        </w:rPr>
      </w:r>
    </w:p>
    <w:p w:rsidR="00000000" w:rsidDel="00000000" w:rsidP="00000000" w:rsidRDefault="00000000" w:rsidRPr="00000000" w14:paraId="000000D6">
      <w:pPr>
        <w:spacing w:line="360" w:lineRule="auto"/>
        <w:rPr>
          <w:b w:val="1"/>
          <w:sz w:val="24"/>
          <w:szCs w:val="24"/>
        </w:rPr>
      </w:pPr>
      <w:r w:rsidDel="00000000" w:rsidR="00000000" w:rsidRPr="00000000">
        <w:rPr>
          <w:rtl w:val="0"/>
        </w:rPr>
      </w:r>
    </w:p>
    <w:p w:rsidR="00000000" w:rsidDel="00000000" w:rsidP="00000000" w:rsidRDefault="00000000" w:rsidRPr="00000000" w14:paraId="000000D7">
      <w:pPr>
        <w:spacing w:line="360" w:lineRule="auto"/>
        <w:rPr>
          <w:b w:val="1"/>
          <w:sz w:val="24"/>
          <w:szCs w:val="24"/>
        </w:rPr>
      </w:pPr>
      <w:r w:rsidDel="00000000" w:rsidR="00000000" w:rsidRPr="00000000">
        <w:rPr>
          <w:b w:val="1"/>
          <w:sz w:val="24"/>
          <w:szCs w:val="24"/>
          <w:rtl w:val="0"/>
        </w:rPr>
        <w:t xml:space="preserve">Results</w:t>
      </w:r>
    </w:p>
    <w:p w:rsidR="00000000" w:rsidDel="00000000" w:rsidP="00000000" w:rsidRDefault="00000000" w:rsidRPr="00000000" w14:paraId="000000D8">
      <w:pPr>
        <w:spacing w:line="360" w:lineRule="auto"/>
        <w:rPr>
          <w:b w:val="1"/>
          <w:sz w:val="24"/>
          <w:szCs w:val="24"/>
        </w:rPr>
      </w:pPr>
      <w:r w:rsidDel="00000000" w:rsidR="00000000" w:rsidRPr="00000000">
        <w:rPr>
          <w:rtl w:val="0"/>
        </w:rPr>
      </w:r>
    </w:p>
    <w:p w:rsidR="00000000" w:rsidDel="00000000" w:rsidP="00000000" w:rsidRDefault="00000000" w:rsidRPr="00000000" w14:paraId="000000D9">
      <w:pPr>
        <w:spacing w:after="160" w:line="360" w:lineRule="auto"/>
        <w:rPr>
          <w:sz w:val="24"/>
          <w:szCs w:val="24"/>
        </w:rPr>
      </w:pPr>
      <w:r w:rsidDel="00000000" w:rsidR="00000000" w:rsidRPr="00000000">
        <w:rPr>
          <w:sz w:val="24"/>
          <w:szCs w:val="24"/>
          <w:rtl w:val="0"/>
        </w:rPr>
        <w:t xml:space="preserve">This results section will explain all of the qualitative research materials and the information found within the research materials. The phenomenon of HA in football has been extensively researched, revealing a consistent pattern of improved performance by teams that play on their home ground. This systematic review identified three major categories that contribute to HA: psychological, tactical, and environmental. Each factor interacts with the others in order to generate a complex and dynamic competitive advantage that varies accordingly. </w:t>
      </w:r>
    </w:p>
    <w:p w:rsidR="00000000" w:rsidDel="00000000" w:rsidP="00000000" w:rsidRDefault="00000000" w:rsidRPr="00000000" w14:paraId="000000DA">
      <w:pPr>
        <w:spacing w:after="160" w:line="360" w:lineRule="auto"/>
        <w:rPr>
          <w:sz w:val="24"/>
          <w:szCs w:val="24"/>
        </w:rPr>
      </w:pPr>
      <w:r w:rsidDel="00000000" w:rsidR="00000000" w:rsidRPr="00000000">
        <w:rPr>
          <w:rtl w:val="0"/>
        </w:rPr>
      </w:r>
    </w:p>
    <w:p w:rsidR="00000000" w:rsidDel="00000000" w:rsidP="00000000" w:rsidRDefault="00000000" w:rsidRPr="00000000" w14:paraId="000000DB">
      <w:pPr>
        <w:spacing w:after="160" w:line="360" w:lineRule="auto"/>
        <w:rPr>
          <w:b w:val="1"/>
          <w:sz w:val="24"/>
          <w:szCs w:val="24"/>
        </w:rPr>
      </w:pPr>
      <w:r w:rsidDel="00000000" w:rsidR="00000000" w:rsidRPr="00000000">
        <w:rPr>
          <w:b w:val="1"/>
          <w:sz w:val="24"/>
          <w:szCs w:val="24"/>
          <w:rtl w:val="0"/>
        </w:rPr>
        <w:t xml:space="preserve">Diagram 1 </w:t>
      </w:r>
    </w:p>
    <w:p w:rsidR="00000000" w:rsidDel="00000000" w:rsidP="00000000" w:rsidRDefault="00000000" w:rsidRPr="00000000" w14:paraId="000000DC">
      <w:pPr>
        <w:spacing w:after="160" w:line="360" w:lineRule="auto"/>
        <w:rPr>
          <w:b w:val="1"/>
          <w:sz w:val="24"/>
          <w:szCs w:val="24"/>
        </w:rPr>
      </w:pPr>
      <w:r w:rsidDel="00000000" w:rsidR="00000000" w:rsidRPr="00000000">
        <w:rPr>
          <w:rtl w:val="0"/>
        </w:rPr>
      </w:r>
    </w:p>
    <w:p w:rsidR="00000000" w:rsidDel="00000000" w:rsidP="00000000" w:rsidRDefault="00000000" w:rsidRPr="00000000" w14:paraId="000000DD">
      <w:pPr>
        <w:spacing w:after="240" w:before="240" w:line="360" w:lineRule="auto"/>
        <w:rPr>
          <w:sz w:val="24"/>
          <w:szCs w:val="24"/>
        </w:rPr>
      </w:pPr>
      <w:r w:rsidDel="00000000" w:rsidR="00000000" w:rsidRPr="00000000">
        <w:rPr>
          <w:sz w:val="24"/>
          <w:szCs w:val="24"/>
        </w:rPr>
        <w:drawing>
          <wp:inline distB="114300" distT="114300" distL="114300" distR="114300">
            <wp:extent cx="3463748" cy="3757613"/>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463748" cy="3757613"/>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spacing w:after="160" w:line="360" w:lineRule="auto"/>
        <w:rPr>
          <w:b w:val="1"/>
          <w:sz w:val="24"/>
          <w:szCs w:val="24"/>
        </w:rPr>
      </w:pPr>
      <w:r w:rsidDel="00000000" w:rsidR="00000000" w:rsidRPr="00000000">
        <w:rPr>
          <w:b w:val="1"/>
          <w:sz w:val="24"/>
          <w:szCs w:val="24"/>
          <w:rtl w:val="0"/>
        </w:rPr>
        <w:t xml:space="preserve">(Garland, 2025)</w:t>
      </w:r>
    </w:p>
    <w:p w:rsidR="00000000" w:rsidDel="00000000" w:rsidP="00000000" w:rsidRDefault="00000000" w:rsidRPr="00000000" w14:paraId="000000DF">
      <w:pPr>
        <w:spacing w:after="160" w:line="360" w:lineRule="auto"/>
        <w:rPr>
          <w:b w:val="1"/>
          <w:sz w:val="24"/>
          <w:szCs w:val="24"/>
        </w:rPr>
      </w:pPr>
      <w:r w:rsidDel="00000000" w:rsidR="00000000" w:rsidRPr="00000000">
        <w:rPr>
          <w:rtl w:val="0"/>
        </w:rPr>
      </w:r>
    </w:p>
    <w:p w:rsidR="00000000" w:rsidDel="00000000" w:rsidP="00000000" w:rsidRDefault="00000000" w:rsidRPr="00000000" w14:paraId="000000E0">
      <w:pPr>
        <w:spacing w:after="160" w:line="360" w:lineRule="auto"/>
        <w:rPr>
          <w:sz w:val="24"/>
          <w:szCs w:val="24"/>
        </w:rPr>
      </w:pPr>
      <w:r w:rsidDel="00000000" w:rsidR="00000000" w:rsidRPr="00000000">
        <w:rPr>
          <w:sz w:val="24"/>
          <w:szCs w:val="24"/>
          <w:rtl w:val="0"/>
        </w:rPr>
        <w:t xml:space="preserve">In order to be able to ensure research is taken from credible sources and meets required criteria, the use of a PRISMA diagram as utilised. The Prisma diagram above (Diagram 1) demonstrates how information has been broken down and put into different categories in order to check its credibility. It shows that sources have been analysed in order to ensure that only accurate and relevant materials are used throughout the systematic review. The diagram demonstrates that 45 research materials were identified through database searching. After removing materials that were duplicates or provided information from the same sources, 42 records remained and were checked based on their titles and abstracts. Out of these, 15 of these materials were excluded for not including the correct inclusion criteria. Therefore, this left 27 full-text articles to be analysed and assessed for eligibility. 4 articles were excluded in this process s 2 for not were not relevant and another 2 due to poor quality, this therefore resulted in 23 studies being included in the final qualitative synthesis. No studies were included in a quantitative synthesis (meta-analysis) due to study designs, research methodologies, and outcome measures, however narrative synthesis was utilised instead. This visual structure helps to clearly show how the final set of studies was determined.</w:t>
      </w:r>
    </w:p>
    <w:p w:rsidR="00000000" w:rsidDel="00000000" w:rsidP="00000000" w:rsidRDefault="00000000" w:rsidRPr="00000000" w14:paraId="000000E1">
      <w:pPr>
        <w:spacing w:after="16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E2">
      <w:pPr>
        <w:spacing w:after="160" w:line="360" w:lineRule="auto"/>
        <w:rPr>
          <w:sz w:val="24"/>
          <w:szCs w:val="24"/>
        </w:rPr>
      </w:pPr>
      <w:r w:rsidDel="00000000" w:rsidR="00000000" w:rsidRPr="00000000">
        <w:rPr>
          <w:sz w:val="24"/>
          <w:szCs w:val="24"/>
          <w:rtl w:val="0"/>
        </w:rPr>
        <w:t xml:space="preserve">Despite many removing many research materials through this process. A large number of materials that were removed also included relevant and accurate data, however, were removed from the research sources as the information was included in other sources. This was done to save on duplication of references; however some studies may still remain with the same information as many authors use the same credible sources.</w:t>
      </w:r>
    </w:p>
    <w:p w:rsidR="00000000" w:rsidDel="00000000" w:rsidP="00000000" w:rsidRDefault="00000000" w:rsidRPr="00000000" w14:paraId="000000E3">
      <w:pPr>
        <w:spacing w:after="160" w:line="360" w:lineRule="auto"/>
        <w:rPr>
          <w:sz w:val="24"/>
          <w:szCs w:val="24"/>
        </w:rPr>
      </w:pPr>
      <w:r w:rsidDel="00000000" w:rsidR="00000000" w:rsidRPr="00000000">
        <w:rPr>
          <w:rtl w:val="0"/>
        </w:rPr>
      </w:r>
    </w:p>
    <w:p w:rsidR="00000000" w:rsidDel="00000000" w:rsidP="00000000" w:rsidRDefault="00000000" w:rsidRPr="00000000" w14:paraId="000000E4">
      <w:pPr>
        <w:spacing w:after="160" w:line="360" w:lineRule="auto"/>
        <w:rPr>
          <w:color w:val="b6d7a8"/>
          <w:sz w:val="24"/>
          <w:szCs w:val="24"/>
        </w:rPr>
      </w:pPr>
      <w:r w:rsidDel="00000000" w:rsidR="00000000" w:rsidRPr="00000000">
        <w:rPr>
          <w:sz w:val="24"/>
          <w:szCs w:val="24"/>
          <w:rtl w:val="0"/>
        </w:rPr>
        <w:t xml:space="preserve">Among the most important contributors to HA are psychological factors, particularly the influence of home fans. The presence of a supporting crowd has been shown to increase motivation among home players while also putting pressure on the opposition. This is known as the "12th man" effect, and it emphasises the motivating and potentially intimidating role played by home fans through constantly being vocal, chanting, singing etc (Bhagwandeen, Mohammed and Dialsingh, 2024). According to research, larger and more vocal crowds create better home team performance resulting in wins for the home team. Sporting Bounce (2025), in a study of 9,472 Spanish football matches, discovered a strong correlation between crowd presence and home victories, highlighting the critical psychological boost provided by spectators on the players.</w:t>
      </w:r>
      <w:r w:rsidDel="00000000" w:rsidR="00000000" w:rsidRPr="00000000">
        <w:rPr>
          <w:color w:val="b6d7a8"/>
          <w:sz w:val="24"/>
          <w:szCs w:val="24"/>
          <w:rtl w:val="0"/>
        </w:rPr>
        <w:t xml:space="preserve">​</w:t>
      </w:r>
    </w:p>
    <w:p w:rsidR="00000000" w:rsidDel="00000000" w:rsidP="00000000" w:rsidRDefault="00000000" w:rsidRPr="00000000" w14:paraId="000000E5">
      <w:pPr>
        <w:spacing w:after="160" w:line="360" w:lineRule="auto"/>
        <w:rPr>
          <w:sz w:val="24"/>
          <w:szCs w:val="24"/>
        </w:rPr>
      </w:pPr>
      <w:r w:rsidDel="00000000" w:rsidR="00000000" w:rsidRPr="00000000">
        <w:rPr>
          <w:sz w:val="24"/>
          <w:szCs w:val="24"/>
          <w:rtl w:val="0"/>
        </w:rPr>
        <w:t xml:space="preserve">This psychological uplift does not only impact players but also applies to referees. Several studies suggest that referees, consciously or unconsciously, are influenced by the crowd's reactions. Boyko, Boyko, and Boyko (2007) found that for every 10,000 increases in crowd size, the home team's scoring advantage increases by around 0.1 goals. Similarly, Goumas (2014) discovered that referees in European leagues were more likely to penalise away teams with yellow cards when crowd density was high, reinforcing the concept of socially induced referee bias.</w:t>
      </w:r>
    </w:p>
    <w:p w:rsidR="00000000" w:rsidDel="00000000" w:rsidP="00000000" w:rsidRDefault="00000000" w:rsidRPr="00000000" w14:paraId="000000E6">
      <w:pPr>
        <w:spacing w:line="360" w:lineRule="auto"/>
        <w:rPr>
          <w:sz w:val="24"/>
          <w:szCs w:val="24"/>
        </w:rPr>
      </w:pPr>
      <w:r w:rsidDel="00000000" w:rsidR="00000000" w:rsidRPr="00000000">
        <w:rPr>
          <w:sz w:val="24"/>
          <w:szCs w:val="24"/>
          <w:rtl w:val="0"/>
        </w:rPr>
        <w:t xml:space="preserve">The COVID-19 pandemic provided a natural experimental setting for research, highlighting the role of spectators in influencing HA. Matches played in empty stadiums due to Covid 19, showed a significant drop in HA indicators. Wang and Qin (2023) reported that during this time, the absence of spectators reduced home win rates, highlighting the importance of fan presence in match outcomes. Furthermore, the same study, as well as others such as Sors et al. (2020) and Bryson, Dolton, and Reade (2021), discovered a significant reduction in referee bias, as evidenced by more balanced card distribution and fewer favourable decisions for home teams during games that were played “behind closed doors”.</w:t>
      </w:r>
    </w:p>
    <w:p w:rsidR="00000000" w:rsidDel="00000000" w:rsidP="00000000" w:rsidRDefault="00000000" w:rsidRPr="00000000" w14:paraId="000000E7">
      <w:pPr>
        <w:spacing w:after="160" w:line="360" w:lineRule="auto"/>
        <w:rPr>
          <w:sz w:val="24"/>
          <w:szCs w:val="24"/>
        </w:rPr>
      </w:pPr>
      <w:r w:rsidDel="00000000" w:rsidR="00000000" w:rsidRPr="00000000">
        <w:rPr>
          <w:sz w:val="24"/>
          <w:szCs w:val="24"/>
          <w:rtl w:val="0"/>
        </w:rPr>
        <w:t xml:space="preserve">Research also looked into the players' internal psychological states. Playing at home can reduce stress and anxiety while increasing confidence, thanks to environmental familiarity and social support (Carron, Loughead and Bray, 2005).The psychological comfort and motivation provided by playing in a familiar environment and intense crowd support from fans, contributes to a more positive mental state for home players, as it allows individuals to feel appreciated and supported, which can translate into measurable performance gains .</w:t>
      </w:r>
    </w:p>
    <w:p w:rsidR="00000000" w:rsidDel="00000000" w:rsidP="00000000" w:rsidRDefault="00000000" w:rsidRPr="00000000" w14:paraId="000000E8">
      <w:pPr>
        <w:spacing w:line="360" w:lineRule="auto"/>
        <w:rPr>
          <w:sz w:val="24"/>
          <w:szCs w:val="24"/>
        </w:rPr>
      </w:pPr>
      <w:r w:rsidDel="00000000" w:rsidR="00000000" w:rsidRPr="00000000">
        <w:rPr>
          <w:sz w:val="24"/>
          <w:szCs w:val="24"/>
          <w:rtl w:val="0"/>
        </w:rPr>
        <w:t xml:space="preserve">The presence of the home crowd had a particularly significant impact on referee decision making. Reade, Schreyer, and Singleton (2021) discovered that without the auditory and visual influence of fans, referees made more impartial decisions. The decrease in home-biased refereeing during football matches with no supporters demonstrates that officiating may be subconsciously influenced by crowd pressure (Bryson et al., 2021). This demonstrates that the influence of the psychological factors in HA extends beyond team performance and has contributing effects on referee decision , therefore ultimately affecting the result of the game.</w:t>
      </w:r>
    </w:p>
    <w:p w:rsidR="00000000" w:rsidDel="00000000" w:rsidP="00000000" w:rsidRDefault="00000000" w:rsidRPr="00000000" w14:paraId="000000E9">
      <w:pPr>
        <w:spacing w:after="160" w:line="360" w:lineRule="auto"/>
        <w:rPr>
          <w:sz w:val="24"/>
          <w:szCs w:val="24"/>
        </w:rPr>
      </w:pPr>
      <w:r w:rsidDel="00000000" w:rsidR="00000000" w:rsidRPr="00000000">
        <w:rPr>
          <w:sz w:val="24"/>
          <w:szCs w:val="24"/>
          <w:rtl w:val="0"/>
        </w:rPr>
        <w:t xml:space="preserve">Tactical adaptations play an important role in HA. Home teams tend to play more attacking and aggressively, which could be attributed to crowd energy and familiarity with the environment. Plakias, Armatas, and Mitrotasios (2025) investigated team formations and match strategies, finding that home teams are statistically more likely to press forward, dominate possession, and create more scoring opportunities than away teams.</w:t>
      </w:r>
    </w:p>
    <w:p w:rsidR="00000000" w:rsidDel="00000000" w:rsidP="00000000" w:rsidRDefault="00000000" w:rsidRPr="00000000" w14:paraId="000000EA">
      <w:pPr>
        <w:spacing w:after="160" w:line="360" w:lineRule="auto"/>
        <w:rPr>
          <w:sz w:val="24"/>
          <w:szCs w:val="24"/>
        </w:rPr>
      </w:pPr>
      <w:r w:rsidDel="00000000" w:rsidR="00000000" w:rsidRPr="00000000">
        <w:rPr>
          <w:rtl w:val="0"/>
        </w:rPr>
      </w:r>
    </w:p>
    <w:p w:rsidR="00000000" w:rsidDel="00000000" w:rsidP="00000000" w:rsidRDefault="00000000" w:rsidRPr="00000000" w14:paraId="000000EB">
      <w:pPr>
        <w:spacing w:line="360" w:lineRule="auto"/>
        <w:rPr>
          <w:sz w:val="24"/>
          <w:szCs w:val="24"/>
        </w:rPr>
      </w:pPr>
      <w:r w:rsidDel="00000000" w:rsidR="00000000" w:rsidRPr="00000000">
        <w:rPr>
          <w:sz w:val="24"/>
          <w:szCs w:val="24"/>
          <w:rtl w:val="0"/>
        </w:rPr>
        <w:t xml:space="preserve">This tactical boldness in teams is frequently absent in away games, where visiting teams typically take a more conservative or defensive approach. The tendency to defend passively can be linked to discomfort in unfamiliar surroundings and decreased support from fans (Bhagwandeen, Mohammed and Dialsingh, 2024). According to Lago-Peñas and Dellal's (2010) research, home teams tend to adjust their tactics in response to crowd encouragement and momentum shifts. The ability to read a home audience's energy can also influence in-game tactical decisions, such as when to press or increase tempo, highlighting HA's dynamic and interactive nature.</w:t>
      </w:r>
    </w:p>
    <w:p w:rsidR="00000000" w:rsidDel="00000000" w:rsidP="00000000" w:rsidRDefault="00000000" w:rsidRPr="00000000" w14:paraId="000000EC">
      <w:pPr>
        <w:spacing w:after="160" w:line="360" w:lineRule="auto"/>
        <w:rPr>
          <w:sz w:val="24"/>
          <w:szCs w:val="24"/>
        </w:rPr>
      </w:pPr>
      <w:r w:rsidDel="00000000" w:rsidR="00000000" w:rsidRPr="00000000">
        <w:rPr>
          <w:sz w:val="24"/>
          <w:szCs w:val="24"/>
          <w:rtl w:val="0"/>
        </w:rPr>
        <w:t xml:space="preserve">Surprisingly the lack of crowds during the COVID-19 lockdown impacted not only psychological approaches but also tactical approaches too. Teams that played at home without the psychological and emotional lift of supporters were found to take fewer attacking risks and exhibit less possession dominance (Bryson et al., 2021). This suggests that tactical decision-making is not solely strategic, but also a response to the psychosocial environment.Recent research that was published using tracking data and performance analytics backs up these findings. Plakias, Armatas and Mitrotasios (2025) discovered that teams at home had more attacking movements, higher press intensity, and greater positional fluidity. These tactical patterns indicate that HA is a multi-level phenomenon influenced not only by pre-match planning but also by responses to stimuli such as fan noise, referee decisions, and momentum.</w:t>
      </w:r>
    </w:p>
    <w:p w:rsidR="00000000" w:rsidDel="00000000" w:rsidP="00000000" w:rsidRDefault="00000000" w:rsidRPr="00000000" w14:paraId="000000ED">
      <w:pPr>
        <w:spacing w:after="160" w:line="360" w:lineRule="auto"/>
        <w:rPr>
          <w:sz w:val="24"/>
          <w:szCs w:val="24"/>
        </w:rPr>
      </w:pPr>
      <w:r w:rsidDel="00000000" w:rsidR="00000000" w:rsidRPr="00000000">
        <w:rPr>
          <w:sz w:val="24"/>
          <w:szCs w:val="24"/>
          <w:rtl w:val="0"/>
        </w:rPr>
        <w:t xml:space="preserve">As a result, tactical decisions are not isolated strategic choices but are multifactorial and demonstrate how the multiple factors contribute between psychology and strategy. The willingness of home teams to take tactical risks and adapt during matches demonstrates how environmental and psychological factors also influence in-game decisions.</w:t>
      </w:r>
    </w:p>
    <w:p w:rsidR="00000000" w:rsidDel="00000000" w:rsidP="00000000" w:rsidRDefault="00000000" w:rsidRPr="00000000" w14:paraId="000000EE">
      <w:pPr>
        <w:spacing w:after="160" w:line="360" w:lineRule="auto"/>
        <w:rPr>
          <w:sz w:val="24"/>
          <w:szCs w:val="24"/>
        </w:rPr>
      </w:pPr>
      <w:r w:rsidDel="00000000" w:rsidR="00000000" w:rsidRPr="00000000">
        <w:rPr>
          <w:sz w:val="24"/>
          <w:szCs w:val="24"/>
          <w:rtl w:val="0"/>
        </w:rPr>
        <w:t xml:space="preserve">Geographical location, pitch conditions, altitude, and travel demands are all environmental factors that influence HA. One of the most frequently mentioned environmental factors is travel fatigue. Teams that have to travel longer distances or across time zones frequently experience physical and psychological fatigue, which disrupts pre-match routines and may impair performance (Clements et al., 2023) Such fatigue can impair concentration, reaction time, and overall intensity, giving home teams a competitive advantage. Altitude is another well-known environmental factor. McSharry (2007) and ISSPF (2024) reported that teams unfamiliar with high-altitude conditions frequently struggle with reduced oxygen availability, which impairs cardiovascular performance and endurance. Teams at higher elevations benefit from physiological adaptation, which gives them a significant advantage when hosting lowland teams. This is especially true in South American tournaments like the Copa Libertadores, where teams from lower altitudes frequently struggle to compete in cities like La Paz or Quito due the change in altitude within different pitches (Wunderlich et al., 2021).</w:t>
      </w:r>
    </w:p>
    <w:p w:rsidR="00000000" w:rsidDel="00000000" w:rsidP="00000000" w:rsidRDefault="00000000" w:rsidRPr="00000000" w14:paraId="000000EF">
      <w:pPr>
        <w:spacing w:after="160" w:line="360" w:lineRule="auto"/>
        <w:rPr>
          <w:sz w:val="24"/>
          <w:szCs w:val="24"/>
        </w:rPr>
      </w:pPr>
      <w:r w:rsidDel="00000000" w:rsidR="00000000" w:rsidRPr="00000000">
        <w:rPr>
          <w:sz w:val="24"/>
          <w:szCs w:val="24"/>
          <w:rtl w:val="0"/>
        </w:rPr>
        <w:t xml:space="preserve">Familiarity with the playing surface and stadium layout is also important to players as it will affect their performance. Nevill (1999) discovered that home teams benefit from increased spatial awareness as a result of repeated exposure to their home pitch, which allows for more precise tactical execution and positional play. Pollard (2006) went on to say that even minor differences in pitch dimensions and grass type can present challenges for visiting teams, who may need time to adjust, reducing their competitive effectiveness. Furthermore, stadium design can increase the impact of HA. Venues that have enclosed structures may reflect crowd noise, therefore heightening the perceived intensity of support and noise, potentially intimidating opposing players and exaggerating the psychological effects of crowd presence (Carron, Loughhead and Bray, 2005). These architectural elements contribute to a home environment that extends beyond familiarity to sensory and psychological immersion.</w:t>
      </w:r>
    </w:p>
    <w:p w:rsidR="00000000" w:rsidDel="00000000" w:rsidP="00000000" w:rsidRDefault="00000000" w:rsidRPr="00000000" w14:paraId="000000F0">
      <w:pPr>
        <w:spacing w:after="160" w:line="360" w:lineRule="auto"/>
        <w:rPr>
          <w:sz w:val="24"/>
          <w:szCs w:val="24"/>
        </w:rPr>
      </w:pPr>
      <w:r w:rsidDel="00000000" w:rsidR="00000000" w:rsidRPr="00000000">
        <w:rPr>
          <w:sz w:val="24"/>
          <w:szCs w:val="24"/>
          <w:rtl w:val="0"/>
        </w:rPr>
        <w:t xml:space="preserve">It is important to note that HA is not the same in all contexts. The manifestation of HA varies greatly depending on geographical region, league culture, and stadium characteristics. For example, Pollard and Gómez (2014) discovered that European leagues frequently have stronger psychological influences on HA due to larger stadiums and denser crowds, whereas South American football has more pronounced environmental effects, such as altitude and long-distance travel. Many socio-economic factors also play a large part in support as many fans may not be able to travel to away games etc due to transportation, financial issues, dependants etc. This variability suggests that HA should not be viewed as the same across all home games. Instead, it functions as a dynamic construct influenced by the interactions of multiple factors. The interaction of tactical flexibility and crowd energy, or travel demands and psychological readiness, indicates that HA is a part of a large system of affecting factors. Furthermore, the pandemic provided researchers with a unique setting in which to investigate these queries or questions. The simultaneous withdrawal of fans across leagues allowed for a unique comparative analysis, revealing a decrease in home win percentages, reduced referee bias, and altered tactical behaviour (Sors et al., 2020). These findings provide strong evidence for the interdependence of the HA contributing factors.</w:t>
      </w:r>
    </w:p>
    <w:p w:rsidR="00000000" w:rsidDel="00000000" w:rsidP="00000000" w:rsidRDefault="00000000" w:rsidRPr="00000000" w14:paraId="000000F1">
      <w:pPr>
        <w:spacing w:line="360" w:lineRule="auto"/>
        <w:rPr>
          <w:sz w:val="24"/>
          <w:szCs w:val="24"/>
        </w:rPr>
      </w:pPr>
      <w:r w:rsidDel="00000000" w:rsidR="00000000" w:rsidRPr="00000000">
        <w:rPr>
          <w:sz w:val="24"/>
          <w:szCs w:val="24"/>
          <w:rtl w:val="0"/>
        </w:rPr>
        <w:t xml:space="preserve">Overall, the reviewed literature confirms that HA is the result of multiple factors , psychological, tactical, and environmental. Crowd support boosts team motivation and influences referee decisions; familiar surroundings improve tactical execution and environmental stress disadvantage away teams, all of which work together to benefit the home team. It is influenced by interactions between players, coaches, referees, fans, and the physical environment. Its strength varies by league, team, or even individual match, indicating a high degree of situational dependency. Importantly, these results advance traditional concepts of HA by incorporating evidence from a broad range of studies and contexts, including the rare circumstances of the COVID-19 pandemic. This offers not only verification of existing theories but also fresh insights into the HA under changing conditions. Researchers now have more ways to evaluate the temporal evolution of HA during games thanks to the expanding availability of physiological data, performance analytics, and AI-assisted video tracking. These technological developments make it possible to record changes in momentum, referee actions, and tactical modifications in response to feedback from the home audience. Future research can provide a more detailed and predictive model of HA that is suited to certain contexts including paediatric, amateur, and professional levels of the game by utilising multidisciplinary approaches that combine sports psychology, biomechanics, neurology, and data analytics. In order to comprehend how geographical variations influence the extent and manifestation of home advantage, sociocultural factors including fan identification, community involvement, and national athletic culture should also be investigated. </w:t>
      </w:r>
    </w:p>
    <w:p w:rsidR="00000000" w:rsidDel="00000000" w:rsidP="00000000" w:rsidRDefault="00000000" w:rsidRPr="00000000" w14:paraId="000000F2">
      <w:pPr>
        <w:spacing w:line="360" w:lineRule="auto"/>
        <w:rPr>
          <w:b w:val="1"/>
          <w:sz w:val="24"/>
          <w:szCs w:val="24"/>
        </w:rPr>
      </w:pPr>
      <w:r w:rsidDel="00000000" w:rsidR="00000000" w:rsidRPr="00000000">
        <w:rPr>
          <w:rtl w:val="0"/>
        </w:rPr>
      </w:r>
    </w:p>
    <w:p w:rsidR="00000000" w:rsidDel="00000000" w:rsidP="00000000" w:rsidRDefault="00000000" w:rsidRPr="00000000" w14:paraId="000000F3">
      <w:pPr>
        <w:spacing w:line="360" w:lineRule="auto"/>
        <w:rPr>
          <w:b w:val="1"/>
          <w:sz w:val="24"/>
          <w:szCs w:val="24"/>
        </w:rPr>
      </w:pPr>
      <w:r w:rsidDel="00000000" w:rsidR="00000000" w:rsidRPr="00000000">
        <w:rPr>
          <w:rtl w:val="0"/>
        </w:rPr>
      </w:r>
    </w:p>
    <w:p w:rsidR="00000000" w:rsidDel="00000000" w:rsidP="00000000" w:rsidRDefault="00000000" w:rsidRPr="00000000" w14:paraId="000000F4">
      <w:pPr>
        <w:spacing w:line="360" w:lineRule="auto"/>
        <w:rPr>
          <w:b w:val="1"/>
          <w:sz w:val="24"/>
          <w:szCs w:val="24"/>
        </w:rPr>
      </w:pPr>
      <w:r w:rsidDel="00000000" w:rsidR="00000000" w:rsidRPr="00000000">
        <w:rPr>
          <w:rtl w:val="0"/>
        </w:rPr>
      </w:r>
    </w:p>
    <w:p w:rsidR="00000000" w:rsidDel="00000000" w:rsidP="00000000" w:rsidRDefault="00000000" w:rsidRPr="00000000" w14:paraId="000000F5">
      <w:pPr>
        <w:spacing w:line="360" w:lineRule="auto"/>
        <w:rPr>
          <w:b w:val="1"/>
          <w:sz w:val="24"/>
          <w:szCs w:val="24"/>
        </w:rPr>
      </w:pPr>
      <w:r w:rsidDel="00000000" w:rsidR="00000000" w:rsidRPr="00000000">
        <w:rPr>
          <w:b w:val="1"/>
          <w:sz w:val="24"/>
          <w:szCs w:val="24"/>
          <w:rtl w:val="0"/>
        </w:rPr>
        <w:t xml:space="preserve">Discussion </w:t>
      </w:r>
    </w:p>
    <w:p w:rsidR="00000000" w:rsidDel="00000000" w:rsidP="00000000" w:rsidRDefault="00000000" w:rsidRPr="00000000" w14:paraId="000000F6">
      <w:pPr>
        <w:spacing w:line="360" w:lineRule="auto"/>
        <w:rPr>
          <w:b w:val="1"/>
          <w:sz w:val="24"/>
          <w:szCs w:val="24"/>
        </w:rPr>
      </w:pPr>
      <w:r w:rsidDel="00000000" w:rsidR="00000000" w:rsidRPr="00000000">
        <w:rPr>
          <w:rtl w:val="0"/>
        </w:rPr>
      </w:r>
    </w:p>
    <w:p w:rsidR="00000000" w:rsidDel="00000000" w:rsidP="00000000" w:rsidRDefault="00000000" w:rsidRPr="00000000" w14:paraId="000000F7">
      <w:pPr>
        <w:spacing w:line="360" w:lineRule="auto"/>
        <w:rPr>
          <w:sz w:val="24"/>
          <w:szCs w:val="24"/>
        </w:rPr>
      </w:pPr>
      <w:r w:rsidDel="00000000" w:rsidR="00000000" w:rsidRPr="00000000">
        <w:rPr>
          <w:sz w:val="24"/>
          <w:szCs w:val="24"/>
          <w:rtl w:val="0"/>
        </w:rPr>
        <w:t xml:space="preserve">This section will discuss, analyse and critique the results found from research conducted. Numerous studies have examined the idea of HA in football and found that teams typically play better at home than away. The psychological, tactical, and environmental elements that contribute to HA are discussed, along with the findings' comparisons to previous research, the review's advantages and disadvantages, and the implications for practice and future directions of the study.</w:t>
      </w:r>
    </w:p>
    <w:p w:rsidR="00000000" w:rsidDel="00000000" w:rsidP="00000000" w:rsidRDefault="00000000" w:rsidRPr="00000000" w14:paraId="000000F8">
      <w:pPr>
        <w:spacing w:line="360" w:lineRule="auto"/>
        <w:rPr>
          <w:sz w:val="24"/>
          <w:szCs w:val="24"/>
        </w:rPr>
      </w:pPr>
      <w:r w:rsidDel="00000000" w:rsidR="00000000" w:rsidRPr="00000000">
        <w:rPr>
          <w:rtl w:val="0"/>
        </w:rPr>
      </w:r>
    </w:p>
    <w:p w:rsidR="00000000" w:rsidDel="00000000" w:rsidP="00000000" w:rsidRDefault="00000000" w:rsidRPr="00000000" w14:paraId="000000F9">
      <w:pPr>
        <w:spacing w:line="360" w:lineRule="auto"/>
        <w:rPr>
          <w:sz w:val="24"/>
          <w:szCs w:val="24"/>
        </w:rPr>
      </w:pPr>
      <w:r w:rsidDel="00000000" w:rsidR="00000000" w:rsidRPr="00000000">
        <w:rPr>
          <w:sz w:val="24"/>
          <w:szCs w:val="24"/>
          <w:rtl w:val="0"/>
        </w:rPr>
        <w:t xml:space="preserve">Match dynamics are greatly influenced by psychological elements, especially the presence and impact of home fans. The "12th man" theory emphasises how loud and sizable home audiences may increase player motivation and put pressure on away teams. Larger and more verbally aggressive crowds have been linked to higher home team success, according to studies. For example, Boyko et al. (2007) discovered that the home team's lead rose by almost 0.1 goals for every 10,000 extra spectators. Games held in empty stadiums during the COVID-19 pandemic offered a natural experiment that brought the importance of crowd influence even more to light for researchers. The psychological and performance-enhancing effects of crowd presence were confirmed by studies that found a significant decrease in HA when spectators were absent (Wunderlich et al., 2021). Referee bias has also been closely associated with crowd influence. Referees may unintentionally give preference to the home team in marginal rulings due to social pressure from home fans. Referees gave away teams more fouls and yellow cards, especially during high-attentive games, as Goumas (2014) showed. When sports were played without spectators during the pandemic, this trend was reversed or lessened (Sors et al., 2020). These results are in line with theories of social pressure and compliance, which contend that people in positions of authority are vulnerable to group pressure, particularly in emotionally driven settings.</w:t>
      </w:r>
    </w:p>
    <w:p w:rsidR="00000000" w:rsidDel="00000000" w:rsidP="00000000" w:rsidRDefault="00000000" w:rsidRPr="00000000" w14:paraId="000000FA">
      <w:pPr>
        <w:spacing w:line="360" w:lineRule="auto"/>
        <w:rPr>
          <w:sz w:val="24"/>
          <w:szCs w:val="24"/>
        </w:rPr>
      </w:pPr>
      <w:r w:rsidDel="00000000" w:rsidR="00000000" w:rsidRPr="00000000">
        <w:rPr>
          <w:rtl w:val="0"/>
        </w:rPr>
      </w:r>
    </w:p>
    <w:p w:rsidR="00000000" w:rsidDel="00000000" w:rsidP="00000000" w:rsidRDefault="00000000" w:rsidRPr="00000000" w14:paraId="000000FB">
      <w:pPr>
        <w:spacing w:line="360" w:lineRule="auto"/>
        <w:rPr>
          <w:sz w:val="24"/>
          <w:szCs w:val="24"/>
        </w:rPr>
      </w:pPr>
      <w:r w:rsidDel="00000000" w:rsidR="00000000" w:rsidRPr="00000000">
        <w:rPr>
          <w:sz w:val="24"/>
          <w:szCs w:val="24"/>
          <w:rtl w:val="0"/>
        </w:rPr>
        <w:t xml:space="preserve">HA is also influenced by tactical changes. Teams who play at home frequently use more offensive tactics, which are typified by more risk-taking and pushing. This strategic audacity is probably bolstered by familiar surroundings and psychological comfort. According to Sarmento et al (2018), proactive tactical decisions and favourable contextual factors increased the likelihood that teams at home would generate high-quality opportunities within games. Similar findings were made by Lago-Peñas and Dellal (2010), who discovered that home games led to a large increase in both ball possession and offensive intent. These tactical changes are not only just engaging to watch for viewers but they also reflect a wider readiness to take advantage of home conditions, which is bolstered by the support of the fans and the lack of travel fatigue.</w:t>
      </w:r>
    </w:p>
    <w:p w:rsidR="00000000" w:rsidDel="00000000" w:rsidP="00000000" w:rsidRDefault="00000000" w:rsidRPr="00000000" w14:paraId="000000FC">
      <w:pPr>
        <w:spacing w:line="360" w:lineRule="auto"/>
        <w:rPr>
          <w:sz w:val="24"/>
          <w:szCs w:val="24"/>
        </w:rPr>
      </w:pPr>
      <w:r w:rsidDel="00000000" w:rsidR="00000000" w:rsidRPr="00000000">
        <w:rPr>
          <w:rtl w:val="0"/>
        </w:rPr>
      </w:r>
    </w:p>
    <w:p w:rsidR="00000000" w:rsidDel="00000000" w:rsidP="00000000" w:rsidRDefault="00000000" w:rsidRPr="00000000" w14:paraId="000000FD">
      <w:pPr>
        <w:spacing w:line="360" w:lineRule="auto"/>
        <w:rPr>
          <w:sz w:val="24"/>
          <w:szCs w:val="24"/>
        </w:rPr>
      </w:pPr>
      <w:r w:rsidDel="00000000" w:rsidR="00000000" w:rsidRPr="00000000">
        <w:rPr>
          <w:sz w:val="24"/>
          <w:szCs w:val="24"/>
          <w:rtl w:val="0"/>
        </w:rPr>
        <w:t xml:space="preserve">The HA is further reinforced by environmental considerations. For away teams, travel is a major source of stress that frequently leads to sleep issues, routine disruptions, and physical exhaustion. According to McHill and Chinoy (2020), professional athletes' circadian rhythms, more commonly known as body clock, were adversely influenced by long-distance timezone travel, which also decreased their physical performance. Even while domestic football travel may not be as severe as it is for other professional teams, visiting teams may still be at a disadvantage due to strange surroundings, unfamiliar location and away fans. It has also been demonstrated that high-altitude stadiums, like those in South America, hinder the risk of performance of teams that are not acclimated, giving home teams that are used to such conditions an advantage (ISSPF, 2024). This idea is further supported by Pollard (2006) and Wunderlich et al. (2021), who show that temperature, humidity, and elevation all affect performance differences and increase physical changes within the body. Environmental advantage gains a minor but significant dimension from pitch familiarity. The size, terrain, and aesthetic features of their own stadiums are more familiar to home teams, and this might affect player positioning, passing accuracy, and spatial awareness. Together, these seemingly insignificant factors result in large differences in performance variations. Because visiting teams must adhere to these changes and teams with extremely unique or quirky stadiums may benefit more due to the unfamiliar area (Pollard, 2006).</w:t>
      </w:r>
    </w:p>
    <w:p w:rsidR="00000000" w:rsidDel="00000000" w:rsidP="00000000" w:rsidRDefault="00000000" w:rsidRPr="00000000" w14:paraId="000000FE">
      <w:pPr>
        <w:spacing w:line="360" w:lineRule="auto"/>
        <w:rPr>
          <w:sz w:val="24"/>
          <w:szCs w:val="24"/>
        </w:rPr>
      </w:pPr>
      <w:r w:rsidDel="00000000" w:rsidR="00000000" w:rsidRPr="00000000">
        <w:rPr>
          <w:rtl w:val="0"/>
        </w:rPr>
      </w:r>
    </w:p>
    <w:p w:rsidR="00000000" w:rsidDel="00000000" w:rsidP="00000000" w:rsidRDefault="00000000" w:rsidRPr="00000000" w14:paraId="000000FF">
      <w:pPr>
        <w:spacing w:line="360" w:lineRule="auto"/>
        <w:rPr>
          <w:sz w:val="24"/>
          <w:szCs w:val="24"/>
        </w:rPr>
      </w:pPr>
      <w:r w:rsidDel="00000000" w:rsidR="00000000" w:rsidRPr="00000000">
        <w:rPr>
          <w:sz w:val="24"/>
          <w:szCs w:val="24"/>
          <w:rtl w:val="0"/>
        </w:rPr>
        <w:t xml:space="preserve">Although the results of this review provide a more comprehensive knowledge of the overlapping nature of these factors, they are still in line with relevant previous research. Conventional models of HA, like the one conducted by Courneya and Carron (1992), viewed the phenomena as the result of distinct components, including regulations, travel, familiarity, and crowd support. More recent frameworks and data, however, indicate that these components interact together. Crowd effect, for instance, may indirectly contribute to referee prejudice while simultaneously enhancing player performance and promoting tactical aggression. This review's holistic approach draws attention to these connections and pushes research knowledge together and demonstrates that this is a multifactorial answer.</w:t>
      </w:r>
    </w:p>
    <w:p w:rsidR="00000000" w:rsidDel="00000000" w:rsidP="00000000" w:rsidRDefault="00000000" w:rsidRPr="00000000" w14:paraId="00000100">
      <w:pPr>
        <w:spacing w:line="360" w:lineRule="auto"/>
        <w:rPr>
          <w:sz w:val="24"/>
          <w:szCs w:val="24"/>
        </w:rPr>
      </w:pPr>
      <w:r w:rsidDel="00000000" w:rsidR="00000000" w:rsidRPr="00000000">
        <w:rPr>
          <w:rtl w:val="0"/>
        </w:rPr>
      </w:r>
    </w:p>
    <w:p w:rsidR="00000000" w:rsidDel="00000000" w:rsidP="00000000" w:rsidRDefault="00000000" w:rsidRPr="00000000" w14:paraId="00000101">
      <w:pPr>
        <w:spacing w:line="360" w:lineRule="auto"/>
        <w:rPr>
          <w:sz w:val="24"/>
          <w:szCs w:val="24"/>
        </w:rPr>
      </w:pPr>
      <w:r w:rsidDel="00000000" w:rsidR="00000000" w:rsidRPr="00000000">
        <w:rPr>
          <w:sz w:val="24"/>
          <w:szCs w:val="24"/>
          <w:rtl w:val="0"/>
        </w:rPr>
        <w:t xml:space="preserve">Whereas the results of this review provide a more comprehensive knowledge of the overlapping nature of these factors, they are generally in line with previous research. Conventional models of home advantage, like the one put out by Courneya and Carron (1992), viewed the phenomena as the result of distinct components, including regulations, travel, familiarity, and crowd support. More recent frameworks and data, however, indicate that these components interact dynamically. Crowd effect, for instance, may indirectly contribute to referee prejudice while simultaneously enhancing player performance and promoting tactical aggression. This review's holistic approach draws attention to these connections and pushes scholars to go beyond compartmentalised approaches.</w:t>
      </w:r>
    </w:p>
    <w:p w:rsidR="00000000" w:rsidDel="00000000" w:rsidP="00000000" w:rsidRDefault="00000000" w:rsidRPr="00000000" w14:paraId="00000102">
      <w:pPr>
        <w:spacing w:line="360" w:lineRule="auto"/>
        <w:rPr>
          <w:sz w:val="24"/>
          <w:szCs w:val="24"/>
        </w:rPr>
      </w:pPr>
      <w:r w:rsidDel="00000000" w:rsidR="00000000" w:rsidRPr="00000000">
        <w:rPr>
          <w:rtl w:val="0"/>
        </w:rPr>
      </w:r>
    </w:p>
    <w:p w:rsidR="00000000" w:rsidDel="00000000" w:rsidP="00000000" w:rsidRDefault="00000000" w:rsidRPr="00000000" w14:paraId="00000103">
      <w:pPr>
        <w:spacing w:line="360" w:lineRule="auto"/>
        <w:rPr>
          <w:sz w:val="24"/>
          <w:szCs w:val="24"/>
        </w:rPr>
      </w:pPr>
      <w:r w:rsidDel="00000000" w:rsidR="00000000" w:rsidRPr="00000000">
        <w:rPr>
          <w:sz w:val="24"/>
          <w:szCs w:val="24"/>
          <w:rtl w:val="0"/>
        </w:rPr>
        <w:t xml:space="preserve">However, this review has a number of limitations such as the inclusion of only English-language publications may have introduced language bias, which could have resulted in the exclusion of important insights from non-English-speaking countries, therefore meaning certain credible sources may have been missed.  Using only published peer-reviewed articles may have caused publication bias, which therefore may have meant leaving out some studies. The narrative approach helped explore themes in depth but didn’t allow for a meta-analysis, which may have given stronger statistical support. Also, because studies measure HA in different ways like win rates, goal differences, or performance stats it was hard to compare them directly and may have hidden some key causes.</w:t>
      </w:r>
    </w:p>
    <w:p w:rsidR="00000000" w:rsidDel="00000000" w:rsidP="00000000" w:rsidRDefault="00000000" w:rsidRPr="00000000" w14:paraId="00000104">
      <w:pPr>
        <w:spacing w:line="360" w:lineRule="auto"/>
        <w:rPr>
          <w:sz w:val="24"/>
          <w:szCs w:val="24"/>
        </w:rPr>
      </w:pPr>
      <w:r w:rsidDel="00000000" w:rsidR="00000000" w:rsidRPr="00000000">
        <w:rPr>
          <w:rtl w:val="0"/>
        </w:rPr>
      </w:r>
    </w:p>
    <w:p w:rsidR="00000000" w:rsidDel="00000000" w:rsidP="00000000" w:rsidRDefault="00000000" w:rsidRPr="00000000" w14:paraId="00000105">
      <w:pPr>
        <w:spacing w:line="360" w:lineRule="auto"/>
        <w:rPr>
          <w:sz w:val="24"/>
          <w:szCs w:val="24"/>
        </w:rPr>
      </w:pPr>
      <w:r w:rsidDel="00000000" w:rsidR="00000000" w:rsidRPr="00000000">
        <w:rPr>
          <w:sz w:val="24"/>
          <w:szCs w:val="24"/>
          <w:rtl w:val="0"/>
        </w:rPr>
        <w:t xml:space="preserve">The multifaceted nature of HA can help coaches and performance analysts prepare for and plan for games. Players may be protected from psychological and environmental stressors by training sessions that mimic away conditions, such as hostile crowd noise or strange pitch configurations. Investing in logistical planning, such as optimising travel itineraries, optimising sleep and recovery and putting recovery protocols in place, may also help teams reduce travel-related concerns. The effects of crowd-induced prejudice must be taken into account by refereeing bodies and regulatory organisations, particularly in leagues without VAR. Fairness and uniformity can be maintained with the aid of technology, ongoing referee training, and support.</w:t>
      </w:r>
    </w:p>
    <w:p w:rsidR="00000000" w:rsidDel="00000000" w:rsidP="00000000" w:rsidRDefault="00000000" w:rsidRPr="00000000" w14:paraId="00000106">
      <w:pPr>
        <w:spacing w:line="360" w:lineRule="auto"/>
        <w:rPr>
          <w:sz w:val="24"/>
          <w:szCs w:val="24"/>
        </w:rPr>
      </w:pPr>
      <w:r w:rsidDel="00000000" w:rsidR="00000000" w:rsidRPr="00000000">
        <w:rPr>
          <w:rtl w:val="0"/>
        </w:rPr>
      </w:r>
    </w:p>
    <w:p w:rsidR="00000000" w:rsidDel="00000000" w:rsidP="00000000" w:rsidRDefault="00000000" w:rsidRPr="00000000" w14:paraId="00000107">
      <w:pPr>
        <w:spacing w:line="360" w:lineRule="auto"/>
        <w:rPr>
          <w:sz w:val="24"/>
          <w:szCs w:val="24"/>
        </w:rPr>
      </w:pPr>
      <w:r w:rsidDel="00000000" w:rsidR="00000000" w:rsidRPr="00000000">
        <w:rPr>
          <w:sz w:val="24"/>
          <w:szCs w:val="24"/>
          <w:rtl w:val="0"/>
        </w:rPr>
        <w:t xml:space="preserve">The significance of context-specific research is also emphasised within the review. There is not a large variety in the types of literature around football as many studies primarily focus on professional football players in European leagues. Under-represented contexts including women's football, youth leagues, and participants in Africa and Asia. These should be given priority in future studies in order to understand how HA may differ in these settings. These environments might have distinct crowd dynamics, travel requirements, and tactical conventions, all of which could have a special impact on how HA manifests itself. To monitor the long-term effects of post-pandemic circumstances on HA, studies over a prolonged period are also required, particularly as supporters return and teams adapt to new logistical realities. Additionally, new technologies like wearable sensors and AI-powered match analysis offer chances for more in-depth research into the minute aspects of performance both at home and away.</w:t>
      </w:r>
    </w:p>
    <w:p w:rsidR="00000000" w:rsidDel="00000000" w:rsidP="00000000" w:rsidRDefault="00000000" w:rsidRPr="00000000" w14:paraId="00000108">
      <w:pPr>
        <w:spacing w:line="360" w:lineRule="auto"/>
        <w:rPr>
          <w:sz w:val="24"/>
          <w:szCs w:val="24"/>
        </w:rPr>
      </w:pPr>
      <w:r w:rsidDel="00000000" w:rsidR="00000000" w:rsidRPr="00000000">
        <w:rPr>
          <w:rtl w:val="0"/>
        </w:rPr>
      </w:r>
    </w:p>
    <w:p w:rsidR="00000000" w:rsidDel="00000000" w:rsidP="00000000" w:rsidRDefault="00000000" w:rsidRPr="00000000" w14:paraId="00000109">
      <w:pPr>
        <w:spacing w:line="360" w:lineRule="auto"/>
        <w:rPr>
          <w:sz w:val="24"/>
          <w:szCs w:val="24"/>
        </w:rPr>
      </w:pPr>
      <w:r w:rsidDel="00000000" w:rsidR="00000000" w:rsidRPr="00000000">
        <w:rPr>
          <w:sz w:val="24"/>
          <w:szCs w:val="24"/>
          <w:rtl w:val="0"/>
        </w:rPr>
        <w:t xml:space="preserve">Individual variations in the susceptibility of players and referees to ambient factors should also be investigated in future research. Future studies should look into how officials and players respond differently to pressure or crowd noise. Who is more or less impacted by these elements may be ascertained with the use of psychological testing and biometric tracking. For instance, although some athletes thrive under pressure, others may get anxious in front of their home crowds. Comprehending these differences could improve coaching and mental training. Referees should be the subject of research and study to better understand how crowds affect their judgement. Future officials could receive more specialised training as a result, reducing their susceptibility to crowd impact. Furthermore, eye-tracking technologies, salivary cortisol levels, and heart rate variability (HRV) may provide more physiological insights into stress reactions during games (Slimani et al., 2018). According to Allen et al. (2013), personality qualities like extraversion or trait anxiety may also mitigate how athletes perceive crowd presence and its impact on their performance. Virtual reality-based training modules that replicate high-pressure situations with genuine crowd noise may be advantageous for referees in particular. This allows for psychological desensitisation and decision-making calibration (Rendell et al., 2020). Whether recurrent exposure to crowd influence increases resilience over time or worsens cognitive fatigue may be determined with the aid of longitudinal studies. These studies would greatly aid in the customisation of fitness regimens and psychological support in professional football, providing advantages for both performance and prevention.</w:t>
      </w:r>
    </w:p>
    <w:p w:rsidR="00000000" w:rsidDel="00000000" w:rsidP="00000000" w:rsidRDefault="00000000" w:rsidRPr="00000000" w14:paraId="0000010A">
      <w:pPr>
        <w:spacing w:line="360" w:lineRule="auto"/>
        <w:rPr>
          <w:sz w:val="24"/>
          <w:szCs w:val="24"/>
        </w:rPr>
      </w:pPr>
      <w:r w:rsidDel="00000000" w:rsidR="00000000" w:rsidRPr="00000000">
        <w:rPr>
          <w:rtl w:val="0"/>
        </w:rPr>
      </w:r>
    </w:p>
    <w:p w:rsidR="00000000" w:rsidDel="00000000" w:rsidP="00000000" w:rsidRDefault="00000000" w:rsidRPr="00000000" w14:paraId="0000010B">
      <w:pPr>
        <w:spacing w:line="360" w:lineRule="auto"/>
        <w:rPr>
          <w:sz w:val="24"/>
          <w:szCs w:val="24"/>
        </w:rPr>
      </w:pPr>
      <w:r w:rsidDel="00000000" w:rsidR="00000000" w:rsidRPr="00000000">
        <w:rPr>
          <w:sz w:val="24"/>
          <w:szCs w:val="24"/>
          <w:rtl w:val="0"/>
        </w:rPr>
        <w:t xml:space="preserve">To sum up, this systematic review offers a thorough analysis of the complex relationship between home advantage and football. Home teams have a strong edge due to the combination of psychological, tactical, and environmental factors. This advantage is influenced by crowd dynamics, strategic decisions, physical demands, and geographical familiarity. Even if each component works alone, when they connect, their cumulative impact is increased, resulting in a complicated yet recurring pattern across leagues and situations. Through the incorporation of current empirical data, such as COVID-19 data, the review provides pertinent insights on the adaptability and resilience of home advantage in contemporary football. It also emphasises how useful natural trials are for identifying important performance factors in practical settings. These results have important ramifications for long-term player development, officiating standards, and fan engagement tactics in addition to matchday performance. Though it also exposes significant variances influenced by geography, culture, and competitive level, the constant existence of home advantage across wildly disparate contexts points to a universal component to its operations. It will become more crucial to comprehend and control the factors that influence home advantage as football continues to globalise and incorporate technology into its fundamental structures. The review emphasises the necessity of data-driven, psychologically sensitive, and context-aware approaches to football performance and policy, backed by continuous research and interdisciplinary cooperation.</w:t>
      </w:r>
    </w:p>
    <w:p w:rsidR="00000000" w:rsidDel="00000000" w:rsidP="00000000" w:rsidRDefault="00000000" w:rsidRPr="00000000" w14:paraId="0000010C">
      <w:pPr>
        <w:spacing w:line="360" w:lineRule="auto"/>
        <w:rPr>
          <w:b w:val="1"/>
          <w:sz w:val="24"/>
          <w:szCs w:val="24"/>
        </w:rPr>
      </w:pPr>
      <w:r w:rsidDel="00000000" w:rsidR="00000000" w:rsidRPr="00000000">
        <w:rPr>
          <w:rtl w:val="0"/>
        </w:rPr>
      </w:r>
    </w:p>
    <w:p w:rsidR="00000000" w:rsidDel="00000000" w:rsidP="00000000" w:rsidRDefault="00000000" w:rsidRPr="00000000" w14:paraId="0000010D">
      <w:pPr>
        <w:spacing w:line="360" w:lineRule="auto"/>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14:paraId="0000010E">
      <w:pPr>
        <w:spacing w:line="360" w:lineRule="auto"/>
        <w:rPr>
          <w:b w:val="1"/>
          <w:sz w:val="24"/>
          <w:szCs w:val="24"/>
        </w:rPr>
      </w:pPr>
      <w:r w:rsidDel="00000000" w:rsidR="00000000" w:rsidRPr="00000000">
        <w:rPr>
          <w:rtl w:val="0"/>
        </w:rPr>
      </w:r>
    </w:p>
    <w:p w:rsidR="00000000" w:rsidDel="00000000" w:rsidP="00000000" w:rsidRDefault="00000000" w:rsidRPr="00000000" w14:paraId="0000010F">
      <w:pPr>
        <w:spacing w:line="360" w:lineRule="auto"/>
        <w:rPr>
          <w:sz w:val="24"/>
          <w:szCs w:val="24"/>
        </w:rPr>
      </w:pPr>
      <w:r w:rsidDel="00000000" w:rsidR="00000000" w:rsidRPr="00000000">
        <w:rPr>
          <w:sz w:val="24"/>
          <w:szCs w:val="24"/>
          <w:rtl w:val="0"/>
        </w:rPr>
        <w:t xml:space="preserve">The multifaceted nature of HA in football has been critically studied in this systematic review, which also looks at how tactical, psychological, and environmental factors all play a part in home teams' constant trend of greater performance. By synthesising peer-reviewed studies from various research platforms, the evidence makes it clear that HA is a strong and contextually sensitive phenomena that is influenced by a number of factors rather than being an incidental aspect of the game.</w:t>
      </w:r>
    </w:p>
    <w:p w:rsidR="00000000" w:rsidDel="00000000" w:rsidP="00000000" w:rsidRDefault="00000000" w:rsidRPr="00000000" w14:paraId="00000110">
      <w:pPr>
        <w:spacing w:line="360" w:lineRule="auto"/>
        <w:rPr>
          <w:sz w:val="24"/>
          <w:szCs w:val="24"/>
        </w:rPr>
      </w:pPr>
      <w:r w:rsidDel="00000000" w:rsidR="00000000" w:rsidRPr="00000000">
        <w:rPr>
          <w:rtl w:val="0"/>
        </w:rPr>
      </w:r>
    </w:p>
    <w:p w:rsidR="00000000" w:rsidDel="00000000" w:rsidP="00000000" w:rsidRDefault="00000000" w:rsidRPr="00000000" w14:paraId="00000111">
      <w:pPr>
        <w:spacing w:line="360" w:lineRule="auto"/>
        <w:rPr>
          <w:sz w:val="24"/>
          <w:szCs w:val="24"/>
        </w:rPr>
      </w:pPr>
      <w:r w:rsidDel="00000000" w:rsidR="00000000" w:rsidRPr="00000000">
        <w:rPr>
          <w:sz w:val="24"/>
          <w:szCs w:val="24"/>
          <w:rtl w:val="0"/>
        </w:rPr>
        <w:t xml:space="preserve">The significant psychological impact of the home crowd is among this review's strongest conclusions. Supportive spectators increase player motivation, promote team unity, and put social pressure on referees, which frequently leads to biased refereeing in favour of the home team (Boyko et al., 2007). The magnitude of this effect was demonstrated by the COVID-19 pandemic's natural experiment, which involved playing games in empty stadiums. It revealed notable decreases in HA and officiating prejudice during this time (Wunderlich et al., 2021).</w:t>
      </w:r>
    </w:p>
    <w:p w:rsidR="00000000" w:rsidDel="00000000" w:rsidP="00000000" w:rsidRDefault="00000000" w:rsidRPr="00000000" w14:paraId="00000112">
      <w:pPr>
        <w:spacing w:line="360" w:lineRule="auto"/>
        <w:rPr>
          <w:sz w:val="24"/>
          <w:szCs w:val="24"/>
        </w:rPr>
      </w:pPr>
      <w:r w:rsidDel="00000000" w:rsidR="00000000" w:rsidRPr="00000000">
        <w:rPr>
          <w:sz w:val="24"/>
          <w:szCs w:val="24"/>
          <w:rtl w:val="0"/>
        </w:rPr>
        <w:t xml:space="preserve">The tactical distinctions between the home and away teams are also quite important. The psychological safety of the home atmosphere and increased familiarity with the field encourage teams to play more aggressively, push harder, and take more chances when they are playing at home ( Lago-Peñas and Dellal, 2010). However, away teams frequently take a more cautious stance, emphasising defensive solidity, which might restrict their ability to attack and affect the results of games. These tactical differences highlight the home teams' psychological advantage and serve as an example of how context affects strategic choices. </w:t>
      </w:r>
    </w:p>
    <w:p w:rsidR="00000000" w:rsidDel="00000000" w:rsidP="00000000" w:rsidRDefault="00000000" w:rsidRPr="00000000" w14:paraId="00000113">
      <w:pPr>
        <w:spacing w:line="360" w:lineRule="auto"/>
        <w:rPr>
          <w:sz w:val="24"/>
          <w:szCs w:val="24"/>
        </w:rPr>
      </w:pPr>
      <w:r w:rsidDel="00000000" w:rsidR="00000000" w:rsidRPr="00000000">
        <w:rPr>
          <w:sz w:val="24"/>
          <w:szCs w:val="24"/>
          <w:rtl w:val="0"/>
        </w:rPr>
        <w:t xml:space="preserve">The HA dynamic is further complicated by environmental considerations such as pitch familiarity, altitude, and travel fatigue. Time zone changes disrupt circadian rhythms and physical performance, as McHill and Chinoy (2020) have shown, and adjusting to new stadium circumstances, especially in high-altitude areas, can provide significant physiological obstacles for away teams (Pollard, 2006). These results highlight how tactical and psychological disadvantages can be exacerbated by logistical and physiological pressures.</w:t>
      </w:r>
    </w:p>
    <w:p w:rsidR="00000000" w:rsidDel="00000000" w:rsidP="00000000" w:rsidRDefault="00000000" w:rsidRPr="00000000" w14:paraId="00000114">
      <w:pPr>
        <w:keepNext w:val="0"/>
        <w:keepLines w:val="0"/>
        <w:spacing w:after="40" w:before="200" w:line="360" w:lineRule="auto"/>
        <w:rPr>
          <w:sz w:val="24"/>
          <w:szCs w:val="24"/>
        </w:rPr>
      </w:pPr>
      <w:r w:rsidDel="00000000" w:rsidR="00000000" w:rsidRPr="00000000">
        <w:rPr>
          <w:rtl w:val="0"/>
        </w:rPr>
      </w:r>
    </w:p>
    <w:p w:rsidR="00000000" w:rsidDel="00000000" w:rsidP="00000000" w:rsidRDefault="00000000" w:rsidRPr="00000000" w14:paraId="00000115">
      <w:pPr>
        <w:spacing w:after="240" w:before="240" w:line="360" w:lineRule="auto"/>
        <w:rPr>
          <w:sz w:val="24"/>
          <w:szCs w:val="24"/>
        </w:rPr>
      </w:pPr>
      <w:r w:rsidDel="00000000" w:rsidR="00000000" w:rsidRPr="00000000">
        <w:rPr>
          <w:sz w:val="24"/>
          <w:szCs w:val="24"/>
          <w:rtl w:val="0"/>
        </w:rPr>
        <w:t xml:space="preserve">The consistent results across different studies with varying methods and settings, show that HA is a strong and reliable part of football. But depending on the league, area, and level of competition, the magnitude and mechanisms of this advantage may differ, underscoring the significance of context in both study and practice. This emphasises how important it is for future studies to use integrated, multidisciplinary techniques in order to fully understand the phenomenon.</w:t>
      </w:r>
    </w:p>
    <w:p w:rsidR="00000000" w:rsidDel="00000000" w:rsidP="00000000" w:rsidRDefault="00000000" w:rsidRPr="00000000" w14:paraId="00000116">
      <w:pPr>
        <w:spacing w:line="360" w:lineRule="auto"/>
        <w:rPr>
          <w:sz w:val="24"/>
          <w:szCs w:val="24"/>
        </w:rPr>
      </w:pPr>
      <w:r w:rsidDel="00000000" w:rsidR="00000000" w:rsidRPr="00000000">
        <w:rPr>
          <w:sz w:val="24"/>
          <w:szCs w:val="24"/>
          <w:rtl w:val="0"/>
        </w:rPr>
        <w:t xml:space="preserve">All individuals such as coaches, performance management, officiators, and competition organisations are all significantly impacted by the review's findings. These findings can be used by coaches to recreate unfavourable training situations and psychologically prepare players for away games. To guarantee equal and fair officiating, refereeing bodies should continue to employ tactics like VAR and continuous referee education while remaining alert to possible biases. Furthermore, addressing travel-related fatigue and environmental adaptability will be essential for maintaining performance as football becomes more popular, with vast travel schedules and international competitions.</w:t>
      </w:r>
    </w:p>
    <w:p w:rsidR="00000000" w:rsidDel="00000000" w:rsidP="00000000" w:rsidRDefault="00000000" w:rsidRPr="00000000" w14:paraId="00000117">
      <w:pPr>
        <w:spacing w:line="360" w:lineRule="auto"/>
        <w:rPr>
          <w:sz w:val="24"/>
          <w:szCs w:val="24"/>
        </w:rPr>
      </w:pPr>
      <w:r w:rsidDel="00000000" w:rsidR="00000000" w:rsidRPr="00000000">
        <w:rPr>
          <w:rtl w:val="0"/>
        </w:rPr>
      </w:r>
    </w:p>
    <w:p w:rsidR="00000000" w:rsidDel="00000000" w:rsidP="00000000" w:rsidRDefault="00000000" w:rsidRPr="00000000" w14:paraId="00000118">
      <w:pPr>
        <w:spacing w:line="360" w:lineRule="auto"/>
        <w:rPr>
          <w:sz w:val="24"/>
          <w:szCs w:val="24"/>
        </w:rPr>
      </w:pPr>
      <w:r w:rsidDel="00000000" w:rsidR="00000000" w:rsidRPr="00000000">
        <w:rPr>
          <w:sz w:val="24"/>
          <w:szCs w:val="24"/>
          <w:rtl w:val="0"/>
        </w:rPr>
        <w:t xml:space="preserve">Lastly, more inclusivity should be the goal of future research, taking into account under-represented contexts including non-European leagues, youth competitions, and women's football. These settings could show various HA dynamics influenced by distinct sociopolitical, cultural, and infrastructure elements.Furthermore, in order to understand how HA changes over time, long-term studies are needed. These should look at how it has changed since the pandemic and how it responds to responses such as changes in crowd behaviour, new technology, and tactics.</w:t>
      </w:r>
    </w:p>
    <w:p w:rsidR="00000000" w:rsidDel="00000000" w:rsidP="00000000" w:rsidRDefault="00000000" w:rsidRPr="00000000" w14:paraId="00000119">
      <w:pPr>
        <w:spacing w:line="360" w:lineRule="auto"/>
        <w:rPr>
          <w:sz w:val="24"/>
          <w:szCs w:val="24"/>
        </w:rPr>
      </w:pPr>
      <w:r w:rsidDel="00000000" w:rsidR="00000000" w:rsidRPr="00000000">
        <w:rPr>
          <w:rtl w:val="0"/>
        </w:rPr>
      </w:r>
    </w:p>
    <w:p w:rsidR="00000000" w:rsidDel="00000000" w:rsidP="00000000" w:rsidRDefault="00000000" w:rsidRPr="00000000" w14:paraId="0000011A">
      <w:pPr>
        <w:spacing w:line="360" w:lineRule="auto"/>
        <w:rPr>
          <w:sz w:val="24"/>
          <w:szCs w:val="24"/>
        </w:rPr>
      </w:pPr>
      <w:r w:rsidDel="00000000" w:rsidR="00000000" w:rsidRPr="00000000">
        <w:rPr>
          <w:sz w:val="24"/>
          <w:szCs w:val="24"/>
          <w:rtl w:val="0"/>
        </w:rPr>
        <w:t xml:space="preserve">In summary, HA in football is still a significant and ingrained feature of the game, influenced by a combination of environmental conditioning, tactical decision-making, and psychological stimulation. Our understanding of the factors that influence competition must change along with football. Participants at all levels of the game can better prepare themselves to promote fairness, resilience, and optimal performance in all situations by identifying and reacting to the elements that drive HA.</w:t>
      </w:r>
    </w:p>
    <w:p w:rsidR="00000000" w:rsidDel="00000000" w:rsidP="00000000" w:rsidRDefault="00000000" w:rsidRPr="00000000" w14:paraId="0000011B">
      <w:pPr>
        <w:spacing w:line="360" w:lineRule="auto"/>
        <w:rPr>
          <w:sz w:val="24"/>
          <w:szCs w:val="24"/>
        </w:rPr>
      </w:pPr>
      <w:r w:rsidDel="00000000" w:rsidR="00000000" w:rsidRPr="00000000">
        <w:rPr>
          <w:rtl w:val="0"/>
        </w:rPr>
      </w:r>
    </w:p>
    <w:p w:rsidR="00000000" w:rsidDel="00000000" w:rsidP="00000000" w:rsidRDefault="00000000" w:rsidRPr="00000000" w14:paraId="0000011C">
      <w:pPr>
        <w:spacing w:line="360" w:lineRule="auto"/>
        <w:rPr>
          <w:b w:val="1"/>
          <w:sz w:val="24"/>
          <w:szCs w:val="24"/>
        </w:rPr>
      </w:pPr>
      <w:r w:rsidDel="00000000" w:rsidR="00000000" w:rsidRPr="00000000">
        <w:rPr>
          <w:rtl w:val="0"/>
        </w:rPr>
      </w:r>
    </w:p>
    <w:p w:rsidR="00000000" w:rsidDel="00000000" w:rsidP="00000000" w:rsidRDefault="00000000" w:rsidRPr="00000000" w14:paraId="0000011D">
      <w:pPr>
        <w:spacing w:line="360" w:lineRule="auto"/>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11E">
      <w:pPr>
        <w:spacing w:line="360" w:lineRule="auto"/>
        <w:rPr>
          <w:b w:val="1"/>
          <w:sz w:val="24"/>
          <w:szCs w:val="24"/>
        </w:rPr>
      </w:pPr>
      <w:r w:rsidDel="00000000" w:rsidR="00000000" w:rsidRPr="00000000">
        <w:rPr>
          <w:rtl w:val="0"/>
        </w:rPr>
      </w:r>
    </w:p>
    <w:p w:rsidR="00000000" w:rsidDel="00000000" w:rsidP="00000000" w:rsidRDefault="00000000" w:rsidRPr="00000000" w14:paraId="0000011F">
      <w:pPr>
        <w:spacing w:after="240" w:line="360" w:lineRule="auto"/>
        <w:rPr>
          <w:sz w:val="24"/>
          <w:szCs w:val="24"/>
        </w:rPr>
      </w:pPr>
      <w:r w:rsidDel="00000000" w:rsidR="00000000" w:rsidRPr="00000000">
        <w:rPr>
          <w:sz w:val="24"/>
          <w:szCs w:val="24"/>
          <w:rtl w:val="0"/>
        </w:rPr>
        <w:t xml:space="preserve">Bhagwandeen, B., Mohammed, A. and Dialsingh, I. (2024). Investigating the influence of fans on home advantage outcomes in association football across Europe. </w:t>
      </w:r>
      <w:r w:rsidDel="00000000" w:rsidR="00000000" w:rsidRPr="00000000">
        <w:rPr>
          <w:i w:val="1"/>
          <w:sz w:val="24"/>
          <w:szCs w:val="24"/>
          <w:rtl w:val="0"/>
        </w:rPr>
        <w:t xml:space="preserve">Soccer and society</w:t>
      </w:r>
      <w:r w:rsidDel="00000000" w:rsidR="00000000" w:rsidRPr="00000000">
        <w:rPr>
          <w:sz w:val="24"/>
          <w:szCs w:val="24"/>
          <w:rtl w:val="0"/>
        </w:rPr>
        <w:t xml:space="preserve">, 25(8), pp.1–17. doi:</w:t>
      </w:r>
      <w:hyperlink r:id="rId9">
        <w:r w:rsidDel="00000000" w:rsidR="00000000" w:rsidRPr="00000000">
          <w:rPr>
            <w:color w:val="1155cc"/>
            <w:sz w:val="24"/>
            <w:szCs w:val="24"/>
            <w:u w:val="single"/>
            <w:rtl w:val="0"/>
          </w:rPr>
          <w:t xml:space="preserve">https://doi.org/10.1080/14660970.2024.2333487</w:t>
        </w:r>
      </w:hyperlink>
      <w:r w:rsidDel="00000000" w:rsidR="00000000" w:rsidRPr="00000000">
        <w:rPr>
          <w:sz w:val="24"/>
          <w:szCs w:val="24"/>
          <w:rtl w:val="0"/>
        </w:rPr>
        <w:t xml:space="preserve">. </w:t>
      </w:r>
    </w:p>
    <w:p w:rsidR="00000000" w:rsidDel="00000000" w:rsidP="00000000" w:rsidRDefault="00000000" w:rsidRPr="00000000" w14:paraId="00000120">
      <w:pPr>
        <w:spacing w:after="240" w:line="360" w:lineRule="auto"/>
        <w:rPr>
          <w:sz w:val="24"/>
          <w:szCs w:val="24"/>
        </w:rPr>
      </w:pPr>
      <w:r w:rsidDel="00000000" w:rsidR="00000000" w:rsidRPr="00000000">
        <w:rPr>
          <w:sz w:val="24"/>
          <w:szCs w:val="24"/>
          <w:rtl w:val="0"/>
        </w:rPr>
        <w:t xml:space="preserve">Boyko, R.H., Boyko, A.R. and Boyko, M.G. (2007). Referee bias contributes to home advantage in English Premiership football. </w:t>
      </w:r>
      <w:r w:rsidDel="00000000" w:rsidR="00000000" w:rsidRPr="00000000">
        <w:rPr>
          <w:i w:val="1"/>
          <w:sz w:val="24"/>
          <w:szCs w:val="24"/>
          <w:rtl w:val="0"/>
        </w:rPr>
        <w:t xml:space="preserve">Journal of Sports Sciences</w:t>
      </w:r>
      <w:r w:rsidDel="00000000" w:rsidR="00000000" w:rsidRPr="00000000">
        <w:rPr>
          <w:sz w:val="24"/>
          <w:szCs w:val="24"/>
          <w:rtl w:val="0"/>
        </w:rPr>
        <w:t xml:space="preserve">, 25(11), pp.1185–1194. doi:</w:t>
      </w:r>
      <w:hyperlink r:id="rId10">
        <w:r w:rsidDel="00000000" w:rsidR="00000000" w:rsidRPr="00000000">
          <w:rPr>
            <w:color w:val="1155cc"/>
            <w:sz w:val="24"/>
            <w:szCs w:val="24"/>
            <w:u w:val="single"/>
            <w:rtl w:val="0"/>
          </w:rPr>
          <w:t xml:space="preserve">https://doi.org/10.1080/02640410601038576</w:t>
        </w:r>
      </w:hyperlink>
      <w:r w:rsidDel="00000000" w:rsidR="00000000" w:rsidRPr="00000000">
        <w:rPr>
          <w:sz w:val="24"/>
          <w:szCs w:val="24"/>
          <w:rtl w:val="0"/>
        </w:rPr>
        <w:t xml:space="preserve">. </w:t>
      </w:r>
    </w:p>
    <w:p w:rsidR="00000000" w:rsidDel="00000000" w:rsidP="00000000" w:rsidRDefault="00000000" w:rsidRPr="00000000" w14:paraId="00000121">
      <w:pPr>
        <w:spacing w:after="240" w:line="360" w:lineRule="auto"/>
        <w:rPr>
          <w:sz w:val="24"/>
          <w:szCs w:val="24"/>
        </w:rPr>
      </w:pPr>
      <w:r w:rsidDel="00000000" w:rsidR="00000000" w:rsidRPr="00000000">
        <w:rPr>
          <w:sz w:val="24"/>
          <w:szCs w:val="24"/>
          <w:rtl w:val="0"/>
        </w:rPr>
        <w:t xml:space="preserve">Bryson, A., Dolton, P., Reade, J.J., Schreyer, D. and Singleton, C. (2021). Causal effects of an absent crowd on performances and refereeing decisions during Covid-19. </w:t>
      </w:r>
      <w:r w:rsidDel="00000000" w:rsidR="00000000" w:rsidRPr="00000000">
        <w:rPr>
          <w:i w:val="1"/>
          <w:sz w:val="24"/>
          <w:szCs w:val="24"/>
          <w:rtl w:val="0"/>
        </w:rPr>
        <w:t xml:space="preserve">Economics Letters</w:t>
      </w:r>
      <w:r w:rsidDel="00000000" w:rsidR="00000000" w:rsidRPr="00000000">
        <w:rPr>
          <w:sz w:val="24"/>
          <w:szCs w:val="24"/>
          <w:rtl w:val="0"/>
        </w:rPr>
        <w:t xml:space="preserve">, 198, p.109664. doi:</w:t>
      </w:r>
      <w:hyperlink r:id="rId11">
        <w:r w:rsidDel="00000000" w:rsidR="00000000" w:rsidRPr="00000000">
          <w:rPr>
            <w:color w:val="1155cc"/>
            <w:sz w:val="24"/>
            <w:szCs w:val="24"/>
            <w:u w:val="single"/>
            <w:rtl w:val="0"/>
          </w:rPr>
          <w:t xml:space="preserve">https://doi.org/10.1016/j.econlet.2020.109664</w:t>
        </w:r>
      </w:hyperlink>
      <w:r w:rsidDel="00000000" w:rsidR="00000000" w:rsidRPr="00000000">
        <w:rPr>
          <w:sz w:val="24"/>
          <w:szCs w:val="24"/>
          <w:rtl w:val="0"/>
        </w:rPr>
        <w:t xml:space="preserve">. </w:t>
      </w:r>
    </w:p>
    <w:p w:rsidR="00000000" w:rsidDel="00000000" w:rsidP="00000000" w:rsidRDefault="00000000" w:rsidRPr="00000000" w14:paraId="00000122">
      <w:pPr>
        <w:spacing w:after="240" w:line="360" w:lineRule="auto"/>
        <w:rPr>
          <w:sz w:val="24"/>
          <w:szCs w:val="24"/>
        </w:rPr>
      </w:pPr>
      <w:r w:rsidDel="00000000" w:rsidR="00000000" w:rsidRPr="00000000">
        <w:rPr>
          <w:sz w:val="24"/>
          <w:szCs w:val="24"/>
          <w:rtl w:val="0"/>
        </w:rPr>
        <w:t xml:space="preserve">Carron, A.V., Loughhead, T.M. and Bray, S.R. (2005). The home advantage in sport competitions: Courneya and Carron’s (1992) conceptual framework a decade later. </w:t>
      </w:r>
      <w:r w:rsidDel="00000000" w:rsidR="00000000" w:rsidRPr="00000000">
        <w:rPr>
          <w:i w:val="1"/>
          <w:sz w:val="24"/>
          <w:szCs w:val="24"/>
          <w:rtl w:val="0"/>
        </w:rPr>
        <w:t xml:space="preserve">Journal of Sports Sciences</w:t>
      </w:r>
      <w:r w:rsidDel="00000000" w:rsidR="00000000" w:rsidRPr="00000000">
        <w:rPr>
          <w:sz w:val="24"/>
          <w:szCs w:val="24"/>
          <w:rtl w:val="0"/>
        </w:rPr>
        <w:t xml:space="preserve">, 23(4), pp.395–407. doi:</w:t>
      </w:r>
      <w:hyperlink r:id="rId12">
        <w:r w:rsidDel="00000000" w:rsidR="00000000" w:rsidRPr="00000000">
          <w:rPr>
            <w:color w:val="1155cc"/>
            <w:sz w:val="24"/>
            <w:szCs w:val="24"/>
            <w:u w:val="single"/>
            <w:rtl w:val="0"/>
          </w:rPr>
          <w:t xml:space="preserve">https://doi.org/10.1080/02640410400021542</w:t>
        </w:r>
      </w:hyperlink>
      <w:r w:rsidDel="00000000" w:rsidR="00000000" w:rsidRPr="00000000">
        <w:rPr>
          <w:sz w:val="24"/>
          <w:szCs w:val="24"/>
          <w:rtl w:val="0"/>
        </w:rPr>
        <w:t xml:space="preserve">. </w:t>
      </w:r>
    </w:p>
    <w:p w:rsidR="00000000" w:rsidDel="00000000" w:rsidP="00000000" w:rsidRDefault="00000000" w:rsidRPr="00000000" w14:paraId="00000123">
      <w:pPr>
        <w:spacing w:after="240" w:line="360" w:lineRule="auto"/>
        <w:rPr>
          <w:sz w:val="24"/>
          <w:szCs w:val="24"/>
        </w:rPr>
      </w:pPr>
      <w:r w:rsidDel="00000000" w:rsidR="00000000" w:rsidRPr="00000000">
        <w:rPr>
          <w:sz w:val="24"/>
          <w:szCs w:val="24"/>
          <w:rtl w:val="0"/>
        </w:rPr>
        <w:t xml:space="preserve">CASP (2024). </w:t>
      </w:r>
      <w:r w:rsidDel="00000000" w:rsidR="00000000" w:rsidRPr="00000000">
        <w:rPr>
          <w:i w:val="1"/>
          <w:sz w:val="24"/>
          <w:szCs w:val="24"/>
          <w:rtl w:val="0"/>
        </w:rPr>
        <w:t xml:space="preserve">Critical Appraisal Checklists</w:t>
      </w:r>
      <w:r w:rsidDel="00000000" w:rsidR="00000000" w:rsidRPr="00000000">
        <w:rPr>
          <w:sz w:val="24"/>
          <w:szCs w:val="24"/>
          <w:rtl w:val="0"/>
        </w:rPr>
        <w:t xml:space="preserve">. [online] Critical Appraisal Skills Programme. Available at: </w:t>
      </w:r>
      <w:hyperlink r:id="rId13">
        <w:r w:rsidDel="00000000" w:rsidR="00000000" w:rsidRPr="00000000">
          <w:rPr>
            <w:color w:val="1155cc"/>
            <w:sz w:val="24"/>
            <w:szCs w:val="24"/>
            <w:u w:val="single"/>
            <w:rtl w:val="0"/>
          </w:rPr>
          <w:t xml:space="preserve">https://casp-uk.net/casp-tools-checklists/</w:t>
        </w:r>
      </w:hyperlink>
      <w:r w:rsidDel="00000000" w:rsidR="00000000" w:rsidRPr="00000000">
        <w:rPr>
          <w:sz w:val="24"/>
          <w:szCs w:val="24"/>
          <w:rtl w:val="0"/>
        </w:rPr>
        <w:t xml:space="preserve">. </w:t>
      </w:r>
    </w:p>
    <w:p w:rsidR="00000000" w:rsidDel="00000000" w:rsidP="00000000" w:rsidRDefault="00000000" w:rsidRPr="00000000" w14:paraId="00000124">
      <w:pPr>
        <w:spacing w:after="240" w:line="360" w:lineRule="auto"/>
        <w:rPr>
          <w:sz w:val="24"/>
          <w:szCs w:val="24"/>
        </w:rPr>
      </w:pPr>
      <w:r w:rsidDel="00000000" w:rsidR="00000000" w:rsidRPr="00000000">
        <w:rPr>
          <w:sz w:val="24"/>
          <w:szCs w:val="24"/>
          <w:rtl w:val="0"/>
        </w:rPr>
        <w:t xml:space="preserve">Clarke, A. (2022). </w:t>
      </w:r>
      <w:r w:rsidDel="00000000" w:rsidR="00000000" w:rsidRPr="00000000">
        <w:rPr>
          <w:i w:val="1"/>
          <w:sz w:val="24"/>
          <w:szCs w:val="24"/>
          <w:rtl w:val="0"/>
        </w:rPr>
        <w:t xml:space="preserve">Season trends: Home wins close to a record high</w:t>
      </w:r>
      <w:r w:rsidDel="00000000" w:rsidR="00000000" w:rsidRPr="00000000">
        <w:rPr>
          <w:sz w:val="24"/>
          <w:szCs w:val="24"/>
          <w:rtl w:val="0"/>
        </w:rPr>
        <w:t xml:space="preserve">. [online] Premierleague.com. Available at: </w:t>
      </w:r>
      <w:hyperlink r:id="rId14">
        <w:r w:rsidDel="00000000" w:rsidR="00000000" w:rsidRPr="00000000">
          <w:rPr>
            <w:color w:val="1155cc"/>
            <w:sz w:val="24"/>
            <w:szCs w:val="24"/>
            <w:u w:val="single"/>
            <w:rtl w:val="0"/>
          </w:rPr>
          <w:t xml:space="preserve">https://www.premierleague.com/news/2916832</w:t>
        </w:r>
      </w:hyperlink>
      <w:r w:rsidDel="00000000" w:rsidR="00000000" w:rsidRPr="00000000">
        <w:rPr>
          <w:sz w:val="24"/>
          <w:szCs w:val="24"/>
          <w:rtl w:val="0"/>
        </w:rPr>
        <w:t xml:space="preserve">  [Accessed 2 Apr. 2025].</w:t>
      </w:r>
    </w:p>
    <w:p w:rsidR="00000000" w:rsidDel="00000000" w:rsidP="00000000" w:rsidRDefault="00000000" w:rsidRPr="00000000" w14:paraId="00000125">
      <w:pPr>
        <w:spacing w:after="240" w:line="360" w:lineRule="auto"/>
        <w:rPr>
          <w:sz w:val="24"/>
          <w:szCs w:val="24"/>
        </w:rPr>
      </w:pPr>
      <w:r w:rsidDel="00000000" w:rsidR="00000000" w:rsidRPr="00000000">
        <w:rPr>
          <w:sz w:val="24"/>
          <w:szCs w:val="24"/>
          <w:rtl w:val="0"/>
        </w:rPr>
        <w:t xml:space="preserve">Clements, E., Ehrmann, F., Clark, A., Jones, M., McCall, A. and Duffield, R. (2023). Travel Across More Time Zones Results in Worse Perceived Fatigue and Sleep in National-Team Footballers. </w:t>
      </w:r>
      <w:r w:rsidDel="00000000" w:rsidR="00000000" w:rsidRPr="00000000">
        <w:rPr>
          <w:i w:val="1"/>
          <w:sz w:val="24"/>
          <w:szCs w:val="24"/>
          <w:rtl w:val="0"/>
        </w:rPr>
        <w:t xml:space="preserve">Journal Of Biological Rhythms </w:t>
      </w:r>
      <w:r w:rsidDel="00000000" w:rsidR="00000000" w:rsidRPr="00000000">
        <w:rPr>
          <w:sz w:val="24"/>
          <w:szCs w:val="24"/>
          <w:rtl w:val="0"/>
        </w:rPr>
        <w:t xml:space="preserve">, 18(3), pp.268–275. doi:</w:t>
      </w:r>
      <w:hyperlink r:id="rId15">
        <w:r w:rsidDel="00000000" w:rsidR="00000000" w:rsidRPr="00000000">
          <w:rPr>
            <w:color w:val="1155cc"/>
            <w:sz w:val="24"/>
            <w:szCs w:val="24"/>
            <w:u w:val="single"/>
            <w:rtl w:val="0"/>
          </w:rPr>
          <w:t xml:space="preserve">https://doi.org/10.1123/ijspp.2022-0230</w:t>
        </w:r>
      </w:hyperlink>
      <w:r w:rsidDel="00000000" w:rsidR="00000000" w:rsidRPr="00000000">
        <w:rPr>
          <w:sz w:val="24"/>
          <w:szCs w:val="24"/>
          <w:rtl w:val="0"/>
        </w:rPr>
        <w:t xml:space="preserve">. </w:t>
      </w:r>
    </w:p>
    <w:p w:rsidR="00000000" w:rsidDel="00000000" w:rsidP="00000000" w:rsidRDefault="00000000" w:rsidRPr="00000000" w14:paraId="00000126">
      <w:pPr>
        <w:spacing w:after="240" w:line="360" w:lineRule="auto"/>
        <w:rPr>
          <w:sz w:val="24"/>
          <w:szCs w:val="24"/>
        </w:rPr>
      </w:pPr>
      <w:r w:rsidDel="00000000" w:rsidR="00000000" w:rsidRPr="00000000">
        <w:rPr>
          <w:sz w:val="24"/>
          <w:szCs w:val="24"/>
          <w:rtl w:val="0"/>
        </w:rPr>
        <w:t xml:space="preserve">Critical Appraisal Skills Programme (2025). </w:t>
      </w:r>
      <w:r w:rsidDel="00000000" w:rsidR="00000000" w:rsidRPr="00000000">
        <w:rPr>
          <w:i w:val="1"/>
          <w:sz w:val="24"/>
          <w:szCs w:val="24"/>
          <w:rtl w:val="0"/>
        </w:rPr>
        <w:t xml:space="preserve">How to use the PICO Framework to Aid Critical Appraisal - CASP</w:t>
      </w:r>
      <w:r w:rsidDel="00000000" w:rsidR="00000000" w:rsidRPr="00000000">
        <w:rPr>
          <w:sz w:val="24"/>
          <w:szCs w:val="24"/>
          <w:rtl w:val="0"/>
        </w:rPr>
        <w:t xml:space="preserve">. [online] CASP - Critical Appraisal Skills Programme. Available at: </w:t>
      </w:r>
      <w:hyperlink r:id="rId16">
        <w:r w:rsidDel="00000000" w:rsidR="00000000" w:rsidRPr="00000000">
          <w:rPr>
            <w:color w:val="1155cc"/>
            <w:sz w:val="24"/>
            <w:szCs w:val="24"/>
            <w:u w:val="single"/>
            <w:rtl w:val="0"/>
          </w:rPr>
          <w:t xml:space="preserve">https://casp-uk.net/pico-framework/</w:t>
        </w:r>
      </w:hyperlink>
      <w:r w:rsidDel="00000000" w:rsidR="00000000" w:rsidRPr="00000000">
        <w:rPr>
          <w:sz w:val="24"/>
          <w:szCs w:val="24"/>
          <w:rtl w:val="0"/>
        </w:rPr>
        <w:t xml:space="preserve">. </w:t>
      </w:r>
    </w:p>
    <w:p w:rsidR="00000000" w:rsidDel="00000000" w:rsidP="00000000" w:rsidRDefault="00000000" w:rsidRPr="00000000" w14:paraId="00000127">
      <w:pPr>
        <w:spacing w:after="240" w:line="360" w:lineRule="auto"/>
        <w:rPr>
          <w:sz w:val="24"/>
          <w:szCs w:val="24"/>
        </w:rPr>
      </w:pPr>
      <w:r w:rsidDel="00000000" w:rsidR="00000000" w:rsidRPr="00000000">
        <w:rPr>
          <w:sz w:val="24"/>
          <w:szCs w:val="24"/>
          <w:rtl w:val="0"/>
        </w:rPr>
        <w:t xml:space="preserve">Eldawlatly, A., Alshehri, H., Alqahtani, A., Ahmad, A., Al-Dammas, F. and Marzouk, A. (2018). Appearance of Population, Intervention, Comparison, and Outcome as Research Question in the Title of Articles of Three Different Anesthesia journals: a Pilot Study. </w:t>
      </w:r>
      <w:r w:rsidDel="00000000" w:rsidR="00000000" w:rsidRPr="00000000">
        <w:rPr>
          <w:i w:val="1"/>
          <w:sz w:val="24"/>
          <w:szCs w:val="24"/>
          <w:rtl w:val="0"/>
        </w:rPr>
        <w:t xml:space="preserve">Saudi Journal of Anaesthesia</w:t>
      </w:r>
      <w:r w:rsidDel="00000000" w:rsidR="00000000" w:rsidRPr="00000000">
        <w:rPr>
          <w:sz w:val="24"/>
          <w:szCs w:val="24"/>
          <w:rtl w:val="0"/>
        </w:rPr>
        <w:t xml:space="preserve">, [online] 12(2), pp.283–286. doi:</w:t>
      </w:r>
      <w:hyperlink r:id="rId17">
        <w:r w:rsidDel="00000000" w:rsidR="00000000" w:rsidRPr="00000000">
          <w:rPr>
            <w:color w:val="1155cc"/>
            <w:sz w:val="24"/>
            <w:szCs w:val="24"/>
            <w:u w:val="single"/>
            <w:rtl w:val="0"/>
          </w:rPr>
          <w:t xml:space="preserve">https://doi.org/10.4103/sja.sja_767_17</w:t>
        </w:r>
      </w:hyperlink>
      <w:r w:rsidDel="00000000" w:rsidR="00000000" w:rsidRPr="00000000">
        <w:rPr>
          <w:sz w:val="24"/>
          <w:szCs w:val="24"/>
          <w:rtl w:val="0"/>
        </w:rPr>
        <w:t xml:space="preserve">. </w:t>
      </w:r>
    </w:p>
    <w:p w:rsidR="00000000" w:rsidDel="00000000" w:rsidP="00000000" w:rsidRDefault="00000000" w:rsidRPr="00000000" w14:paraId="00000128">
      <w:pPr>
        <w:spacing w:after="240" w:line="360" w:lineRule="auto"/>
        <w:rPr>
          <w:sz w:val="24"/>
          <w:szCs w:val="24"/>
        </w:rPr>
      </w:pPr>
      <w:r w:rsidDel="00000000" w:rsidR="00000000" w:rsidRPr="00000000">
        <w:rPr>
          <w:sz w:val="24"/>
          <w:szCs w:val="24"/>
          <w:rtl w:val="0"/>
        </w:rPr>
        <w:t xml:space="preserve">Garland, T. (2025). </w:t>
      </w:r>
      <w:r w:rsidDel="00000000" w:rsidR="00000000" w:rsidRPr="00000000">
        <w:rPr>
          <w:i w:val="1"/>
          <w:sz w:val="24"/>
          <w:szCs w:val="24"/>
          <w:rtl w:val="0"/>
        </w:rPr>
        <w:t xml:space="preserve">PRISMA DIAGRAM</w:t>
      </w:r>
      <w:r w:rsidDel="00000000" w:rsidR="00000000" w:rsidRPr="00000000">
        <w:rPr>
          <w:sz w:val="24"/>
          <w:szCs w:val="24"/>
          <w:rtl w:val="0"/>
        </w:rPr>
        <w:t xml:space="preserve">. [online] Canva. Available at: </w:t>
      </w:r>
      <w:hyperlink r:id="rId18">
        <w:r w:rsidDel="00000000" w:rsidR="00000000" w:rsidRPr="00000000">
          <w:rPr>
            <w:color w:val="1155cc"/>
            <w:sz w:val="24"/>
            <w:szCs w:val="24"/>
            <w:u w:val="single"/>
            <w:rtl w:val="0"/>
          </w:rPr>
          <w:t xml:space="preserve">https://www.canva.com/design/DAGjqPBdVEY/BJmYnGZtu_9UxXyZK0kWEg/edit?utm_content=DAGjqPBdVEY&amp;utm_campaign=designshare&amp;utm_medium=link2&amp;utm_source=sharebutt</w:t>
        </w:r>
      </w:hyperlink>
      <w:r w:rsidDel="00000000" w:rsidR="00000000" w:rsidRPr="00000000">
        <w:rPr>
          <w:sz w:val="24"/>
          <w:szCs w:val="24"/>
          <w:rtl w:val="0"/>
        </w:rPr>
        <w:t xml:space="preserve"> on [Accessed 4 Apr. 2025].</w:t>
      </w:r>
    </w:p>
    <w:p w:rsidR="00000000" w:rsidDel="00000000" w:rsidP="00000000" w:rsidRDefault="00000000" w:rsidRPr="00000000" w14:paraId="00000129">
      <w:pPr>
        <w:spacing w:after="240" w:line="360" w:lineRule="auto"/>
        <w:rPr>
          <w:sz w:val="24"/>
          <w:szCs w:val="24"/>
        </w:rPr>
      </w:pPr>
      <w:r w:rsidDel="00000000" w:rsidR="00000000" w:rsidRPr="00000000">
        <w:rPr>
          <w:sz w:val="24"/>
          <w:szCs w:val="24"/>
          <w:rtl w:val="0"/>
        </w:rPr>
        <w:t xml:space="preserve">Goumas, C. (2014). Home advantage and referee bias in European football. </w:t>
      </w:r>
      <w:r w:rsidDel="00000000" w:rsidR="00000000" w:rsidRPr="00000000">
        <w:rPr>
          <w:i w:val="1"/>
          <w:sz w:val="24"/>
          <w:szCs w:val="24"/>
          <w:rtl w:val="0"/>
        </w:rPr>
        <w:t xml:space="preserve">European journal of sport science</w:t>
      </w:r>
      <w:r w:rsidDel="00000000" w:rsidR="00000000" w:rsidRPr="00000000">
        <w:rPr>
          <w:sz w:val="24"/>
          <w:szCs w:val="24"/>
          <w:rtl w:val="0"/>
        </w:rPr>
        <w:t xml:space="preserve">, [online] 14 Suppl 1(1), pp.S243-9. doi:</w:t>
      </w:r>
      <w:hyperlink r:id="rId19">
        <w:r w:rsidDel="00000000" w:rsidR="00000000" w:rsidRPr="00000000">
          <w:rPr>
            <w:color w:val="1155cc"/>
            <w:sz w:val="24"/>
            <w:szCs w:val="24"/>
            <w:u w:val="single"/>
            <w:rtl w:val="0"/>
          </w:rPr>
          <w:t xml:space="preserve">https://doi.org/10.1080/17461391.2012.686062</w:t>
        </w:r>
      </w:hyperlink>
      <w:r w:rsidDel="00000000" w:rsidR="00000000" w:rsidRPr="00000000">
        <w:rPr>
          <w:sz w:val="24"/>
          <w:szCs w:val="24"/>
          <w:rtl w:val="0"/>
        </w:rPr>
        <w:t xml:space="preserve">. </w:t>
      </w:r>
    </w:p>
    <w:p w:rsidR="00000000" w:rsidDel="00000000" w:rsidP="00000000" w:rsidRDefault="00000000" w:rsidRPr="00000000" w14:paraId="0000012A">
      <w:pPr>
        <w:spacing w:after="240" w:line="360" w:lineRule="auto"/>
        <w:rPr>
          <w:sz w:val="24"/>
          <w:szCs w:val="24"/>
        </w:rPr>
      </w:pPr>
      <w:r w:rsidDel="00000000" w:rsidR="00000000" w:rsidRPr="00000000">
        <w:rPr>
          <w:sz w:val="24"/>
          <w:szCs w:val="24"/>
          <w:rtl w:val="0"/>
        </w:rPr>
        <w:t xml:space="preserve">Hong, Q.N., Pluye, P., Fàbregues, S., Bartlett, G., Boardman, F., Cargo, M., Dagenais, P., Gagnon, M.-P., Griffiths, F., Nicolau, B., O’Cathain, A., Rousseau, M.-C. and Vedel, I. (2018). </w:t>
      </w:r>
      <w:r w:rsidDel="00000000" w:rsidR="00000000" w:rsidRPr="00000000">
        <w:rPr>
          <w:i w:val="1"/>
          <w:sz w:val="24"/>
          <w:szCs w:val="24"/>
          <w:rtl w:val="0"/>
        </w:rPr>
        <w:t xml:space="preserve">Mixed Methods Appraisal Tool (MMAT)</w:t>
      </w:r>
      <w:r w:rsidDel="00000000" w:rsidR="00000000" w:rsidRPr="00000000">
        <w:rPr>
          <w:sz w:val="24"/>
          <w:szCs w:val="24"/>
          <w:rtl w:val="0"/>
        </w:rPr>
        <w:t xml:space="preserve">. [online] Available at: </w:t>
      </w:r>
      <w:hyperlink r:id="rId20">
        <w:r w:rsidDel="00000000" w:rsidR="00000000" w:rsidRPr="00000000">
          <w:rPr>
            <w:color w:val="1155cc"/>
            <w:sz w:val="24"/>
            <w:szCs w:val="24"/>
            <w:u w:val="single"/>
            <w:rtl w:val="0"/>
          </w:rPr>
          <w:t xml:space="preserve">http://mixedmethodsappraisaltoolpublic.pbworks.com/w/file/fetch/127916259/MMAT_2018_criteria-manual_2018-08-01_ENG.pdf</w:t>
        </w:r>
      </w:hyperlink>
      <w:r w:rsidDel="00000000" w:rsidR="00000000" w:rsidRPr="00000000">
        <w:rPr>
          <w:sz w:val="24"/>
          <w:szCs w:val="24"/>
          <w:rtl w:val="0"/>
        </w:rPr>
        <w:t xml:space="preserve">. </w:t>
      </w:r>
    </w:p>
    <w:p w:rsidR="00000000" w:rsidDel="00000000" w:rsidP="00000000" w:rsidRDefault="00000000" w:rsidRPr="00000000" w14:paraId="0000012B">
      <w:pPr>
        <w:spacing w:after="240" w:line="360" w:lineRule="auto"/>
        <w:rPr>
          <w:sz w:val="24"/>
          <w:szCs w:val="24"/>
        </w:rPr>
      </w:pPr>
      <w:r w:rsidDel="00000000" w:rsidR="00000000" w:rsidRPr="00000000">
        <w:rPr>
          <w:sz w:val="24"/>
          <w:szCs w:val="24"/>
          <w:rtl w:val="0"/>
        </w:rPr>
        <w:t xml:space="preserve">International Soccer Science and Performance Federation (2024). </w:t>
      </w:r>
      <w:r w:rsidDel="00000000" w:rsidR="00000000" w:rsidRPr="00000000">
        <w:rPr>
          <w:i w:val="1"/>
          <w:sz w:val="24"/>
          <w:szCs w:val="24"/>
          <w:rtl w:val="0"/>
        </w:rPr>
        <w:t xml:space="preserve">The Impact of Altitude on Soccer Performance</w:t>
      </w:r>
      <w:r w:rsidDel="00000000" w:rsidR="00000000" w:rsidRPr="00000000">
        <w:rPr>
          <w:sz w:val="24"/>
          <w:szCs w:val="24"/>
          <w:rtl w:val="0"/>
        </w:rPr>
        <w:t xml:space="preserve">. [online] International Soccer Science and Performance Federation. Available at: </w:t>
      </w:r>
      <w:hyperlink r:id="rId21">
        <w:r w:rsidDel="00000000" w:rsidR="00000000" w:rsidRPr="00000000">
          <w:rPr>
            <w:color w:val="1155cc"/>
            <w:sz w:val="24"/>
            <w:szCs w:val="24"/>
            <w:u w:val="single"/>
            <w:rtl w:val="0"/>
          </w:rPr>
          <w:t xml:space="preserve">https://www.isspf.com/articles/the-impact-of-altitude-on-soccer-performance/</w:t>
        </w:r>
      </w:hyperlink>
      <w:r w:rsidDel="00000000" w:rsidR="00000000" w:rsidRPr="00000000">
        <w:rPr>
          <w:sz w:val="24"/>
          <w:szCs w:val="24"/>
          <w:rtl w:val="0"/>
        </w:rPr>
        <w:t xml:space="preserve">. </w:t>
      </w:r>
    </w:p>
    <w:p w:rsidR="00000000" w:rsidDel="00000000" w:rsidP="00000000" w:rsidRDefault="00000000" w:rsidRPr="00000000" w14:paraId="0000012C">
      <w:pPr>
        <w:spacing w:after="240" w:line="360" w:lineRule="auto"/>
        <w:rPr>
          <w:sz w:val="24"/>
          <w:szCs w:val="24"/>
        </w:rPr>
      </w:pPr>
      <w:r w:rsidDel="00000000" w:rsidR="00000000" w:rsidRPr="00000000">
        <w:rPr>
          <w:sz w:val="24"/>
          <w:szCs w:val="24"/>
          <w:rtl w:val="0"/>
        </w:rPr>
        <w:t xml:space="preserve">James, N., Mellalieu, S.D. and Hollely, C. (2002). Analysis of strategies in soccer as a function of European and domestic competition. </w:t>
      </w:r>
      <w:r w:rsidDel="00000000" w:rsidR="00000000" w:rsidRPr="00000000">
        <w:rPr>
          <w:i w:val="1"/>
          <w:sz w:val="24"/>
          <w:szCs w:val="24"/>
          <w:rtl w:val="0"/>
        </w:rPr>
        <w:t xml:space="preserve">International Journal of Performance Analysis in Sport</w:t>
      </w:r>
      <w:r w:rsidDel="00000000" w:rsidR="00000000" w:rsidRPr="00000000">
        <w:rPr>
          <w:sz w:val="24"/>
          <w:szCs w:val="24"/>
          <w:rtl w:val="0"/>
        </w:rPr>
        <w:t xml:space="preserve">, 2(1), pp.85–103. doi:</w:t>
      </w:r>
      <w:hyperlink r:id="rId22">
        <w:r w:rsidDel="00000000" w:rsidR="00000000" w:rsidRPr="00000000">
          <w:rPr>
            <w:color w:val="1155cc"/>
            <w:sz w:val="24"/>
            <w:szCs w:val="24"/>
            <w:u w:val="single"/>
            <w:rtl w:val="0"/>
          </w:rPr>
          <w:t xml:space="preserve">https://doi.org/10.1080/24748668.2002.11868263</w:t>
        </w:r>
      </w:hyperlink>
      <w:r w:rsidDel="00000000" w:rsidR="00000000" w:rsidRPr="00000000">
        <w:rPr>
          <w:sz w:val="24"/>
          <w:szCs w:val="24"/>
          <w:rtl w:val="0"/>
        </w:rPr>
        <w:t xml:space="preserve">. </w:t>
      </w:r>
    </w:p>
    <w:p w:rsidR="00000000" w:rsidDel="00000000" w:rsidP="00000000" w:rsidRDefault="00000000" w:rsidRPr="00000000" w14:paraId="0000012D">
      <w:pPr>
        <w:spacing w:after="240" w:line="360" w:lineRule="auto"/>
        <w:rPr>
          <w:sz w:val="24"/>
          <w:szCs w:val="24"/>
        </w:rPr>
      </w:pPr>
      <w:r w:rsidDel="00000000" w:rsidR="00000000" w:rsidRPr="00000000">
        <w:rPr>
          <w:sz w:val="24"/>
          <w:szCs w:val="24"/>
          <w:rtl w:val="0"/>
        </w:rPr>
        <w:t xml:space="preserve">Koyama, M. and James, R.J. (2009). Playing Like the Home Team: An Economic Investigation into Home Advantage in Football. </w:t>
      </w:r>
      <w:r w:rsidDel="00000000" w:rsidR="00000000" w:rsidRPr="00000000">
        <w:rPr>
          <w:i w:val="1"/>
          <w:sz w:val="24"/>
          <w:szCs w:val="24"/>
          <w:rtl w:val="0"/>
        </w:rPr>
        <w:t xml:space="preserve">International Journal of Sport Finance</w:t>
      </w:r>
      <w:r w:rsidDel="00000000" w:rsidR="00000000" w:rsidRPr="00000000">
        <w:rPr>
          <w:sz w:val="24"/>
          <w:szCs w:val="24"/>
          <w:rtl w:val="0"/>
        </w:rPr>
        <w:t xml:space="preserve">, [online] 4(1), pp.16–41. Available at: </w:t>
      </w:r>
      <w:hyperlink r:id="rId23">
        <w:r w:rsidDel="00000000" w:rsidR="00000000" w:rsidRPr="00000000">
          <w:rPr>
            <w:color w:val="1155cc"/>
            <w:sz w:val="24"/>
            <w:szCs w:val="24"/>
            <w:u w:val="single"/>
            <w:rtl w:val="0"/>
          </w:rPr>
          <w:t xml:space="preserve">https://www.proquest.com/docview/229402350?accountid=130472&amp;parentSessionId=g8YlApzkvI3X7j6y3%2FP2N4Asrjxlqr2pSHfAjHLfS6o%3D&amp;pq-origsite=primo&amp;sourcetype=Scholarly%20Journals</w:t>
        </w:r>
      </w:hyperlink>
      <w:r w:rsidDel="00000000" w:rsidR="00000000" w:rsidRPr="00000000">
        <w:rPr>
          <w:sz w:val="24"/>
          <w:szCs w:val="24"/>
          <w:rtl w:val="0"/>
        </w:rPr>
        <w:t xml:space="preserve">. </w:t>
      </w:r>
    </w:p>
    <w:p w:rsidR="00000000" w:rsidDel="00000000" w:rsidP="00000000" w:rsidRDefault="00000000" w:rsidRPr="00000000" w14:paraId="0000012E">
      <w:pPr>
        <w:spacing w:after="240" w:line="360" w:lineRule="auto"/>
        <w:rPr>
          <w:sz w:val="24"/>
          <w:szCs w:val="24"/>
        </w:rPr>
      </w:pPr>
      <w:r w:rsidDel="00000000" w:rsidR="00000000" w:rsidRPr="00000000">
        <w:rPr>
          <w:sz w:val="24"/>
          <w:szCs w:val="24"/>
          <w:rtl w:val="0"/>
        </w:rPr>
        <w:t xml:space="preserve">Lago-Peñas, C. and Dellal, A. (2010). Ball Possession Strategies in Elite Soccer According to the Evolution of the Match-Score: the Influence of Situational Variables. </w:t>
      </w:r>
      <w:r w:rsidDel="00000000" w:rsidR="00000000" w:rsidRPr="00000000">
        <w:rPr>
          <w:i w:val="1"/>
          <w:sz w:val="24"/>
          <w:szCs w:val="24"/>
          <w:rtl w:val="0"/>
        </w:rPr>
        <w:t xml:space="preserve">Journal of Human Kinetics</w:t>
      </w:r>
      <w:r w:rsidDel="00000000" w:rsidR="00000000" w:rsidRPr="00000000">
        <w:rPr>
          <w:sz w:val="24"/>
          <w:szCs w:val="24"/>
          <w:rtl w:val="0"/>
        </w:rPr>
        <w:t xml:space="preserve">, 25(1), pp.93–100. doi:</w:t>
      </w:r>
      <w:hyperlink r:id="rId24">
        <w:r w:rsidDel="00000000" w:rsidR="00000000" w:rsidRPr="00000000">
          <w:rPr>
            <w:color w:val="1155cc"/>
            <w:sz w:val="24"/>
            <w:szCs w:val="24"/>
            <w:u w:val="single"/>
            <w:rtl w:val="0"/>
          </w:rPr>
          <w:t xml:space="preserve">https://doi.org/10.2478/v10078-010-0036-z</w:t>
        </w:r>
      </w:hyperlink>
      <w:r w:rsidDel="00000000" w:rsidR="00000000" w:rsidRPr="00000000">
        <w:rPr>
          <w:sz w:val="24"/>
          <w:szCs w:val="24"/>
          <w:rtl w:val="0"/>
        </w:rPr>
        <w:t xml:space="preserve">. </w:t>
      </w:r>
    </w:p>
    <w:p w:rsidR="00000000" w:rsidDel="00000000" w:rsidP="00000000" w:rsidRDefault="00000000" w:rsidRPr="00000000" w14:paraId="0000012F">
      <w:pPr>
        <w:spacing w:after="240" w:line="360" w:lineRule="auto"/>
        <w:rPr>
          <w:sz w:val="24"/>
          <w:szCs w:val="24"/>
        </w:rPr>
      </w:pPr>
      <w:r w:rsidDel="00000000" w:rsidR="00000000" w:rsidRPr="00000000">
        <w:rPr>
          <w:sz w:val="24"/>
          <w:szCs w:val="24"/>
          <w:rtl w:val="0"/>
        </w:rPr>
        <w:t xml:space="preserve">Lee, A. and Galvez, J.C. (2012). Jet Lag in Athletes. </w:t>
      </w:r>
      <w:r w:rsidDel="00000000" w:rsidR="00000000" w:rsidRPr="00000000">
        <w:rPr>
          <w:i w:val="1"/>
          <w:sz w:val="24"/>
          <w:szCs w:val="24"/>
          <w:rtl w:val="0"/>
        </w:rPr>
        <w:t xml:space="preserve">Sports Health: A Multidisciplinary Approach</w:t>
      </w:r>
      <w:r w:rsidDel="00000000" w:rsidR="00000000" w:rsidRPr="00000000">
        <w:rPr>
          <w:sz w:val="24"/>
          <w:szCs w:val="24"/>
          <w:rtl w:val="0"/>
        </w:rPr>
        <w:t xml:space="preserve">, [online] 4(3), pp.211–216. doi:</w:t>
      </w:r>
      <w:hyperlink r:id="rId25">
        <w:r w:rsidDel="00000000" w:rsidR="00000000" w:rsidRPr="00000000">
          <w:rPr>
            <w:color w:val="1155cc"/>
            <w:sz w:val="24"/>
            <w:szCs w:val="24"/>
            <w:u w:val="single"/>
            <w:rtl w:val="0"/>
          </w:rPr>
          <w:t xml:space="preserve">https://doi.org/10.1177/1941738112442340</w:t>
        </w:r>
      </w:hyperlink>
      <w:r w:rsidDel="00000000" w:rsidR="00000000" w:rsidRPr="00000000">
        <w:rPr>
          <w:sz w:val="24"/>
          <w:szCs w:val="24"/>
          <w:rtl w:val="0"/>
        </w:rPr>
        <w:t xml:space="preserve">. </w:t>
      </w:r>
    </w:p>
    <w:p w:rsidR="00000000" w:rsidDel="00000000" w:rsidP="00000000" w:rsidRDefault="00000000" w:rsidRPr="00000000" w14:paraId="00000130">
      <w:pPr>
        <w:spacing w:after="240" w:line="360" w:lineRule="auto"/>
        <w:rPr>
          <w:sz w:val="24"/>
          <w:szCs w:val="24"/>
        </w:rPr>
      </w:pPr>
      <w:r w:rsidDel="00000000" w:rsidR="00000000" w:rsidRPr="00000000">
        <w:rPr>
          <w:sz w:val="24"/>
          <w:szCs w:val="24"/>
          <w:rtl w:val="0"/>
        </w:rPr>
        <w:t xml:space="preserve">Legaz Arrese, A., Moliner Urdiales, D. and Munguía Izquierdo, D. (2013). Home advantage and sports performance: evidence, causes and psychological implications. </w:t>
      </w:r>
      <w:r w:rsidDel="00000000" w:rsidR="00000000" w:rsidRPr="00000000">
        <w:rPr>
          <w:i w:val="1"/>
          <w:sz w:val="24"/>
          <w:szCs w:val="24"/>
          <w:rtl w:val="0"/>
        </w:rPr>
        <w:t xml:space="preserve">Universitas Psychologica</w:t>
      </w:r>
      <w:r w:rsidDel="00000000" w:rsidR="00000000" w:rsidRPr="00000000">
        <w:rPr>
          <w:sz w:val="24"/>
          <w:szCs w:val="24"/>
          <w:rtl w:val="0"/>
        </w:rPr>
        <w:t xml:space="preserve">, 12(3). doi:</w:t>
      </w:r>
      <w:hyperlink r:id="rId26">
        <w:r w:rsidDel="00000000" w:rsidR="00000000" w:rsidRPr="00000000">
          <w:rPr>
            <w:color w:val="1155cc"/>
            <w:sz w:val="24"/>
            <w:szCs w:val="24"/>
            <w:u w:val="single"/>
            <w:rtl w:val="0"/>
          </w:rPr>
          <w:t xml:space="preserve">https://doi.org/10.11144/javeriana.upsy12-3.hasp</w:t>
        </w:r>
      </w:hyperlink>
      <w:r w:rsidDel="00000000" w:rsidR="00000000" w:rsidRPr="00000000">
        <w:rPr>
          <w:sz w:val="24"/>
          <w:szCs w:val="24"/>
          <w:rtl w:val="0"/>
        </w:rPr>
        <w:t xml:space="preserve">. </w:t>
      </w:r>
    </w:p>
    <w:p w:rsidR="00000000" w:rsidDel="00000000" w:rsidP="00000000" w:rsidRDefault="00000000" w:rsidRPr="00000000" w14:paraId="00000131">
      <w:pPr>
        <w:spacing w:after="240" w:line="360" w:lineRule="auto"/>
        <w:rPr>
          <w:sz w:val="24"/>
          <w:szCs w:val="24"/>
        </w:rPr>
      </w:pPr>
      <w:r w:rsidDel="00000000" w:rsidR="00000000" w:rsidRPr="00000000">
        <w:rPr>
          <w:sz w:val="24"/>
          <w:szCs w:val="24"/>
          <w:rtl w:val="0"/>
        </w:rPr>
        <w:t xml:space="preserve">McSharry, P.E. (2007). Effect of altitude on physiological performance: a statistical analysis using results of international football games. </w:t>
      </w:r>
      <w:r w:rsidDel="00000000" w:rsidR="00000000" w:rsidRPr="00000000">
        <w:rPr>
          <w:i w:val="1"/>
          <w:sz w:val="24"/>
          <w:szCs w:val="24"/>
          <w:rtl w:val="0"/>
        </w:rPr>
        <w:t xml:space="preserve">BMJ</w:t>
      </w:r>
      <w:r w:rsidDel="00000000" w:rsidR="00000000" w:rsidRPr="00000000">
        <w:rPr>
          <w:sz w:val="24"/>
          <w:szCs w:val="24"/>
          <w:rtl w:val="0"/>
        </w:rPr>
        <w:t xml:space="preserve">, 335(7633), pp.1278–1281. doi:</w:t>
      </w:r>
      <w:hyperlink r:id="rId27">
        <w:r w:rsidDel="00000000" w:rsidR="00000000" w:rsidRPr="00000000">
          <w:rPr>
            <w:color w:val="1155cc"/>
            <w:sz w:val="24"/>
            <w:szCs w:val="24"/>
            <w:u w:val="single"/>
            <w:rtl w:val="0"/>
          </w:rPr>
          <w:t xml:space="preserve">https://doi.org/10.1136/bmj.39393.451516.ad</w:t>
        </w:r>
      </w:hyperlink>
      <w:r w:rsidDel="00000000" w:rsidR="00000000" w:rsidRPr="00000000">
        <w:rPr>
          <w:sz w:val="24"/>
          <w:szCs w:val="24"/>
          <w:rtl w:val="0"/>
        </w:rPr>
        <w:t xml:space="preserve">. </w:t>
      </w:r>
    </w:p>
    <w:p w:rsidR="00000000" w:rsidDel="00000000" w:rsidP="00000000" w:rsidRDefault="00000000" w:rsidRPr="00000000" w14:paraId="00000132">
      <w:pPr>
        <w:spacing w:after="240" w:line="360" w:lineRule="auto"/>
        <w:rPr>
          <w:sz w:val="24"/>
          <w:szCs w:val="24"/>
        </w:rPr>
      </w:pPr>
      <w:r w:rsidDel="00000000" w:rsidR="00000000" w:rsidRPr="00000000">
        <w:rPr>
          <w:sz w:val="24"/>
          <w:szCs w:val="24"/>
          <w:rtl w:val="0"/>
        </w:rPr>
        <w:t xml:space="preserve">Nevill, A.M. (1999). </w:t>
      </w:r>
      <w:r w:rsidDel="00000000" w:rsidR="00000000" w:rsidRPr="00000000">
        <w:rPr>
          <w:i w:val="1"/>
          <w:sz w:val="24"/>
          <w:szCs w:val="24"/>
          <w:rtl w:val="0"/>
        </w:rPr>
        <w:t xml:space="preserve">(PDF) Home advantage in sport: an overview of studies on the advantage of playing at home</w:t>
      </w:r>
      <w:r w:rsidDel="00000000" w:rsidR="00000000" w:rsidRPr="00000000">
        <w:rPr>
          <w:sz w:val="24"/>
          <w:szCs w:val="24"/>
          <w:rtl w:val="0"/>
        </w:rPr>
        <w:t xml:space="preserve">. [online] ResearchGate. Available at: </w:t>
      </w:r>
      <w:hyperlink r:id="rId28">
        <w:r w:rsidDel="00000000" w:rsidR="00000000" w:rsidRPr="00000000">
          <w:rPr>
            <w:color w:val="1155cc"/>
            <w:sz w:val="24"/>
            <w:szCs w:val="24"/>
            <w:u w:val="single"/>
            <w:rtl w:val="0"/>
          </w:rPr>
          <w:t xml:space="preserve">https://www.researchgate.net/publication/12734772_Home_advantage_in_sport_an_overview_of_studies_on_the_advantage_of_playing_at_home</w:t>
        </w:r>
      </w:hyperlink>
      <w:r w:rsidDel="00000000" w:rsidR="00000000" w:rsidRPr="00000000">
        <w:rPr>
          <w:sz w:val="24"/>
          <w:szCs w:val="24"/>
          <w:rtl w:val="0"/>
        </w:rPr>
        <w:t xml:space="preserve">. </w:t>
      </w:r>
    </w:p>
    <w:p w:rsidR="00000000" w:rsidDel="00000000" w:rsidP="00000000" w:rsidRDefault="00000000" w:rsidRPr="00000000" w14:paraId="00000133">
      <w:pPr>
        <w:spacing w:after="240" w:line="360" w:lineRule="auto"/>
        <w:rPr>
          <w:sz w:val="24"/>
          <w:szCs w:val="24"/>
        </w:rPr>
      </w:pPr>
      <w:r w:rsidDel="00000000" w:rsidR="00000000" w:rsidRPr="00000000">
        <w:rPr>
          <w:sz w:val="24"/>
          <w:szCs w:val="24"/>
          <w:rtl w:val="0"/>
        </w:rPr>
        <w:t xml:space="preserve">Nevill, A.M., Balmer, N.J. and Mark Williams, A. (2002). The influence of crowd noise and experience upon refereeing decisions in football. </w:t>
      </w:r>
      <w:r w:rsidDel="00000000" w:rsidR="00000000" w:rsidRPr="00000000">
        <w:rPr>
          <w:i w:val="1"/>
          <w:sz w:val="24"/>
          <w:szCs w:val="24"/>
          <w:rtl w:val="0"/>
        </w:rPr>
        <w:t xml:space="preserve">Psychology of Sport and Exercise</w:t>
      </w:r>
      <w:r w:rsidDel="00000000" w:rsidR="00000000" w:rsidRPr="00000000">
        <w:rPr>
          <w:sz w:val="24"/>
          <w:szCs w:val="24"/>
          <w:rtl w:val="0"/>
        </w:rPr>
        <w:t xml:space="preserve">, [online] 3(4), pp.261–272. doi:</w:t>
      </w:r>
      <w:hyperlink r:id="rId29">
        <w:r w:rsidDel="00000000" w:rsidR="00000000" w:rsidRPr="00000000">
          <w:rPr>
            <w:color w:val="1155cc"/>
            <w:sz w:val="24"/>
            <w:szCs w:val="24"/>
            <w:u w:val="single"/>
            <w:rtl w:val="0"/>
          </w:rPr>
          <w:t xml:space="preserve">https://doi.org/10.1016/s1469-0292(01)00033-4</w:t>
        </w:r>
      </w:hyperlink>
      <w:r w:rsidDel="00000000" w:rsidR="00000000" w:rsidRPr="00000000">
        <w:rPr>
          <w:sz w:val="24"/>
          <w:szCs w:val="24"/>
          <w:rtl w:val="0"/>
        </w:rPr>
        <w:t xml:space="preserve">. </w:t>
      </w:r>
    </w:p>
    <w:p w:rsidR="00000000" w:rsidDel="00000000" w:rsidP="00000000" w:rsidRDefault="00000000" w:rsidRPr="00000000" w14:paraId="00000134">
      <w:pPr>
        <w:spacing w:after="240" w:line="360" w:lineRule="auto"/>
        <w:rPr>
          <w:sz w:val="24"/>
          <w:szCs w:val="24"/>
        </w:rPr>
      </w:pPr>
      <w:r w:rsidDel="00000000" w:rsidR="00000000" w:rsidRPr="00000000">
        <w:rPr>
          <w:sz w:val="24"/>
          <w:szCs w:val="24"/>
          <w:rtl w:val="0"/>
        </w:rPr>
        <w:t xml:space="preserve">Nevill, A.M. and Holder, R.L. (1999). Home Advantage in Sport. </w:t>
      </w:r>
      <w:r w:rsidDel="00000000" w:rsidR="00000000" w:rsidRPr="00000000">
        <w:rPr>
          <w:i w:val="1"/>
          <w:sz w:val="24"/>
          <w:szCs w:val="24"/>
          <w:rtl w:val="0"/>
        </w:rPr>
        <w:t xml:space="preserve">Sports Medicine</w:t>
      </w:r>
      <w:r w:rsidDel="00000000" w:rsidR="00000000" w:rsidRPr="00000000">
        <w:rPr>
          <w:sz w:val="24"/>
          <w:szCs w:val="24"/>
          <w:rtl w:val="0"/>
        </w:rPr>
        <w:t xml:space="preserve">, [online] 28(4), pp.221–236. doi:</w:t>
      </w:r>
      <w:hyperlink r:id="rId30">
        <w:r w:rsidDel="00000000" w:rsidR="00000000" w:rsidRPr="00000000">
          <w:rPr>
            <w:color w:val="1155cc"/>
            <w:sz w:val="24"/>
            <w:szCs w:val="24"/>
            <w:u w:val="single"/>
            <w:rtl w:val="0"/>
          </w:rPr>
          <w:t xml:space="preserve">https://doi.org/10.2165/00007256-199928040-00001</w:t>
        </w:r>
      </w:hyperlink>
      <w:r w:rsidDel="00000000" w:rsidR="00000000" w:rsidRPr="00000000">
        <w:rPr>
          <w:sz w:val="24"/>
          <w:szCs w:val="24"/>
          <w:rtl w:val="0"/>
        </w:rPr>
        <w:t xml:space="preserve">. </w:t>
      </w:r>
    </w:p>
    <w:p w:rsidR="00000000" w:rsidDel="00000000" w:rsidP="00000000" w:rsidRDefault="00000000" w:rsidRPr="00000000" w14:paraId="00000135">
      <w:pPr>
        <w:spacing w:after="240" w:line="360" w:lineRule="auto"/>
        <w:rPr>
          <w:sz w:val="24"/>
          <w:szCs w:val="24"/>
        </w:rPr>
      </w:pPr>
      <w:r w:rsidDel="00000000" w:rsidR="00000000" w:rsidRPr="00000000">
        <w:rPr>
          <w:sz w:val="24"/>
          <w:szCs w:val="24"/>
          <w:rtl w:val="0"/>
        </w:rPr>
        <w:t xml:space="preserve">O’Brien, K.A. and Mangan, J. (2021). The issue of unconscious bias in referee decisions in the national rugby league. </w:t>
      </w:r>
      <w:r w:rsidDel="00000000" w:rsidR="00000000" w:rsidRPr="00000000">
        <w:rPr>
          <w:i w:val="1"/>
          <w:sz w:val="24"/>
          <w:szCs w:val="24"/>
          <w:rtl w:val="0"/>
        </w:rPr>
        <w:t xml:space="preserve">Frontiers in Sports and Active Living</w:t>
      </w:r>
      <w:r w:rsidDel="00000000" w:rsidR="00000000" w:rsidRPr="00000000">
        <w:rPr>
          <w:sz w:val="24"/>
          <w:szCs w:val="24"/>
          <w:rtl w:val="0"/>
        </w:rPr>
        <w:t xml:space="preserve">, 3(1). doi:</w:t>
      </w:r>
      <w:hyperlink r:id="rId31">
        <w:r w:rsidDel="00000000" w:rsidR="00000000" w:rsidRPr="00000000">
          <w:rPr>
            <w:color w:val="1155cc"/>
            <w:sz w:val="24"/>
            <w:szCs w:val="24"/>
            <w:u w:val="single"/>
            <w:rtl w:val="0"/>
          </w:rPr>
          <w:t xml:space="preserve">https://doi.org/10.3389/fspor.2021.739570</w:t>
        </w:r>
      </w:hyperlink>
      <w:r w:rsidDel="00000000" w:rsidR="00000000" w:rsidRPr="00000000">
        <w:rPr>
          <w:sz w:val="24"/>
          <w:szCs w:val="24"/>
          <w:rtl w:val="0"/>
        </w:rPr>
        <w:t xml:space="preserve">. </w:t>
      </w:r>
    </w:p>
    <w:p w:rsidR="00000000" w:rsidDel="00000000" w:rsidP="00000000" w:rsidRDefault="00000000" w:rsidRPr="00000000" w14:paraId="00000136">
      <w:pPr>
        <w:spacing w:after="240" w:line="360" w:lineRule="auto"/>
        <w:rPr>
          <w:sz w:val="24"/>
          <w:szCs w:val="24"/>
        </w:rPr>
      </w:pPr>
      <w:r w:rsidDel="00000000" w:rsidR="00000000" w:rsidRPr="00000000">
        <w:rPr>
          <w:sz w:val="24"/>
          <w:szCs w:val="24"/>
          <w:rtl w:val="0"/>
        </w:rPr>
        <w:t xml:space="preserve">Pollard, R. (2006). Worldwide regional variations in home advantage in association football. </w:t>
      </w:r>
      <w:r w:rsidDel="00000000" w:rsidR="00000000" w:rsidRPr="00000000">
        <w:rPr>
          <w:i w:val="1"/>
          <w:sz w:val="24"/>
          <w:szCs w:val="24"/>
          <w:rtl w:val="0"/>
        </w:rPr>
        <w:t xml:space="preserve">Journal of Sports Sciences</w:t>
      </w:r>
      <w:r w:rsidDel="00000000" w:rsidR="00000000" w:rsidRPr="00000000">
        <w:rPr>
          <w:sz w:val="24"/>
          <w:szCs w:val="24"/>
          <w:rtl w:val="0"/>
        </w:rPr>
        <w:t xml:space="preserve">, 24(3), pp.231–240. doi:</w:t>
      </w:r>
      <w:hyperlink r:id="rId32">
        <w:r w:rsidDel="00000000" w:rsidR="00000000" w:rsidRPr="00000000">
          <w:rPr>
            <w:color w:val="1155cc"/>
            <w:sz w:val="24"/>
            <w:szCs w:val="24"/>
            <w:u w:val="single"/>
            <w:rtl w:val="0"/>
          </w:rPr>
          <w:t xml:space="preserve">https://doi.org/10.1080/02640410500141836</w:t>
        </w:r>
      </w:hyperlink>
      <w:r w:rsidDel="00000000" w:rsidR="00000000" w:rsidRPr="00000000">
        <w:rPr>
          <w:sz w:val="24"/>
          <w:szCs w:val="24"/>
          <w:rtl w:val="0"/>
        </w:rPr>
        <w:t xml:space="preserve">. </w:t>
      </w:r>
    </w:p>
    <w:p w:rsidR="00000000" w:rsidDel="00000000" w:rsidP="00000000" w:rsidRDefault="00000000" w:rsidRPr="00000000" w14:paraId="00000137">
      <w:pPr>
        <w:spacing w:after="240" w:line="360" w:lineRule="auto"/>
        <w:rPr>
          <w:sz w:val="24"/>
          <w:szCs w:val="24"/>
        </w:rPr>
      </w:pPr>
      <w:r w:rsidDel="00000000" w:rsidR="00000000" w:rsidRPr="00000000">
        <w:rPr>
          <w:sz w:val="24"/>
          <w:szCs w:val="24"/>
          <w:rtl w:val="0"/>
        </w:rPr>
        <w:t xml:space="preserve">Pollard, R. (2008). Home Advantage in Football: A Current Review of an Unsolved Puzzle. </w:t>
      </w:r>
      <w:r w:rsidDel="00000000" w:rsidR="00000000" w:rsidRPr="00000000">
        <w:rPr>
          <w:i w:val="1"/>
          <w:sz w:val="24"/>
          <w:szCs w:val="24"/>
          <w:rtl w:val="0"/>
        </w:rPr>
        <w:t xml:space="preserve">The Open Sports Sciences Journal</w:t>
      </w:r>
      <w:r w:rsidDel="00000000" w:rsidR="00000000" w:rsidRPr="00000000">
        <w:rPr>
          <w:sz w:val="24"/>
          <w:szCs w:val="24"/>
          <w:rtl w:val="0"/>
        </w:rPr>
        <w:t xml:space="preserve">, [online] 1(1), pp.12–14. doi:</w:t>
      </w:r>
      <w:hyperlink r:id="rId33">
        <w:r w:rsidDel="00000000" w:rsidR="00000000" w:rsidRPr="00000000">
          <w:rPr>
            <w:color w:val="1155cc"/>
            <w:sz w:val="24"/>
            <w:szCs w:val="24"/>
            <w:u w:val="single"/>
            <w:rtl w:val="0"/>
          </w:rPr>
          <w:t xml:space="preserve">https://doi.org/10.2174/1875399x00801010012</w:t>
        </w:r>
      </w:hyperlink>
      <w:r w:rsidDel="00000000" w:rsidR="00000000" w:rsidRPr="00000000">
        <w:rPr>
          <w:sz w:val="24"/>
          <w:szCs w:val="24"/>
          <w:rtl w:val="0"/>
        </w:rPr>
        <w:t xml:space="preserve">. </w:t>
      </w:r>
    </w:p>
    <w:p w:rsidR="00000000" w:rsidDel="00000000" w:rsidP="00000000" w:rsidRDefault="00000000" w:rsidRPr="00000000" w14:paraId="00000138">
      <w:pPr>
        <w:spacing w:after="240" w:line="360" w:lineRule="auto"/>
        <w:rPr>
          <w:sz w:val="24"/>
          <w:szCs w:val="24"/>
        </w:rPr>
      </w:pPr>
      <w:r w:rsidDel="00000000" w:rsidR="00000000" w:rsidRPr="00000000">
        <w:rPr>
          <w:sz w:val="24"/>
          <w:szCs w:val="24"/>
          <w:rtl w:val="0"/>
        </w:rPr>
        <w:t xml:space="preserve">Popay, J. (2006). </w:t>
      </w:r>
      <w:r w:rsidDel="00000000" w:rsidR="00000000" w:rsidRPr="00000000">
        <w:rPr>
          <w:i w:val="1"/>
          <w:sz w:val="24"/>
          <w:szCs w:val="24"/>
          <w:rtl w:val="0"/>
        </w:rPr>
        <w:t xml:space="preserve">(PDF) Guidance on the conduct of narrative synthesis in systematic reviews: A product from the ESRC Methods Programme</w:t>
      </w:r>
      <w:r w:rsidDel="00000000" w:rsidR="00000000" w:rsidRPr="00000000">
        <w:rPr>
          <w:sz w:val="24"/>
          <w:szCs w:val="24"/>
          <w:rtl w:val="0"/>
        </w:rPr>
        <w:t xml:space="preserve">. [online] ResearchGate. Available at: </w:t>
      </w:r>
      <w:hyperlink r:id="rId34">
        <w:r w:rsidDel="00000000" w:rsidR="00000000" w:rsidRPr="00000000">
          <w:rPr>
            <w:color w:val="1155cc"/>
            <w:sz w:val="24"/>
            <w:szCs w:val="24"/>
            <w:u w:val="single"/>
            <w:rtl w:val="0"/>
          </w:rPr>
          <w:t xml:space="preserve">https://www.researchgate.net/publication/233866356_Guidance_on_the_conduct_of_narrative_synthesis_in_systematic_reviews_A_product_from_the_ESRC_Methods_Programme</w:t>
        </w:r>
      </w:hyperlink>
      <w:r w:rsidDel="00000000" w:rsidR="00000000" w:rsidRPr="00000000">
        <w:rPr>
          <w:sz w:val="24"/>
          <w:szCs w:val="24"/>
          <w:rtl w:val="0"/>
        </w:rPr>
        <w:t xml:space="preserve">. </w:t>
      </w:r>
    </w:p>
    <w:p w:rsidR="00000000" w:rsidDel="00000000" w:rsidP="00000000" w:rsidRDefault="00000000" w:rsidRPr="00000000" w14:paraId="00000139">
      <w:pPr>
        <w:spacing w:after="240" w:line="360" w:lineRule="auto"/>
        <w:rPr>
          <w:sz w:val="24"/>
          <w:szCs w:val="24"/>
        </w:rPr>
      </w:pPr>
      <w:r w:rsidDel="00000000" w:rsidR="00000000" w:rsidRPr="00000000">
        <w:rPr>
          <w:sz w:val="24"/>
          <w:szCs w:val="24"/>
          <w:rtl w:val="0"/>
        </w:rPr>
        <w:t xml:space="preserve">PRISMA (2020). </w:t>
      </w:r>
      <w:r w:rsidDel="00000000" w:rsidR="00000000" w:rsidRPr="00000000">
        <w:rPr>
          <w:i w:val="1"/>
          <w:sz w:val="24"/>
          <w:szCs w:val="24"/>
          <w:rtl w:val="0"/>
        </w:rPr>
        <w:t xml:space="preserve">Preferred Reporting Items for Systematic reviews and Meta-Analyses (PRISMA)</w:t>
      </w:r>
      <w:r w:rsidDel="00000000" w:rsidR="00000000" w:rsidRPr="00000000">
        <w:rPr>
          <w:sz w:val="24"/>
          <w:szCs w:val="24"/>
          <w:rtl w:val="0"/>
        </w:rPr>
        <w:t xml:space="preserve">. [online] www.prisma-statement.org. Available at: </w:t>
      </w:r>
      <w:hyperlink r:id="rId35">
        <w:r w:rsidDel="00000000" w:rsidR="00000000" w:rsidRPr="00000000">
          <w:rPr>
            <w:color w:val="1155cc"/>
            <w:sz w:val="24"/>
            <w:szCs w:val="24"/>
            <w:u w:val="single"/>
            <w:rtl w:val="0"/>
          </w:rPr>
          <w:t xml:space="preserve">https://www.prisma-statement.org/</w:t>
        </w:r>
      </w:hyperlink>
      <w:r w:rsidDel="00000000" w:rsidR="00000000" w:rsidRPr="00000000">
        <w:rPr>
          <w:sz w:val="24"/>
          <w:szCs w:val="24"/>
          <w:rtl w:val="0"/>
        </w:rPr>
        <w:t xml:space="preserve">. </w:t>
      </w:r>
    </w:p>
    <w:p w:rsidR="00000000" w:rsidDel="00000000" w:rsidP="00000000" w:rsidRDefault="00000000" w:rsidRPr="00000000" w14:paraId="0000013A">
      <w:pPr>
        <w:spacing w:after="240" w:line="360" w:lineRule="auto"/>
        <w:rPr>
          <w:sz w:val="24"/>
          <w:szCs w:val="24"/>
        </w:rPr>
      </w:pPr>
      <w:r w:rsidDel="00000000" w:rsidR="00000000" w:rsidRPr="00000000">
        <w:rPr>
          <w:sz w:val="24"/>
          <w:szCs w:val="24"/>
          <w:rtl w:val="0"/>
        </w:rPr>
        <w:t xml:space="preserve">Ramchandani, G. and Millar, R. (2021). Investigating the ‘Twelfth Man’ Effect in Five European Domestic Football Leagues: A COVID-19 Induced Natural Experiment. </w:t>
      </w:r>
      <w:r w:rsidDel="00000000" w:rsidR="00000000" w:rsidRPr="00000000">
        <w:rPr>
          <w:i w:val="1"/>
          <w:sz w:val="24"/>
          <w:szCs w:val="24"/>
          <w:rtl w:val="0"/>
        </w:rPr>
        <w:t xml:space="preserve">Journal of Global Sport Management</w:t>
      </w:r>
      <w:r w:rsidDel="00000000" w:rsidR="00000000" w:rsidRPr="00000000">
        <w:rPr>
          <w:sz w:val="24"/>
          <w:szCs w:val="24"/>
          <w:rtl w:val="0"/>
        </w:rPr>
        <w:t xml:space="preserve">, 8(4), pp.1–15. doi:</w:t>
      </w:r>
      <w:hyperlink r:id="rId36">
        <w:r w:rsidDel="00000000" w:rsidR="00000000" w:rsidRPr="00000000">
          <w:rPr>
            <w:color w:val="1155cc"/>
            <w:sz w:val="24"/>
            <w:szCs w:val="24"/>
            <w:u w:val="single"/>
            <w:rtl w:val="0"/>
          </w:rPr>
          <w:t xml:space="preserve">https://doi.org/10.1080/24704067.2021.1951614</w:t>
        </w:r>
      </w:hyperlink>
      <w:r w:rsidDel="00000000" w:rsidR="00000000" w:rsidRPr="00000000">
        <w:rPr>
          <w:sz w:val="24"/>
          <w:szCs w:val="24"/>
          <w:rtl w:val="0"/>
        </w:rPr>
        <w:t xml:space="preserve">. </w:t>
      </w:r>
    </w:p>
    <w:p w:rsidR="00000000" w:rsidDel="00000000" w:rsidP="00000000" w:rsidRDefault="00000000" w:rsidRPr="00000000" w14:paraId="0000013B">
      <w:pPr>
        <w:spacing w:after="240" w:line="360" w:lineRule="auto"/>
        <w:rPr>
          <w:sz w:val="24"/>
          <w:szCs w:val="24"/>
        </w:rPr>
      </w:pPr>
      <w:r w:rsidDel="00000000" w:rsidR="00000000" w:rsidRPr="00000000">
        <w:rPr>
          <w:sz w:val="24"/>
          <w:szCs w:val="24"/>
          <w:rtl w:val="0"/>
        </w:rPr>
        <w:t xml:space="preserve">Reade, J.J., Schreyer, D. and Singleton, C. (2021). Eliminating supportive crowds reduces referee bias. </w:t>
      </w:r>
      <w:r w:rsidDel="00000000" w:rsidR="00000000" w:rsidRPr="00000000">
        <w:rPr>
          <w:i w:val="1"/>
          <w:sz w:val="24"/>
          <w:szCs w:val="24"/>
          <w:rtl w:val="0"/>
        </w:rPr>
        <w:t xml:space="preserve">Economic Inquiry</w:t>
      </w:r>
      <w:r w:rsidDel="00000000" w:rsidR="00000000" w:rsidRPr="00000000">
        <w:rPr>
          <w:sz w:val="24"/>
          <w:szCs w:val="24"/>
          <w:rtl w:val="0"/>
        </w:rPr>
        <w:t xml:space="preserve">. doi:</w:t>
      </w:r>
      <w:hyperlink r:id="rId37">
        <w:r w:rsidDel="00000000" w:rsidR="00000000" w:rsidRPr="00000000">
          <w:rPr>
            <w:color w:val="1155cc"/>
            <w:sz w:val="24"/>
            <w:szCs w:val="24"/>
            <w:u w:val="single"/>
            <w:rtl w:val="0"/>
          </w:rPr>
          <w:t xml:space="preserve">https://doi.org/10.1111/ecin.13063</w:t>
        </w:r>
      </w:hyperlink>
      <w:r w:rsidDel="00000000" w:rsidR="00000000" w:rsidRPr="00000000">
        <w:rPr>
          <w:sz w:val="24"/>
          <w:szCs w:val="24"/>
          <w:rtl w:val="0"/>
        </w:rPr>
        <w:t xml:space="preserve">. </w:t>
      </w:r>
    </w:p>
    <w:p w:rsidR="00000000" w:rsidDel="00000000" w:rsidP="00000000" w:rsidRDefault="00000000" w:rsidRPr="00000000" w14:paraId="0000013C">
      <w:pPr>
        <w:spacing w:after="240" w:line="360" w:lineRule="auto"/>
        <w:rPr>
          <w:sz w:val="24"/>
          <w:szCs w:val="24"/>
        </w:rPr>
      </w:pPr>
      <w:r w:rsidDel="00000000" w:rsidR="00000000" w:rsidRPr="00000000">
        <w:rPr>
          <w:sz w:val="24"/>
          <w:szCs w:val="24"/>
          <w:rtl w:val="0"/>
        </w:rPr>
        <w:t xml:space="preserve">Sarmento, H., Figueiredo, A., Lago-Peñas, C., Milanovic, Z., Barbosa, A., Tadeu, P. and Bradley, P.S. (2018). Influence of Tactical and Situational Variables on Offensive Sequences During Elite Football Matches. </w:t>
      </w:r>
      <w:r w:rsidDel="00000000" w:rsidR="00000000" w:rsidRPr="00000000">
        <w:rPr>
          <w:i w:val="1"/>
          <w:sz w:val="24"/>
          <w:szCs w:val="24"/>
          <w:rtl w:val="0"/>
        </w:rPr>
        <w:t xml:space="preserve">Journal of Strength and Conditioning Research</w:t>
      </w:r>
      <w:r w:rsidDel="00000000" w:rsidR="00000000" w:rsidRPr="00000000">
        <w:rPr>
          <w:sz w:val="24"/>
          <w:szCs w:val="24"/>
          <w:rtl w:val="0"/>
        </w:rPr>
        <w:t xml:space="preserve">, 32(8), pp.2331–2339. doi:</w:t>
      </w:r>
      <w:hyperlink r:id="rId38">
        <w:r w:rsidDel="00000000" w:rsidR="00000000" w:rsidRPr="00000000">
          <w:rPr>
            <w:color w:val="1155cc"/>
            <w:sz w:val="24"/>
            <w:szCs w:val="24"/>
            <w:u w:val="single"/>
            <w:rtl w:val="0"/>
          </w:rPr>
          <w:t xml:space="preserve">https://doi.org/10.1519/jsc.0000000000002147</w:t>
        </w:r>
      </w:hyperlink>
      <w:r w:rsidDel="00000000" w:rsidR="00000000" w:rsidRPr="00000000">
        <w:rPr>
          <w:sz w:val="24"/>
          <w:szCs w:val="24"/>
          <w:rtl w:val="0"/>
        </w:rPr>
        <w:t xml:space="preserve">. </w:t>
      </w:r>
    </w:p>
    <w:p w:rsidR="00000000" w:rsidDel="00000000" w:rsidP="00000000" w:rsidRDefault="00000000" w:rsidRPr="00000000" w14:paraId="0000013D">
      <w:pPr>
        <w:spacing w:after="240" w:line="360" w:lineRule="auto"/>
        <w:rPr>
          <w:sz w:val="24"/>
          <w:szCs w:val="24"/>
        </w:rPr>
      </w:pPr>
      <w:r w:rsidDel="00000000" w:rsidR="00000000" w:rsidRPr="00000000">
        <w:rPr>
          <w:sz w:val="24"/>
          <w:szCs w:val="24"/>
          <w:rtl w:val="0"/>
        </w:rPr>
        <w:t xml:space="preserve">Sors, F., Grassi, M., Agostini, T. and Murgia, M. (2020). The sound of silence in association football: Home advantage and referee bias decrease in matches played without spectators. </w:t>
      </w:r>
      <w:r w:rsidDel="00000000" w:rsidR="00000000" w:rsidRPr="00000000">
        <w:rPr>
          <w:i w:val="1"/>
          <w:sz w:val="24"/>
          <w:szCs w:val="24"/>
          <w:rtl w:val="0"/>
        </w:rPr>
        <w:t xml:space="preserve">European Journal of Sport Science</w:t>
      </w:r>
      <w:r w:rsidDel="00000000" w:rsidR="00000000" w:rsidRPr="00000000">
        <w:rPr>
          <w:sz w:val="24"/>
          <w:szCs w:val="24"/>
          <w:rtl w:val="0"/>
        </w:rPr>
        <w:t xml:space="preserve">, 21(12), pp.1–9. doi:</w:t>
      </w:r>
      <w:hyperlink r:id="rId39">
        <w:r w:rsidDel="00000000" w:rsidR="00000000" w:rsidRPr="00000000">
          <w:rPr>
            <w:color w:val="1155cc"/>
            <w:sz w:val="24"/>
            <w:szCs w:val="24"/>
            <w:u w:val="single"/>
            <w:rtl w:val="0"/>
          </w:rPr>
          <w:t xml:space="preserve">https://doi.org/10.1080/17461391.2020.1845814</w:t>
        </w:r>
      </w:hyperlink>
      <w:r w:rsidDel="00000000" w:rsidR="00000000" w:rsidRPr="00000000">
        <w:rPr>
          <w:sz w:val="24"/>
          <w:szCs w:val="24"/>
          <w:rtl w:val="0"/>
        </w:rPr>
        <w:t xml:space="preserve">. </w:t>
      </w:r>
    </w:p>
    <w:p w:rsidR="00000000" w:rsidDel="00000000" w:rsidP="00000000" w:rsidRDefault="00000000" w:rsidRPr="00000000" w14:paraId="0000013E">
      <w:pPr>
        <w:spacing w:after="240" w:line="360" w:lineRule="auto"/>
        <w:rPr>
          <w:sz w:val="24"/>
          <w:szCs w:val="24"/>
        </w:rPr>
      </w:pPr>
      <w:r w:rsidDel="00000000" w:rsidR="00000000" w:rsidRPr="00000000">
        <w:rPr>
          <w:sz w:val="24"/>
          <w:szCs w:val="24"/>
          <w:rtl w:val="0"/>
        </w:rPr>
        <w:t xml:space="preserve">Sporting Bounce (2025). </w:t>
      </w:r>
      <w:r w:rsidDel="00000000" w:rsidR="00000000" w:rsidRPr="00000000">
        <w:rPr>
          <w:i w:val="1"/>
          <w:sz w:val="24"/>
          <w:szCs w:val="24"/>
          <w:rtl w:val="0"/>
        </w:rPr>
        <w:t xml:space="preserve">The Science of Home Advantage in Sports</w:t>
      </w:r>
      <w:r w:rsidDel="00000000" w:rsidR="00000000" w:rsidRPr="00000000">
        <w:rPr>
          <w:sz w:val="24"/>
          <w:szCs w:val="24"/>
          <w:rtl w:val="0"/>
        </w:rPr>
        <w:t xml:space="preserve">. [online] Sporting Bounce. Available at: </w:t>
      </w:r>
      <w:hyperlink r:id="rId40">
        <w:r w:rsidDel="00000000" w:rsidR="00000000" w:rsidRPr="00000000">
          <w:rPr>
            <w:color w:val="1155cc"/>
            <w:sz w:val="24"/>
            <w:szCs w:val="24"/>
            <w:u w:val="single"/>
            <w:rtl w:val="0"/>
          </w:rPr>
          <w:t xml:space="preserve">https://www.sportingbounce.com/blog/the-science-of-home-advantage-in-sports</w:t>
        </w:r>
      </w:hyperlink>
      <w:r w:rsidDel="00000000" w:rsidR="00000000" w:rsidRPr="00000000">
        <w:rPr>
          <w:sz w:val="24"/>
          <w:szCs w:val="24"/>
          <w:rtl w:val="0"/>
        </w:rPr>
        <w:t xml:space="preserve">  [Accessed 3 Apr. 2025].</w:t>
      </w:r>
    </w:p>
    <w:p w:rsidR="00000000" w:rsidDel="00000000" w:rsidP="00000000" w:rsidRDefault="00000000" w:rsidRPr="00000000" w14:paraId="0000013F">
      <w:pPr>
        <w:spacing w:after="240" w:line="360" w:lineRule="auto"/>
        <w:rPr>
          <w:sz w:val="24"/>
          <w:szCs w:val="24"/>
        </w:rPr>
      </w:pPr>
      <w:r w:rsidDel="00000000" w:rsidR="00000000" w:rsidRPr="00000000">
        <w:rPr>
          <w:sz w:val="24"/>
          <w:szCs w:val="24"/>
          <w:rtl w:val="0"/>
        </w:rPr>
        <w:t xml:space="preserve">Spyridon Plakias, Vasilis Armatas and Michalis Mitrotasios (2025). Influence of tactics and situational variables on goal scoring in European football. </w:t>
      </w:r>
      <w:r w:rsidDel="00000000" w:rsidR="00000000" w:rsidRPr="00000000">
        <w:rPr>
          <w:i w:val="1"/>
          <w:sz w:val="24"/>
          <w:szCs w:val="24"/>
          <w:rtl w:val="0"/>
        </w:rPr>
        <w:t xml:space="preserve">Proceedings of the Institution of Mechanical Engineers Part P Journal of Sports Engineering and Technology</w:t>
      </w:r>
      <w:r w:rsidDel="00000000" w:rsidR="00000000" w:rsidRPr="00000000">
        <w:rPr>
          <w:sz w:val="24"/>
          <w:szCs w:val="24"/>
          <w:rtl w:val="0"/>
        </w:rPr>
        <w:t xml:space="preserve">. doi:</w:t>
      </w:r>
      <w:hyperlink r:id="rId41">
        <w:r w:rsidDel="00000000" w:rsidR="00000000" w:rsidRPr="00000000">
          <w:rPr>
            <w:color w:val="1155cc"/>
            <w:sz w:val="24"/>
            <w:szCs w:val="24"/>
            <w:u w:val="single"/>
            <w:rtl w:val="0"/>
          </w:rPr>
          <w:t xml:space="preserve">https://doi.org/10.1177/17543371241313252</w:t>
        </w:r>
      </w:hyperlink>
      <w:r w:rsidDel="00000000" w:rsidR="00000000" w:rsidRPr="00000000">
        <w:rPr>
          <w:sz w:val="24"/>
          <w:szCs w:val="24"/>
          <w:rtl w:val="0"/>
        </w:rPr>
        <w:t xml:space="preserve">. </w:t>
      </w:r>
    </w:p>
    <w:p w:rsidR="00000000" w:rsidDel="00000000" w:rsidP="00000000" w:rsidRDefault="00000000" w:rsidRPr="00000000" w14:paraId="00000140">
      <w:pPr>
        <w:spacing w:after="240" w:line="360" w:lineRule="auto"/>
        <w:rPr>
          <w:sz w:val="24"/>
          <w:szCs w:val="24"/>
        </w:rPr>
      </w:pPr>
      <w:r w:rsidDel="00000000" w:rsidR="00000000" w:rsidRPr="00000000">
        <w:rPr>
          <w:sz w:val="24"/>
          <w:szCs w:val="24"/>
          <w:rtl w:val="0"/>
        </w:rPr>
        <w:t xml:space="preserve">Thomas, J. and Harden, A. (2008). Methods for the Thematic Synthesis of Qualitative Research in Systematic Reviews. </w:t>
      </w:r>
      <w:r w:rsidDel="00000000" w:rsidR="00000000" w:rsidRPr="00000000">
        <w:rPr>
          <w:i w:val="1"/>
          <w:sz w:val="24"/>
          <w:szCs w:val="24"/>
          <w:rtl w:val="0"/>
        </w:rPr>
        <w:t xml:space="preserve">BMC Medical Research Methodology</w:t>
      </w:r>
      <w:r w:rsidDel="00000000" w:rsidR="00000000" w:rsidRPr="00000000">
        <w:rPr>
          <w:sz w:val="24"/>
          <w:szCs w:val="24"/>
          <w:rtl w:val="0"/>
        </w:rPr>
        <w:t xml:space="preserve">, [online] 8(1), pp.1–10. doi:</w:t>
      </w:r>
      <w:hyperlink r:id="rId42">
        <w:r w:rsidDel="00000000" w:rsidR="00000000" w:rsidRPr="00000000">
          <w:rPr>
            <w:color w:val="1155cc"/>
            <w:sz w:val="24"/>
            <w:szCs w:val="24"/>
            <w:u w:val="single"/>
            <w:rtl w:val="0"/>
          </w:rPr>
          <w:t xml:space="preserve">https://doi.org/10.1186/1471-2288-8-45</w:t>
        </w:r>
      </w:hyperlink>
      <w:r w:rsidDel="00000000" w:rsidR="00000000" w:rsidRPr="00000000">
        <w:rPr>
          <w:sz w:val="24"/>
          <w:szCs w:val="24"/>
          <w:rtl w:val="0"/>
        </w:rPr>
        <w:t xml:space="preserve">. </w:t>
      </w:r>
    </w:p>
    <w:p w:rsidR="00000000" w:rsidDel="00000000" w:rsidP="00000000" w:rsidRDefault="00000000" w:rsidRPr="00000000" w14:paraId="00000141">
      <w:pPr>
        <w:spacing w:after="240" w:line="360" w:lineRule="auto"/>
        <w:rPr>
          <w:sz w:val="24"/>
          <w:szCs w:val="24"/>
        </w:rPr>
      </w:pPr>
      <w:r w:rsidDel="00000000" w:rsidR="00000000" w:rsidRPr="00000000">
        <w:rPr>
          <w:sz w:val="24"/>
          <w:szCs w:val="24"/>
          <w:rtl w:val="0"/>
        </w:rPr>
        <w:t xml:space="preserve">Unkelbach, C. and Memmert, D. (2010). Crowd Noise as a Cue in Referee Decisions Contributes to the Home Advantage. </w:t>
      </w:r>
      <w:r w:rsidDel="00000000" w:rsidR="00000000" w:rsidRPr="00000000">
        <w:rPr>
          <w:i w:val="1"/>
          <w:sz w:val="24"/>
          <w:szCs w:val="24"/>
          <w:rtl w:val="0"/>
        </w:rPr>
        <w:t xml:space="preserve">Journal of Sport and Exercise Psychology</w:t>
      </w:r>
      <w:r w:rsidDel="00000000" w:rsidR="00000000" w:rsidRPr="00000000">
        <w:rPr>
          <w:sz w:val="24"/>
          <w:szCs w:val="24"/>
          <w:rtl w:val="0"/>
        </w:rPr>
        <w:t xml:space="preserve">, 32(4), pp.483–498. doi:</w:t>
      </w:r>
      <w:hyperlink r:id="rId43">
        <w:r w:rsidDel="00000000" w:rsidR="00000000" w:rsidRPr="00000000">
          <w:rPr>
            <w:color w:val="1155cc"/>
            <w:sz w:val="24"/>
            <w:szCs w:val="24"/>
            <w:u w:val="single"/>
            <w:rtl w:val="0"/>
          </w:rPr>
          <w:t xml:space="preserve">https://doi.org/10.1123/jsep.32.4.483</w:t>
        </w:r>
      </w:hyperlink>
      <w:r w:rsidDel="00000000" w:rsidR="00000000" w:rsidRPr="00000000">
        <w:rPr>
          <w:sz w:val="24"/>
          <w:szCs w:val="24"/>
          <w:rtl w:val="0"/>
        </w:rPr>
        <w:t xml:space="preserve">. </w:t>
      </w:r>
    </w:p>
    <w:p w:rsidR="00000000" w:rsidDel="00000000" w:rsidP="00000000" w:rsidRDefault="00000000" w:rsidRPr="00000000" w14:paraId="00000142">
      <w:pPr>
        <w:spacing w:after="240" w:line="360" w:lineRule="auto"/>
        <w:rPr>
          <w:sz w:val="24"/>
          <w:szCs w:val="24"/>
        </w:rPr>
      </w:pPr>
      <w:r w:rsidDel="00000000" w:rsidR="00000000" w:rsidRPr="00000000">
        <w:rPr>
          <w:sz w:val="24"/>
          <w:szCs w:val="24"/>
          <w:rtl w:val="0"/>
        </w:rPr>
        <w:t xml:space="preserve">Wang, S. and Qin, Y. (2023). The impact of crowd effects on home advantage of football matches during the COVID-19 pandemic—A systematic review. </w:t>
      </w:r>
      <w:r w:rsidDel="00000000" w:rsidR="00000000" w:rsidRPr="00000000">
        <w:rPr>
          <w:i w:val="1"/>
          <w:sz w:val="24"/>
          <w:szCs w:val="24"/>
          <w:rtl w:val="0"/>
        </w:rPr>
        <w:t xml:space="preserve">PLOS ONE</w:t>
      </w:r>
      <w:r w:rsidDel="00000000" w:rsidR="00000000" w:rsidRPr="00000000">
        <w:rPr>
          <w:sz w:val="24"/>
          <w:szCs w:val="24"/>
          <w:rtl w:val="0"/>
        </w:rPr>
        <w:t xml:space="preserve">, [online] 18(11), p.e0289899. doi:</w:t>
      </w:r>
      <w:hyperlink r:id="rId44">
        <w:r w:rsidDel="00000000" w:rsidR="00000000" w:rsidRPr="00000000">
          <w:rPr>
            <w:color w:val="1155cc"/>
            <w:sz w:val="24"/>
            <w:szCs w:val="24"/>
            <w:u w:val="single"/>
            <w:rtl w:val="0"/>
          </w:rPr>
          <w:t xml:space="preserve">https://doi.org/10.1371/journal.pone.0289899</w:t>
        </w:r>
      </w:hyperlink>
      <w:r w:rsidDel="00000000" w:rsidR="00000000" w:rsidRPr="00000000">
        <w:rPr>
          <w:sz w:val="24"/>
          <w:szCs w:val="24"/>
          <w:rtl w:val="0"/>
        </w:rPr>
        <w:t xml:space="preserve">. </w:t>
      </w:r>
    </w:p>
    <w:p w:rsidR="00000000" w:rsidDel="00000000" w:rsidP="00000000" w:rsidRDefault="00000000" w:rsidRPr="00000000" w14:paraId="00000143">
      <w:pPr>
        <w:spacing w:after="240" w:line="360" w:lineRule="auto"/>
        <w:rPr>
          <w:sz w:val="24"/>
          <w:szCs w:val="24"/>
        </w:rPr>
      </w:pPr>
      <w:r w:rsidDel="00000000" w:rsidR="00000000" w:rsidRPr="00000000">
        <w:rPr>
          <w:sz w:val="24"/>
          <w:szCs w:val="24"/>
          <w:rtl w:val="0"/>
        </w:rPr>
        <w:t xml:space="preserve">Wunderlich, F., Weigelt, M., Rein, R. and Memmert, D. (2021). How does spectator presence affect football? Home advantage remains in European top-class football matches played without spectators during the COVID-19 pandemic. </w:t>
      </w:r>
      <w:r w:rsidDel="00000000" w:rsidR="00000000" w:rsidRPr="00000000">
        <w:rPr>
          <w:i w:val="1"/>
          <w:sz w:val="24"/>
          <w:szCs w:val="24"/>
          <w:rtl w:val="0"/>
        </w:rPr>
        <w:t xml:space="preserve">PLOS ONE</w:t>
      </w:r>
      <w:r w:rsidDel="00000000" w:rsidR="00000000" w:rsidRPr="00000000">
        <w:rPr>
          <w:sz w:val="24"/>
          <w:szCs w:val="24"/>
          <w:rtl w:val="0"/>
        </w:rPr>
        <w:t xml:space="preserve">, 16(3), p.e0248590. doi:</w:t>
      </w:r>
      <w:hyperlink r:id="rId45">
        <w:r w:rsidDel="00000000" w:rsidR="00000000" w:rsidRPr="00000000">
          <w:rPr>
            <w:color w:val="1155cc"/>
            <w:sz w:val="24"/>
            <w:szCs w:val="24"/>
            <w:u w:val="single"/>
            <w:rtl w:val="0"/>
          </w:rPr>
          <w:t xml:space="preserve">https://doi.org/10.1371/journal.pone.0248590</w:t>
        </w:r>
      </w:hyperlink>
      <w:r w:rsidDel="00000000" w:rsidR="00000000" w:rsidRPr="00000000">
        <w:rPr>
          <w:sz w:val="24"/>
          <w:szCs w:val="24"/>
          <w:rtl w:val="0"/>
        </w:rPr>
        <w:t xml:space="preserve">. </w:t>
      </w:r>
    </w:p>
    <w:p w:rsidR="00000000" w:rsidDel="00000000" w:rsidP="00000000" w:rsidRDefault="00000000" w:rsidRPr="00000000" w14:paraId="00000144">
      <w:pPr>
        <w:spacing w:after="240" w:line="360" w:lineRule="auto"/>
        <w:rPr>
          <w:sz w:val="24"/>
          <w:szCs w:val="24"/>
        </w:rPr>
      </w:pPr>
      <w:r w:rsidDel="00000000" w:rsidR="00000000" w:rsidRPr="00000000">
        <w:rPr>
          <w:sz w:val="24"/>
          <w:szCs w:val="24"/>
          <w:rtl w:val="0"/>
        </w:rPr>
        <w:t xml:space="preserve">Zhang, Y., Li, D., Gómez-Ruano, M.-Á., Memmert, D., Li, C. and Fu, M. (2022). The effect of the video assistant referee (VAR) on referees’ decisions at FIFA Women’s World Cups. </w:t>
      </w:r>
      <w:r w:rsidDel="00000000" w:rsidR="00000000" w:rsidRPr="00000000">
        <w:rPr>
          <w:i w:val="1"/>
          <w:sz w:val="24"/>
          <w:szCs w:val="24"/>
          <w:rtl w:val="0"/>
        </w:rPr>
        <w:t xml:space="preserve">Frontiers in Psychology</w:t>
      </w:r>
      <w:r w:rsidDel="00000000" w:rsidR="00000000" w:rsidRPr="00000000">
        <w:rPr>
          <w:sz w:val="24"/>
          <w:szCs w:val="24"/>
          <w:rtl w:val="0"/>
        </w:rPr>
        <w:t xml:space="preserve">, [online] 13. doi:</w:t>
      </w:r>
      <w:hyperlink r:id="rId46">
        <w:r w:rsidDel="00000000" w:rsidR="00000000" w:rsidRPr="00000000">
          <w:rPr>
            <w:color w:val="1155cc"/>
            <w:sz w:val="24"/>
            <w:szCs w:val="24"/>
            <w:u w:val="single"/>
            <w:rtl w:val="0"/>
          </w:rPr>
          <w:t xml:space="preserve">https://doi.org/10.3389/fpsyg.2022.984367</w:t>
        </w:r>
      </w:hyperlink>
      <w:r w:rsidDel="00000000" w:rsidR="00000000" w:rsidRPr="00000000">
        <w:rPr>
          <w:sz w:val="24"/>
          <w:szCs w:val="24"/>
          <w:rtl w:val="0"/>
        </w:rPr>
        <w:t xml:space="preserve">. </w:t>
      </w:r>
    </w:p>
    <w:p w:rsidR="00000000" w:rsidDel="00000000" w:rsidP="00000000" w:rsidRDefault="00000000" w:rsidRPr="00000000" w14:paraId="00000145">
      <w:pPr>
        <w:spacing w:line="360" w:lineRule="auto"/>
        <w:rPr>
          <w:sz w:val="24"/>
          <w:szCs w:val="24"/>
        </w:rPr>
      </w:pPr>
      <w:r w:rsidDel="00000000" w:rsidR="00000000" w:rsidRPr="00000000">
        <w:rPr>
          <w:rtl w:val="0"/>
        </w:rPr>
      </w:r>
    </w:p>
    <w:p w:rsidR="00000000" w:rsidDel="00000000" w:rsidP="00000000" w:rsidRDefault="00000000" w:rsidRPr="00000000" w14:paraId="00000146">
      <w:pPr>
        <w:rPr>
          <w:rFonts w:ascii="Times New Roman" w:cs="Times New Roman" w:eastAsia="Times New Roman" w:hAnsi="Times New Roman"/>
          <w:sz w:val="24"/>
          <w:szCs w:val="24"/>
        </w:rPr>
      </w:pPr>
      <w:r w:rsidDel="00000000" w:rsidR="00000000" w:rsidRPr="00000000">
        <w:rPr>
          <w:rtl w:val="0"/>
        </w:rPr>
      </w:r>
    </w:p>
    <w:sectPr>
      <w:footerReference r:id="rId4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MS Gothic"/>
  <w:font w:name="Times New Roman"/>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portingbounce.com/blog/the-science-of-home-advantage-in-sports" TargetMode="External"/><Relationship Id="rId20" Type="http://schemas.openxmlformats.org/officeDocument/2006/relationships/hyperlink" Target="http://mixedmethodsappraisaltoolpublic.pbworks.com/w/file/fetch/127916259/MMAT_2018_criteria-manual_2018-08-01_ENG.pdf" TargetMode="External"/><Relationship Id="rId42" Type="http://schemas.openxmlformats.org/officeDocument/2006/relationships/hyperlink" Target="https://doi.org/10.1186/1471-2288-8-45" TargetMode="External"/><Relationship Id="rId41" Type="http://schemas.openxmlformats.org/officeDocument/2006/relationships/hyperlink" Target="https://doi.org/10.1177/17543371241313252" TargetMode="External"/><Relationship Id="rId22" Type="http://schemas.openxmlformats.org/officeDocument/2006/relationships/hyperlink" Target="https://doi.org/10.1080/24748668.2002.11868263" TargetMode="External"/><Relationship Id="rId44" Type="http://schemas.openxmlformats.org/officeDocument/2006/relationships/hyperlink" Target="https://doi.org/10.1371/journal.pone.0289899" TargetMode="External"/><Relationship Id="rId21" Type="http://schemas.openxmlformats.org/officeDocument/2006/relationships/hyperlink" Target="https://www.isspf.com/articles/the-impact-of-altitude-on-soccer-performance/" TargetMode="External"/><Relationship Id="rId43" Type="http://schemas.openxmlformats.org/officeDocument/2006/relationships/hyperlink" Target="https://doi.org/10.1123/jsep.32.4.483" TargetMode="External"/><Relationship Id="rId24" Type="http://schemas.openxmlformats.org/officeDocument/2006/relationships/hyperlink" Target="https://doi.org/10.2478/v10078-010-0036-z" TargetMode="External"/><Relationship Id="rId46" Type="http://schemas.openxmlformats.org/officeDocument/2006/relationships/hyperlink" Target="https://doi.org/10.3389/fpsyg.2022.984367" TargetMode="External"/><Relationship Id="rId23" Type="http://schemas.openxmlformats.org/officeDocument/2006/relationships/hyperlink" Target="https://www.proquest.com/docview/229402350?accountid=130472&amp;parentSessionId=g8YlApzkvI3X7j6y3%2FP2N4Asrjxlqr2pSHfAjHLfS6o%3D&amp;pq-origsite=primo&amp;sourcetype=Scholarly%20Journals" TargetMode="External"/><Relationship Id="rId45" Type="http://schemas.openxmlformats.org/officeDocument/2006/relationships/hyperlink" Target="https://doi.org/10.1371/journal.pone.024859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80/14660970.2024.2333487" TargetMode="External"/><Relationship Id="rId26" Type="http://schemas.openxmlformats.org/officeDocument/2006/relationships/hyperlink" Target="https://doi.org/10.11144/javeriana.upsy12-3.hasp" TargetMode="External"/><Relationship Id="rId25" Type="http://schemas.openxmlformats.org/officeDocument/2006/relationships/hyperlink" Target="https://doi.org/10.1177/1941738112442340" TargetMode="External"/><Relationship Id="rId47" Type="http://schemas.openxmlformats.org/officeDocument/2006/relationships/footer" Target="footer1.xml"/><Relationship Id="rId28" Type="http://schemas.openxmlformats.org/officeDocument/2006/relationships/hyperlink" Target="https://www.researchgate.net/publication/12734772_Home_advantage_in_sport_an_overview_of_studies_on_the_advantage_of_playing_at_home" TargetMode="External"/><Relationship Id="rId27" Type="http://schemas.openxmlformats.org/officeDocument/2006/relationships/hyperlink" Target="https://doi.org/10.1136/bmj.39393.451516.ad"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doi.org/10.1016/s1469-0292(01)00033-4" TargetMode="External"/><Relationship Id="rId7" Type="http://schemas.openxmlformats.org/officeDocument/2006/relationships/image" Target="media/image1.gif"/><Relationship Id="rId8" Type="http://schemas.openxmlformats.org/officeDocument/2006/relationships/image" Target="media/image3.png"/><Relationship Id="rId31" Type="http://schemas.openxmlformats.org/officeDocument/2006/relationships/hyperlink" Target="https://doi.org/10.3389/fspor.2021.739570" TargetMode="External"/><Relationship Id="rId30" Type="http://schemas.openxmlformats.org/officeDocument/2006/relationships/hyperlink" Target="https://doi.org/10.2165/00007256-199928040-00001" TargetMode="External"/><Relationship Id="rId11" Type="http://schemas.openxmlformats.org/officeDocument/2006/relationships/hyperlink" Target="https://doi.org/10.1016/j.econlet.2020.109664" TargetMode="External"/><Relationship Id="rId33" Type="http://schemas.openxmlformats.org/officeDocument/2006/relationships/hyperlink" Target="https://doi.org/10.2174/1875399x00801010012" TargetMode="External"/><Relationship Id="rId10" Type="http://schemas.openxmlformats.org/officeDocument/2006/relationships/hyperlink" Target="https://doi.org/10.1080/02640410601038576" TargetMode="External"/><Relationship Id="rId32" Type="http://schemas.openxmlformats.org/officeDocument/2006/relationships/hyperlink" Target="https://doi.org/10.1080/02640410500141836" TargetMode="External"/><Relationship Id="rId13" Type="http://schemas.openxmlformats.org/officeDocument/2006/relationships/hyperlink" Target="https://casp-uk.net/casp-tools-checklists/" TargetMode="External"/><Relationship Id="rId35" Type="http://schemas.openxmlformats.org/officeDocument/2006/relationships/hyperlink" Target="https://www.prisma-statement.org/" TargetMode="External"/><Relationship Id="rId12" Type="http://schemas.openxmlformats.org/officeDocument/2006/relationships/hyperlink" Target="https://doi.org/10.1080/02640410400021542" TargetMode="External"/><Relationship Id="rId34" Type="http://schemas.openxmlformats.org/officeDocument/2006/relationships/hyperlink" Target="https://www.researchgate.net/publication/233866356_Guidance_on_the_conduct_of_narrative_synthesis_in_systematic_reviews_A_product_from_the_ESRC_Methods_Programme" TargetMode="External"/><Relationship Id="rId15" Type="http://schemas.openxmlformats.org/officeDocument/2006/relationships/hyperlink" Target="https://doi.org/10.1123/ijspp.2022-0230" TargetMode="External"/><Relationship Id="rId37" Type="http://schemas.openxmlformats.org/officeDocument/2006/relationships/hyperlink" Target="https://doi.org/10.1111/ecin.13063" TargetMode="External"/><Relationship Id="rId14" Type="http://schemas.openxmlformats.org/officeDocument/2006/relationships/hyperlink" Target="https://www.premierleague.com/news/2916832" TargetMode="External"/><Relationship Id="rId36" Type="http://schemas.openxmlformats.org/officeDocument/2006/relationships/hyperlink" Target="https://doi.org/10.1080/24704067.2021.1951614" TargetMode="External"/><Relationship Id="rId17" Type="http://schemas.openxmlformats.org/officeDocument/2006/relationships/hyperlink" Target="https://doi.org/10.4103/sja.sja_767_17" TargetMode="External"/><Relationship Id="rId39" Type="http://schemas.openxmlformats.org/officeDocument/2006/relationships/hyperlink" Target="https://doi.org/10.1080/17461391.2020.1845814" TargetMode="External"/><Relationship Id="rId16" Type="http://schemas.openxmlformats.org/officeDocument/2006/relationships/hyperlink" Target="https://casp-uk.net/pico-framework/" TargetMode="External"/><Relationship Id="rId38" Type="http://schemas.openxmlformats.org/officeDocument/2006/relationships/hyperlink" Target="https://doi.org/10.1519/jsc.0000000000002147" TargetMode="External"/><Relationship Id="rId19" Type="http://schemas.openxmlformats.org/officeDocument/2006/relationships/hyperlink" Target="https://doi.org/10.1080/17461391.2012.686062" TargetMode="External"/><Relationship Id="rId18" Type="http://schemas.openxmlformats.org/officeDocument/2006/relationships/hyperlink" Target="https://www.canva.com/design/DAGjqPBdVEY/BJmYnGZtu_9UxXyZK0kWEg/edit?utm_content=DAGjqPBdVEY&amp;utm_campaign=designshare&amp;utm_medium=link2&amp;utm_source=sharebut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