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b w:val="1"/>
          <w:u w:val="single"/>
          <w:rtl w:val="0"/>
        </w:rPr>
        <w:t xml:space="preserve">To what extent does Donne’s Devotions upon Emergent Occasions conform either to the notion that disease is ‘the wil of God rightfully punishing wicked menne’ (Thomas Phaire, The Regiment of Life (1553)) or that ‘affliction is a treasure’ by which we are ‘made fit for God’ (Meditation XVII)?</w:t>
      </w:r>
      <w:r w:rsidDel="00000000" w:rsidR="00000000" w:rsidRPr="00000000">
        <w:rPr>
          <w:rtl w:val="0"/>
        </w:rPr>
        <w:t xml:space="preserve"> </w:t>
      </w:r>
    </w:p>
    <w:p w:rsidR="00000000" w:rsidDel="00000000" w:rsidP="00000000" w:rsidRDefault="00000000" w:rsidRPr="00000000" w14:paraId="00000002">
      <w:pPr>
        <w:rPr/>
      </w:pPr>
      <w:r w:rsidDel="00000000" w:rsidR="00000000" w:rsidRPr="00000000">
        <w:rPr>
          <w:rtl w:val="0"/>
        </w:rPr>
        <w:t xml:space="preserve">Following a severe illness in 1623</w:t>
      </w:r>
      <w:r w:rsidDel="00000000" w:rsidR="00000000" w:rsidRPr="00000000">
        <w:rPr>
          <w:vertAlign w:val="superscript"/>
        </w:rPr>
        <w:footnoteReference w:customMarkFollows="0" w:id="0"/>
      </w:r>
      <w:r w:rsidDel="00000000" w:rsidR="00000000" w:rsidRPr="00000000">
        <w:rPr>
          <w:rtl w:val="0"/>
        </w:rPr>
        <w:t xml:space="preserve">, likely to be typhus or fever</w:t>
      </w:r>
      <w:r w:rsidDel="00000000" w:rsidR="00000000" w:rsidRPr="00000000">
        <w:rPr>
          <w:vertAlign w:val="superscript"/>
        </w:rPr>
        <w:footnoteReference w:customMarkFollows="0" w:id="1"/>
      </w:r>
      <w:r w:rsidDel="00000000" w:rsidR="00000000" w:rsidRPr="00000000">
        <w:rPr>
          <w:rtl w:val="0"/>
        </w:rPr>
        <w:t xml:space="preserve">, Donne wrote and published his </w:t>
      </w:r>
      <w:r w:rsidDel="00000000" w:rsidR="00000000" w:rsidRPr="00000000">
        <w:rPr>
          <w:i w:val="1"/>
          <w:rtl w:val="0"/>
        </w:rPr>
        <w:t xml:space="preserve">Devotions upon Emergent Occasions</w:t>
      </w:r>
      <w:r w:rsidDel="00000000" w:rsidR="00000000" w:rsidRPr="00000000">
        <w:rPr>
          <w:rtl w:val="0"/>
        </w:rPr>
        <w:t xml:space="preserve"> the following year in 1624</w:t>
      </w:r>
      <w:r w:rsidDel="00000000" w:rsidR="00000000" w:rsidRPr="00000000">
        <w:rPr>
          <w:vertAlign w:val="superscript"/>
        </w:rPr>
        <w:footnoteReference w:customMarkFollows="0" w:id="2"/>
      </w:r>
      <w:r w:rsidDel="00000000" w:rsidR="00000000" w:rsidRPr="00000000">
        <w:rPr>
          <w:rtl w:val="0"/>
        </w:rPr>
        <w:t xml:space="preserve">. A piece of prose of some renown, the Devotions is a work of self-reflection and an examination of death and the concept of sickness as a visit from God due to sinfulness. That sickness is a punishment from God and the means by which man is made fit for him are prevalent themes throughout the Devotions, but the extent to which Donne’s </w:t>
      </w:r>
      <w:r w:rsidDel="00000000" w:rsidR="00000000" w:rsidRPr="00000000">
        <w:rPr>
          <w:i w:val="1"/>
          <w:rtl w:val="0"/>
        </w:rPr>
        <w:t xml:space="preserve">Devotions upon Emergent Occasions</w:t>
      </w:r>
      <w:r w:rsidDel="00000000" w:rsidR="00000000" w:rsidRPr="00000000">
        <w:rPr>
          <w:rtl w:val="0"/>
        </w:rPr>
        <w:t xml:space="preserve"> conforms to either is subject to some debate.</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John Donne was a dean of London’s st.Paul’s Cathedral between 1621-1631, born sometime in 1572, and was well renowned as an English Metaphysical poet</w:t>
      </w:r>
      <w:r w:rsidDel="00000000" w:rsidR="00000000" w:rsidRPr="00000000">
        <w:rPr>
          <w:vertAlign w:val="superscript"/>
        </w:rPr>
        <w:footnoteReference w:customMarkFollows="0" w:id="3"/>
      </w:r>
      <w:r w:rsidDel="00000000" w:rsidR="00000000" w:rsidRPr="00000000">
        <w:rPr>
          <w:rtl w:val="0"/>
        </w:rPr>
        <w:t xml:space="preserve">, often being considered one of if not “the greatest love poet in the English language”</w:t>
      </w:r>
      <w:r w:rsidDel="00000000" w:rsidR="00000000" w:rsidRPr="00000000">
        <w:rPr>
          <w:vertAlign w:val="superscript"/>
        </w:rPr>
        <w:footnoteReference w:customMarkFollows="0" w:id="4"/>
      </w:r>
      <w:r w:rsidDel="00000000" w:rsidR="00000000" w:rsidRPr="00000000">
        <w:rPr>
          <w:rtl w:val="0"/>
        </w:rPr>
        <w:t xml:space="preserve">, additionally noted for sermons, religious verse, etc, which are said to be among the best of the 17th century</w:t>
      </w:r>
      <w:r w:rsidDel="00000000" w:rsidR="00000000" w:rsidRPr="00000000">
        <w:rPr>
          <w:vertAlign w:val="superscript"/>
        </w:rPr>
        <w:footnoteReference w:customMarkFollows="0" w:id="5"/>
      </w:r>
      <w:r w:rsidDel="00000000" w:rsidR="00000000" w:rsidRPr="00000000">
        <w:rPr>
          <w:rtl w:val="0"/>
        </w:rPr>
        <w:t xml:space="preserve">. Born to roman catholic parents</w:t>
      </w:r>
      <w:r w:rsidDel="00000000" w:rsidR="00000000" w:rsidRPr="00000000">
        <w:rPr>
          <w:vertAlign w:val="superscript"/>
        </w:rPr>
        <w:footnoteReference w:customMarkFollows="0" w:id="6"/>
      </w:r>
      <w:r w:rsidDel="00000000" w:rsidR="00000000" w:rsidRPr="00000000">
        <w:rPr>
          <w:rtl w:val="0"/>
        </w:rPr>
        <w:t xml:space="preserve">, his mother was the youngest daughter of John Heywood - a playwright - and his father a wealthy merchant supposedly descended from an ancient welsh family</w:t>
      </w:r>
      <w:r w:rsidDel="00000000" w:rsidR="00000000" w:rsidRPr="00000000">
        <w:rPr>
          <w:vertAlign w:val="superscript"/>
        </w:rPr>
        <w:footnoteReference w:customMarkFollows="0" w:id="7"/>
      </w:r>
      <w:r w:rsidDel="00000000" w:rsidR="00000000" w:rsidRPr="00000000">
        <w:rPr>
          <w:rtl w:val="0"/>
        </w:rPr>
        <w:t xml:space="preserve">, Donne’s father died when Donne was very young, only four years old, after which his mother married another man who raised the Donne children, Dr. John Syminges</w:t>
      </w:r>
      <w:r w:rsidDel="00000000" w:rsidR="00000000" w:rsidRPr="00000000">
        <w:rPr>
          <w:vertAlign w:val="superscript"/>
        </w:rPr>
        <w:footnoteReference w:customMarkFollows="0" w:id="8"/>
      </w:r>
      <w:r w:rsidDel="00000000" w:rsidR="00000000" w:rsidRPr="00000000">
        <w:rPr>
          <w:rtl w:val="0"/>
        </w:rPr>
        <w:t xml:space="preserve">.</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At twelve John Donne attended and studied at the University of Oxford for three years, continuing at the University of Cambridge, though likely due to his faith did not receive a degree at either as he could not swear an oath to queen Elizabeth, as due to his upbringing as a Catholic he could not swear allegiance to a Protestant monarch</w:t>
      </w:r>
      <w:r w:rsidDel="00000000" w:rsidR="00000000" w:rsidRPr="00000000">
        <w:rPr>
          <w:vertAlign w:val="superscript"/>
        </w:rPr>
        <w:footnoteReference w:customMarkFollows="0" w:id="9"/>
      </w:r>
      <w:r w:rsidDel="00000000" w:rsidR="00000000" w:rsidRPr="00000000">
        <w:rPr>
          <w:rtl w:val="0"/>
        </w:rPr>
        <w:t xml:space="preserve">. Following this, it was likely that Donne travelled, such as to Spain and Italy</w:t>
      </w:r>
      <w:r w:rsidDel="00000000" w:rsidR="00000000" w:rsidRPr="00000000">
        <w:rPr>
          <w:vertAlign w:val="superscript"/>
        </w:rPr>
        <w:footnoteReference w:customMarkFollows="0" w:id="10"/>
      </w:r>
      <w:r w:rsidDel="00000000" w:rsidR="00000000" w:rsidRPr="00000000">
        <w:rPr>
          <w:rtl w:val="0"/>
        </w:rPr>
        <w:t xml:space="preserve">, before returning to London to read law sometime between 1591 and 1594 where he began to examine Catholic and Protestant theology</w:t>
      </w:r>
      <w:r w:rsidDel="00000000" w:rsidR="00000000" w:rsidRPr="00000000">
        <w:rPr>
          <w:vertAlign w:val="superscript"/>
        </w:rPr>
        <w:footnoteReference w:customMarkFollows="0" w:id="11"/>
      </w:r>
      <w:r w:rsidDel="00000000" w:rsidR="00000000" w:rsidRPr="00000000">
        <w:rPr>
          <w:rtl w:val="0"/>
        </w:rPr>
        <w:t xml:space="preserve">. Returning to London in 1597 following a privateering expedition and a second disastrous expedition with sir Walter Raleigh</w:t>
      </w:r>
      <w:r w:rsidDel="00000000" w:rsidR="00000000" w:rsidRPr="00000000">
        <w:rPr>
          <w:vertAlign w:val="superscript"/>
        </w:rPr>
        <w:footnoteReference w:customMarkFollows="0" w:id="12"/>
      </w:r>
      <w:r w:rsidDel="00000000" w:rsidR="00000000" w:rsidRPr="00000000">
        <w:rPr>
          <w:rtl w:val="0"/>
        </w:rPr>
        <w:t xml:space="preserve">, Donne was anointed to the lord keeper of the great seal Sir Thomas of Egerton as a secretary, which suggests that sometime prior to this he had become an Anglican</w:t>
      </w:r>
      <w:r w:rsidDel="00000000" w:rsidR="00000000" w:rsidRPr="00000000">
        <w:rPr>
          <w:vertAlign w:val="superscript"/>
        </w:rPr>
        <w:footnoteReference w:customMarkFollows="0" w:id="13"/>
      </w:r>
      <w:r w:rsidDel="00000000" w:rsidR="00000000" w:rsidRPr="00000000">
        <w:rPr>
          <w:rtl w:val="0"/>
        </w:rPr>
        <w:t xml:space="preserve">.</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After marrying Anne Moore in 1601 in secret, as her father sir George More was unlikely to give them his blessing, Donne was briefly imprisoned for the marriage and became disgraced, being unable to find employment especially in public service</w:t>
      </w:r>
      <w:r w:rsidDel="00000000" w:rsidR="00000000" w:rsidRPr="00000000">
        <w:rPr>
          <w:vertAlign w:val="superscript"/>
        </w:rPr>
        <w:footnoteReference w:customMarkFollows="0" w:id="14"/>
      </w:r>
      <w:r w:rsidDel="00000000" w:rsidR="00000000" w:rsidRPr="00000000">
        <w:rPr>
          <w:rtl w:val="0"/>
        </w:rPr>
        <w:t xml:space="preserve"> and for the next decade Donne lived in poverty and dependence on charity, first on Anne’s cousin and then noble patrons</w:t>
      </w:r>
      <w:r w:rsidDel="00000000" w:rsidR="00000000" w:rsidRPr="00000000">
        <w:rPr>
          <w:vertAlign w:val="superscript"/>
        </w:rPr>
        <w:footnoteReference w:customMarkFollows="0" w:id="15"/>
      </w:r>
      <w:r w:rsidDel="00000000" w:rsidR="00000000" w:rsidRPr="00000000">
        <w:rPr>
          <w:rtl w:val="0"/>
        </w:rPr>
        <w:t xml:space="preserve">. Despite his letters and writings showing only care and love for Anne, Donne’s writings on himself show increasing despair at his failures to work and provide</w:t>
      </w:r>
      <w:r w:rsidDel="00000000" w:rsidR="00000000" w:rsidRPr="00000000">
        <w:rPr>
          <w:vertAlign w:val="superscript"/>
        </w:rPr>
        <w:footnoteReference w:customMarkFollows="0" w:id="16"/>
      </w:r>
      <w:r w:rsidDel="00000000" w:rsidR="00000000" w:rsidRPr="00000000">
        <w:rPr>
          <w:rtl w:val="0"/>
        </w:rPr>
        <w:t xml:space="preserve">; still, Donne continued his studies, producing works of prose on a number of topics, notably on theology, to love poems and lyrics and theological poems</w:t>
      </w:r>
      <w:r w:rsidDel="00000000" w:rsidR="00000000" w:rsidRPr="00000000">
        <w:rPr>
          <w:vertAlign w:val="superscript"/>
        </w:rPr>
        <w:footnoteReference w:customMarkFollows="0" w:id="17"/>
      </w:r>
      <w:r w:rsidDel="00000000" w:rsidR="00000000" w:rsidRPr="00000000">
        <w:rPr>
          <w:rtl w:val="0"/>
        </w:rPr>
        <w:t xml:space="preserve">. After being refused a post at court in 1614 by king James I Donne finally accepted a religious vocation and became ordained as deacon and priest in 1615</w:t>
      </w:r>
      <w:r w:rsidDel="00000000" w:rsidR="00000000" w:rsidRPr="00000000">
        <w:rPr>
          <w:vertAlign w:val="superscript"/>
        </w:rPr>
        <w:footnoteReference w:customMarkFollows="0" w:id="18"/>
      </w:r>
      <w:r w:rsidDel="00000000" w:rsidR="00000000" w:rsidRPr="00000000">
        <w:rPr>
          <w:rtl w:val="0"/>
        </w:rPr>
        <w:t xml:space="preserve">, and became Dean of st. Paul’s Cathedral in 16121</w:t>
      </w:r>
      <w:r w:rsidDel="00000000" w:rsidR="00000000" w:rsidRPr="00000000">
        <w:rPr>
          <w:vertAlign w:val="superscript"/>
        </w:rPr>
        <w:footnoteReference w:customMarkFollows="0" w:id="19"/>
      </w:r>
      <w:r w:rsidDel="00000000" w:rsidR="00000000" w:rsidRPr="00000000">
        <w:rPr>
          <w:rtl w:val="0"/>
        </w:rPr>
        <w:t xml:space="preserve">.</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Donne wrote and published his </w:t>
      </w:r>
      <w:r w:rsidDel="00000000" w:rsidR="00000000" w:rsidRPr="00000000">
        <w:rPr>
          <w:i w:val="1"/>
          <w:rtl w:val="0"/>
        </w:rPr>
        <w:t xml:space="preserve">Devotions upon Emergent Occasions</w:t>
      </w:r>
      <w:r w:rsidDel="00000000" w:rsidR="00000000" w:rsidRPr="00000000">
        <w:rPr>
          <w:rtl w:val="0"/>
        </w:rPr>
        <w:t xml:space="preserve"> in 1624 following an illness the year prior in 1623</w:t>
      </w:r>
      <w:r w:rsidDel="00000000" w:rsidR="00000000" w:rsidRPr="00000000">
        <w:rPr>
          <w:vertAlign w:val="superscript"/>
        </w:rPr>
        <w:footnoteReference w:customMarkFollows="0" w:id="20"/>
      </w:r>
      <w:r w:rsidDel="00000000" w:rsidR="00000000" w:rsidRPr="00000000">
        <w:rPr>
          <w:rtl w:val="0"/>
        </w:rPr>
        <w:t xml:space="preserve">. While the nature of his illness itself is speculated - being perhaps typhus or a relapsing fever</w:t>
      </w:r>
      <w:r w:rsidDel="00000000" w:rsidR="00000000" w:rsidRPr="00000000">
        <w:rPr>
          <w:vertAlign w:val="superscript"/>
        </w:rPr>
        <w:footnoteReference w:customMarkFollows="0" w:id="21"/>
      </w:r>
      <w:r w:rsidDel="00000000" w:rsidR="00000000" w:rsidRPr="00000000">
        <w:rPr>
          <w:rtl w:val="0"/>
        </w:rPr>
        <w:t xml:space="preserve"> - Donne’s </w:t>
      </w:r>
      <w:r w:rsidDel="00000000" w:rsidR="00000000" w:rsidRPr="00000000">
        <w:rPr>
          <w:i w:val="1"/>
          <w:rtl w:val="0"/>
        </w:rPr>
        <w:t xml:space="preserve">Devotions upon Emergent Occasions</w:t>
      </w:r>
      <w:r w:rsidDel="00000000" w:rsidR="00000000" w:rsidRPr="00000000">
        <w:rPr>
          <w:rtl w:val="0"/>
        </w:rPr>
        <w:t xml:space="preserve"> are his prose writings of his illness and acts as a reflection and examination of the parallels between “physical and spiritual illnesses”</w:t>
      </w:r>
      <w:r w:rsidDel="00000000" w:rsidR="00000000" w:rsidRPr="00000000">
        <w:rPr>
          <w:vertAlign w:val="superscript"/>
        </w:rPr>
        <w:footnoteReference w:customMarkFollows="0" w:id="22"/>
      </w:r>
      <w:r w:rsidDel="00000000" w:rsidR="00000000" w:rsidRPr="00000000">
        <w:rPr>
          <w:rtl w:val="0"/>
        </w:rPr>
        <w:t xml:space="preserve">. And, t</w:t>
      </w:r>
      <w:r w:rsidDel="00000000" w:rsidR="00000000" w:rsidRPr="00000000">
        <w:rPr>
          <w:rtl w:val="0"/>
        </w:rPr>
        <w:t xml:space="preserve">o a rather large degree, Donne’s </w:t>
      </w:r>
      <w:r w:rsidDel="00000000" w:rsidR="00000000" w:rsidRPr="00000000">
        <w:rPr>
          <w:i w:val="1"/>
          <w:rtl w:val="0"/>
        </w:rPr>
        <w:t xml:space="preserve">Devotions upon Emergent Occasions</w:t>
      </w:r>
      <w:r w:rsidDel="00000000" w:rsidR="00000000" w:rsidRPr="00000000">
        <w:rPr>
          <w:rtl w:val="0"/>
        </w:rPr>
        <w:t xml:space="preserve"> does certainly conform to the notions that disease is the will and rightful punishment of the wicked by God.</w:t>
      </w: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As described by Jonathan Goldberg in </w:t>
      </w:r>
      <w:r w:rsidDel="00000000" w:rsidR="00000000" w:rsidRPr="00000000">
        <w:rPr>
          <w:i w:val="1"/>
          <w:rtl w:val="0"/>
        </w:rPr>
        <w:t xml:space="preserve">The Understanding of Sickness in Donne's Devotions</w:t>
      </w:r>
      <w:r w:rsidDel="00000000" w:rsidR="00000000" w:rsidRPr="00000000">
        <w:rPr>
          <w:rtl w:val="0"/>
        </w:rPr>
        <w:t xml:space="preserve">, “</w:t>
      </w:r>
      <w:r w:rsidDel="00000000" w:rsidR="00000000" w:rsidRPr="00000000">
        <w:rPr>
          <w:rtl w:val="0"/>
        </w:rPr>
        <w:t xml:space="preserve">The belief that God visits man through illness pervades all prayer books, no matter of what type or subgenre”</w:t>
      </w:r>
      <w:r w:rsidDel="00000000" w:rsidR="00000000" w:rsidRPr="00000000">
        <w:rPr>
          <w:vertAlign w:val="superscript"/>
        </w:rPr>
        <w:footnoteReference w:customMarkFollows="0" w:id="23"/>
      </w:r>
      <w:r w:rsidDel="00000000" w:rsidR="00000000" w:rsidRPr="00000000">
        <w:rPr>
          <w:rtl w:val="0"/>
        </w:rPr>
        <w:t xml:space="preserve">. In the Book of Common Prayer, for example, a minister explains to the sick that God is the lord over life, death, and all things, and that sickness is a visitation from God</w:t>
      </w:r>
      <w:r w:rsidDel="00000000" w:rsidR="00000000" w:rsidRPr="00000000">
        <w:rPr>
          <w:vertAlign w:val="superscript"/>
        </w:rPr>
        <w:footnoteReference w:customMarkFollows="0" w:id="24"/>
      </w:r>
      <w:r w:rsidDel="00000000" w:rsidR="00000000" w:rsidRPr="00000000">
        <w:rPr>
          <w:rtl w:val="0"/>
        </w:rPr>
        <w:t xml:space="preserve">. Manuals on illness and the behaviour of illness further reinforces the importance of God’s role in illness by beginning with the point that God has power over all things, and sickness is a visitation from him</w:t>
      </w:r>
      <w:r w:rsidDel="00000000" w:rsidR="00000000" w:rsidRPr="00000000">
        <w:rPr>
          <w:vertAlign w:val="superscript"/>
        </w:rPr>
        <w:footnoteReference w:customMarkFollows="0" w:id="25"/>
      </w:r>
      <w:r w:rsidDel="00000000" w:rsidR="00000000" w:rsidRPr="00000000">
        <w:rPr>
          <w:rtl w:val="0"/>
        </w:rPr>
        <w:t xml:space="preserve">, and in Donne’s Devotions Donne reorders his experiences of his illness in order to correspond with points laid out in prayer books</w:t>
      </w:r>
      <w:r w:rsidDel="00000000" w:rsidR="00000000" w:rsidRPr="00000000">
        <w:rPr>
          <w:vertAlign w:val="superscript"/>
        </w:rPr>
        <w:footnoteReference w:customMarkFollows="0" w:id="26"/>
      </w:r>
      <w:r w:rsidDel="00000000" w:rsidR="00000000" w:rsidRPr="00000000">
        <w:rPr>
          <w:rtl w:val="0"/>
        </w:rPr>
        <w:t xml:space="preserve"> to conform to this idea of visitation</w:t>
      </w:r>
      <w:r w:rsidDel="00000000" w:rsidR="00000000" w:rsidRPr="00000000">
        <w:rPr>
          <w:vertAlign w:val="superscript"/>
        </w:rPr>
        <w:footnoteReference w:customMarkFollows="0" w:id="27"/>
      </w:r>
      <w:r w:rsidDel="00000000" w:rsidR="00000000" w:rsidRPr="00000000">
        <w:rPr>
          <w:rtl w:val="0"/>
        </w:rPr>
        <w:t xml:space="preserve">.</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He orders his days into seven metaphorical days, the first of which identifies his illness with a visitation of God, writing that “‘this is the day of thy visitation, thy coming to me”</w:t>
      </w:r>
      <w:r w:rsidDel="00000000" w:rsidR="00000000" w:rsidRPr="00000000">
        <w:rPr>
          <w:vertAlign w:val="superscript"/>
        </w:rPr>
        <w:footnoteReference w:customMarkFollows="0" w:id="28"/>
      </w:r>
      <w:r w:rsidDel="00000000" w:rsidR="00000000" w:rsidRPr="00000000">
        <w:rPr>
          <w:rtl w:val="0"/>
        </w:rPr>
        <w:t xml:space="preserve">, implying God, which then “leads me from my first day, thy visitation by sickness, to a second, to the light and testimony of my conscience”</w:t>
      </w:r>
      <w:r w:rsidDel="00000000" w:rsidR="00000000" w:rsidRPr="00000000">
        <w:rPr>
          <w:vertAlign w:val="superscript"/>
        </w:rPr>
        <w:footnoteReference w:customMarkFollows="0" w:id="29"/>
      </w:r>
      <w:r w:rsidDel="00000000" w:rsidR="00000000" w:rsidRPr="00000000">
        <w:rPr>
          <w:rtl w:val="0"/>
        </w:rPr>
        <w:t xml:space="preserve"> which further reinforces both that this unnamed visitor is God and that Donne’s sickness is a manifestation of it. This acknowledgment of his visitation from God thus leads to the “traditional dilemma of the relationship of sickness to sin and salvation”</w:t>
      </w:r>
      <w:r w:rsidDel="00000000" w:rsidR="00000000" w:rsidRPr="00000000">
        <w:rPr>
          <w:vertAlign w:val="superscript"/>
        </w:rPr>
        <w:footnoteReference w:customMarkFollows="0" w:id="30"/>
      </w:r>
      <w:r w:rsidDel="00000000" w:rsidR="00000000" w:rsidRPr="00000000">
        <w:rPr>
          <w:rtl w:val="0"/>
        </w:rPr>
        <w:t xml:space="preserve">.</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As described by George Christian Anderson in </w:t>
      </w:r>
      <w:r w:rsidDel="00000000" w:rsidR="00000000" w:rsidRPr="00000000">
        <w:rPr>
          <w:i w:val="1"/>
          <w:rtl w:val="0"/>
        </w:rPr>
        <w:t xml:space="preserve">Medieval Medicine for Sin</w:t>
      </w:r>
      <w:r w:rsidDel="00000000" w:rsidR="00000000" w:rsidRPr="00000000">
        <w:rPr>
          <w:rtl w:val="0"/>
        </w:rPr>
        <w:t xml:space="preserve">, “From earliest times, man has sought a way to get rid of sin”</w:t>
      </w:r>
      <w:r w:rsidDel="00000000" w:rsidR="00000000" w:rsidRPr="00000000">
        <w:rPr>
          <w:vertAlign w:val="superscript"/>
        </w:rPr>
        <w:footnoteReference w:customMarkFollows="0" w:id="31"/>
      </w:r>
      <w:r w:rsidDel="00000000" w:rsidR="00000000" w:rsidRPr="00000000">
        <w:rPr>
          <w:rtl w:val="0"/>
        </w:rPr>
        <w:t xml:space="preserve"> and that “Confession was considered to be a form of self-diagnosis of spiritual illness”</w:t>
      </w:r>
      <w:r w:rsidDel="00000000" w:rsidR="00000000" w:rsidRPr="00000000">
        <w:rPr>
          <w:vertAlign w:val="superscript"/>
        </w:rPr>
        <w:footnoteReference w:customMarkFollows="0" w:id="32"/>
      </w:r>
      <w:r w:rsidDel="00000000" w:rsidR="00000000" w:rsidRPr="00000000">
        <w:rPr>
          <w:rtl w:val="0"/>
        </w:rPr>
        <w:t xml:space="preserve">, which also holds true for Donne’s </w:t>
      </w:r>
      <w:r w:rsidDel="00000000" w:rsidR="00000000" w:rsidRPr="00000000">
        <w:rPr>
          <w:i w:val="1"/>
          <w:rtl w:val="0"/>
        </w:rPr>
        <w:t xml:space="preserve">Devotions upon Emergent Occasions</w:t>
      </w:r>
      <w:r w:rsidDel="00000000" w:rsidR="00000000" w:rsidRPr="00000000">
        <w:rPr>
          <w:rtl w:val="0"/>
        </w:rPr>
        <w:t xml:space="preserve">. By recognising his illness as a visitation from God Donne also accepts that his illness is indicative of his sinfulness and wickedness, and yet struggles with the traditional dilemma of the relationship between illness and salvation</w:t>
      </w:r>
      <w:r w:rsidDel="00000000" w:rsidR="00000000" w:rsidRPr="00000000">
        <w:rPr>
          <w:vertAlign w:val="superscript"/>
        </w:rPr>
        <w:footnoteReference w:customMarkFollows="0" w:id="33"/>
      </w:r>
      <w:r w:rsidDel="00000000" w:rsidR="00000000" w:rsidRPr="00000000">
        <w:rPr>
          <w:rtl w:val="0"/>
        </w:rPr>
        <w:t xml:space="preserve">. Further, Donne “recognizes God's visitation as an ambiguous good, for while it may indicate that he has been chosen, it points to his sinfulness”</w:t>
      </w:r>
      <w:r w:rsidDel="00000000" w:rsidR="00000000" w:rsidRPr="00000000">
        <w:rPr>
          <w:vertAlign w:val="superscript"/>
        </w:rPr>
        <w:footnoteReference w:customMarkFollows="0" w:id="34"/>
      </w:r>
      <w:r w:rsidDel="00000000" w:rsidR="00000000" w:rsidRPr="00000000">
        <w:rPr>
          <w:rtl w:val="0"/>
        </w:rPr>
        <w:t xml:space="preserve">.</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Even from the beginning of the </w:t>
      </w:r>
      <w:r w:rsidDel="00000000" w:rsidR="00000000" w:rsidRPr="00000000">
        <w:rPr>
          <w:i w:val="1"/>
          <w:rtl w:val="0"/>
        </w:rPr>
        <w:t xml:space="preserve">Devotions upon Emergent Occasions</w:t>
      </w:r>
      <w:r w:rsidDel="00000000" w:rsidR="00000000" w:rsidRPr="00000000">
        <w:rPr>
          <w:rtl w:val="0"/>
        </w:rPr>
        <w:t xml:space="preserve"> Donne recognises as much, equating human misery with sin in referring often to sickness and the human relationship to it. This conformity to the notion that illness is a punishment from God is further evident through Donne explaining his recovery from illness as a “preternatural birth, in returning to life, from this sickness”</w:t>
      </w:r>
      <w:r w:rsidDel="00000000" w:rsidR="00000000" w:rsidRPr="00000000">
        <w:rPr>
          <w:vertAlign w:val="superscript"/>
        </w:rPr>
        <w:footnoteReference w:customMarkFollows="0" w:id="35"/>
      </w:r>
      <w:r w:rsidDel="00000000" w:rsidR="00000000" w:rsidRPr="00000000">
        <w:rPr>
          <w:rtl w:val="0"/>
        </w:rPr>
        <w:t xml:space="preserve"> after listing his prior births, first his physical birth and then most notably his spiritual birth, a birth that was “supernatural, when I entered into the ministry”</w:t>
      </w:r>
      <w:r w:rsidDel="00000000" w:rsidR="00000000" w:rsidRPr="00000000">
        <w:rPr>
          <w:vertAlign w:val="superscript"/>
        </w:rPr>
        <w:footnoteReference w:customMarkFollows="0" w:id="36"/>
      </w:r>
      <w:r w:rsidDel="00000000" w:rsidR="00000000" w:rsidRPr="00000000">
        <w:rPr>
          <w:rtl w:val="0"/>
        </w:rPr>
        <w:t xml:space="preserve">. By presenting both his illness and spirituality through the metaphor of birth Donne links the two concepts, with this supernatural birth and preternatural birth both linked to God and to a certain extent sin as well, as Christianity is inextricably linked to the concept of sin and original sin, with Donne’s own position linking the fall of Adam with illness, “Adam's fall, then, links sickness and sin, for sickness enters the world”</w:t>
      </w:r>
      <w:r w:rsidDel="00000000" w:rsidR="00000000" w:rsidRPr="00000000">
        <w:rPr>
          <w:vertAlign w:val="superscript"/>
        </w:rPr>
        <w:footnoteReference w:customMarkFollows="0" w:id="37"/>
      </w:r>
      <w:r w:rsidDel="00000000" w:rsidR="00000000" w:rsidRPr="00000000">
        <w:rPr>
          <w:rtl w:val="0"/>
        </w:rPr>
        <w:t xml:space="preserve">.</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Thus in accepting that his illness is a visitation from God Donne recognises in some way that he is being punished for some sin he has committed, which even in the Devotions’ nature as a reflective piece on Donne’s illness, which brings with it a certain element of doubt through Donne’s explorations, implies a certain conformity to such a notion as illness being a punishment from God. But with that comes the notion, expressed by Donne himself, that through illness people are “made fit for God by that affliction”</w:t>
      </w:r>
      <w:r w:rsidDel="00000000" w:rsidR="00000000" w:rsidRPr="00000000">
        <w:rPr>
          <w:vertAlign w:val="superscript"/>
        </w:rPr>
        <w:footnoteReference w:customMarkFollows="0" w:id="38"/>
      </w:r>
      <w:r w:rsidDel="00000000" w:rsidR="00000000" w:rsidRPr="00000000">
        <w:rPr>
          <w:rtl w:val="0"/>
        </w:rPr>
        <w:t xml:space="preserve">, and the extent to which the Devotions agree can be debated.</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Throughout the first of Donne’s meditations he examines the paradox of original sin</w:t>
      </w:r>
      <w:r w:rsidDel="00000000" w:rsidR="00000000" w:rsidRPr="00000000">
        <w:rPr>
          <w:vertAlign w:val="superscript"/>
        </w:rPr>
        <w:footnoteReference w:customMarkFollows="0" w:id="39"/>
      </w:r>
      <w:r w:rsidDel="00000000" w:rsidR="00000000" w:rsidRPr="00000000">
        <w:rPr>
          <w:rtl w:val="0"/>
        </w:rPr>
        <w:t xml:space="preserve">, that sickness “although natural, is unnatural”</w:t>
      </w:r>
      <w:r w:rsidDel="00000000" w:rsidR="00000000" w:rsidRPr="00000000">
        <w:rPr>
          <w:vertAlign w:val="superscript"/>
        </w:rPr>
        <w:footnoteReference w:customMarkFollows="0" w:id="40"/>
      </w:r>
      <w:r w:rsidDel="00000000" w:rsidR="00000000" w:rsidRPr="00000000">
        <w:rPr>
          <w:rtl w:val="0"/>
        </w:rPr>
        <w:t xml:space="preserve">, the paradox that the outbreak of physical sickness is a reflection of ongoing and pervasive spiritual sickness of all man</w:t>
      </w:r>
      <w:r w:rsidDel="00000000" w:rsidR="00000000" w:rsidRPr="00000000">
        <w:rPr>
          <w:vertAlign w:val="superscript"/>
        </w:rPr>
        <w:footnoteReference w:customMarkFollows="0" w:id="41"/>
      </w:r>
      <w:r w:rsidDel="00000000" w:rsidR="00000000" w:rsidRPr="00000000">
        <w:rPr>
          <w:rtl w:val="0"/>
        </w:rPr>
        <w:t xml:space="preserve">. It does not equate Donne’s illness, and sickness in general, with salvation; indeed, even though Donne is himself no worse a sinner than anyone else he nevertheless declares himself the worst of sinners despite never explaining any of those supposed sins, saying that he had “sinned and sinned, and multiplied sin to sin”</w:t>
      </w:r>
      <w:r w:rsidDel="00000000" w:rsidR="00000000" w:rsidRPr="00000000">
        <w:rPr>
          <w:vertAlign w:val="superscript"/>
        </w:rPr>
        <w:footnoteReference w:customMarkFollows="0" w:id="42"/>
      </w:r>
      <w:r w:rsidDel="00000000" w:rsidR="00000000" w:rsidRPr="00000000">
        <w:rPr>
          <w:rtl w:val="0"/>
        </w:rPr>
        <w:t xml:space="preserve"> without any detail or listing of his sins.</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And yet, Donne recognises that sickness does pave the way for salvation; that “although sickness is God's punishment for sin it promises the sufferer that he will experience joy after death”</w:t>
      </w:r>
      <w:r w:rsidDel="00000000" w:rsidR="00000000" w:rsidRPr="00000000">
        <w:rPr>
          <w:vertAlign w:val="superscript"/>
        </w:rPr>
        <w:footnoteReference w:customMarkFollows="0" w:id="43"/>
      </w:r>
      <w:r w:rsidDel="00000000" w:rsidR="00000000" w:rsidRPr="00000000">
        <w:rPr>
          <w:rtl w:val="0"/>
        </w:rPr>
        <w:t xml:space="preserve"> and in sermons Donne preaches as much, saying that through suffering is the way of salvation and that “the best men suffer most”</w:t>
      </w:r>
      <w:r w:rsidDel="00000000" w:rsidR="00000000" w:rsidRPr="00000000">
        <w:rPr>
          <w:vertAlign w:val="superscript"/>
        </w:rPr>
        <w:footnoteReference w:customMarkFollows="0" w:id="44"/>
      </w:r>
      <w:r w:rsidDel="00000000" w:rsidR="00000000" w:rsidRPr="00000000">
        <w:rPr>
          <w:rtl w:val="0"/>
        </w:rPr>
        <w:t xml:space="preserve">. Indeed, he announces in his </w:t>
      </w:r>
      <w:r w:rsidDel="00000000" w:rsidR="00000000" w:rsidRPr="00000000">
        <w:rPr>
          <w:i w:val="1"/>
          <w:rtl w:val="0"/>
        </w:rPr>
        <w:t xml:space="preserve">Devotions upon Emergent Occasions</w:t>
      </w:r>
      <w:r w:rsidDel="00000000" w:rsidR="00000000" w:rsidRPr="00000000">
        <w:rPr>
          <w:rtl w:val="0"/>
        </w:rPr>
        <w:t xml:space="preserve"> that “affliction is a treasure, and scarce any man hath enough of it”</w:t>
      </w:r>
      <w:r w:rsidDel="00000000" w:rsidR="00000000" w:rsidRPr="00000000">
        <w:rPr>
          <w:vertAlign w:val="superscript"/>
        </w:rPr>
        <w:footnoteReference w:customMarkFollows="0" w:id="45"/>
      </w:r>
      <w:r w:rsidDel="00000000" w:rsidR="00000000" w:rsidRPr="00000000">
        <w:rPr>
          <w:rtl w:val="0"/>
        </w:rPr>
        <w:t xml:space="preserve"> and that “No man hath affliction enough that is not matured and ripened by it, and made fit for God by that affliction”</w:t>
      </w:r>
      <w:r w:rsidDel="00000000" w:rsidR="00000000" w:rsidRPr="00000000">
        <w:rPr>
          <w:vertAlign w:val="superscript"/>
        </w:rPr>
        <w:footnoteReference w:customMarkFollows="0" w:id="46"/>
      </w:r>
      <w:r w:rsidDel="00000000" w:rsidR="00000000" w:rsidRPr="00000000">
        <w:rPr>
          <w:rtl w:val="0"/>
        </w:rPr>
        <w:t xml:space="preserve">.</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Further, Donne to a certain extent expresses a kind of joy in his experience and reinforces the notion that through sickness he and others are made fit for God in writing that God was “able to make this present sickness, everlasting health, this weakness, everlasting strength, and this very dejection and faintness of heart, a powerful cordial”</w:t>
      </w:r>
      <w:r w:rsidDel="00000000" w:rsidR="00000000" w:rsidRPr="00000000">
        <w:rPr>
          <w:vertAlign w:val="superscript"/>
        </w:rPr>
        <w:footnoteReference w:customMarkFollows="0" w:id="47"/>
      </w:r>
      <w:r w:rsidDel="00000000" w:rsidR="00000000" w:rsidRPr="00000000">
        <w:rPr>
          <w:rtl w:val="0"/>
        </w:rPr>
        <w:t xml:space="preserve">.</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Thus, to come to a conclusion on the extent to which John Donne’s </w:t>
      </w:r>
      <w:r w:rsidDel="00000000" w:rsidR="00000000" w:rsidRPr="00000000">
        <w:rPr>
          <w:i w:val="1"/>
          <w:rtl w:val="0"/>
        </w:rPr>
        <w:t xml:space="preserve">Devotions upon Emergent Occasions</w:t>
      </w:r>
      <w:r w:rsidDel="00000000" w:rsidR="00000000" w:rsidRPr="00000000">
        <w:rPr>
          <w:rtl w:val="0"/>
        </w:rPr>
        <w:t xml:space="preserve"> conforms either to the notion that disease is the will of God, or that it is the method by which sinners are made fit for God, is difficult. There is a certain ambiguity about Donne’s prose in his Devotions as it is largely a reflective piece on his experiences and troubles throughout his illness, a self analysis as much as an exploration of the traditional dilemma of the relationship between illness and salvation. To a greater or lesser extent Donne’s Devotions do largely conform to both; both the notion that disease is the will of God - Donne, for example, identifies his illness as a visitation from God himself, and all the baggage of his sin that such an illness and visitation brings with it, first and foremost - and also recognises that it is through affliction that he and others are made fit for God.</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As such, Donne’s </w:t>
      </w:r>
      <w:r w:rsidDel="00000000" w:rsidR="00000000" w:rsidRPr="00000000">
        <w:rPr>
          <w:i w:val="1"/>
          <w:rtl w:val="0"/>
        </w:rPr>
        <w:t xml:space="preserve">Devotions upon Emergent Occasions</w:t>
      </w:r>
      <w:r w:rsidDel="00000000" w:rsidR="00000000" w:rsidRPr="00000000">
        <w:rPr>
          <w:rtl w:val="0"/>
        </w:rPr>
        <w:t xml:space="preserve"> can be said to largely conform to both notions at once. While its nature as an exploratory piece on the relationship between sin and sickness, as well as human nature as a whole, does generate a level of doubt as to the extent with which Donne’s Devotions conform to the notion that sickness is a punishment and a method by which man is made fit for god, neither notion is inherently contradictory and so do not necessarily negate each other. Punishment for sin can make one fit for God through the utilisation of a disciplinary tool less permanent than eternal damnation in Hell in order to encourage better behaviour, as one would discipline a child.</w:t>
      </w:r>
    </w:p>
    <w:p w:rsidR="00000000" w:rsidDel="00000000" w:rsidP="00000000" w:rsidRDefault="00000000" w:rsidRPr="00000000" w14:paraId="0000001F">
      <w:pPr>
        <w:rPr/>
      </w:pPr>
      <w:r w:rsidDel="00000000" w:rsidR="00000000" w:rsidRPr="00000000">
        <w:br w:type="page"/>
      </w:r>
      <w:r w:rsidDel="00000000" w:rsidR="00000000" w:rsidRPr="00000000">
        <w:rPr>
          <w:rtl w:val="0"/>
        </w:rPr>
      </w:r>
    </w:p>
    <w:p w:rsidR="00000000" w:rsidDel="00000000" w:rsidP="00000000" w:rsidRDefault="00000000" w:rsidRPr="00000000" w14:paraId="00000020">
      <w:pPr>
        <w:rPr>
          <w:b w:val="1"/>
        </w:rPr>
      </w:pPr>
      <w:r w:rsidDel="00000000" w:rsidR="00000000" w:rsidRPr="00000000">
        <w:rPr>
          <w:b w:val="1"/>
          <w:rtl w:val="0"/>
        </w:rPr>
        <w:t xml:space="preserve">Bibliography</w:t>
      </w:r>
    </w:p>
    <w:p w:rsidR="00000000" w:rsidDel="00000000" w:rsidP="00000000" w:rsidRDefault="00000000" w:rsidRPr="00000000" w14:paraId="00000021">
      <w:pPr>
        <w:numPr>
          <w:ilvl w:val="0"/>
          <w:numId w:val="1"/>
        </w:numPr>
        <w:ind w:left="720" w:hanging="360"/>
        <w:rPr>
          <w:u w:val="none"/>
        </w:rPr>
      </w:pPr>
      <w:r w:rsidDel="00000000" w:rsidR="00000000" w:rsidRPr="00000000">
        <w:rPr>
          <w:rtl w:val="0"/>
        </w:rPr>
        <w:t xml:space="preserve">Anderson, (1963), </w:t>
      </w:r>
      <w:r w:rsidDel="00000000" w:rsidR="00000000" w:rsidRPr="00000000">
        <w:rPr>
          <w:i w:val="1"/>
          <w:rtl w:val="0"/>
        </w:rPr>
        <w:t xml:space="preserve">Medieval Medicine for Sin</w:t>
      </w:r>
      <w:r w:rsidDel="00000000" w:rsidR="00000000" w:rsidRPr="00000000">
        <w:rPr>
          <w:rtl w:val="0"/>
        </w:rPr>
        <w:t xml:space="preserve">, Journal of Religion and Health, Vol. 2, No. 2, pp. 156-165</w:t>
      </w:r>
    </w:p>
    <w:p w:rsidR="00000000" w:rsidDel="00000000" w:rsidP="00000000" w:rsidRDefault="00000000" w:rsidRPr="00000000" w14:paraId="00000022">
      <w:pPr>
        <w:numPr>
          <w:ilvl w:val="0"/>
          <w:numId w:val="1"/>
        </w:numPr>
        <w:ind w:left="720" w:hanging="360"/>
      </w:pPr>
      <w:r w:rsidDel="00000000" w:rsidR="00000000" w:rsidRPr="00000000">
        <w:rPr>
          <w:rtl w:val="0"/>
        </w:rPr>
        <w:t xml:space="preserve">Donne, (2007), </w:t>
      </w:r>
      <w:r w:rsidDel="00000000" w:rsidR="00000000" w:rsidRPr="00000000">
        <w:rPr>
          <w:i w:val="1"/>
          <w:rtl w:val="0"/>
        </w:rPr>
        <w:t xml:space="preserve">Devotions upon Emergent Occasions</w:t>
      </w:r>
      <w:r w:rsidDel="00000000" w:rsidR="00000000" w:rsidRPr="00000000">
        <w:rPr>
          <w:rtl w:val="0"/>
        </w:rPr>
        <w:t xml:space="preserve">, The University of Michigan Press</w:t>
      </w:r>
      <w:r w:rsidDel="00000000" w:rsidR="00000000" w:rsidRPr="00000000">
        <w:rPr>
          <w:rtl w:val="0"/>
        </w:rPr>
      </w:r>
    </w:p>
    <w:p w:rsidR="00000000" w:rsidDel="00000000" w:rsidP="00000000" w:rsidRDefault="00000000" w:rsidRPr="00000000" w14:paraId="00000023">
      <w:pPr>
        <w:numPr>
          <w:ilvl w:val="0"/>
          <w:numId w:val="1"/>
        </w:numPr>
        <w:ind w:left="720" w:hanging="360"/>
        <w:rPr>
          <w:u w:val="none"/>
        </w:rPr>
      </w:pPr>
      <w:r w:rsidDel="00000000" w:rsidR="00000000" w:rsidRPr="00000000">
        <w:rPr>
          <w:rtl w:val="0"/>
        </w:rPr>
        <w:t xml:space="preserve">Goldberg, J (1971), </w:t>
      </w:r>
      <w:r w:rsidDel="00000000" w:rsidR="00000000" w:rsidRPr="00000000">
        <w:rPr>
          <w:i w:val="1"/>
          <w:rtl w:val="0"/>
        </w:rPr>
        <w:t xml:space="preserve">The Understanding of Sickness in Donne's Devotions</w:t>
      </w:r>
      <w:r w:rsidDel="00000000" w:rsidR="00000000" w:rsidRPr="00000000">
        <w:rPr>
          <w:rtl w:val="0"/>
        </w:rPr>
        <w:t xml:space="preserve">, Renaissance Quarterly, Vol. 24, No. 4, pp. 507-517</w:t>
      </w:r>
    </w:p>
    <w:p w:rsidR="00000000" w:rsidDel="00000000" w:rsidP="00000000" w:rsidRDefault="00000000" w:rsidRPr="00000000" w14:paraId="00000024">
      <w:pPr>
        <w:numPr>
          <w:ilvl w:val="0"/>
          <w:numId w:val="1"/>
        </w:numPr>
        <w:ind w:left="720" w:hanging="360"/>
      </w:pPr>
      <w:r w:rsidDel="00000000" w:rsidR="00000000" w:rsidRPr="00000000">
        <w:rPr>
          <w:rtl w:val="0"/>
        </w:rPr>
        <w:t xml:space="preserve">Pinka, p, (2021), John Donne, Accessed: 16/05/21, Available at: </w:t>
      </w:r>
      <w:hyperlink r:id="rId7">
        <w:r w:rsidDel="00000000" w:rsidR="00000000" w:rsidRPr="00000000">
          <w:rPr>
            <w:color w:val="1155cc"/>
            <w:u w:val="single"/>
            <w:rtl w:val="0"/>
          </w:rPr>
          <w:t xml:space="preserve">https://www.britannica.com/biography/John-Donne</w:t>
        </w:r>
      </w:hyperlink>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3">
    <w:p w:rsidR="00000000" w:rsidDel="00000000" w:rsidP="00000000" w:rsidRDefault="00000000" w:rsidRPr="00000000" w14:paraId="0000002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Pinka, p, (2021)</w:t>
      </w:r>
    </w:p>
  </w:footnote>
  <w:footnote w:id="4">
    <w:p w:rsidR="00000000" w:rsidDel="00000000" w:rsidP="00000000" w:rsidRDefault="00000000" w:rsidRPr="00000000" w14:paraId="0000002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Pinka, p, (2021)</w:t>
      </w:r>
    </w:p>
  </w:footnote>
  <w:footnote w:id="5">
    <w:p w:rsidR="00000000" w:rsidDel="00000000" w:rsidP="00000000" w:rsidRDefault="00000000" w:rsidRPr="00000000" w14:paraId="0000002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Pinka, p, (2021)</w:t>
      </w:r>
    </w:p>
  </w:footnote>
  <w:footnote w:id="6">
    <w:p w:rsidR="00000000" w:rsidDel="00000000" w:rsidP="00000000" w:rsidRDefault="00000000" w:rsidRPr="00000000" w14:paraId="0000002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Pinka, p, (2021)</w:t>
      </w:r>
    </w:p>
  </w:footnote>
  <w:footnote w:id="7">
    <w:p w:rsidR="00000000" w:rsidDel="00000000" w:rsidP="00000000" w:rsidRDefault="00000000" w:rsidRPr="00000000" w14:paraId="0000002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Pinka, p, (2021)</w:t>
      </w:r>
    </w:p>
  </w:footnote>
  <w:footnote w:id="8">
    <w:p w:rsidR="00000000" w:rsidDel="00000000" w:rsidP="00000000" w:rsidRDefault="00000000" w:rsidRPr="00000000" w14:paraId="0000002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Pinka, p, (2021)</w:t>
      </w:r>
    </w:p>
  </w:footnote>
  <w:footnote w:id="9">
    <w:p w:rsidR="00000000" w:rsidDel="00000000" w:rsidP="00000000" w:rsidRDefault="00000000" w:rsidRPr="00000000" w14:paraId="0000002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Pinka, p, (2021)</w:t>
      </w:r>
    </w:p>
  </w:footnote>
  <w:footnote w:id="11">
    <w:p w:rsidR="00000000" w:rsidDel="00000000" w:rsidP="00000000" w:rsidRDefault="00000000" w:rsidRPr="00000000" w14:paraId="0000002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Pinka, p, (2021)</w:t>
      </w:r>
    </w:p>
  </w:footnote>
  <w:footnote w:id="10">
    <w:p w:rsidR="00000000" w:rsidDel="00000000" w:rsidP="00000000" w:rsidRDefault="00000000" w:rsidRPr="00000000" w14:paraId="0000002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Pinka, p, (2021)</w:t>
      </w:r>
    </w:p>
  </w:footnote>
  <w:footnote w:id="12">
    <w:p w:rsidR="00000000" w:rsidDel="00000000" w:rsidP="00000000" w:rsidRDefault="00000000" w:rsidRPr="00000000" w14:paraId="0000002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Pinka, p, (2021)</w:t>
      </w:r>
    </w:p>
  </w:footnote>
  <w:footnote w:id="13">
    <w:p w:rsidR="00000000" w:rsidDel="00000000" w:rsidP="00000000" w:rsidRDefault="00000000" w:rsidRPr="00000000" w14:paraId="0000002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Pinka, p, (2021)</w:t>
      </w:r>
    </w:p>
  </w:footnote>
  <w:footnote w:id="14">
    <w:p w:rsidR="00000000" w:rsidDel="00000000" w:rsidP="00000000" w:rsidRDefault="00000000" w:rsidRPr="00000000" w14:paraId="0000003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Pinka, p, (2021)</w:t>
      </w:r>
    </w:p>
  </w:footnote>
  <w:footnote w:id="15">
    <w:p w:rsidR="00000000" w:rsidDel="00000000" w:rsidP="00000000" w:rsidRDefault="00000000" w:rsidRPr="00000000" w14:paraId="0000003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Pinka, p, (2021)</w:t>
      </w:r>
    </w:p>
  </w:footnote>
  <w:footnote w:id="16">
    <w:p w:rsidR="00000000" w:rsidDel="00000000" w:rsidP="00000000" w:rsidRDefault="00000000" w:rsidRPr="00000000" w14:paraId="0000003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Pinka, p, (2021)</w:t>
      </w:r>
    </w:p>
  </w:footnote>
  <w:footnote w:id="17">
    <w:p w:rsidR="00000000" w:rsidDel="00000000" w:rsidP="00000000" w:rsidRDefault="00000000" w:rsidRPr="00000000" w14:paraId="0000003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Pinka, p, (2021)</w:t>
      </w:r>
    </w:p>
  </w:footnote>
  <w:footnote w:id="19">
    <w:p w:rsidR="00000000" w:rsidDel="00000000" w:rsidP="00000000" w:rsidRDefault="00000000" w:rsidRPr="00000000" w14:paraId="0000003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Pinka, p, (2021)</w:t>
      </w:r>
    </w:p>
  </w:footnote>
  <w:footnote w:id="18">
    <w:p w:rsidR="00000000" w:rsidDel="00000000" w:rsidP="00000000" w:rsidRDefault="00000000" w:rsidRPr="00000000" w14:paraId="0000003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Pinka, p, (2021)</w:t>
      </w:r>
    </w:p>
  </w:footnote>
  <w:footnote w:id="20">
    <w:p w:rsidR="00000000" w:rsidDel="00000000" w:rsidP="00000000" w:rsidRDefault="00000000" w:rsidRPr="00000000" w14:paraId="0000003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Pinka, p, (2021)</w:t>
      </w:r>
    </w:p>
  </w:footnote>
  <w:footnote w:id="21">
    <w:p w:rsidR="00000000" w:rsidDel="00000000" w:rsidP="00000000" w:rsidRDefault="00000000" w:rsidRPr="00000000" w14:paraId="0000003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Pinka, p, (2021)</w:t>
      </w:r>
    </w:p>
  </w:footnote>
  <w:footnote w:id="22">
    <w:p w:rsidR="00000000" w:rsidDel="00000000" w:rsidP="00000000" w:rsidRDefault="00000000" w:rsidRPr="00000000" w14:paraId="0000003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Pinka, p, (2021)</w:t>
      </w:r>
    </w:p>
  </w:footnote>
  <w:footnote w:id="23">
    <w:p w:rsidR="00000000" w:rsidDel="00000000" w:rsidP="00000000" w:rsidRDefault="00000000" w:rsidRPr="00000000" w14:paraId="0000003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Goldberg, J (1971), P. 508</w:t>
      </w:r>
    </w:p>
  </w:footnote>
  <w:footnote w:id="24">
    <w:p w:rsidR="00000000" w:rsidDel="00000000" w:rsidP="00000000" w:rsidRDefault="00000000" w:rsidRPr="00000000" w14:paraId="0000003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Goldberg, J (1971), P. 508</w:t>
      </w:r>
    </w:p>
  </w:footnote>
  <w:footnote w:id="26">
    <w:p w:rsidR="00000000" w:rsidDel="00000000" w:rsidP="00000000" w:rsidRDefault="00000000" w:rsidRPr="00000000" w14:paraId="0000003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Goldberg, J (1971), P. 508</w:t>
      </w:r>
    </w:p>
  </w:footnote>
  <w:footnote w:id="25">
    <w:p w:rsidR="00000000" w:rsidDel="00000000" w:rsidP="00000000" w:rsidRDefault="00000000" w:rsidRPr="00000000" w14:paraId="0000003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Goldberg, J (1971), P. 508</w:t>
      </w:r>
    </w:p>
  </w:footnote>
  <w:footnote w:id="27">
    <w:p w:rsidR="00000000" w:rsidDel="00000000" w:rsidP="00000000" w:rsidRDefault="00000000" w:rsidRPr="00000000" w14:paraId="0000003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Goldberg, J (1971), P. 508</w:t>
      </w:r>
    </w:p>
  </w:footnote>
  <w:footnote w:id="28">
    <w:p w:rsidR="00000000" w:rsidDel="00000000" w:rsidP="00000000" w:rsidRDefault="00000000" w:rsidRPr="00000000" w14:paraId="0000003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Donne, (2007), P. 93</w:t>
      </w:r>
    </w:p>
  </w:footnote>
  <w:footnote w:id="29">
    <w:p w:rsidR="00000000" w:rsidDel="00000000" w:rsidP="00000000" w:rsidRDefault="00000000" w:rsidRPr="00000000" w14:paraId="0000003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Donne, (2007), P. 93</w:t>
      </w:r>
    </w:p>
  </w:footnote>
  <w:footnote w:id="30">
    <w:p w:rsidR="00000000" w:rsidDel="00000000" w:rsidP="00000000" w:rsidRDefault="00000000" w:rsidRPr="00000000" w14:paraId="0000004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Goldberg, J (1971), P. 509</w:t>
      </w:r>
    </w:p>
  </w:footnote>
  <w:footnote w:id="31">
    <w:p w:rsidR="00000000" w:rsidDel="00000000" w:rsidP="00000000" w:rsidRDefault="00000000" w:rsidRPr="00000000" w14:paraId="0000004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Anderson, (1963), P. 156</w:t>
      </w:r>
    </w:p>
  </w:footnote>
  <w:footnote w:id="32">
    <w:p w:rsidR="00000000" w:rsidDel="00000000" w:rsidP="00000000" w:rsidRDefault="00000000" w:rsidRPr="00000000" w14:paraId="0000004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Anderson, (1963), P. 158</w:t>
      </w:r>
    </w:p>
  </w:footnote>
  <w:footnote w:id="33">
    <w:p w:rsidR="00000000" w:rsidDel="00000000" w:rsidP="00000000" w:rsidRDefault="00000000" w:rsidRPr="00000000" w14:paraId="0000004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Goldberg, J (1971), P. 508</w:t>
      </w:r>
    </w:p>
  </w:footnote>
  <w:footnote w:id="34">
    <w:p w:rsidR="00000000" w:rsidDel="00000000" w:rsidP="00000000" w:rsidRDefault="00000000" w:rsidRPr="00000000" w14:paraId="0000004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Goldberg, J (1971), P. 508</w:t>
      </w:r>
    </w:p>
  </w:footnote>
  <w:footnote w:id="35">
    <w:p w:rsidR="00000000" w:rsidDel="00000000" w:rsidP="00000000" w:rsidRDefault="00000000" w:rsidRPr="00000000" w14:paraId="0000004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Donne, (2007), P. 3</w:t>
      </w:r>
    </w:p>
  </w:footnote>
  <w:footnote w:id="36">
    <w:p w:rsidR="00000000" w:rsidDel="00000000" w:rsidP="00000000" w:rsidRDefault="00000000" w:rsidRPr="00000000" w14:paraId="0000004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Donne, (2007), P. 3</w:t>
      </w:r>
    </w:p>
  </w:footnote>
  <w:footnote w:id="37">
    <w:p w:rsidR="00000000" w:rsidDel="00000000" w:rsidP="00000000" w:rsidRDefault="00000000" w:rsidRPr="00000000" w14:paraId="0000004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Goldberg, J (1971), P. 509</w:t>
      </w:r>
    </w:p>
  </w:footnote>
  <w:footnote w:id="38">
    <w:p w:rsidR="00000000" w:rsidDel="00000000" w:rsidP="00000000" w:rsidRDefault="00000000" w:rsidRPr="00000000" w14:paraId="0000004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Donne, (2007), P. 109</w:t>
      </w:r>
    </w:p>
  </w:footnote>
  <w:footnote w:id="39">
    <w:p w:rsidR="00000000" w:rsidDel="00000000" w:rsidP="00000000" w:rsidRDefault="00000000" w:rsidRPr="00000000" w14:paraId="0000004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Goldberg, J (1971), P. 510</w:t>
      </w:r>
    </w:p>
  </w:footnote>
  <w:footnote w:id="40">
    <w:p w:rsidR="00000000" w:rsidDel="00000000" w:rsidP="00000000" w:rsidRDefault="00000000" w:rsidRPr="00000000" w14:paraId="0000004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Goldberg, J (1971), P. 510</w:t>
      </w:r>
    </w:p>
  </w:footnote>
  <w:footnote w:id="41">
    <w:p w:rsidR="00000000" w:rsidDel="00000000" w:rsidP="00000000" w:rsidRDefault="00000000" w:rsidRPr="00000000" w14:paraId="0000004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Goldberg, J (1971), P. 510</w:t>
      </w:r>
    </w:p>
  </w:footnote>
  <w:footnote w:id="42">
    <w:p w:rsidR="00000000" w:rsidDel="00000000" w:rsidP="00000000" w:rsidRDefault="00000000" w:rsidRPr="00000000" w14:paraId="0000004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Donne, (2007), P. 137</w:t>
      </w:r>
    </w:p>
  </w:footnote>
  <w:footnote w:id="43">
    <w:p w:rsidR="00000000" w:rsidDel="00000000" w:rsidP="00000000" w:rsidRDefault="00000000" w:rsidRPr="00000000" w14:paraId="0000004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Goldberg, J (1971), P. 511</w:t>
      </w:r>
    </w:p>
  </w:footnote>
  <w:footnote w:id="44">
    <w:p w:rsidR="00000000" w:rsidDel="00000000" w:rsidP="00000000" w:rsidRDefault="00000000" w:rsidRPr="00000000" w14:paraId="0000004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Goldberg, J (1971), P. 511</w:t>
      </w:r>
    </w:p>
  </w:footnote>
  <w:footnote w:id="45">
    <w:p w:rsidR="00000000" w:rsidDel="00000000" w:rsidP="00000000" w:rsidRDefault="00000000" w:rsidRPr="00000000" w14:paraId="0000004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Donne, (2007), P. 109</w:t>
      </w:r>
    </w:p>
  </w:footnote>
  <w:footnote w:id="46">
    <w:p w:rsidR="00000000" w:rsidDel="00000000" w:rsidP="00000000" w:rsidRDefault="00000000" w:rsidRPr="00000000" w14:paraId="0000005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Donne, (2007), P. 109</w:t>
      </w:r>
    </w:p>
  </w:footnote>
  <w:footnote w:id="47">
    <w:p w:rsidR="00000000" w:rsidDel="00000000" w:rsidP="00000000" w:rsidRDefault="00000000" w:rsidRPr="00000000" w14:paraId="0000005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Donne, (2007), P. 76</w:t>
      </w:r>
    </w:p>
  </w:footnote>
  <w:footnote w:id="0">
    <w:p w:rsidR="00000000" w:rsidDel="00000000" w:rsidP="00000000" w:rsidRDefault="00000000" w:rsidRPr="00000000" w14:paraId="0000005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Pinka, p, (2021)</w:t>
      </w:r>
    </w:p>
  </w:footnote>
  <w:footnote w:id="1">
    <w:p w:rsidR="00000000" w:rsidDel="00000000" w:rsidP="00000000" w:rsidRDefault="00000000" w:rsidRPr="00000000" w14:paraId="0000005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Pinka, p, (2021)</w:t>
      </w:r>
    </w:p>
  </w:footnote>
  <w:footnote w:id="2">
    <w:p w:rsidR="00000000" w:rsidDel="00000000" w:rsidP="00000000" w:rsidRDefault="00000000" w:rsidRPr="00000000" w14:paraId="0000005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Pinka, p, (2021)</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sz w:val="36"/>
      <w:szCs w:val="36"/>
    </w:rPr>
  </w:style>
  <w:style w:type="paragraph" w:styleId="Heading2">
    <w:name w:val="heading 2"/>
    <w:basedOn w:val="Normal"/>
    <w:next w:val="Normal"/>
    <w:pPr>
      <w:keepNext w:val="1"/>
      <w:keepLines w:val="1"/>
    </w:pPr>
    <w:rPr>
      <w:sz w:val="28"/>
      <w:szCs w:val="28"/>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jc w:val="center"/>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britannica.com/biography/John-Don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