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CDB1A" w14:textId="77777777" w:rsidR="000876E2" w:rsidRDefault="000876E2" w:rsidP="002B47F0">
      <w:pPr>
        <w:spacing w:line="278" w:lineRule="auto"/>
        <w:jc w:val="center"/>
        <w:rPr>
          <w:b/>
          <w:bCs/>
          <w:i/>
          <w:iCs/>
        </w:rPr>
      </w:pPr>
    </w:p>
    <w:p w14:paraId="77015FA2" w14:textId="77777777" w:rsidR="000876E2" w:rsidRDefault="000876E2" w:rsidP="002B47F0">
      <w:pPr>
        <w:spacing w:line="278" w:lineRule="auto"/>
        <w:jc w:val="center"/>
        <w:rPr>
          <w:b/>
          <w:bCs/>
          <w:i/>
          <w:iCs/>
        </w:rPr>
      </w:pPr>
    </w:p>
    <w:p w14:paraId="52ED3D2E" w14:textId="77777777" w:rsidR="000876E2" w:rsidRDefault="000876E2" w:rsidP="002B47F0">
      <w:pPr>
        <w:spacing w:line="278" w:lineRule="auto"/>
        <w:jc w:val="center"/>
        <w:rPr>
          <w:b/>
          <w:bCs/>
          <w:i/>
          <w:iCs/>
        </w:rPr>
      </w:pPr>
    </w:p>
    <w:p w14:paraId="34489B94" w14:textId="7250FFC0" w:rsidR="002B47F0" w:rsidRDefault="002B47F0" w:rsidP="002B47F0">
      <w:pPr>
        <w:spacing w:line="278" w:lineRule="auto"/>
        <w:jc w:val="center"/>
        <w:rPr>
          <w:b/>
          <w:bCs/>
          <w:i/>
          <w:iCs/>
        </w:rPr>
      </w:pPr>
      <w:r w:rsidRPr="002B47F0">
        <w:rPr>
          <w:b/>
          <w:bCs/>
          <w:i/>
          <w:iCs/>
          <w:noProof/>
        </w:rPr>
        <w:drawing>
          <wp:inline distT="0" distB="0" distL="0" distR="0" wp14:anchorId="71C882A3" wp14:editId="662619D6">
            <wp:extent cx="2238375" cy="923925"/>
            <wp:effectExtent l="0" t="0" r="0" b="0"/>
            <wp:docPr id="138614535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8375" cy="923925"/>
                    </a:xfrm>
                    <a:prstGeom prst="rect">
                      <a:avLst/>
                    </a:prstGeom>
                    <a:noFill/>
                    <a:ln>
                      <a:noFill/>
                    </a:ln>
                  </pic:spPr>
                </pic:pic>
              </a:graphicData>
            </a:graphic>
          </wp:inline>
        </w:drawing>
      </w:r>
    </w:p>
    <w:p w14:paraId="6C142862" w14:textId="77777777" w:rsidR="002B47F0" w:rsidRDefault="002B47F0" w:rsidP="002B47F0">
      <w:pPr>
        <w:spacing w:line="278" w:lineRule="auto"/>
        <w:jc w:val="center"/>
        <w:rPr>
          <w:b/>
          <w:bCs/>
          <w:i/>
          <w:iCs/>
        </w:rPr>
      </w:pPr>
    </w:p>
    <w:p w14:paraId="1DCCB520" w14:textId="77777777" w:rsidR="00DD0B76" w:rsidRDefault="00DD0B76" w:rsidP="002B47F0">
      <w:pPr>
        <w:spacing w:line="278" w:lineRule="auto"/>
        <w:jc w:val="center"/>
        <w:rPr>
          <w:b/>
          <w:bCs/>
          <w:i/>
          <w:iCs/>
        </w:rPr>
      </w:pPr>
    </w:p>
    <w:p w14:paraId="3346B4A7" w14:textId="4BF04C47" w:rsidR="002B47F0" w:rsidRPr="00DD0B76" w:rsidRDefault="002B47F0" w:rsidP="00DD0B76">
      <w:pPr>
        <w:spacing w:line="278" w:lineRule="auto"/>
        <w:jc w:val="center"/>
        <w:rPr>
          <w:b/>
          <w:bCs/>
          <w:sz w:val="36"/>
          <w:szCs w:val="36"/>
          <w:lang w:val="en-IN"/>
        </w:rPr>
      </w:pPr>
      <w:r w:rsidRPr="00DD0B76">
        <w:rPr>
          <w:b/>
          <w:bCs/>
          <w:sz w:val="36"/>
          <w:szCs w:val="36"/>
          <w:lang w:val="en-IN"/>
        </w:rPr>
        <w:t>Data Security, Governance and Compliance</w:t>
      </w:r>
    </w:p>
    <w:p w14:paraId="73588253" w14:textId="77777777" w:rsidR="00DD0B76" w:rsidRPr="002B47F0" w:rsidRDefault="00DD0B76" w:rsidP="002B47F0">
      <w:pPr>
        <w:spacing w:line="278" w:lineRule="auto"/>
        <w:rPr>
          <w:b/>
          <w:bCs/>
          <w:i/>
          <w:iCs/>
        </w:rPr>
      </w:pPr>
    </w:p>
    <w:p w14:paraId="4D676616" w14:textId="0CEBE9C1" w:rsidR="002B47F0" w:rsidRPr="002B47F0" w:rsidRDefault="002B47F0" w:rsidP="002B47F0">
      <w:pPr>
        <w:spacing w:line="278" w:lineRule="auto"/>
        <w:jc w:val="left"/>
        <w:rPr>
          <w:lang w:val="en-IN"/>
        </w:rPr>
      </w:pPr>
      <w:r w:rsidRPr="002B47F0">
        <w:rPr>
          <w:b/>
          <w:bCs/>
        </w:rPr>
        <w:t xml:space="preserve">Programme Name: </w:t>
      </w:r>
      <w:r w:rsidRPr="002B47F0">
        <w:t>MSc Cybersecurity &amp; Digital Forensics</w:t>
      </w:r>
      <w:r w:rsidRPr="002B47F0">
        <w:rPr>
          <w:b/>
          <w:bCs/>
        </w:rPr>
        <w:br/>
        <w:t xml:space="preserve">Module </w:t>
      </w:r>
      <w:proofErr w:type="gramStart"/>
      <w:r w:rsidRPr="002B47F0">
        <w:rPr>
          <w:b/>
          <w:bCs/>
        </w:rPr>
        <w:t>Name :</w:t>
      </w:r>
      <w:proofErr w:type="gramEnd"/>
      <w:r w:rsidRPr="002B47F0">
        <w:rPr>
          <w:b/>
          <w:bCs/>
        </w:rPr>
        <w:t xml:space="preserve"> </w:t>
      </w:r>
      <w:r w:rsidRPr="002B47F0">
        <w:rPr>
          <w:lang w:val="en-IN"/>
        </w:rPr>
        <w:t>Data Security, Governance and Compliance</w:t>
      </w:r>
      <w:r w:rsidRPr="002B47F0">
        <w:rPr>
          <w:b/>
          <w:bCs/>
        </w:rPr>
        <w:br/>
        <w:t>Module code</w:t>
      </w:r>
      <w:r w:rsidRPr="002B47F0">
        <w:t>: ACCA7028</w:t>
      </w:r>
      <w:r w:rsidRPr="002B47F0">
        <w:br/>
      </w:r>
      <w:r w:rsidRPr="002B47F0">
        <w:rPr>
          <w:b/>
          <w:bCs/>
        </w:rPr>
        <w:t xml:space="preserve">Lecturer: </w:t>
      </w:r>
      <w:r w:rsidRPr="002B47F0">
        <w:t xml:space="preserve">Dr. Dipo </w:t>
      </w:r>
      <w:proofErr w:type="spellStart"/>
      <w:r w:rsidRPr="002B47F0">
        <w:t>Dunsin</w:t>
      </w:r>
      <w:proofErr w:type="spellEnd"/>
      <w:r w:rsidRPr="002B47F0">
        <w:rPr>
          <w:b/>
          <w:bCs/>
        </w:rPr>
        <w:br/>
        <w:t xml:space="preserve">Student Name: </w:t>
      </w:r>
      <w:r w:rsidRPr="002B47F0">
        <w:t>Ansh Italiya</w:t>
      </w:r>
      <w:r w:rsidRPr="002B47F0">
        <w:rPr>
          <w:b/>
          <w:bCs/>
        </w:rPr>
        <w:tab/>
      </w:r>
      <w:r w:rsidRPr="002B47F0">
        <w:rPr>
          <w:b/>
          <w:bCs/>
        </w:rPr>
        <w:br/>
        <w:t xml:space="preserve">Student ID: </w:t>
      </w:r>
      <w:r w:rsidRPr="002B47F0">
        <w:t>2510659</w:t>
      </w:r>
    </w:p>
    <w:p w14:paraId="12C444C5" w14:textId="77777777" w:rsidR="002B47F0" w:rsidRPr="002B47F0" w:rsidRDefault="002B47F0" w:rsidP="002B47F0">
      <w:pPr>
        <w:spacing w:line="278" w:lineRule="auto"/>
        <w:jc w:val="center"/>
        <w:rPr>
          <w:b/>
          <w:bCs/>
          <w:i/>
          <w:iCs/>
        </w:rPr>
      </w:pPr>
    </w:p>
    <w:p w14:paraId="0E8EE6D4" w14:textId="77777777" w:rsidR="002B47F0" w:rsidRPr="002B47F0" w:rsidRDefault="002B47F0" w:rsidP="002B47F0">
      <w:pPr>
        <w:spacing w:line="278" w:lineRule="auto"/>
        <w:jc w:val="center"/>
        <w:rPr>
          <w:b/>
          <w:bCs/>
          <w:i/>
          <w:iCs/>
          <w:lang w:val="en-US"/>
        </w:rPr>
      </w:pPr>
    </w:p>
    <w:p w14:paraId="1B39FB68" w14:textId="77777777" w:rsidR="002B47F0" w:rsidRPr="002B47F0" w:rsidRDefault="002B47F0" w:rsidP="002B47F0">
      <w:pPr>
        <w:spacing w:line="278" w:lineRule="auto"/>
        <w:jc w:val="center"/>
        <w:rPr>
          <w:b/>
          <w:bCs/>
          <w:i/>
          <w:iCs/>
          <w:lang w:val="en-US"/>
        </w:rPr>
      </w:pPr>
    </w:p>
    <w:p w14:paraId="1A6E7497" w14:textId="77777777" w:rsidR="002B47F0" w:rsidRPr="002B47F0" w:rsidRDefault="002B47F0" w:rsidP="002B47F0">
      <w:pPr>
        <w:spacing w:line="278" w:lineRule="auto"/>
        <w:jc w:val="center"/>
        <w:rPr>
          <w:b/>
          <w:bCs/>
          <w:i/>
          <w:iCs/>
          <w:lang w:val="en-US"/>
        </w:rPr>
      </w:pPr>
    </w:p>
    <w:p w14:paraId="64C16E6D" w14:textId="011EC813" w:rsidR="00727516" w:rsidRPr="00D57417" w:rsidRDefault="00727516" w:rsidP="00D57417">
      <w:pPr>
        <w:spacing w:line="278" w:lineRule="auto"/>
        <w:jc w:val="center"/>
        <w:rPr>
          <w:b/>
          <w:bCs/>
          <w:i/>
          <w:iCs/>
        </w:rPr>
      </w:pPr>
      <w:r w:rsidRPr="00D57417">
        <w:rPr>
          <w:b/>
          <w:bCs/>
          <w:i/>
          <w:iCs/>
        </w:rPr>
        <w:br w:type="page"/>
      </w:r>
    </w:p>
    <w:p w14:paraId="6BB645A7" w14:textId="77777777" w:rsidR="00DE4CD7" w:rsidRDefault="00B854B6" w:rsidP="00B854B6">
      <w:pPr>
        <w:pStyle w:val="Heading1"/>
      </w:pPr>
      <w:bookmarkStart w:id="0" w:name="_Toc216261749"/>
      <w:r>
        <w:lastRenderedPageBreak/>
        <w:t>Abstract</w:t>
      </w:r>
      <w:bookmarkEnd w:id="0"/>
    </w:p>
    <w:p w14:paraId="4A9B13C0" w14:textId="77777777" w:rsidR="00B854B6" w:rsidRDefault="006D5496" w:rsidP="00DE4CD7">
      <w:proofErr w:type="spellStart"/>
      <w:r w:rsidRPr="006D5496">
        <w:t>FullerHealth</w:t>
      </w:r>
      <w:proofErr w:type="spellEnd"/>
      <w:r w:rsidRPr="006D5496">
        <w:t xml:space="preserve"> is an international brand of healthy living, which is based on cloud-based, wireless, and BYOD. Nonetheless, the company does not have embedded security policies and governance, which exposes personnel, customer, and intellectual property information to a high risk. In the present report, the available resources and security frameworks, including ISO 27001, ITIL, and other frameworks that complement it, are appraised in an attempt to come up with a tailor-made information security governance framework in </w:t>
      </w:r>
      <w:proofErr w:type="spellStart"/>
      <w:r w:rsidRPr="006D5496">
        <w:t>FullerHealth</w:t>
      </w:r>
      <w:proofErr w:type="spellEnd"/>
      <w:r w:rsidRPr="006D5496">
        <w:t xml:space="preserve">. The given plan will involve the establishment of a sound governance framework, risk management procedures, encompassing policy frameworks, and preservation and continuity processes. It will also give a roadmap of implementation phases that will conform to ISO 27001 where necessary. The most important pieces of advice will be on the need to have executive sponsorship, risk-based prioritization, continuous monitoring and periodic review of security controls and policies to meet the changing and evolving threats, changes in technology, and regulatory changes. Also, the plan will show the future upgrades, such as AI-based threat detection, automation, and orchestration to enhance security resilience at scale so that </w:t>
      </w:r>
      <w:proofErr w:type="spellStart"/>
      <w:r w:rsidRPr="006D5496">
        <w:t>FullerHealth</w:t>
      </w:r>
      <w:proofErr w:type="spellEnd"/>
      <w:r w:rsidRPr="006D5496">
        <w:t xml:space="preserve"> can remain dynamic and safe in the rapidly evolving digital environment.</w:t>
      </w:r>
      <w:r w:rsidR="00B854B6">
        <w:br w:type="page"/>
      </w:r>
    </w:p>
    <w:sdt>
      <w:sdtPr>
        <w:rPr>
          <w:rFonts w:ascii="Times New Roman" w:eastAsiaTheme="minorHAnsi" w:hAnsi="Times New Roman" w:cstheme="minorBidi"/>
          <w:color w:val="auto"/>
          <w:kern w:val="2"/>
          <w:sz w:val="24"/>
          <w:szCs w:val="21"/>
          <w:lang w:eastAsia="en-US"/>
        </w:rPr>
        <w:id w:val="-1620142796"/>
        <w:docPartObj>
          <w:docPartGallery w:val="Table of Contents"/>
          <w:docPartUnique/>
        </w:docPartObj>
      </w:sdtPr>
      <w:sdtEndPr>
        <w:rPr>
          <w:b/>
          <w:bCs/>
        </w:rPr>
      </w:sdtEndPr>
      <w:sdtContent>
        <w:p w14:paraId="3A517ECC" w14:textId="77777777" w:rsidR="00BC4EA3" w:rsidRPr="00BC4EA3" w:rsidRDefault="00BC4EA3">
          <w:pPr>
            <w:pStyle w:val="TOCHeading"/>
            <w:rPr>
              <w:rFonts w:ascii="Times New Roman" w:hAnsi="Times New Roman" w:cs="Times New Roman"/>
              <w:b/>
              <w:bCs/>
              <w:color w:val="auto"/>
            </w:rPr>
          </w:pPr>
          <w:r w:rsidRPr="00BC4EA3">
            <w:rPr>
              <w:rFonts w:ascii="Times New Roman" w:hAnsi="Times New Roman" w:cs="Times New Roman"/>
              <w:b/>
              <w:bCs/>
              <w:color w:val="auto"/>
            </w:rPr>
            <w:t>Table of Contents</w:t>
          </w:r>
        </w:p>
        <w:p w14:paraId="637A2DFA" w14:textId="77777777" w:rsidR="00F21E1D" w:rsidRDefault="006D72F6">
          <w:pPr>
            <w:pStyle w:val="TOC1"/>
            <w:tabs>
              <w:tab w:val="right" w:leader="dot" w:pos="9016"/>
            </w:tabs>
            <w:rPr>
              <w:rFonts w:asciiTheme="minorHAnsi" w:eastAsiaTheme="minorEastAsia" w:hAnsiTheme="minorHAnsi"/>
              <w:noProof/>
              <w:kern w:val="0"/>
              <w:sz w:val="22"/>
              <w:szCs w:val="22"/>
              <w:lang w:val="en-US" w:bidi="ar-SA"/>
            </w:rPr>
          </w:pPr>
          <w:r>
            <w:fldChar w:fldCharType="begin"/>
          </w:r>
          <w:r w:rsidR="00BC4EA3">
            <w:instrText xml:space="preserve"> TOC \o "1-3" \h \z \u </w:instrText>
          </w:r>
          <w:r>
            <w:fldChar w:fldCharType="separate"/>
          </w:r>
          <w:hyperlink w:anchor="_Toc216261749" w:history="1">
            <w:r w:rsidR="00F21E1D" w:rsidRPr="00476938">
              <w:rPr>
                <w:rStyle w:val="Hyperlink"/>
                <w:noProof/>
              </w:rPr>
              <w:t>Abstract</w:t>
            </w:r>
            <w:r w:rsidR="00F21E1D">
              <w:rPr>
                <w:noProof/>
                <w:webHidden/>
              </w:rPr>
              <w:tab/>
            </w:r>
            <w:r w:rsidR="00F21E1D">
              <w:rPr>
                <w:noProof/>
                <w:webHidden/>
              </w:rPr>
              <w:fldChar w:fldCharType="begin"/>
            </w:r>
            <w:r w:rsidR="00F21E1D">
              <w:rPr>
                <w:noProof/>
                <w:webHidden/>
              </w:rPr>
              <w:instrText xml:space="preserve"> PAGEREF _Toc216261749 \h </w:instrText>
            </w:r>
            <w:r w:rsidR="00F21E1D">
              <w:rPr>
                <w:noProof/>
                <w:webHidden/>
              </w:rPr>
            </w:r>
            <w:r w:rsidR="00F21E1D">
              <w:rPr>
                <w:noProof/>
                <w:webHidden/>
              </w:rPr>
              <w:fldChar w:fldCharType="separate"/>
            </w:r>
            <w:r w:rsidR="00F21E1D">
              <w:rPr>
                <w:noProof/>
                <w:webHidden/>
              </w:rPr>
              <w:t>2</w:t>
            </w:r>
            <w:r w:rsidR="00F21E1D">
              <w:rPr>
                <w:noProof/>
                <w:webHidden/>
              </w:rPr>
              <w:fldChar w:fldCharType="end"/>
            </w:r>
          </w:hyperlink>
        </w:p>
        <w:p w14:paraId="6142AFCD"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50" w:history="1">
            <w:r w:rsidRPr="00476938">
              <w:rPr>
                <w:rStyle w:val="Hyperlink"/>
                <w:noProof/>
              </w:rPr>
              <w:t>1. Introduction</w:t>
            </w:r>
            <w:r>
              <w:rPr>
                <w:noProof/>
                <w:webHidden/>
              </w:rPr>
              <w:tab/>
            </w:r>
            <w:r>
              <w:rPr>
                <w:noProof/>
                <w:webHidden/>
              </w:rPr>
              <w:fldChar w:fldCharType="begin"/>
            </w:r>
            <w:r>
              <w:rPr>
                <w:noProof/>
                <w:webHidden/>
              </w:rPr>
              <w:instrText xml:space="preserve"> PAGEREF _Toc216261750 \h </w:instrText>
            </w:r>
            <w:r>
              <w:rPr>
                <w:noProof/>
                <w:webHidden/>
              </w:rPr>
            </w:r>
            <w:r>
              <w:rPr>
                <w:noProof/>
                <w:webHidden/>
              </w:rPr>
              <w:fldChar w:fldCharType="separate"/>
            </w:r>
            <w:r>
              <w:rPr>
                <w:noProof/>
                <w:webHidden/>
              </w:rPr>
              <w:t>6</w:t>
            </w:r>
            <w:r>
              <w:rPr>
                <w:noProof/>
                <w:webHidden/>
              </w:rPr>
              <w:fldChar w:fldCharType="end"/>
            </w:r>
          </w:hyperlink>
        </w:p>
        <w:p w14:paraId="565F3F76"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1" w:history="1">
            <w:r w:rsidRPr="00476938">
              <w:rPr>
                <w:rStyle w:val="Hyperlink"/>
                <w:noProof/>
              </w:rPr>
              <w:t>1.1 Background and Context</w:t>
            </w:r>
            <w:r>
              <w:rPr>
                <w:noProof/>
                <w:webHidden/>
              </w:rPr>
              <w:tab/>
            </w:r>
            <w:r>
              <w:rPr>
                <w:noProof/>
                <w:webHidden/>
              </w:rPr>
              <w:fldChar w:fldCharType="begin"/>
            </w:r>
            <w:r>
              <w:rPr>
                <w:noProof/>
                <w:webHidden/>
              </w:rPr>
              <w:instrText xml:space="preserve"> PAGEREF _Toc216261751 \h </w:instrText>
            </w:r>
            <w:r>
              <w:rPr>
                <w:noProof/>
                <w:webHidden/>
              </w:rPr>
            </w:r>
            <w:r>
              <w:rPr>
                <w:noProof/>
                <w:webHidden/>
              </w:rPr>
              <w:fldChar w:fldCharType="separate"/>
            </w:r>
            <w:r>
              <w:rPr>
                <w:noProof/>
                <w:webHidden/>
              </w:rPr>
              <w:t>6</w:t>
            </w:r>
            <w:r>
              <w:rPr>
                <w:noProof/>
                <w:webHidden/>
              </w:rPr>
              <w:fldChar w:fldCharType="end"/>
            </w:r>
          </w:hyperlink>
        </w:p>
        <w:p w14:paraId="1F12729A"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2" w:history="1">
            <w:r w:rsidRPr="00476938">
              <w:rPr>
                <w:rStyle w:val="Hyperlink"/>
                <w:noProof/>
              </w:rPr>
              <w:t>1.2 Purpose and Scope</w:t>
            </w:r>
            <w:r>
              <w:rPr>
                <w:noProof/>
                <w:webHidden/>
              </w:rPr>
              <w:tab/>
            </w:r>
            <w:r>
              <w:rPr>
                <w:noProof/>
                <w:webHidden/>
              </w:rPr>
              <w:fldChar w:fldCharType="begin"/>
            </w:r>
            <w:r>
              <w:rPr>
                <w:noProof/>
                <w:webHidden/>
              </w:rPr>
              <w:instrText xml:space="preserve"> PAGEREF _Toc216261752 \h </w:instrText>
            </w:r>
            <w:r>
              <w:rPr>
                <w:noProof/>
                <w:webHidden/>
              </w:rPr>
            </w:r>
            <w:r>
              <w:rPr>
                <w:noProof/>
                <w:webHidden/>
              </w:rPr>
              <w:fldChar w:fldCharType="separate"/>
            </w:r>
            <w:r>
              <w:rPr>
                <w:noProof/>
                <w:webHidden/>
              </w:rPr>
              <w:t>6</w:t>
            </w:r>
            <w:r>
              <w:rPr>
                <w:noProof/>
                <w:webHidden/>
              </w:rPr>
              <w:fldChar w:fldCharType="end"/>
            </w:r>
          </w:hyperlink>
        </w:p>
        <w:p w14:paraId="21C34488"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3" w:history="1">
            <w:r w:rsidRPr="00476938">
              <w:rPr>
                <w:rStyle w:val="Hyperlink"/>
                <w:noProof/>
              </w:rPr>
              <w:t>1.3 Key Assumptions</w:t>
            </w:r>
            <w:r>
              <w:rPr>
                <w:noProof/>
                <w:webHidden/>
              </w:rPr>
              <w:tab/>
            </w:r>
            <w:r>
              <w:rPr>
                <w:noProof/>
                <w:webHidden/>
              </w:rPr>
              <w:fldChar w:fldCharType="begin"/>
            </w:r>
            <w:r>
              <w:rPr>
                <w:noProof/>
                <w:webHidden/>
              </w:rPr>
              <w:instrText xml:space="preserve"> PAGEREF _Toc216261753 \h </w:instrText>
            </w:r>
            <w:r>
              <w:rPr>
                <w:noProof/>
                <w:webHidden/>
              </w:rPr>
            </w:r>
            <w:r>
              <w:rPr>
                <w:noProof/>
                <w:webHidden/>
              </w:rPr>
              <w:fldChar w:fldCharType="separate"/>
            </w:r>
            <w:r>
              <w:rPr>
                <w:noProof/>
                <w:webHidden/>
              </w:rPr>
              <w:t>6</w:t>
            </w:r>
            <w:r>
              <w:rPr>
                <w:noProof/>
                <w:webHidden/>
              </w:rPr>
              <w:fldChar w:fldCharType="end"/>
            </w:r>
          </w:hyperlink>
        </w:p>
        <w:p w14:paraId="5B28CCED"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54" w:history="1">
            <w:r w:rsidRPr="00476938">
              <w:rPr>
                <w:rStyle w:val="Hyperlink"/>
                <w:noProof/>
              </w:rPr>
              <w:t>2. Literature Review: Security Frameworks and Models</w:t>
            </w:r>
            <w:r>
              <w:rPr>
                <w:noProof/>
                <w:webHidden/>
              </w:rPr>
              <w:tab/>
            </w:r>
            <w:r>
              <w:rPr>
                <w:noProof/>
                <w:webHidden/>
              </w:rPr>
              <w:fldChar w:fldCharType="begin"/>
            </w:r>
            <w:r>
              <w:rPr>
                <w:noProof/>
                <w:webHidden/>
              </w:rPr>
              <w:instrText xml:space="preserve"> PAGEREF _Toc216261754 \h </w:instrText>
            </w:r>
            <w:r>
              <w:rPr>
                <w:noProof/>
                <w:webHidden/>
              </w:rPr>
            </w:r>
            <w:r>
              <w:rPr>
                <w:noProof/>
                <w:webHidden/>
              </w:rPr>
              <w:fldChar w:fldCharType="separate"/>
            </w:r>
            <w:r>
              <w:rPr>
                <w:noProof/>
                <w:webHidden/>
              </w:rPr>
              <w:t>7</w:t>
            </w:r>
            <w:r>
              <w:rPr>
                <w:noProof/>
                <w:webHidden/>
              </w:rPr>
              <w:fldChar w:fldCharType="end"/>
            </w:r>
          </w:hyperlink>
        </w:p>
        <w:p w14:paraId="474A90CA"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5" w:history="1">
            <w:r w:rsidRPr="00476938">
              <w:rPr>
                <w:rStyle w:val="Hyperlink"/>
                <w:noProof/>
              </w:rPr>
              <w:t>2.1 International Organization for Standardization (ISO 27000 Series)</w:t>
            </w:r>
            <w:r>
              <w:rPr>
                <w:noProof/>
                <w:webHidden/>
              </w:rPr>
              <w:tab/>
            </w:r>
            <w:r>
              <w:rPr>
                <w:noProof/>
                <w:webHidden/>
              </w:rPr>
              <w:fldChar w:fldCharType="begin"/>
            </w:r>
            <w:r>
              <w:rPr>
                <w:noProof/>
                <w:webHidden/>
              </w:rPr>
              <w:instrText xml:space="preserve"> PAGEREF _Toc216261755 \h </w:instrText>
            </w:r>
            <w:r>
              <w:rPr>
                <w:noProof/>
                <w:webHidden/>
              </w:rPr>
            </w:r>
            <w:r>
              <w:rPr>
                <w:noProof/>
                <w:webHidden/>
              </w:rPr>
              <w:fldChar w:fldCharType="separate"/>
            </w:r>
            <w:r>
              <w:rPr>
                <w:noProof/>
                <w:webHidden/>
              </w:rPr>
              <w:t>7</w:t>
            </w:r>
            <w:r>
              <w:rPr>
                <w:noProof/>
                <w:webHidden/>
              </w:rPr>
              <w:fldChar w:fldCharType="end"/>
            </w:r>
          </w:hyperlink>
        </w:p>
        <w:p w14:paraId="12A1766B"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6" w:history="1">
            <w:r w:rsidRPr="00476938">
              <w:rPr>
                <w:rStyle w:val="Hyperlink"/>
                <w:noProof/>
              </w:rPr>
              <w:t>2.2 Information Technology Infrastructure Library (ITIL)</w:t>
            </w:r>
            <w:r>
              <w:rPr>
                <w:noProof/>
                <w:webHidden/>
              </w:rPr>
              <w:tab/>
            </w:r>
            <w:r>
              <w:rPr>
                <w:noProof/>
                <w:webHidden/>
              </w:rPr>
              <w:fldChar w:fldCharType="begin"/>
            </w:r>
            <w:r>
              <w:rPr>
                <w:noProof/>
                <w:webHidden/>
              </w:rPr>
              <w:instrText xml:space="preserve"> PAGEREF _Toc216261756 \h </w:instrText>
            </w:r>
            <w:r>
              <w:rPr>
                <w:noProof/>
                <w:webHidden/>
              </w:rPr>
            </w:r>
            <w:r>
              <w:rPr>
                <w:noProof/>
                <w:webHidden/>
              </w:rPr>
              <w:fldChar w:fldCharType="separate"/>
            </w:r>
            <w:r>
              <w:rPr>
                <w:noProof/>
                <w:webHidden/>
              </w:rPr>
              <w:t>8</w:t>
            </w:r>
            <w:r>
              <w:rPr>
                <w:noProof/>
                <w:webHidden/>
              </w:rPr>
              <w:fldChar w:fldCharType="end"/>
            </w:r>
          </w:hyperlink>
        </w:p>
        <w:p w14:paraId="5748A2F6"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7" w:history="1">
            <w:r w:rsidRPr="00476938">
              <w:rPr>
                <w:rStyle w:val="Hyperlink"/>
                <w:noProof/>
              </w:rPr>
              <w:t>2.3 Other Relevant Frameworks</w:t>
            </w:r>
            <w:r>
              <w:rPr>
                <w:noProof/>
                <w:webHidden/>
              </w:rPr>
              <w:tab/>
            </w:r>
            <w:r>
              <w:rPr>
                <w:noProof/>
                <w:webHidden/>
              </w:rPr>
              <w:fldChar w:fldCharType="begin"/>
            </w:r>
            <w:r>
              <w:rPr>
                <w:noProof/>
                <w:webHidden/>
              </w:rPr>
              <w:instrText xml:space="preserve"> PAGEREF _Toc216261757 \h </w:instrText>
            </w:r>
            <w:r>
              <w:rPr>
                <w:noProof/>
                <w:webHidden/>
              </w:rPr>
            </w:r>
            <w:r>
              <w:rPr>
                <w:noProof/>
                <w:webHidden/>
              </w:rPr>
              <w:fldChar w:fldCharType="separate"/>
            </w:r>
            <w:r>
              <w:rPr>
                <w:noProof/>
                <w:webHidden/>
              </w:rPr>
              <w:t>10</w:t>
            </w:r>
            <w:r>
              <w:rPr>
                <w:noProof/>
                <w:webHidden/>
              </w:rPr>
              <w:fldChar w:fldCharType="end"/>
            </w:r>
          </w:hyperlink>
        </w:p>
        <w:p w14:paraId="18A0AB22"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58" w:history="1">
            <w:r w:rsidRPr="00476938">
              <w:rPr>
                <w:rStyle w:val="Hyperlink"/>
                <w:noProof/>
              </w:rPr>
              <w:t>2.4 Synthesis and Gap Analysis</w:t>
            </w:r>
            <w:r>
              <w:rPr>
                <w:noProof/>
                <w:webHidden/>
              </w:rPr>
              <w:tab/>
            </w:r>
            <w:r>
              <w:rPr>
                <w:noProof/>
                <w:webHidden/>
              </w:rPr>
              <w:fldChar w:fldCharType="begin"/>
            </w:r>
            <w:r>
              <w:rPr>
                <w:noProof/>
                <w:webHidden/>
              </w:rPr>
              <w:instrText xml:space="preserve"> PAGEREF _Toc216261758 \h </w:instrText>
            </w:r>
            <w:r>
              <w:rPr>
                <w:noProof/>
                <w:webHidden/>
              </w:rPr>
            </w:r>
            <w:r>
              <w:rPr>
                <w:noProof/>
                <w:webHidden/>
              </w:rPr>
              <w:fldChar w:fldCharType="separate"/>
            </w:r>
            <w:r>
              <w:rPr>
                <w:noProof/>
                <w:webHidden/>
              </w:rPr>
              <w:t>10</w:t>
            </w:r>
            <w:r>
              <w:rPr>
                <w:noProof/>
                <w:webHidden/>
              </w:rPr>
              <w:fldChar w:fldCharType="end"/>
            </w:r>
          </w:hyperlink>
        </w:p>
        <w:p w14:paraId="66D2032D"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59" w:history="1">
            <w:r w:rsidRPr="00476938">
              <w:rPr>
                <w:rStyle w:val="Hyperlink"/>
                <w:noProof/>
              </w:rPr>
              <w:t>3. Proposed Security Governance Framework for NatureGreen</w:t>
            </w:r>
            <w:r>
              <w:rPr>
                <w:noProof/>
                <w:webHidden/>
              </w:rPr>
              <w:tab/>
            </w:r>
            <w:r>
              <w:rPr>
                <w:noProof/>
                <w:webHidden/>
              </w:rPr>
              <w:fldChar w:fldCharType="begin"/>
            </w:r>
            <w:r>
              <w:rPr>
                <w:noProof/>
                <w:webHidden/>
              </w:rPr>
              <w:instrText xml:space="preserve"> PAGEREF _Toc216261759 \h </w:instrText>
            </w:r>
            <w:r>
              <w:rPr>
                <w:noProof/>
                <w:webHidden/>
              </w:rPr>
            </w:r>
            <w:r>
              <w:rPr>
                <w:noProof/>
                <w:webHidden/>
              </w:rPr>
              <w:fldChar w:fldCharType="separate"/>
            </w:r>
            <w:r>
              <w:rPr>
                <w:noProof/>
                <w:webHidden/>
              </w:rPr>
              <w:t>11</w:t>
            </w:r>
            <w:r>
              <w:rPr>
                <w:noProof/>
                <w:webHidden/>
              </w:rPr>
              <w:fldChar w:fldCharType="end"/>
            </w:r>
          </w:hyperlink>
        </w:p>
        <w:p w14:paraId="21D0CEA9"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0" w:history="1">
            <w:r w:rsidRPr="00476938">
              <w:rPr>
                <w:rStyle w:val="Hyperlink"/>
                <w:noProof/>
              </w:rPr>
              <w:t>3.1 Framework Design Philosophy</w:t>
            </w:r>
            <w:r>
              <w:rPr>
                <w:noProof/>
                <w:webHidden/>
              </w:rPr>
              <w:tab/>
            </w:r>
            <w:r>
              <w:rPr>
                <w:noProof/>
                <w:webHidden/>
              </w:rPr>
              <w:fldChar w:fldCharType="begin"/>
            </w:r>
            <w:r>
              <w:rPr>
                <w:noProof/>
                <w:webHidden/>
              </w:rPr>
              <w:instrText xml:space="preserve"> PAGEREF _Toc216261760 \h </w:instrText>
            </w:r>
            <w:r>
              <w:rPr>
                <w:noProof/>
                <w:webHidden/>
              </w:rPr>
            </w:r>
            <w:r>
              <w:rPr>
                <w:noProof/>
                <w:webHidden/>
              </w:rPr>
              <w:fldChar w:fldCharType="separate"/>
            </w:r>
            <w:r>
              <w:rPr>
                <w:noProof/>
                <w:webHidden/>
              </w:rPr>
              <w:t>11</w:t>
            </w:r>
            <w:r>
              <w:rPr>
                <w:noProof/>
                <w:webHidden/>
              </w:rPr>
              <w:fldChar w:fldCharType="end"/>
            </w:r>
          </w:hyperlink>
        </w:p>
        <w:p w14:paraId="6294DFCA"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1" w:history="1">
            <w:r w:rsidRPr="00476938">
              <w:rPr>
                <w:rStyle w:val="Hyperlink"/>
                <w:noProof/>
              </w:rPr>
              <w:t>3.2 Governance Structure</w:t>
            </w:r>
            <w:r>
              <w:rPr>
                <w:noProof/>
                <w:webHidden/>
              </w:rPr>
              <w:tab/>
            </w:r>
            <w:r>
              <w:rPr>
                <w:noProof/>
                <w:webHidden/>
              </w:rPr>
              <w:fldChar w:fldCharType="begin"/>
            </w:r>
            <w:r>
              <w:rPr>
                <w:noProof/>
                <w:webHidden/>
              </w:rPr>
              <w:instrText xml:space="preserve"> PAGEREF _Toc216261761 \h </w:instrText>
            </w:r>
            <w:r>
              <w:rPr>
                <w:noProof/>
                <w:webHidden/>
              </w:rPr>
            </w:r>
            <w:r>
              <w:rPr>
                <w:noProof/>
                <w:webHidden/>
              </w:rPr>
              <w:fldChar w:fldCharType="separate"/>
            </w:r>
            <w:r>
              <w:rPr>
                <w:noProof/>
                <w:webHidden/>
              </w:rPr>
              <w:t>11</w:t>
            </w:r>
            <w:r>
              <w:rPr>
                <w:noProof/>
                <w:webHidden/>
              </w:rPr>
              <w:fldChar w:fldCharType="end"/>
            </w:r>
          </w:hyperlink>
        </w:p>
        <w:p w14:paraId="045A43A5"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2" w:history="1">
            <w:r w:rsidRPr="00476938">
              <w:rPr>
                <w:rStyle w:val="Hyperlink"/>
                <w:noProof/>
              </w:rPr>
              <w:t>3.3 Strategic Security Planning</w:t>
            </w:r>
            <w:r>
              <w:rPr>
                <w:noProof/>
                <w:webHidden/>
              </w:rPr>
              <w:tab/>
            </w:r>
            <w:r>
              <w:rPr>
                <w:noProof/>
                <w:webHidden/>
              </w:rPr>
              <w:fldChar w:fldCharType="begin"/>
            </w:r>
            <w:r>
              <w:rPr>
                <w:noProof/>
                <w:webHidden/>
              </w:rPr>
              <w:instrText xml:space="preserve"> PAGEREF _Toc216261762 \h </w:instrText>
            </w:r>
            <w:r>
              <w:rPr>
                <w:noProof/>
                <w:webHidden/>
              </w:rPr>
            </w:r>
            <w:r>
              <w:rPr>
                <w:noProof/>
                <w:webHidden/>
              </w:rPr>
              <w:fldChar w:fldCharType="separate"/>
            </w:r>
            <w:r>
              <w:rPr>
                <w:noProof/>
                <w:webHidden/>
              </w:rPr>
              <w:t>12</w:t>
            </w:r>
            <w:r>
              <w:rPr>
                <w:noProof/>
                <w:webHidden/>
              </w:rPr>
              <w:fldChar w:fldCharType="end"/>
            </w:r>
          </w:hyperlink>
        </w:p>
        <w:p w14:paraId="15E1BCB4"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3" w:history="1">
            <w:r w:rsidRPr="00476938">
              <w:rPr>
                <w:rStyle w:val="Hyperlink"/>
                <w:noProof/>
              </w:rPr>
              <w:t>3.4 Security Policies and Procedures</w:t>
            </w:r>
            <w:r>
              <w:rPr>
                <w:noProof/>
                <w:webHidden/>
              </w:rPr>
              <w:tab/>
            </w:r>
            <w:r>
              <w:rPr>
                <w:noProof/>
                <w:webHidden/>
              </w:rPr>
              <w:fldChar w:fldCharType="begin"/>
            </w:r>
            <w:r>
              <w:rPr>
                <w:noProof/>
                <w:webHidden/>
              </w:rPr>
              <w:instrText xml:space="preserve"> PAGEREF _Toc216261763 \h </w:instrText>
            </w:r>
            <w:r>
              <w:rPr>
                <w:noProof/>
                <w:webHidden/>
              </w:rPr>
            </w:r>
            <w:r>
              <w:rPr>
                <w:noProof/>
                <w:webHidden/>
              </w:rPr>
              <w:fldChar w:fldCharType="separate"/>
            </w:r>
            <w:r>
              <w:rPr>
                <w:noProof/>
                <w:webHidden/>
              </w:rPr>
              <w:t>13</w:t>
            </w:r>
            <w:r>
              <w:rPr>
                <w:noProof/>
                <w:webHidden/>
              </w:rPr>
              <w:fldChar w:fldCharType="end"/>
            </w:r>
          </w:hyperlink>
        </w:p>
        <w:p w14:paraId="1010FBDE"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4" w:history="1">
            <w:r w:rsidRPr="00476938">
              <w:rPr>
                <w:rStyle w:val="Hyperlink"/>
                <w:noProof/>
              </w:rPr>
              <w:t>3.5 Risk Management Framework</w:t>
            </w:r>
            <w:r>
              <w:rPr>
                <w:noProof/>
                <w:webHidden/>
              </w:rPr>
              <w:tab/>
            </w:r>
            <w:r>
              <w:rPr>
                <w:noProof/>
                <w:webHidden/>
              </w:rPr>
              <w:fldChar w:fldCharType="begin"/>
            </w:r>
            <w:r>
              <w:rPr>
                <w:noProof/>
                <w:webHidden/>
              </w:rPr>
              <w:instrText xml:space="preserve"> PAGEREF _Toc216261764 \h </w:instrText>
            </w:r>
            <w:r>
              <w:rPr>
                <w:noProof/>
                <w:webHidden/>
              </w:rPr>
            </w:r>
            <w:r>
              <w:rPr>
                <w:noProof/>
                <w:webHidden/>
              </w:rPr>
              <w:fldChar w:fldCharType="separate"/>
            </w:r>
            <w:r>
              <w:rPr>
                <w:noProof/>
                <w:webHidden/>
              </w:rPr>
              <w:t>13</w:t>
            </w:r>
            <w:r>
              <w:rPr>
                <w:noProof/>
                <w:webHidden/>
              </w:rPr>
              <w:fldChar w:fldCharType="end"/>
            </w:r>
          </w:hyperlink>
        </w:p>
        <w:p w14:paraId="769B2925"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5" w:history="1">
            <w:r w:rsidRPr="00476938">
              <w:rPr>
                <w:rStyle w:val="Hyperlink"/>
                <w:noProof/>
              </w:rPr>
              <w:t>3.6 Compliance and Legal Requirements</w:t>
            </w:r>
            <w:r>
              <w:rPr>
                <w:noProof/>
                <w:webHidden/>
              </w:rPr>
              <w:tab/>
            </w:r>
            <w:r>
              <w:rPr>
                <w:noProof/>
                <w:webHidden/>
              </w:rPr>
              <w:fldChar w:fldCharType="begin"/>
            </w:r>
            <w:r>
              <w:rPr>
                <w:noProof/>
                <w:webHidden/>
              </w:rPr>
              <w:instrText xml:space="preserve"> PAGEREF _Toc216261765 \h </w:instrText>
            </w:r>
            <w:r>
              <w:rPr>
                <w:noProof/>
                <w:webHidden/>
              </w:rPr>
            </w:r>
            <w:r>
              <w:rPr>
                <w:noProof/>
                <w:webHidden/>
              </w:rPr>
              <w:fldChar w:fldCharType="separate"/>
            </w:r>
            <w:r>
              <w:rPr>
                <w:noProof/>
                <w:webHidden/>
              </w:rPr>
              <w:t>14</w:t>
            </w:r>
            <w:r>
              <w:rPr>
                <w:noProof/>
                <w:webHidden/>
              </w:rPr>
              <w:fldChar w:fldCharType="end"/>
            </w:r>
          </w:hyperlink>
        </w:p>
        <w:p w14:paraId="398664CE"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6" w:history="1">
            <w:r w:rsidRPr="00476938">
              <w:rPr>
                <w:rStyle w:val="Hyperlink"/>
                <w:noProof/>
              </w:rPr>
              <w:t>3.7 Protection Mechanisms</w:t>
            </w:r>
            <w:r>
              <w:rPr>
                <w:noProof/>
                <w:webHidden/>
              </w:rPr>
              <w:tab/>
            </w:r>
            <w:r>
              <w:rPr>
                <w:noProof/>
                <w:webHidden/>
              </w:rPr>
              <w:fldChar w:fldCharType="begin"/>
            </w:r>
            <w:r>
              <w:rPr>
                <w:noProof/>
                <w:webHidden/>
              </w:rPr>
              <w:instrText xml:space="preserve"> PAGEREF _Toc216261766 \h </w:instrText>
            </w:r>
            <w:r>
              <w:rPr>
                <w:noProof/>
                <w:webHidden/>
              </w:rPr>
            </w:r>
            <w:r>
              <w:rPr>
                <w:noProof/>
                <w:webHidden/>
              </w:rPr>
              <w:fldChar w:fldCharType="separate"/>
            </w:r>
            <w:r>
              <w:rPr>
                <w:noProof/>
                <w:webHidden/>
              </w:rPr>
              <w:t>15</w:t>
            </w:r>
            <w:r>
              <w:rPr>
                <w:noProof/>
                <w:webHidden/>
              </w:rPr>
              <w:fldChar w:fldCharType="end"/>
            </w:r>
          </w:hyperlink>
        </w:p>
        <w:p w14:paraId="73D6101E"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7" w:history="1">
            <w:r w:rsidRPr="00476938">
              <w:rPr>
                <w:rStyle w:val="Hyperlink"/>
                <w:noProof/>
              </w:rPr>
              <w:t>3.8 Contingency and Business Continuity Planning</w:t>
            </w:r>
            <w:r>
              <w:rPr>
                <w:noProof/>
                <w:webHidden/>
              </w:rPr>
              <w:tab/>
            </w:r>
            <w:r>
              <w:rPr>
                <w:noProof/>
                <w:webHidden/>
              </w:rPr>
              <w:fldChar w:fldCharType="begin"/>
            </w:r>
            <w:r>
              <w:rPr>
                <w:noProof/>
                <w:webHidden/>
              </w:rPr>
              <w:instrText xml:space="preserve"> PAGEREF _Toc216261767 \h </w:instrText>
            </w:r>
            <w:r>
              <w:rPr>
                <w:noProof/>
                <w:webHidden/>
              </w:rPr>
            </w:r>
            <w:r>
              <w:rPr>
                <w:noProof/>
                <w:webHidden/>
              </w:rPr>
              <w:fldChar w:fldCharType="separate"/>
            </w:r>
            <w:r>
              <w:rPr>
                <w:noProof/>
                <w:webHidden/>
              </w:rPr>
              <w:t>15</w:t>
            </w:r>
            <w:r>
              <w:rPr>
                <w:noProof/>
                <w:webHidden/>
              </w:rPr>
              <w:fldChar w:fldCharType="end"/>
            </w:r>
          </w:hyperlink>
        </w:p>
        <w:p w14:paraId="76355491"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68" w:history="1">
            <w:r w:rsidRPr="00476938">
              <w:rPr>
                <w:rStyle w:val="Hyperlink"/>
                <w:noProof/>
              </w:rPr>
              <w:t>3.9 Service Level Agreements (SLAs)</w:t>
            </w:r>
            <w:r>
              <w:rPr>
                <w:noProof/>
                <w:webHidden/>
              </w:rPr>
              <w:tab/>
            </w:r>
            <w:r>
              <w:rPr>
                <w:noProof/>
                <w:webHidden/>
              </w:rPr>
              <w:fldChar w:fldCharType="begin"/>
            </w:r>
            <w:r>
              <w:rPr>
                <w:noProof/>
                <w:webHidden/>
              </w:rPr>
              <w:instrText xml:space="preserve"> PAGEREF _Toc216261768 \h </w:instrText>
            </w:r>
            <w:r>
              <w:rPr>
                <w:noProof/>
                <w:webHidden/>
              </w:rPr>
            </w:r>
            <w:r>
              <w:rPr>
                <w:noProof/>
                <w:webHidden/>
              </w:rPr>
              <w:fldChar w:fldCharType="separate"/>
            </w:r>
            <w:r>
              <w:rPr>
                <w:noProof/>
                <w:webHidden/>
              </w:rPr>
              <w:t>15</w:t>
            </w:r>
            <w:r>
              <w:rPr>
                <w:noProof/>
                <w:webHidden/>
              </w:rPr>
              <w:fldChar w:fldCharType="end"/>
            </w:r>
          </w:hyperlink>
        </w:p>
        <w:p w14:paraId="76FA40AC"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69" w:history="1">
            <w:r w:rsidRPr="00476938">
              <w:rPr>
                <w:rStyle w:val="Hyperlink"/>
                <w:noProof/>
              </w:rPr>
              <w:t>4. Critical Analysis</w:t>
            </w:r>
            <w:r>
              <w:rPr>
                <w:noProof/>
                <w:webHidden/>
              </w:rPr>
              <w:tab/>
            </w:r>
            <w:r>
              <w:rPr>
                <w:noProof/>
                <w:webHidden/>
              </w:rPr>
              <w:fldChar w:fldCharType="begin"/>
            </w:r>
            <w:r>
              <w:rPr>
                <w:noProof/>
                <w:webHidden/>
              </w:rPr>
              <w:instrText xml:space="preserve"> PAGEREF _Toc216261769 \h </w:instrText>
            </w:r>
            <w:r>
              <w:rPr>
                <w:noProof/>
                <w:webHidden/>
              </w:rPr>
            </w:r>
            <w:r>
              <w:rPr>
                <w:noProof/>
                <w:webHidden/>
              </w:rPr>
              <w:fldChar w:fldCharType="separate"/>
            </w:r>
            <w:r>
              <w:rPr>
                <w:noProof/>
                <w:webHidden/>
              </w:rPr>
              <w:t>15</w:t>
            </w:r>
            <w:r>
              <w:rPr>
                <w:noProof/>
                <w:webHidden/>
              </w:rPr>
              <w:fldChar w:fldCharType="end"/>
            </w:r>
          </w:hyperlink>
        </w:p>
        <w:p w14:paraId="79900C61"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70" w:history="1">
            <w:r w:rsidRPr="00476938">
              <w:rPr>
                <w:rStyle w:val="Hyperlink"/>
                <w:noProof/>
              </w:rPr>
              <w:t>4.1 The Dynamic Nature of Cybersecurity Threats</w:t>
            </w:r>
            <w:r>
              <w:rPr>
                <w:noProof/>
                <w:webHidden/>
              </w:rPr>
              <w:tab/>
            </w:r>
            <w:r>
              <w:rPr>
                <w:noProof/>
                <w:webHidden/>
              </w:rPr>
              <w:fldChar w:fldCharType="begin"/>
            </w:r>
            <w:r>
              <w:rPr>
                <w:noProof/>
                <w:webHidden/>
              </w:rPr>
              <w:instrText xml:space="preserve"> PAGEREF _Toc216261770 \h </w:instrText>
            </w:r>
            <w:r>
              <w:rPr>
                <w:noProof/>
                <w:webHidden/>
              </w:rPr>
            </w:r>
            <w:r>
              <w:rPr>
                <w:noProof/>
                <w:webHidden/>
              </w:rPr>
              <w:fldChar w:fldCharType="separate"/>
            </w:r>
            <w:r>
              <w:rPr>
                <w:noProof/>
                <w:webHidden/>
              </w:rPr>
              <w:t>15</w:t>
            </w:r>
            <w:r>
              <w:rPr>
                <w:noProof/>
                <w:webHidden/>
              </w:rPr>
              <w:fldChar w:fldCharType="end"/>
            </w:r>
          </w:hyperlink>
        </w:p>
        <w:p w14:paraId="2637D5DB"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71" w:history="1">
            <w:r w:rsidRPr="00476938">
              <w:rPr>
                <w:rStyle w:val="Hyperlink"/>
                <w:noProof/>
              </w:rPr>
              <w:t>4.2 Technological Advancement and Regulatory Adaptation</w:t>
            </w:r>
            <w:r>
              <w:rPr>
                <w:noProof/>
                <w:webHidden/>
              </w:rPr>
              <w:tab/>
            </w:r>
            <w:r>
              <w:rPr>
                <w:noProof/>
                <w:webHidden/>
              </w:rPr>
              <w:fldChar w:fldCharType="begin"/>
            </w:r>
            <w:r>
              <w:rPr>
                <w:noProof/>
                <w:webHidden/>
              </w:rPr>
              <w:instrText xml:space="preserve"> PAGEREF _Toc216261771 \h </w:instrText>
            </w:r>
            <w:r>
              <w:rPr>
                <w:noProof/>
                <w:webHidden/>
              </w:rPr>
            </w:r>
            <w:r>
              <w:rPr>
                <w:noProof/>
                <w:webHidden/>
              </w:rPr>
              <w:fldChar w:fldCharType="separate"/>
            </w:r>
            <w:r>
              <w:rPr>
                <w:noProof/>
                <w:webHidden/>
              </w:rPr>
              <w:t>16</w:t>
            </w:r>
            <w:r>
              <w:rPr>
                <w:noProof/>
                <w:webHidden/>
              </w:rPr>
              <w:fldChar w:fldCharType="end"/>
            </w:r>
          </w:hyperlink>
        </w:p>
        <w:p w14:paraId="47140CB2"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72" w:history="1">
            <w:r w:rsidRPr="00476938">
              <w:rPr>
                <w:rStyle w:val="Hyperlink"/>
                <w:noProof/>
              </w:rPr>
              <w:t>4.3 Benefits of Regular Updates to Standards</w:t>
            </w:r>
            <w:r>
              <w:rPr>
                <w:noProof/>
                <w:webHidden/>
              </w:rPr>
              <w:tab/>
            </w:r>
            <w:r>
              <w:rPr>
                <w:noProof/>
                <w:webHidden/>
              </w:rPr>
              <w:fldChar w:fldCharType="begin"/>
            </w:r>
            <w:r>
              <w:rPr>
                <w:noProof/>
                <w:webHidden/>
              </w:rPr>
              <w:instrText xml:space="preserve"> PAGEREF _Toc216261772 \h </w:instrText>
            </w:r>
            <w:r>
              <w:rPr>
                <w:noProof/>
                <w:webHidden/>
              </w:rPr>
            </w:r>
            <w:r>
              <w:rPr>
                <w:noProof/>
                <w:webHidden/>
              </w:rPr>
              <w:fldChar w:fldCharType="separate"/>
            </w:r>
            <w:r>
              <w:rPr>
                <w:noProof/>
                <w:webHidden/>
              </w:rPr>
              <w:t>17</w:t>
            </w:r>
            <w:r>
              <w:rPr>
                <w:noProof/>
                <w:webHidden/>
              </w:rPr>
              <w:fldChar w:fldCharType="end"/>
            </w:r>
          </w:hyperlink>
        </w:p>
        <w:p w14:paraId="6737F635"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73" w:history="1">
            <w:r w:rsidRPr="00476938">
              <w:rPr>
                <w:rStyle w:val="Hyperlink"/>
                <w:noProof/>
              </w:rPr>
              <w:t>4.4 Challenges and Considerations</w:t>
            </w:r>
            <w:r>
              <w:rPr>
                <w:noProof/>
                <w:webHidden/>
              </w:rPr>
              <w:tab/>
            </w:r>
            <w:r>
              <w:rPr>
                <w:noProof/>
                <w:webHidden/>
              </w:rPr>
              <w:fldChar w:fldCharType="begin"/>
            </w:r>
            <w:r>
              <w:rPr>
                <w:noProof/>
                <w:webHidden/>
              </w:rPr>
              <w:instrText xml:space="preserve"> PAGEREF _Toc216261773 \h </w:instrText>
            </w:r>
            <w:r>
              <w:rPr>
                <w:noProof/>
                <w:webHidden/>
              </w:rPr>
            </w:r>
            <w:r>
              <w:rPr>
                <w:noProof/>
                <w:webHidden/>
              </w:rPr>
              <w:fldChar w:fldCharType="separate"/>
            </w:r>
            <w:r>
              <w:rPr>
                <w:noProof/>
                <w:webHidden/>
              </w:rPr>
              <w:t>17</w:t>
            </w:r>
            <w:r>
              <w:rPr>
                <w:noProof/>
                <w:webHidden/>
              </w:rPr>
              <w:fldChar w:fldCharType="end"/>
            </w:r>
          </w:hyperlink>
        </w:p>
        <w:p w14:paraId="68ED3E85"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74" w:history="1">
            <w:r w:rsidRPr="00476938">
              <w:rPr>
                <w:rStyle w:val="Hyperlink"/>
                <w:noProof/>
              </w:rPr>
              <w:t>5. Implementation Roadmap for NatureGreen</w:t>
            </w:r>
            <w:r>
              <w:rPr>
                <w:noProof/>
                <w:webHidden/>
              </w:rPr>
              <w:tab/>
            </w:r>
            <w:r>
              <w:rPr>
                <w:noProof/>
                <w:webHidden/>
              </w:rPr>
              <w:fldChar w:fldCharType="begin"/>
            </w:r>
            <w:r>
              <w:rPr>
                <w:noProof/>
                <w:webHidden/>
              </w:rPr>
              <w:instrText xml:space="preserve"> PAGEREF _Toc216261774 \h </w:instrText>
            </w:r>
            <w:r>
              <w:rPr>
                <w:noProof/>
                <w:webHidden/>
              </w:rPr>
            </w:r>
            <w:r>
              <w:rPr>
                <w:noProof/>
                <w:webHidden/>
              </w:rPr>
              <w:fldChar w:fldCharType="separate"/>
            </w:r>
            <w:r>
              <w:rPr>
                <w:noProof/>
                <w:webHidden/>
              </w:rPr>
              <w:t>17</w:t>
            </w:r>
            <w:r>
              <w:rPr>
                <w:noProof/>
                <w:webHidden/>
              </w:rPr>
              <w:fldChar w:fldCharType="end"/>
            </w:r>
          </w:hyperlink>
        </w:p>
        <w:p w14:paraId="70846A67"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75" w:history="1">
            <w:r w:rsidRPr="00476938">
              <w:rPr>
                <w:rStyle w:val="Hyperlink"/>
                <w:noProof/>
              </w:rPr>
              <w:t>5.1 Phased Implementation Approach</w:t>
            </w:r>
            <w:r>
              <w:rPr>
                <w:noProof/>
                <w:webHidden/>
              </w:rPr>
              <w:tab/>
            </w:r>
            <w:r>
              <w:rPr>
                <w:noProof/>
                <w:webHidden/>
              </w:rPr>
              <w:fldChar w:fldCharType="begin"/>
            </w:r>
            <w:r>
              <w:rPr>
                <w:noProof/>
                <w:webHidden/>
              </w:rPr>
              <w:instrText xml:space="preserve"> PAGEREF _Toc216261775 \h </w:instrText>
            </w:r>
            <w:r>
              <w:rPr>
                <w:noProof/>
                <w:webHidden/>
              </w:rPr>
            </w:r>
            <w:r>
              <w:rPr>
                <w:noProof/>
                <w:webHidden/>
              </w:rPr>
              <w:fldChar w:fldCharType="separate"/>
            </w:r>
            <w:r>
              <w:rPr>
                <w:noProof/>
                <w:webHidden/>
              </w:rPr>
              <w:t>17</w:t>
            </w:r>
            <w:r>
              <w:rPr>
                <w:noProof/>
                <w:webHidden/>
              </w:rPr>
              <w:fldChar w:fldCharType="end"/>
            </w:r>
          </w:hyperlink>
        </w:p>
        <w:p w14:paraId="22F2D573" w14:textId="77777777" w:rsidR="00F21E1D" w:rsidRDefault="00F21E1D">
          <w:pPr>
            <w:pStyle w:val="TOC2"/>
            <w:tabs>
              <w:tab w:val="right" w:leader="dot" w:pos="9016"/>
            </w:tabs>
            <w:rPr>
              <w:rFonts w:asciiTheme="minorHAnsi" w:eastAsiaTheme="minorEastAsia" w:hAnsiTheme="minorHAnsi"/>
              <w:noProof/>
              <w:kern w:val="0"/>
              <w:sz w:val="22"/>
              <w:szCs w:val="22"/>
              <w:lang w:val="en-US" w:bidi="ar-SA"/>
            </w:rPr>
          </w:pPr>
          <w:hyperlink w:anchor="_Toc216261776" w:history="1">
            <w:r w:rsidRPr="00476938">
              <w:rPr>
                <w:rStyle w:val="Hyperlink"/>
                <w:noProof/>
              </w:rPr>
              <w:t>5.2 Success Factors and Key Recommendations</w:t>
            </w:r>
            <w:r>
              <w:rPr>
                <w:noProof/>
                <w:webHidden/>
              </w:rPr>
              <w:tab/>
            </w:r>
            <w:r>
              <w:rPr>
                <w:noProof/>
                <w:webHidden/>
              </w:rPr>
              <w:fldChar w:fldCharType="begin"/>
            </w:r>
            <w:r>
              <w:rPr>
                <w:noProof/>
                <w:webHidden/>
              </w:rPr>
              <w:instrText xml:space="preserve"> PAGEREF _Toc216261776 \h </w:instrText>
            </w:r>
            <w:r>
              <w:rPr>
                <w:noProof/>
                <w:webHidden/>
              </w:rPr>
            </w:r>
            <w:r>
              <w:rPr>
                <w:noProof/>
                <w:webHidden/>
              </w:rPr>
              <w:fldChar w:fldCharType="separate"/>
            </w:r>
            <w:r>
              <w:rPr>
                <w:noProof/>
                <w:webHidden/>
              </w:rPr>
              <w:t>18</w:t>
            </w:r>
            <w:r>
              <w:rPr>
                <w:noProof/>
                <w:webHidden/>
              </w:rPr>
              <w:fldChar w:fldCharType="end"/>
            </w:r>
          </w:hyperlink>
        </w:p>
        <w:p w14:paraId="58F36322"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77" w:history="1">
            <w:r w:rsidRPr="00476938">
              <w:rPr>
                <w:rStyle w:val="Hyperlink"/>
                <w:noProof/>
              </w:rPr>
              <w:t>6. Conclusion</w:t>
            </w:r>
            <w:r>
              <w:rPr>
                <w:noProof/>
                <w:webHidden/>
              </w:rPr>
              <w:tab/>
            </w:r>
            <w:r>
              <w:rPr>
                <w:noProof/>
                <w:webHidden/>
              </w:rPr>
              <w:fldChar w:fldCharType="begin"/>
            </w:r>
            <w:r>
              <w:rPr>
                <w:noProof/>
                <w:webHidden/>
              </w:rPr>
              <w:instrText xml:space="preserve"> PAGEREF _Toc216261777 \h </w:instrText>
            </w:r>
            <w:r>
              <w:rPr>
                <w:noProof/>
                <w:webHidden/>
              </w:rPr>
            </w:r>
            <w:r>
              <w:rPr>
                <w:noProof/>
                <w:webHidden/>
              </w:rPr>
              <w:fldChar w:fldCharType="separate"/>
            </w:r>
            <w:r>
              <w:rPr>
                <w:noProof/>
                <w:webHidden/>
              </w:rPr>
              <w:t>18</w:t>
            </w:r>
            <w:r>
              <w:rPr>
                <w:noProof/>
                <w:webHidden/>
              </w:rPr>
              <w:fldChar w:fldCharType="end"/>
            </w:r>
          </w:hyperlink>
        </w:p>
        <w:p w14:paraId="0C2EFEB3" w14:textId="77777777" w:rsidR="00F21E1D" w:rsidRDefault="00F21E1D">
          <w:pPr>
            <w:pStyle w:val="TOC1"/>
            <w:tabs>
              <w:tab w:val="right" w:leader="dot" w:pos="9016"/>
            </w:tabs>
            <w:rPr>
              <w:rFonts w:asciiTheme="minorHAnsi" w:eastAsiaTheme="minorEastAsia" w:hAnsiTheme="minorHAnsi"/>
              <w:noProof/>
              <w:kern w:val="0"/>
              <w:sz w:val="22"/>
              <w:szCs w:val="22"/>
              <w:lang w:val="en-US" w:bidi="ar-SA"/>
            </w:rPr>
          </w:pPr>
          <w:hyperlink w:anchor="_Toc216261778" w:history="1">
            <w:r w:rsidRPr="00476938">
              <w:rPr>
                <w:rStyle w:val="Hyperlink"/>
                <w:noProof/>
              </w:rPr>
              <w:t>References</w:t>
            </w:r>
            <w:r>
              <w:rPr>
                <w:noProof/>
                <w:webHidden/>
              </w:rPr>
              <w:tab/>
            </w:r>
            <w:r>
              <w:rPr>
                <w:noProof/>
                <w:webHidden/>
              </w:rPr>
              <w:fldChar w:fldCharType="begin"/>
            </w:r>
            <w:r>
              <w:rPr>
                <w:noProof/>
                <w:webHidden/>
              </w:rPr>
              <w:instrText xml:space="preserve"> PAGEREF _Toc216261778 \h </w:instrText>
            </w:r>
            <w:r>
              <w:rPr>
                <w:noProof/>
                <w:webHidden/>
              </w:rPr>
            </w:r>
            <w:r>
              <w:rPr>
                <w:noProof/>
                <w:webHidden/>
              </w:rPr>
              <w:fldChar w:fldCharType="separate"/>
            </w:r>
            <w:r>
              <w:rPr>
                <w:noProof/>
                <w:webHidden/>
              </w:rPr>
              <w:t>20</w:t>
            </w:r>
            <w:r>
              <w:rPr>
                <w:noProof/>
                <w:webHidden/>
              </w:rPr>
              <w:fldChar w:fldCharType="end"/>
            </w:r>
          </w:hyperlink>
        </w:p>
        <w:p w14:paraId="01EDC95C" w14:textId="77777777" w:rsidR="00BC4EA3" w:rsidRDefault="006D72F6">
          <w:r>
            <w:rPr>
              <w:b/>
              <w:bCs/>
            </w:rPr>
            <w:fldChar w:fldCharType="end"/>
          </w:r>
        </w:p>
      </w:sdtContent>
    </w:sdt>
    <w:p w14:paraId="1A5287F8" w14:textId="77777777" w:rsidR="00303267" w:rsidRDefault="00303267">
      <w:pPr>
        <w:spacing w:line="278" w:lineRule="auto"/>
        <w:jc w:val="left"/>
      </w:pPr>
      <w:r>
        <w:br w:type="page"/>
      </w:r>
    </w:p>
    <w:p w14:paraId="6B36FBC0" w14:textId="77777777" w:rsidR="00303267" w:rsidRPr="00206A93" w:rsidRDefault="00303267" w:rsidP="00303267">
      <w:pPr>
        <w:spacing w:line="278" w:lineRule="auto"/>
        <w:jc w:val="left"/>
        <w:rPr>
          <w:b/>
          <w:bCs/>
          <w:sz w:val="32"/>
          <w:szCs w:val="24"/>
        </w:rPr>
      </w:pPr>
      <w:r w:rsidRPr="00206A93">
        <w:rPr>
          <w:b/>
          <w:bCs/>
          <w:sz w:val="32"/>
          <w:szCs w:val="24"/>
        </w:rPr>
        <w:lastRenderedPageBreak/>
        <w:t>List of Figures</w:t>
      </w:r>
    </w:p>
    <w:p w14:paraId="3764F09B" w14:textId="77777777" w:rsidR="007A3FA2" w:rsidRDefault="006D72F6">
      <w:pPr>
        <w:pStyle w:val="TableofFigures"/>
        <w:tabs>
          <w:tab w:val="right" w:leader="dot" w:pos="9016"/>
        </w:tabs>
        <w:rPr>
          <w:rFonts w:asciiTheme="minorHAnsi" w:eastAsiaTheme="minorEastAsia" w:hAnsiTheme="minorHAnsi"/>
          <w:noProof/>
          <w:kern w:val="0"/>
          <w:sz w:val="22"/>
          <w:szCs w:val="22"/>
          <w:lang w:val="en-US" w:bidi="ar-SA"/>
        </w:rPr>
      </w:pPr>
      <w:r>
        <w:fldChar w:fldCharType="begin"/>
      </w:r>
      <w:r w:rsidR="00303267">
        <w:instrText xml:space="preserve"> TOC \h \z \c "Figure" </w:instrText>
      </w:r>
      <w:r>
        <w:fldChar w:fldCharType="separate"/>
      </w:r>
      <w:hyperlink w:anchor="_Toc216261740" w:history="1">
        <w:r w:rsidR="007A3FA2" w:rsidRPr="0055637F">
          <w:rPr>
            <w:rStyle w:val="Hyperlink"/>
            <w:noProof/>
          </w:rPr>
          <w:t>Figure 1</w:t>
        </w:r>
        <w:r w:rsidR="007A3FA2" w:rsidRPr="0055637F">
          <w:rPr>
            <w:rStyle w:val="Hyperlink"/>
            <w:noProof/>
            <w:lang w:val="en-US"/>
          </w:rPr>
          <w:t>: Overview of ISO 27001–27002 Framework Relationship</w:t>
        </w:r>
        <w:r w:rsidR="007A3FA2">
          <w:rPr>
            <w:noProof/>
            <w:webHidden/>
          </w:rPr>
          <w:tab/>
        </w:r>
        <w:r w:rsidR="007A3FA2">
          <w:rPr>
            <w:noProof/>
            <w:webHidden/>
          </w:rPr>
          <w:fldChar w:fldCharType="begin"/>
        </w:r>
        <w:r w:rsidR="007A3FA2">
          <w:rPr>
            <w:noProof/>
            <w:webHidden/>
          </w:rPr>
          <w:instrText xml:space="preserve"> PAGEREF _Toc216261740 \h </w:instrText>
        </w:r>
        <w:r w:rsidR="007A3FA2">
          <w:rPr>
            <w:noProof/>
            <w:webHidden/>
          </w:rPr>
        </w:r>
        <w:r w:rsidR="007A3FA2">
          <w:rPr>
            <w:noProof/>
            <w:webHidden/>
          </w:rPr>
          <w:fldChar w:fldCharType="separate"/>
        </w:r>
        <w:r w:rsidR="007A3FA2">
          <w:rPr>
            <w:noProof/>
            <w:webHidden/>
          </w:rPr>
          <w:t>8</w:t>
        </w:r>
        <w:r w:rsidR="007A3FA2">
          <w:rPr>
            <w:noProof/>
            <w:webHidden/>
          </w:rPr>
          <w:fldChar w:fldCharType="end"/>
        </w:r>
      </w:hyperlink>
    </w:p>
    <w:p w14:paraId="366F4DE4"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41" w:history="1">
        <w:r w:rsidRPr="0055637F">
          <w:rPr>
            <w:rStyle w:val="Hyperlink"/>
            <w:noProof/>
          </w:rPr>
          <w:t>Figure 2</w:t>
        </w:r>
        <w:r w:rsidRPr="0055637F">
          <w:rPr>
            <w:rStyle w:val="Hyperlink"/>
            <w:noProof/>
            <w:lang w:val="en-US"/>
          </w:rPr>
          <w:t>: ITIL Service Lifecycle</w:t>
        </w:r>
        <w:r>
          <w:rPr>
            <w:noProof/>
            <w:webHidden/>
          </w:rPr>
          <w:tab/>
        </w:r>
        <w:r>
          <w:rPr>
            <w:noProof/>
            <w:webHidden/>
          </w:rPr>
          <w:fldChar w:fldCharType="begin"/>
        </w:r>
        <w:r>
          <w:rPr>
            <w:noProof/>
            <w:webHidden/>
          </w:rPr>
          <w:instrText xml:space="preserve"> PAGEREF _Toc216261741 \h </w:instrText>
        </w:r>
        <w:r>
          <w:rPr>
            <w:noProof/>
            <w:webHidden/>
          </w:rPr>
        </w:r>
        <w:r>
          <w:rPr>
            <w:noProof/>
            <w:webHidden/>
          </w:rPr>
          <w:fldChar w:fldCharType="separate"/>
        </w:r>
        <w:r>
          <w:rPr>
            <w:noProof/>
            <w:webHidden/>
          </w:rPr>
          <w:t>9</w:t>
        </w:r>
        <w:r>
          <w:rPr>
            <w:noProof/>
            <w:webHidden/>
          </w:rPr>
          <w:fldChar w:fldCharType="end"/>
        </w:r>
      </w:hyperlink>
    </w:p>
    <w:p w14:paraId="670BE6A9"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42" w:history="1">
        <w:r w:rsidRPr="0055637F">
          <w:rPr>
            <w:rStyle w:val="Hyperlink"/>
            <w:noProof/>
          </w:rPr>
          <w:t>Figure 3</w:t>
        </w:r>
        <w:r w:rsidRPr="0055637F">
          <w:rPr>
            <w:rStyle w:val="Hyperlink"/>
            <w:noProof/>
            <w:lang w:val="en-US"/>
          </w:rPr>
          <w:t>: Information Security Governance Structure Overview</w:t>
        </w:r>
        <w:r>
          <w:rPr>
            <w:noProof/>
            <w:webHidden/>
          </w:rPr>
          <w:tab/>
        </w:r>
        <w:r>
          <w:rPr>
            <w:noProof/>
            <w:webHidden/>
          </w:rPr>
          <w:fldChar w:fldCharType="begin"/>
        </w:r>
        <w:r>
          <w:rPr>
            <w:noProof/>
            <w:webHidden/>
          </w:rPr>
          <w:instrText xml:space="preserve"> PAGEREF _Toc216261742 \h </w:instrText>
        </w:r>
        <w:r>
          <w:rPr>
            <w:noProof/>
            <w:webHidden/>
          </w:rPr>
        </w:r>
        <w:r>
          <w:rPr>
            <w:noProof/>
            <w:webHidden/>
          </w:rPr>
          <w:fldChar w:fldCharType="separate"/>
        </w:r>
        <w:r>
          <w:rPr>
            <w:noProof/>
            <w:webHidden/>
          </w:rPr>
          <w:t>12</w:t>
        </w:r>
        <w:r>
          <w:rPr>
            <w:noProof/>
            <w:webHidden/>
          </w:rPr>
          <w:fldChar w:fldCharType="end"/>
        </w:r>
      </w:hyperlink>
    </w:p>
    <w:p w14:paraId="4E9CE27F"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43" w:history="1">
        <w:r w:rsidRPr="0055637F">
          <w:rPr>
            <w:rStyle w:val="Hyperlink"/>
            <w:noProof/>
          </w:rPr>
          <w:t>Figure 4</w:t>
        </w:r>
        <w:r w:rsidRPr="0055637F">
          <w:rPr>
            <w:rStyle w:val="Hyperlink"/>
            <w:noProof/>
            <w:lang w:val="en-US"/>
          </w:rPr>
          <w:t>: Comprehensive cyclical framework for risk management</w:t>
        </w:r>
        <w:r>
          <w:rPr>
            <w:noProof/>
            <w:webHidden/>
          </w:rPr>
          <w:tab/>
        </w:r>
        <w:r>
          <w:rPr>
            <w:noProof/>
            <w:webHidden/>
          </w:rPr>
          <w:fldChar w:fldCharType="begin"/>
        </w:r>
        <w:r>
          <w:rPr>
            <w:noProof/>
            <w:webHidden/>
          </w:rPr>
          <w:instrText xml:space="preserve"> PAGEREF _Toc216261743 \h </w:instrText>
        </w:r>
        <w:r>
          <w:rPr>
            <w:noProof/>
            <w:webHidden/>
          </w:rPr>
        </w:r>
        <w:r>
          <w:rPr>
            <w:noProof/>
            <w:webHidden/>
          </w:rPr>
          <w:fldChar w:fldCharType="separate"/>
        </w:r>
        <w:r>
          <w:rPr>
            <w:noProof/>
            <w:webHidden/>
          </w:rPr>
          <w:t>14</w:t>
        </w:r>
        <w:r>
          <w:rPr>
            <w:noProof/>
            <w:webHidden/>
          </w:rPr>
          <w:fldChar w:fldCharType="end"/>
        </w:r>
      </w:hyperlink>
    </w:p>
    <w:p w14:paraId="73A9FAB3" w14:textId="77777777" w:rsidR="00303267" w:rsidRDefault="006D72F6">
      <w:pPr>
        <w:spacing w:line="278" w:lineRule="auto"/>
        <w:jc w:val="left"/>
      </w:pPr>
      <w:r>
        <w:fldChar w:fldCharType="end"/>
      </w:r>
    </w:p>
    <w:p w14:paraId="5B0399B0" w14:textId="77777777" w:rsidR="00062E2C" w:rsidRDefault="00303267">
      <w:pPr>
        <w:spacing w:line="278" w:lineRule="auto"/>
        <w:jc w:val="left"/>
        <w:rPr>
          <w:b/>
          <w:bCs/>
          <w:sz w:val="32"/>
          <w:szCs w:val="24"/>
        </w:rPr>
      </w:pPr>
      <w:r w:rsidRPr="00206A93">
        <w:rPr>
          <w:b/>
          <w:bCs/>
          <w:sz w:val="32"/>
          <w:szCs w:val="24"/>
        </w:rPr>
        <w:t>List of Tables</w:t>
      </w:r>
    </w:p>
    <w:p w14:paraId="342BEE19" w14:textId="77777777" w:rsidR="007A3FA2" w:rsidRDefault="006D72F6">
      <w:pPr>
        <w:pStyle w:val="TableofFigures"/>
        <w:tabs>
          <w:tab w:val="right" w:leader="dot" w:pos="9016"/>
        </w:tabs>
        <w:rPr>
          <w:rFonts w:asciiTheme="minorHAnsi" w:eastAsiaTheme="minorEastAsia" w:hAnsiTheme="minorHAnsi"/>
          <w:noProof/>
          <w:kern w:val="0"/>
          <w:sz w:val="22"/>
          <w:szCs w:val="22"/>
          <w:lang w:val="en-US" w:bidi="ar-SA"/>
        </w:rPr>
      </w:pPr>
      <w:r>
        <w:fldChar w:fldCharType="begin"/>
      </w:r>
      <w:r w:rsidR="00062E2C">
        <w:instrText xml:space="preserve"> TOC \h \z \c "Table" </w:instrText>
      </w:r>
      <w:r>
        <w:fldChar w:fldCharType="separate"/>
      </w:r>
      <w:hyperlink w:anchor="_Toc216261728" w:history="1">
        <w:r w:rsidR="007A3FA2" w:rsidRPr="0013568D">
          <w:rPr>
            <w:rStyle w:val="Hyperlink"/>
            <w:noProof/>
          </w:rPr>
          <w:t>Table 1: ISO 27001 and 27002 domain comparison</w:t>
        </w:r>
        <w:r w:rsidR="007A3FA2">
          <w:rPr>
            <w:noProof/>
            <w:webHidden/>
          </w:rPr>
          <w:tab/>
        </w:r>
        <w:r w:rsidR="007A3FA2">
          <w:rPr>
            <w:noProof/>
            <w:webHidden/>
          </w:rPr>
          <w:fldChar w:fldCharType="begin"/>
        </w:r>
        <w:r w:rsidR="007A3FA2">
          <w:rPr>
            <w:noProof/>
            <w:webHidden/>
          </w:rPr>
          <w:instrText xml:space="preserve"> PAGEREF _Toc216261728 \h </w:instrText>
        </w:r>
        <w:r w:rsidR="007A3FA2">
          <w:rPr>
            <w:noProof/>
            <w:webHidden/>
          </w:rPr>
        </w:r>
        <w:r w:rsidR="007A3FA2">
          <w:rPr>
            <w:noProof/>
            <w:webHidden/>
          </w:rPr>
          <w:fldChar w:fldCharType="separate"/>
        </w:r>
        <w:r w:rsidR="007A3FA2">
          <w:rPr>
            <w:noProof/>
            <w:webHidden/>
          </w:rPr>
          <w:t>7</w:t>
        </w:r>
        <w:r w:rsidR="007A3FA2">
          <w:rPr>
            <w:noProof/>
            <w:webHidden/>
          </w:rPr>
          <w:fldChar w:fldCharType="end"/>
        </w:r>
      </w:hyperlink>
    </w:p>
    <w:p w14:paraId="145A03E9"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29" w:history="1">
        <w:r w:rsidRPr="0013568D">
          <w:rPr>
            <w:rStyle w:val="Hyperlink"/>
            <w:noProof/>
          </w:rPr>
          <w:t>Table 2: Key IT processes and security contributions</w:t>
        </w:r>
        <w:r>
          <w:rPr>
            <w:noProof/>
            <w:webHidden/>
          </w:rPr>
          <w:tab/>
        </w:r>
        <w:r>
          <w:rPr>
            <w:noProof/>
            <w:webHidden/>
          </w:rPr>
          <w:fldChar w:fldCharType="begin"/>
        </w:r>
        <w:r>
          <w:rPr>
            <w:noProof/>
            <w:webHidden/>
          </w:rPr>
          <w:instrText xml:space="preserve"> PAGEREF _Toc216261729 \h </w:instrText>
        </w:r>
        <w:r>
          <w:rPr>
            <w:noProof/>
            <w:webHidden/>
          </w:rPr>
        </w:r>
        <w:r>
          <w:rPr>
            <w:noProof/>
            <w:webHidden/>
          </w:rPr>
          <w:fldChar w:fldCharType="separate"/>
        </w:r>
        <w:r>
          <w:rPr>
            <w:noProof/>
            <w:webHidden/>
          </w:rPr>
          <w:t>9</w:t>
        </w:r>
        <w:r>
          <w:rPr>
            <w:noProof/>
            <w:webHidden/>
          </w:rPr>
          <w:fldChar w:fldCharType="end"/>
        </w:r>
      </w:hyperlink>
    </w:p>
    <w:p w14:paraId="5C54B86A"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0" w:history="1">
        <w:r w:rsidRPr="0013568D">
          <w:rPr>
            <w:rStyle w:val="Hyperlink"/>
            <w:noProof/>
          </w:rPr>
          <w:t>Table 3: Comparison of major IT security frameworks</w:t>
        </w:r>
        <w:r>
          <w:rPr>
            <w:noProof/>
            <w:webHidden/>
          </w:rPr>
          <w:tab/>
        </w:r>
        <w:r>
          <w:rPr>
            <w:noProof/>
            <w:webHidden/>
          </w:rPr>
          <w:fldChar w:fldCharType="begin"/>
        </w:r>
        <w:r>
          <w:rPr>
            <w:noProof/>
            <w:webHidden/>
          </w:rPr>
          <w:instrText xml:space="preserve"> PAGEREF _Toc216261730 \h </w:instrText>
        </w:r>
        <w:r>
          <w:rPr>
            <w:noProof/>
            <w:webHidden/>
          </w:rPr>
        </w:r>
        <w:r>
          <w:rPr>
            <w:noProof/>
            <w:webHidden/>
          </w:rPr>
          <w:fldChar w:fldCharType="separate"/>
        </w:r>
        <w:r>
          <w:rPr>
            <w:noProof/>
            <w:webHidden/>
          </w:rPr>
          <w:t>10</w:t>
        </w:r>
        <w:r>
          <w:rPr>
            <w:noProof/>
            <w:webHidden/>
          </w:rPr>
          <w:fldChar w:fldCharType="end"/>
        </w:r>
      </w:hyperlink>
    </w:p>
    <w:p w14:paraId="3933B23E"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1" w:history="1">
        <w:r w:rsidRPr="0013568D">
          <w:rPr>
            <w:rStyle w:val="Hyperlink"/>
            <w:noProof/>
          </w:rPr>
          <w:t>Table 4: Comparison of framework insights and gaps</w:t>
        </w:r>
        <w:r>
          <w:rPr>
            <w:noProof/>
            <w:webHidden/>
          </w:rPr>
          <w:tab/>
        </w:r>
        <w:r>
          <w:rPr>
            <w:noProof/>
            <w:webHidden/>
          </w:rPr>
          <w:fldChar w:fldCharType="begin"/>
        </w:r>
        <w:r>
          <w:rPr>
            <w:noProof/>
            <w:webHidden/>
          </w:rPr>
          <w:instrText xml:space="preserve"> PAGEREF _Toc216261731 \h </w:instrText>
        </w:r>
        <w:r>
          <w:rPr>
            <w:noProof/>
            <w:webHidden/>
          </w:rPr>
        </w:r>
        <w:r>
          <w:rPr>
            <w:noProof/>
            <w:webHidden/>
          </w:rPr>
          <w:fldChar w:fldCharType="separate"/>
        </w:r>
        <w:r>
          <w:rPr>
            <w:noProof/>
            <w:webHidden/>
          </w:rPr>
          <w:t>10</w:t>
        </w:r>
        <w:r>
          <w:rPr>
            <w:noProof/>
            <w:webHidden/>
          </w:rPr>
          <w:fldChar w:fldCharType="end"/>
        </w:r>
      </w:hyperlink>
    </w:p>
    <w:p w14:paraId="0F49D868"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2" w:history="1">
        <w:r w:rsidRPr="0013568D">
          <w:rPr>
            <w:rStyle w:val="Hyperlink"/>
            <w:noProof/>
          </w:rPr>
          <w:t>Table 5: Primary Contributions of Security Frameworks</w:t>
        </w:r>
        <w:r>
          <w:rPr>
            <w:noProof/>
            <w:webHidden/>
          </w:rPr>
          <w:tab/>
        </w:r>
        <w:r>
          <w:rPr>
            <w:noProof/>
            <w:webHidden/>
          </w:rPr>
          <w:fldChar w:fldCharType="begin"/>
        </w:r>
        <w:r>
          <w:rPr>
            <w:noProof/>
            <w:webHidden/>
          </w:rPr>
          <w:instrText xml:space="preserve"> PAGEREF _Toc216261732 \h </w:instrText>
        </w:r>
        <w:r>
          <w:rPr>
            <w:noProof/>
            <w:webHidden/>
          </w:rPr>
        </w:r>
        <w:r>
          <w:rPr>
            <w:noProof/>
            <w:webHidden/>
          </w:rPr>
          <w:fldChar w:fldCharType="separate"/>
        </w:r>
        <w:r>
          <w:rPr>
            <w:noProof/>
            <w:webHidden/>
          </w:rPr>
          <w:t>11</w:t>
        </w:r>
        <w:r>
          <w:rPr>
            <w:noProof/>
            <w:webHidden/>
          </w:rPr>
          <w:fldChar w:fldCharType="end"/>
        </w:r>
      </w:hyperlink>
    </w:p>
    <w:p w14:paraId="1EFFC621"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3" w:history="1">
        <w:r w:rsidRPr="0013568D">
          <w:rPr>
            <w:rStyle w:val="Hyperlink"/>
            <w:noProof/>
          </w:rPr>
          <w:t>Table 6: Information Security Governance Roles and Responsibilities</w:t>
        </w:r>
        <w:r>
          <w:rPr>
            <w:noProof/>
            <w:webHidden/>
          </w:rPr>
          <w:tab/>
        </w:r>
        <w:r>
          <w:rPr>
            <w:noProof/>
            <w:webHidden/>
          </w:rPr>
          <w:fldChar w:fldCharType="begin"/>
        </w:r>
        <w:r>
          <w:rPr>
            <w:noProof/>
            <w:webHidden/>
          </w:rPr>
          <w:instrText xml:space="preserve"> PAGEREF _Toc216261733 \h </w:instrText>
        </w:r>
        <w:r>
          <w:rPr>
            <w:noProof/>
            <w:webHidden/>
          </w:rPr>
        </w:r>
        <w:r>
          <w:rPr>
            <w:noProof/>
            <w:webHidden/>
          </w:rPr>
          <w:fldChar w:fldCharType="separate"/>
        </w:r>
        <w:r>
          <w:rPr>
            <w:noProof/>
            <w:webHidden/>
          </w:rPr>
          <w:t>12</w:t>
        </w:r>
        <w:r>
          <w:rPr>
            <w:noProof/>
            <w:webHidden/>
          </w:rPr>
          <w:fldChar w:fldCharType="end"/>
        </w:r>
      </w:hyperlink>
    </w:p>
    <w:p w14:paraId="5560AA3E"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4" w:history="1">
        <w:r w:rsidRPr="0013568D">
          <w:rPr>
            <w:rStyle w:val="Hyperlink"/>
            <w:noProof/>
          </w:rPr>
          <w:t>Table 7: Balanced Scorecard Perspectives for Security KPIs</w:t>
        </w:r>
        <w:r>
          <w:rPr>
            <w:noProof/>
            <w:webHidden/>
          </w:rPr>
          <w:tab/>
        </w:r>
        <w:r>
          <w:rPr>
            <w:noProof/>
            <w:webHidden/>
          </w:rPr>
          <w:fldChar w:fldCharType="begin"/>
        </w:r>
        <w:r>
          <w:rPr>
            <w:noProof/>
            <w:webHidden/>
          </w:rPr>
          <w:instrText xml:space="preserve"> PAGEREF _Toc216261734 \h </w:instrText>
        </w:r>
        <w:r>
          <w:rPr>
            <w:noProof/>
            <w:webHidden/>
          </w:rPr>
        </w:r>
        <w:r>
          <w:rPr>
            <w:noProof/>
            <w:webHidden/>
          </w:rPr>
          <w:fldChar w:fldCharType="separate"/>
        </w:r>
        <w:r>
          <w:rPr>
            <w:noProof/>
            <w:webHidden/>
          </w:rPr>
          <w:t>13</w:t>
        </w:r>
        <w:r>
          <w:rPr>
            <w:noProof/>
            <w:webHidden/>
          </w:rPr>
          <w:fldChar w:fldCharType="end"/>
        </w:r>
      </w:hyperlink>
    </w:p>
    <w:p w14:paraId="786FE696"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5" w:history="1">
        <w:r w:rsidRPr="0013568D">
          <w:rPr>
            <w:rStyle w:val="Hyperlink"/>
            <w:noProof/>
          </w:rPr>
          <w:t>Table 8: Key Security Policy Domains and Priorities</w:t>
        </w:r>
        <w:r>
          <w:rPr>
            <w:noProof/>
            <w:webHidden/>
          </w:rPr>
          <w:tab/>
        </w:r>
        <w:r>
          <w:rPr>
            <w:noProof/>
            <w:webHidden/>
          </w:rPr>
          <w:fldChar w:fldCharType="begin"/>
        </w:r>
        <w:r>
          <w:rPr>
            <w:noProof/>
            <w:webHidden/>
          </w:rPr>
          <w:instrText xml:space="preserve"> PAGEREF _Toc216261735 \h </w:instrText>
        </w:r>
        <w:r>
          <w:rPr>
            <w:noProof/>
            <w:webHidden/>
          </w:rPr>
        </w:r>
        <w:r>
          <w:rPr>
            <w:noProof/>
            <w:webHidden/>
          </w:rPr>
          <w:fldChar w:fldCharType="separate"/>
        </w:r>
        <w:r>
          <w:rPr>
            <w:noProof/>
            <w:webHidden/>
          </w:rPr>
          <w:t>13</w:t>
        </w:r>
        <w:r>
          <w:rPr>
            <w:noProof/>
            <w:webHidden/>
          </w:rPr>
          <w:fldChar w:fldCharType="end"/>
        </w:r>
      </w:hyperlink>
    </w:p>
    <w:p w14:paraId="77EDEF11"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6" w:history="1">
        <w:r w:rsidRPr="0013568D">
          <w:rPr>
            <w:rStyle w:val="Hyperlink"/>
            <w:noProof/>
          </w:rPr>
          <w:t>Table 9: Key Compliance Areas and Their Focus</w:t>
        </w:r>
        <w:r>
          <w:rPr>
            <w:noProof/>
            <w:webHidden/>
          </w:rPr>
          <w:tab/>
        </w:r>
        <w:r>
          <w:rPr>
            <w:noProof/>
            <w:webHidden/>
          </w:rPr>
          <w:fldChar w:fldCharType="begin"/>
        </w:r>
        <w:r>
          <w:rPr>
            <w:noProof/>
            <w:webHidden/>
          </w:rPr>
          <w:instrText xml:space="preserve"> PAGEREF _Toc216261736 \h </w:instrText>
        </w:r>
        <w:r>
          <w:rPr>
            <w:noProof/>
            <w:webHidden/>
          </w:rPr>
        </w:r>
        <w:r>
          <w:rPr>
            <w:noProof/>
            <w:webHidden/>
          </w:rPr>
          <w:fldChar w:fldCharType="separate"/>
        </w:r>
        <w:r>
          <w:rPr>
            <w:noProof/>
            <w:webHidden/>
          </w:rPr>
          <w:t>14</w:t>
        </w:r>
        <w:r>
          <w:rPr>
            <w:noProof/>
            <w:webHidden/>
          </w:rPr>
          <w:fldChar w:fldCharType="end"/>
        </w:r>
      </w:hyperlink>
    </w:p>
    <w:p w14:paraId="7DF952A3"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7" w:history="1">
        <w:r w:rsidRPr="0013568D">
          <w:rPr>
            <w:rStyle w:val="Hyperlink"/>
            <w:noProof/>
          </w:rPr>
          <w:t>Table 10: Core Components of Business Continuity Planning</w:t>
        </w:r>
        <w:r>
          <w:rPr>
            <w:noProof/>
            <w:webHidden/>
          </w:rPr>
          <w:tab/>
        </w:r>
        <w:r>
          <w:rPr>
            <w:noProof/>
            <w:webHidden/>
          </w:rPr>
          <w:fldChar w:fldCharType="begin"/>
        </w:r>
        <w:r>
          <w:rPr>
            <w:noProof/>
            <w:webHidden/>
          </w:rPr>
          <w:instrText xml:space="preserve"> PAGEREF _Toc216261737 \h </w:instrText>
        </w:r>
        <w:r>
          <w:rPr>
            <w:noProof/>
            <w:webHidden/>
          </w:rPr>
        </w:r>
        <w:r>
          <w:rPr>
            <w:noProof/>
            <w:webHidden/>
          </w:rPr>
          <w:fldChar w:fldCharType="separate"/>
        </w:r>
        <w:r>
          <w:rPr>
            <w:noProof/>
            <w:webHidden/>
          </w:rPr>
          <w:t>15</w:t>
        </w:r>
        <w:r>
          <w:rPr>
            <w:noProof/>
            <w:webHidden/>
          </w:rPr>
          <w:fldChar w:fldCharType="end"/>
        </w:r>
      </w:hyperlink>
    </w:p>
    <w:p w14:paraId="60E433F8"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8" w:history="1">
        <w:r w:rsidRPr="0013568D">
          <w:rPr>
            <w:rStyle w:val="Hyperlink"/>
            <w:noProof/>
          </w:rPr>
          <w:t>Table 11: Regulatory needs driven by emerging technologies</w:t>
        </w:r>
        <w:r>
          <w:rPr>
            <w:noProof/>
            <w:webHidden/>
          </w:rPr>
          <w:tab/>
        </w:r>
        <w:r>
          <w:rPr>
            <w:noProof/>
            <w:webHidden/>
          </w:rPr>
          <w:fldChar w:fldCharType="begin"/>
        </w:r>
        <w:r>
          <w:rPr>
            <w:noProof/>
            <w:webHidden/>
          </w:rPr>
          <w:instrText xml:space="preserve"> PAGEREF _Toc216261738 \h </w:instrText>
        </w:r>
        <w:r>
          <w:rPr>
            <w:noProof/>
            <w:webHidden/>
          </w:rPr>
        </w:r>
        <w:r>
          <w:rPr>
            <w:noProof/>
            <w:webHidden/>
          </w:rPr>
          <w:fldChar w:fldCharType="separate"/>
        </w:r>
        <w:r>
          <w:rPr>
            <w:noProof/>
            <w:webHidden/>
          </w:rPr>
          <w:t>16</w:t>
        </w:r>
        <w:r>
          <w:rPr>
            <w:noProof/>
            <w:webHidden/>
          </w:rPr>
          <w:fldChar w:fldCharType="end"/>
        </w:r>
      </w:hyperlink>
    </w:p>
    <w:p w14:paraId="2DAA9B91" w14:textId="77777777" w:rsidR="007A3FA2" w:rsidRDefault="007A3FA2">
      <w:pPr>
        <w:pStyle w:val="TableofFigures"/>
        <w:tabs>
          <w:tab w:val="right" w:leader="dot" w:pos="9016"/>
        </w:tabs>
        <w:rPr>
          <w:rFonts w:asciiTheme="minorHAnsi" w:eastAsiaTheme="minorEastAsia" w:hAnsiTheme="minorHAnsi"/>
          <w:noProof/>
          <w:kern w:val="0"/>
          <w:sz w:val="22"/>
          <w:szCs w:val="22"/>
          <w:lang w:val="en-US" w:bidi="ar-SA"/>
        </w:rPr>
      </w:pPr>
      <w:hyperlink w:anchor="_Toc216261739" w:history="1">
        <w:r w:rsidRPr="0013568D">
          <w:rPr>
            <w:rStyle w:val="Hyperlink"/>
            <w:noProof/>
          </w:rPr>
          <w:t>Table 12: Phased roadmap for enhancing security maturity</w:t>
        </w:r>
        <w:r>
          <w:rPr>
            <w:noProof/>
            <w:webHidden/>
          </w:rPr>
          <w:tab/>
        </w:r>
        <w:r>
          <w:rPr>
            <w:noProof/>
            <w:webHidden/>
          </w:rPr>
          <w:fldChar w:fldCharType="begin"/>
        </w:r>
        <w:r>
          <w:rPr>
            <w:noProof/>
            <w:webHidden/>
          </w:rPr>
          <w:instrText xml:space="preserve"> PAGEREF _Toc216261739 \h </w:instrText>
        </w:r>
        <w:r>
          <w:rPr>
            <w:noProof/>
            <w:webHidden/>
          </w:rPr>
        </w:r>
        <w:r>
          <w:rPr>
            <w:noProof/>
            <w:webHidden/>
          </w:rPr>
          <w:fldChar w:fldCharType="separate"/>
        </w:r>
        <w:r>
          <w:rPr>
            <w:noProof/>
            <w:webHidden/>
          </w:rPr>
          <w:t>18</w:t>
        </w:r>
        <w:r>
          <w:rPr>
            <w:noProof/>
            <w:webHidden/>
          </w:rPr>
          <w:fldChar w:fldCharType="end"/>
        </w:r>
      </w:hyperlink>
    </w:p>
    <w:p w14:paraId="051EE7CA" w14:textId="77777777" w:rsidR="00727516" w:rsidRDefault="006D72F6">
      <w:pPr>
        <w:spacing w:line="278" w:lineRule="auto"/>
        <w:jc w:val="left"/>
      </w:pPr>
      <w:r>
        <w:fldChar w:fldCharType="end"/>
      </w:r>
      <w:r w:rsidR="00303267">
        <w:t xml:space="preserve"> </w:t>
      </w:r>
      <w:r w:rsidR="00727516">
        <w:br w:type="page"/>
      </w:r>
    </w:p>
    <w:p w14:paraId="0DAEE942" w14:textId="77777777" w:rsidR="00B1293A" w:rsidRDefault="00727516" w:rsidP="00742729">
      <w:pPr>
        <w:pStyle w:val="Heading1"/>
      </w:pPr>
      <w:bookmarkStart w:id="1" w:name="_Toc216261750"/>
      <w:r>
        <w:lastRenderedPageBreak/>
        <w:t>1</w:t>
      </w:r>
      <w:r w:rsidRPr="00727516">
        <w:t>. Introduction</w:t>
      </w:r>
      <w:bookmarkEnd w:id="1"/>
    </w:p>
    <w:p w14:paraId="0A373749" w14:textId="77777777" w:rsidR="00727516" w:rsidRDefault="00727516" w:rsidP="00742729">
      <w:pPr>
        <w:pStyle w:val="Heading2"/>
      </w:pPr>
      <w:bookmarkStart w:id="2" w:name="_Toc216261751"/>
      <w:r>
        <w:t>1.1 Background and Context</w:t>
      </w:r>
      <w:bookmarkEnd w:id="2"/>
    </w:p>
    <w:p w14:paraId="0350A8BD" w14:textId="77777777" w:rsidR="00727516" w:rsidRDefault="00B73A88" w:rsidP="00727516">
      <w:proofErr w:type="spellStart"/>
      <w:r w:rsidRPr="00B73A88">
        <w:t>NatureGreen</w:t>
      </w:r>
      <w:proofErr w:type="spellEnd"/>
      <w:r w:rsidRPr="00B73A88">
        <w:t xml:space="preserve"> (NG) is a global brand that has been known to provide a healthy lifestyle by offering wide range of products. The company has developed a high online presence and it has many international business activities and extensive usage of the internet and social media</w:t>
      </w:r>
      <w:r w:rsidR="0019684F">
        <w:t xml:space="preserve"> </w:t>
      </w:r>
      <w:r w:rsidR="0019684F" w:rsidRPr="0019684F">
        <w:t xml:space="preserve">(Infante and Rahayu </w:t>
      </w:r>
      <w:proofErr w:type="spellStart"/>
      <w:r w:rsidR="0019684F" w:rsidRPr="0019684F">
        <w:t>Mardikaningsih</w:t>
      </w:r>
      <w:proofErr w:type="spellEnd"/>
      <w:r w:rsidR="0019684F" w:rsidRPr="0019684F">
        <w:t>, 2022)</w:t>
      </w:r>
      <w:r w:rsidRPr="00B73A88">
        <w:t>. Its network which is mostly cloud-based allows it to support its workers as well as its customers with approximately 95 percent of its connection being wireless. Nonetheless, NG experiences enormous challenges in controlling the risks of Bring Your Own Device (BYOD) because employees and customers are urged to bring their own devices to use the corporate resources. This makes the process of security complicated because huge volumes of sensitive employee and customer data will be exposed, not to mention the billions worth of intellectual property. The company is not run on a formal security policy framework and disorganized in its data protection policies.</w:t>
      </w:r>
    </w:p>
    <w:p w14:paraId="48661D7F" w14:textId="77777777" w:rsidR="00727516" w:rsidRDefault="00727516" w:rsidP="00742729">
      <w:pPr>
        <w:pStyle w:val="Heading2"/>
      </w:pPr>
      <w:bookmarkStart w:id="3" w:name="_Toc216261752"/>
      <w:r>
        <w:t>1.2 Purpose and Scope</w:t>
      </w:r>
      <w:bookmarkEnd w:id="3"/>
    </w:p>
    <w:p w14:paraId="10866BE1" w14:textId="77777777" w:rsidR="00727516" w:rsidRDefault="00B73A88" w:rsidP="00727516">
      <w:r w:rsidRPr="00B73A88">
        <w:t xml:space="preserve">This consultancy report is aimed at proposing a data security, governance, and compliance strategy of </w:t>
      </w:r>
      <w:proofErr w:type="spellStart"/>
      <w:r w:rsidRPr="00B73A88">
        <w:t>NatureGreen</w:t>
      </w:r>
      <w:proofErr w:type="spellEnd"/>
      <w:r w:rsidRPr="00B73A88">
        <w:t xml:space="preserve"> in a comprehensive way. It will be </w:t>
      </w:r>
      <w:proofErr w:type="spellStart"/>
      <w:r w:rsidRPr="00B73A88">
        <w:t>centered</w:t>
      </w:r>
      <w:proofErr w:type="spellEnd"/>
      <w:r w:rsidRPr="00B73A88">
        <w:t xml:space="preserve"> on the mitigation of the vulnerabilities in the current infrastructure at the company. The report is based on the known security frameworks and models, such as the ISO 27000 and ITIL, to create a specific security governance strategy of NG</w:t>
      </w:r>
      <w:r w:rsidR="0019684F">
        <w:t xml:space="preserve"> </w:t>
      </w:r>
      <w:r w:rsidR="0019684F" w:rsidRPr="0019684F">
        <w:t>(</w:t>
      </w:r>
      <w:proofErr w:type="spellStart"/>
      <w:r w:rsidR="0019684F" w:rsidRPr="0019684F">
        <w:t>Abdelkebir</w:t>
      </w:r>
      <w:proofErr w:type="spellEnd"/>
      <w:r w:rsidR="0019684F" w:rsidRPr="0019684F">
        <w:t xml:space="preserve"> Sahid, 2024)</w:t>
      </w:r>
      <w:r w:rsidRPr="00B73A88">
        <w:t>. It will equally discuss the dynamic nature of security regulations and standards. The key elements of the report will involve an overview of the relevant security frameworks, a recommendation of a particular NG framework, a discussion of the regulatory changes, and an implementation strategic roadmap.</w:t>
      </w:r>
    </w:p>
    <w:p w14:paraId="0FE55FF2" w14:textId="77777777" w:rsidR="00727516" w:rsidRDefault="00727516" w:rsidP="00742729">
      <w:pPr>
        <w:pStyle w:val="Heading2"/>
      </w:pPr>
      <w:bookmarkStart w:id="4" w:name="_Toc216261753"/>
      <w:r>
        <w:t>1.3 Key Assumptions</w:t>
      </w:r>
      <w:bookmarkEnd w:id="4"/>
    </w:p>
    <w:p w14:paraId="6D9E8C25" w14:textId="77777777" w:rsidR="00727516" w:rsidRDefault="00B73A88" w:rsidP="00B73A88">
      <w:r w:rsidRPr="00B73A88">
        <w:t xml:space="preserve">The present report is founded on the data in the description of </w:t>
      </w:r>
      <w:proofErr w:type="spellStart"/>
      <w:r w:rsidRPr="00B73A88">
        <w:t>NatureGreen</w:t>
      </w:r>
      <w:proofErr w:type="spellEnd"/>
      <w:r w:rsidRPr="00B73A88">
        <w:t xml:space="preserve"> case and presupposes the correctness of this information as far as the current network environment of the company is concerns. It does not take a look at any prior formal security policies and governance practices other than what is said. Moreover, it will not engage vendor-specific technologies or architectures other than those specifically mentioned in the description of the case. Other assumptions will be described later as they are required.</w:t>
      </w:r>
    </w:p>
    <w:p w14:paraId="76736159" w14:textId="77777777" w:rsidR="00AA767C" w:rsidRDefault="00AA767C" w:rsidP="00727516"/>
    <w:p w14:paraId="436A818D" w14:textId="77777777" w:rsidR="00217FF2" w:rsidRDefault="00217FF2" w:rsidP="007111E7">
      <w:pPr>
        <w:pStyle w:val="Heading1"/>
      </w:pPr>
      <w:bookmarkStart w:id="5" w:name="_Toc216261754"/>
      <w:r>
        <w:lastRenderedPageBreak/>
        <w:t>2</w:t>
      </w:r>
      <w:r w:rsidRPr="00217FF2">
        <w:t>. Literature Review: Security Frameworks and Models</w:t>
      </w:r>
      <w:bookmarkEnd w:id="5"/>
    </w:p>
    <w:p w14:paraId="67F8DF8D" w14:textId="77777777" w:rsidR="00217FF2" w:rsidRDefault="00217FF2" w:rsidP="007111E7">
      <w:pPr>
        <w:pStyle w:val="Heading2"/>
      </w:pPr>
      <w:bookmarkStart w:id="6" w:name="_Toc216261755"/>
      <w:r w:rsidRPr="00217FF2">
        <w:t>2.1 International Organization for Standardization (ISO 27000 Series)</w:t>
      </w:r>
      <w:bookmarkEnd w:id="6"/>
    </w:p>
    <w:p w14:paraId="51A5228D" w14:textId="77777777" w:rsidR="00B73A88" w:rsidRDefault="00B73A88" w:rsidP="00AA767C">
      <w:r w:rsidRPr="00B73A88">
        <w:t xml:space="preserve">The ISO/IEC 27000 family presents a structured, risk-based system of information security management, which is based on an Information Security Management System (ISMS). It stipulates critical management system requirements, such as context, leadership, planning, support, operation, performance assessment and enhancement, where reference controls </w:t>
      </w:r>
      <w:proofErr w:type="gramStart"/>
      <w:r w:rsidRPr="00B73A88">
        <w:t>are located in</w:t>
      </w:r>
      <w:proofErr w:type="gramEnd"/>
      <w:r w:rsidRPr="00B73A88">
        <w:t xml:space="preserve"> the Annex A of ISO/IEC 27001</w:t>
      </w:r>
      <w:r w:rsidR="0019684F">
        <w:t xml:space="preserve"> </w:t>
      </w:r>
      <w:r w:rsidR="0019684F" w:rsidRPr="0019684F">
        <w:t xml:space="preserve">(Manjeet </w:t>
      </w:r>
      <w:proofErr w:type="spellStart"/>
      <w:r w:rsidR="0019684F" w:rsidRPr="0019684F">
        <w:t>Kharub</w:t>
      </w:r>
      <w:proofErr w:type="spellEnd"/>
      <w:r w:rsidR="0019684F" w:rsidRPr="0019684F">
        <w:t xml:space="preserve"> et al., 2024)</w:t>
      </w:r>
      <w:r w:rsidRPr="00B73A88">
        <w:t>. This is supplemented by ISO/IEC 27002, which includes specific implementation instructions of such controls that include such aspects as asset management, access control, operational security, and communications security.</w:t>
      </w:r>
    </w:p>
    <w:p w14:paraId="472B5E81" w14:textId="77777777" w:rsidR="00B73A88" w:rsidRDefault="00B73A88" w:rsidP="00B73A88">
      <w:pPr>
        <w:pStyle w:val="Caption"/>
        <w:keepNext/>
        <w:jc w:val="center"/>
      </w:pPr>
      <w:bookmarkStart w:id="7" w:name="_Toc216261728"/>
      <w:r>
        <w:t xml:space="preserve">Table </w:t>
      </w:r>
      <w:fldSimple w:instr=" SEQ Table \* ARABIC ">
        <w:r w:rsidR="00487686">
          <w:rPr>
            <w:noProof/>
          </w:rPr>
          <w:t>1</w:t>
        </w:r>
      </w:fldSimple>
      <w:r>
        <w:t xml:space="preserve">: </w:t>
      </w:r>
      <w:r w:rsidRPr="000146F0">
        <w:t>ISO 27001 and 27002 domain comparison</w:t>
      </w:r>
      <w:bookmarkEnd w:id="7"/>
    </w:p>
    <w:tbl>
      <w:tblPr>
        <w:tblStyle w:val="GridTable4-Accent11"/>
        <w:tblW w:w="0" w:type="auto"/>
        <w:tblLook w:val="04A0" w:firstRow="1" w:lastRow="0" w:firstColumn="1" w:lastColumn="0" w:noHBand="0" w:noVBand="1"/>
      </w:tblPr>
      <w:tblGrid>
        <w:gridCol w:w="2808"/>
        <w:gridCol w:w="2767"/>
        <w:gridCol w:w="3667"/>
      </w:tblGrid>
      <w:tr w:rsidR="00B73A88" w:rsidRPr="00B73A88" w14:paraId="17183142" w14:textId="77777777" w:rsidTr="00B73A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54830" w14:textId="77777777" w:rsidR="00B73A88" w:rsidRPr="00B73A88" w:rsidRDefault="00B73A88" w:rsidP="00B73A88">
            <w:pPr>
              <w:rPr>
                <w:kern w:val="0"/>
                <w:lang w:val="en-US" w:bidi="ar-SA"/>
              </w:rPr>
            </w:pPr>
            <w:r w:rsidRPr="00B73A88">
              <w:rPr>
                <w:kern w:val="0"/>
                <w:lang w:val="en-US" w:bidi="ar-SA"/>
              </w:rPr>
              <w:t>Domain</w:t>
            </w:r>
          </w:p>
        </w:tc>
        <w:tc>
          <w:tcPr>
            <w:tcW w:w="0" w:type="auto"/>
            <w:hideMark/>
          </w:tcPr>
          <w:p w14:paraId="423F44A9" w14:textId="77777777" w:rsidR="00B73A88" w:rsidRPr="00B73A88" w:rsidRDefault="00B73A88" w:rsidP="00B73A88">
            <w:pPr>
              <w:cnfStyle w:val="100000000000" w:firstRow="1" w:lastRow="0" w:firstColumn="0" w:lastColumn="0" w:oddVBand="0" w:evenVBand="0" w:oddHBand="0" w:evenHBand="0" w:firstRowFirstColumn="0" w:firstRowLastColumn="0" w:lastRowFirstColumn="0" w:lastRowLastColumn="0"/>
              <w:rPr>
                <w:kern w:val="0"/>
                <w:lang w:val="en-US" w:bidi="ar-SA"/>
              </w:rPr>
            </w:pPr>
            <w:r w:rsidRPr="00B73A88">
              <w:rPr>
                <w:kern w:val="0"/>
                <w:lang w:val="en-US" w:bidi="ar-SA"/>
              </w:rPr>
              <w:t>ISO 27001 Focus</w:t>
            </w:r>
          </w:p>
        </w:tc>
        <w:tc>
          <w:tcPr>
            <w:tcW w:w="0" w:type="auto"/>
            <w:hideMark/>
          </w:tcPr>
          <w:p w14:paraId="1039DE77" w14:textId="77777777" w:rsidR="00B73A88" w:rsidRPr="00B73A88" w:rsidRDefault="00B73A88" w:rsidP="00B73A88">
            <w:pPr>
              <w:cnfStyle w:val="100000000000" w:firstRow="1" w:lastRow="0" w:firstColumn="0" w:lastColumn="0" w:oddVBand="0" w:evenVBand="0" w:oddHBand="0" w:evenHBand="0" w:firstRowFirstColumn="0" w:firstRowLastColumn="0" w:lastRowFirstColumn="0" w:lastRowLastColumn="0"/>
              <w:rPr>
                <w:kern w:val="0"/>
                <w:lang w:val="en-US" w:bidi="ar-SA"/>
              </w:rPr>
            </w:pPr>
            <w:r w:rsidRPr="00B73A88">
              <w:rPr>
                <w:kern w:val="0"/>
                <w:lang w:val="en-US" w:bidi="ar-SA"/>
              </w:rPr>
              <w:t>ISO 27002 Example Controls</w:t>
            </w:r>
          </w:p>
        </w:tc>
      </w:tr>
      <w:tr w:rsidR="00B73A88" w:rsidRPr="00B73A88" w14:paraId="4059DE03" w14:textId="77777777" w:rsidTr="00B73A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66308" w14:textId="77777777" w:rsidR="00B73A88" w:rsidRPr="00B73A88" w:rsidRDefault="00B73A88" w:rsidP="00B73A88">
            <w:pPr>
              <w:rPr>
                <w:kern w:val="0"/>
                <w:lang w:val="en-US" w:bidi="ar-SA"/>
              </w:rPr>
            </w:pPr>
            <w:r w:rsidRPr="00B73A88">
              <w:rPr>
                <w:kern w:val="0"/>
                <w:lang w:val="en-US" w:bidi="ar-SA"/>
              </w:rPr>
              <w:t>Organization &amp; Governance</w:t>
            </w:r>
          </w:p>
        </w:tc>
        <w:tc>
          <w:tcPr>
            <w:tcW w:w="0" w:type="auto"/>
            <w:hideMark/>
          </w:tcPr>
          <w:p w14:paraId="59B1EA45" w14:textId="77777777" w:rsidR="00B73A88" w:rsidRPr="00B73A88" w:rsidRDefault="00B73A88" w:rsidP="00B73A88">
            <w:pPr>
              <w:cnfStyle w:val="000000100000" w:firstRow="0" w:lastRow="0" w:firstColumn="0" w:lastColumn="0" w:oddVBand="0" w:evenVBand="0" w:oddHBand="1" w:evenHBand="0" w:firstRowFirstColumn="0" w:firstRowLastColumn="0" w:lastRowFirstColumn="0" w:lastRowLastColumn="0"/>
              <w:rPr>
                <w:kern w:val="0"/>
                <w:lang w:val="en-US" w:bidi="ar-SA"/>
              </w:rPr>
            </w:pPr>
            <w:r w:rsidRPr="00B73A88">
              <w:rPr>
                <w:kern w:val="0"/>
                <w:lang w:val="en-US" w:bidi="ar-SA"/>
              </w:rPr>
              <w:t>Information security policies, ISMS</w:t>
            </w:r>
          </w:p>
        </w:tc>
        <w:tc>
          <w:tcPr>
            <w:tcW w:w="0" w:type="auto"/>
            <w:hideMark/>
          </w:tcPr>
          <w:p w14:paraId="19753408" w14:textId="77777777" w:rsidR="00B73A88" w:rsidRPr="00B73A88" w:rsidRDefault="00B73A88" w:rsidP="00B73A88">
            <w:pPr>
              <w:cnfStyle w:val="000000100000" w:firstRow="0" w:lastRow="0" w:firstColumn="0" w:lastColumn="0" w:oddVBand="0" w:evenVBand="0" w:oddHBand="1" w:evenHBand="0" w:firstRowFirstColumn="0" w:firstRowLastColumn="0" w:lastRowFirstColumn="0" w:lastRowLastColumn="0"/>
              <w:rPr>
                <w:kern w:val="0"/>
                <w:lang w:val="en-US" w:bidi="ar-SA"/>
              </w:rPr>
            </w:pPr>
            <w:r w:rsidRPr="00B73A88">
              <w:rPr>
                <w:kern w:val="0"/>
                <w:lang w:val="en-US" w:bidi="ar-SA"/>
              </w:rPr>
              <w:t>Policy management, segregation of duties</w:t>
            </w:r>
          </w:p>
        </w:tc>
      </w:tr>
      <w:tr w:rsidR="00B73A88" w:rsidRPr="00B73A88" w14:paraId="3FEC6188" w14:textId="77777777" w:rsidTr="00B73A88">
        <w:tc>
          <w:tcPr>
            <w:cnfStyle w:val="001000000000" w:firstRow="0" w:lastRow="0" w:firstColumn="1" w:lastColumn="0" w:oddVBand="0" w:evenVBand="0" w:oddHBand="0" w:evenHBand="0" w:firstRowFirstColumn="0" w:firstRowLastColumn="0" w:lastRowFirstColumn="0" w:lastRowLastColumn="0"/>
            <w:tcW w:w="0" w:type="auto"/>
            <w:hideMark/>
          </w:tcPr>
          <w:p w14:paraId="52A70164" w14:textId="77777777" w:rsidR="00B73A88" w:rsidRPr="00B73A88" w:rsidRDefault="00B73A88" w:rsidP="00B73A88">
            <w:pPr>
              <w:rPr>
                <w:kern w:val="0"/>
                <w:lang w:val="en-US" w:bidi="ar-SA"/>
              </w:rPr>
            </w:pPr>
            <w:r w:rsidRPr="00B73A88">
              <w:rPr>
                <w:kern w:val="0"/>
                <w:lang w:val="en-US" w:bidi="ar-SA"/>
              </w:rPr>
              <w:t>Asset &amp; Access Management</w:t>
            </w:r>
          </w:p>
        </w:tc>
        <w:tc>
          <w:tcPr>
            <w:tcW w:w="0" w:type="auto"/>
            <w:hideMark/>
          </w:tcPr>
          <w:p w14:paraId="6BED2D2C" w14:textId="77777777" w:rsidR="00B73A88" w:rsidRPr="00B73A88" w:rsidRDefault="00B73A88" w:rsidP="00B73A88">
            <w:pPr>
              <w:cnfStyle w:val="000000000000" w:firstRow="0" w:lastRow="0" w:firstColumn="0" w:lastColumn="0" w:oddVBand="0" w:evenVBand="0" w:oddHBand="0" w:evenHBand="0" w:firstRowFirstColumn="0" w:firstRowLastColumn="0" w:lastRowFirstColumn="0" w:lastRowLastColumn="0"/>
              <w:rPr>
                <w:kern w:val="0"/>
                <w:lang w:val="en-US" w:bidi="ar-SA"/>
              </w:rPr>
            </w:pPr>
            <w:r w:rsidRPr="00B73A88">
              <w:rPr>
                <w:kern w:val="0"/>
                <w:lang w:val="en-US" w:bidi="ar-SA"/>
              </w:rPr>
              <w:t>Asset inventory, access control</w:t>
            </w:r>
          </w:p>
        </w:tc>
        <w:tc>
          <w:tcPr>
            <w:tcW w:w="0" w:type="auto"/>
            <w:hideMark/>
          </w:tcPr>
          <w:p w14:paraId="04EAD4A5" w14:textId="77777777" w:rsidR="00B73A88" w:rsidRPr="00B73A88" w:rsidRDefault="00B73A88" w:rsidP="00B73A88">
            <w:pPr>
              <w:cnfStyle w:val="000000000000" w:firstRow="0" w:lastRow="0" w:firstColumn="0" w:lastColumn="0" w:oddVBand="0" w:evenVBand="0" w:oddHBand="0" w:evenHBand="0" w:firstRowFirstColumn="0" w:firstRowLastColumn="0" w:lastRowFirstColumn="0" w:lastRowLastColumn="0"/>
              <w:rPr>
                <w:kern w:val="0"/>
                <w:lang w:val="en-US" w:bidi="ar-SA"/>
              </w:rPr>
            </w:pPr>
            <w:r w:rsidRPr="00B73A88">
              <w:rPr>
                <w:kern w:val="0"/>
                <w:lang w:val="en-US" w:bidi="ar-SA"/>
              </w:rPr>
              <w:t>Classification, least privilege, authentication</w:t>
            </w:r>
          </w:p>
        </w:tc>
      </w:tr>
      <w:tr w:rsidR="00B73A88" w:rsidRPr="00B73A88" w14:paraId="5FAC99D3" w14:textId="77777777" w:rsidTr="00B73A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6682F5" w14:textId="77777777" w:rsidR="00B73A88" w:rsidRPr="00B73A88" w:rsidRDefault="00B73A88" w:rsidP="00B73A88">
            <w:pPr>
              <w:rPr>
                <w:kern w:val="0"/>
                <w:lang w:val="en-US" w:bidi="ar-SA"/>
              </w:rPr>
            </w:pPr>
            <w:r w:rsidRPr="00B73A88">
              <w:rPr>
                <w:kern w:val="0"/>
                <w:lang w:val="en-US" w:bidi="ar-SA"/>
              </w:rPr>
              <w:t>Operations &amp; Communications</w:t>
            </w:r>
          </w:p>
        </w:tc>
        <w:tc>
          <w:tcPr>
            <w:tcW w:w="0" w:type="auto"/>
            <w:hideMark/>
          </w:tcPr>
          <w:p w14:paraId="79BAE810" w14:textId="77777777" w:rsidR="00B73A88" w:rsidRPr="00B73A88" w:rsidRDefault="00B73A88" w:rsidP="00B73A88">
            <w:pPr>
              <w:cnfStyle w:val="000000100000" w:firstRow="0" w:lastRow="0" w:firstColumn="0" w:lastColumn="0" w:oddVBand="0" w:evenVBand="0" w:oddHBand="1" w:evenHBand="0" w:firstRowFirstColumn="0" w:firstRowLastColumn="0" w:lastRowFirstColumn="0" w:lastRowLastColumn="0"/>
              <w:rPr>
                <w:kern w:val="0"/>
                <w:lang w:val="en-US" w:bidi="ar-SA"/>
              </w:rPr>
            </w:pPr>
            <w:r w:rsidRPr="00B73A88">
              <w:rPr>
                <w:kern w:val="0"/>
                <w:lang w:val="en-US" w:bidi="ar-SA"/>
              </w:rPr>
              <w:t>Operations security, network security</w:t>
            </w:r>
          </w:p>
        </w:tc>
        <w:tc>
          <w:tcPr>
            <w:tcW w:w="0" w:type="auto"/>
            <w:hideMark/>
          </w:tcPr>
          <w:p w14:paraId="12659FB5" w14:textId="77777777" w:rsidR="00B73A88" w:rsidRPr="00B73A88" w:rsidRDefault="00B73A88" w:rsidP="00B73A88">
            <w:pPr>
              <w:cnfStyle w:val="000000100000" w:firstRow="0" w:lastRow="0" w:firstColumn="0" w:lastColumn="0" w:oddVBand="0" w:evenVBand="0" w:oddHBand="1" w:evenHBand="0" w:firstRowFirstColumn="0" w:firstRowLastColumn="0" w:lastRowFirstColumn="0" w:lastRowLastColumn="0"/>
              <w:rPr>
                <w:kern w:val="0"/>
                <w:lang w:val="en-US" w:bidi="ar-SA"/>
              </w:rPr>
            </w:pPr>
            <w:r w:rsidRPr="00B73A88">
              <w:rPr>
                <w:kern w:val="0"/>
                <w:lang w:val="en-US" w:bidi="ar-SA"/>
              </w:rPr>
              <w:t>Logging, change control, secure network architecture</w:t>
            </w:r>
          </w:p>
        </w:tc>
      </w:tr>
      <w:tr w:rsidR="00B73A88" w:rsidRPr="00B73A88" w14:paraId="57B7F372" w14:textId="77777777" w:rsidTr="00B73A88">
        <w:tc>
          <w:tcPr>
            <w:cnfStyle w:val="001000000000" w:firstRow="0" w:lastRow="0" w:firstColumn="1" w:lastColumn="0" w:oddVBand="0" w:evenVBand="0" w:oddHBand="0" w:evenHBand="0" w:firstRowFirstColumn="0" w:firstRowLastColumn="0" w:lastRowFirstColumn="0" w:lastRowLastColumn="0"/>
            <w:tcW w:w="0" w:type="auto"/>
            <w:hideMark/>
          </w:tcPr>
          <w:p w14:paraId="7B9620E5" w14:textId="77777777" w:rsidR="00B73A88" w:rsidRPr="00B73A88" w:rsidRDefault="00B73A88" w:rsidP="00B73A88">
            <w:pPr>
              <w:rPr>
                <w:kern w:val="0"/>
                <w:lang w:val="en-US" w:bidi="ar-SA"/>
              </w:rPr>
            </w:pPr>
            <w:r w:rsidRPr="00B73A88">
              <w:rPr>
                <w:kern w:val="0"/>
                <w:lang w:val="en-US" w:bidi="ar-SA"/>
              </w:rPr>
              <w:t>Supplier &amp; Cloud Relationships</w:t>
            </w:r>
          </w:p>
        </w:tc>
        <w:tc>
          <w:tcPr>
            <w:tcW w:w="0" w:type="auto"/>
            <w:hideMark/>
          </w:tcPr>
          <w:p w14:paraId="4978EAF3" w14:textId="77777777" w:rsidR="00B73A88" w:rsidRPr="00B73A88" w:rsidRDefault="00B73A88" w:rsidP="00B73A88">
            <w:pPr>
              <w:cnfStyle w:val="000000000000" w:firstRow="0" w:lastRow="0" w:firstColumn="0" w:lastColumn="0" w:oddVBand="0" w:evenVBand="0" w:oddHBand="0" w:evenHBand="0" w:firstRowFirstColumn="0" w:firstRowLastColumn="0" w:lastRowFirstColumn="0" w:lastRowLastColumn="0"/>
              <w:rPr>
                <w:kern w:val="0"/>
                <w:lang w:val="en-US" w:bidi="ar-SA"/>
              </w:rPr>
            </w:pPr>
            <w:r w:rsidRPr="00B73A88">
              <w:rPr>
                <w:kern w:val="0"/>
                <w:lang w:val="en-US" w:bidi="ar-SA"/>
              </w:rPr>
              <w:t>Supplier security requirements</w:t>
            </w:r>
          </w:p>
        </w:tc>
        <w:tc>
          <w:tcPr>
            <w:tcW w:w="0" w:type="auto"/>
            <w:hideMark/>
          </w:tcPr>
          <w:p w14:paraId="3EDA4C90" w14:textId="77777777" w:rsidR="00B73A88" w:rsidRPr="00B73A88" w:rsidRDefault="00B73A88" w:rsidP="00B73A88">
            <w:pPr>
              <w:cnfStyle w:val="000000000000" w:firstRow="0" w:lastRow="0" w:firstColumn="0" w:lastColumn="0" w:oddVBand="0" w:evenVBand="0" w:oddHBand="0" w:evenHBand="0" w:firstRowFirstColumn="0" w:firstRowLastColumn="0" w:lastRowFirstColumn="0" w:lastRowLastColumn="0"/>
              <w:rPr>
                <w:kern w:val="0"/>
                <w:lang w:val="en-US" w:bidi="ar-SA"/>
              </w:rPr>
            </w:pPr>
            <w:r w:rsidRPr="00B73A88">
              <w:rPr>
                <w:kern w:val="0"/>
                <w:lang w:val="en-US" w:bidi="ar-SA"/>
              </w:rPr>
              <w:t>Security clauses in contracts, cloud service review</w:t>
            </w:r>
          </w:p>
        </w:tc>
      </w:tr>
    </w:tbl>
    <w:p w14:paraId="47035307" w14:textId="77777777" w:rsidR="00AA767C" w:rsidRDefault="00AA767C" w:rsidP="00AA767C"/>
    <w:p w14:paraId="6594FB9F" w14:textId="77777777" w:rsidR="00D85379" w:rsidRDefault="007A3FA2" w:rsidP="002E1B94">
      <w:pPr>
        <w:keepNext/>
        <w:jc w:val="center"/>
      </w:pPr>
      <w:r>
        <w:rPr>
          <w:noProof/>
          <w:lang w:val="en-US" w:bidi="ar-SA"/>
        </w:rPr>
        <w:lastRenderedPageBreak/>
        <w:drawing>
          <wp:inline distT="0" distB="0" distL="0" distR="0" wp14:anchorId="19206B60" wp14:editId="0BC3F4E8">
            <wp:extent cx="3911315" cy="4348078"/>
            <wp:effectExtent l="19050" t="0" r="0" b="0"/>
            <wp:docPr id="1" name="Picture 1" descr="ISO 27002, the Unsung Hero | URM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 27002, the Unsung Hero | URM Consulting"/>
                    <pic:cNvPicPr>
                      <a:picLocks noChangeAspect="1" noChangeArrowheads="1"/>
                    </pic:cNvPicPr>
                  </pic:nvPicPr>
                  <pic:blipFill>
                    <a:blip r:embed="rId8" cstate="print"/>
                    <a:srcRect/>
                    <a:stretch>
                      <a:fillRect/>
                    </a:stretch>
                  </pic:blipFill>
                  <pic:spPr bwMode="auto">
                    <a:xfrm>
                      <a:off x="0" y="0"/>
                      <a:ext cx="3914412" cy="4351520"/>
                    </a:xfrm>
                    <a:prstGeom prst="rect">
                      <a:avLst/>
                    </a:prstGeom>
                    <a:noFill/>
                    <a:ln w="9525">
                      <a:noFill/>
                      <a:miter lim="800000"/>
                      <a:headEnd/>
                      <a:tailEnd/>
                    </a:ln>
                  </pic:spPr>
                </pic:pic>
              </a:graphicData>
            </a:graphic>
          </wp:inline>
        </w:drawing>
      </w:r>
    </w:p>
    <w:p w14:paraId="1F85F8ED" w14:textId="77777777" w:rsidR="005025E0" w:rsidRDefault="00D85379" w:rsidP="00D85379">
      <w:pPr>
        <w:pStyle w:val="Caption"/>
        <w:jc w:val="center"/>
      </w:pPr>
      <w:bookmarkStart w:id="8" w:name="_Toc216261740"/>
      <w:r>
        <w:t xml:space="preserve">Figure </w:t>
      </w:r>
      <w:r w:rsidR="006D72F6">
        <w:fldChar w:fldCharType="begin"/>
      </w:r>
      <w:r>
        <w:instrText xml:space="preserve"> SEQ Figure \* ARABIC </w:instrText>
      </w:r>
      <w:r w:rsidR="006D72F6">
        <w:fldChar w:fldCharType="separate"/>
      </w:r>
      <w:r w:rsidR="00F67075">
        <w:rPr>
          <w:noProof/>
        </w:rPr>
        <w:t>1</w:t>
      </w:r>
      <w:r w:rsidR="006D72F6">
        <w:fldChar w:fldCharType="end"/>
      </w:r>
      <w:r>
        <w:rPr>
          <w:lang w:val="en-US"/>
        </w:rPr>
        <w:t xml:space="preserve">: </w:t>
      </w:r>
      <w:r w:rsidRPr="00F52B79">
        <w:rPr>
          <w:lang w:val="en-US"/>
        </w:rPr>
        <w:t xml:space="preserve">Overview of ISO 27001–27002 </w:t>
      </w:r>
      <w:r w:rsidR="00303267">
        <w:rPr>
          <w:lang w:val="en-US"/>
        </w:rPr>
        <w:t>F</w:t>
      </w:r>
      <w:r w:rsidRPr="00F52B79">
        <w:rPr>
          <w:lang w:val="en-US"/>
        </w:rPr>
        <w:t xml:space="preserve">ramework </w:t>
      </w:r>
      <w:r w:rsidR="00303267">
        <w:rPr>
          <w:lang w:val="en-US"/>
        </w:rPr>
        <w:t>R</w:t>
      </w:r>
      <w:r w:rsidRPr="00F52B79">
        <w:rPr>
          <w:lang w:val="en-US"/>
        </w:rPr>
        <w:t>elationship</w:t>
      </w:r>
      <w:bookmarkEnd w:id="8"/>
    </w:p>
    <w:p w14:paraId="71AB60BB" w14:textId="77777777" w:rsidR="00AA767C" w:rsidRDefault="007D0BAA" w:rsidP="00AA767C">
      <w:r w:rsidRPr="007D0BAA">
        <w:t xml:space="preserve">ISO 27001 and 27002 represent a holistic management of the organization such as that of </w:t>
      </w:r>
      <w:proofErr w:type="spellStart"/>
      <w:r w:rsidRPr="007D0BAA">
        <w:t>NatureGreen</w:t>
      </w:r>
      <w:proofErr w:type="spellEnd"/>
      <w:r w:rsidRPr="007D0BAA">
        <w:t>, whose work is based on the cloud-based, wireless infrastructure and has difficulties related to the BYOD policy. Such frameworks would assist in the regulation of network, endpoint, and data security, making sure that confidential, integral, and accessible sensitive information was available but allowing the company to track and enhance its security posit</w:t>
      </w:r>
      <w:r w:rsidR="003C4E6A">
        <w:t>ion</w:t>
      </w:r>
      <w:r w:rsidRPr="007D0BAA">
        <w:t>.</w:t>
      </w:r>
    </w:p>
    <w:p w14:paraId="56AACE75" w14:textId="77777777" w:rsidR="00FC0094" w:rsidRDefault="00FC0094" w:rsidP="00AA767C"/>
    <w:p w14:paraId="71BF4753" w14:textId="77777777" w:rsidR="00FC0094" w:rsidRDefault="00023C5A" w:rsidP="00023C5A">
      <w:pPr>
        <w:pStyle w:val="Heading2"/>
      </w:pPr>
      <w:bookmarkStart w:id="9" w:name="_Toc216261756"/>
      <w:r w:rsidRPr="00023C5A">
        <w:t>2.2 Information Technology Infrastructure Library (ITIL)</w:t>
      </w:r>
      <w:bookmarkEnd w:id="9"/>
    </w:p>
    <w:p w14:paraId="52203FC6" w14:textId="77777777" w:rsidR="007D0BAA" w:rsidRDefault="007D0BAA" w:rsidP="00007A8E">
      <w:r w:rsidRPr="007D0BAA">
        <w:t>ITIL is a famous model of IT service management (ITSM), which is concerned with optimal techniques of planning, delivering, and improving IT services that contribute to business goals</w:t>
      </w:r>
      <w:r w:rsidR="0019684F">
        <w:t xml:space="preserve"> ṣ</w:t>
      </w:r>
      <w:r w:rsidR="0019684F" w:rsidRPr="0019684F">
        <w:t xml:space="preserve"> (</w:t>
      </w:r>
      <w:proofErr w:type="spellStart"/>
      <w:r w:rsidR="0019684F" w:rsidRPr="0019684F">
        <w:t>Permatasari</w:t>
      </w:r>
      <w:proofErr w:type="spellEnd"/>
      <w:r w:rsidR="0019684F" w:rsidRPr="0019684F">
        <w:t xml:space="preserve">, </w:t>
      </w:r>
      <w:proofErr w:type="spellStart"/>
      <w:r w:rsidR="0019684F" w:rsidRPr="0019684F">
        <w:t>Sulistyo</w:t>
      </w:r>
      <w:proofErr w:type="spellEnd"/>
      <w:r w:rsidR="0019684F" w:rsidRPr="0019684F">
        <w:t xml:space="preserve"> and Santosa, 2024)</w:t>
      </w:r>
      <w:r w:rsidRPr="007D0BAA">
        <w:t>. ITIL manages processes into a system of service values and value chain, with its focus on continuous enhancement, job roles, key performance indicators and responsib</w:t>
      </w:r>
      <w:r w:rsidR="003C4E6A">
        <w:t>ility</w:t>
      </w:r>
      <w:r w:rsidRPr="007D0BAA">
        <w:t>.</w:t>
      </w:r>
    </w:p>
    <w:p w14:paraId="3A3B7C40" w14:textId="77777777" w:rsidR="007D0BAA" w:rsidRDefault="007D0BAA" w:rsidP="007D0BAA">
      <w:pPr>
        <w:pStyle w:val="Caption"/>
        <w:keepNext/>
        <w:jc w:val="center"/>
      </w:pPr>
      <w:bookmarkStart w:id="10" w:name="_Toc216261729"/>
      <w:r>
        <w:lastRenderedPageBreak/>
        <w:t xml:space="preserve">Table </w:t>
      </w:r>
      <w:fldSimple w:instr=" SEQ Table \* ARABIC ">
        <w:r w:rsidR="00487686">
          <w:rPr>
            <w:noProof/>
          </w:rPr>
          <w:t>2</w:t>
        </w:r>
      </w:fldSimple>
      <w:r>
        <w:t xml:space="preserve">: Key </w:t>
      </w:r>
      <w:r w:rsidRPr="004A0563">
        <w:t>IT processes and security contributions</w:t>
      </w:r>
      <w:bookmarkEnd w:id="10"/>
    </w:p>
    <w:tbl>
      <w:tblPr>
        <w:tblStyle w:val="GridTable4-Accent11"/>
        <w:tblW w:w="0" w:type="auto"/>
        <w:tblLook w:val="04A0" w:firstRow="1" w:lastRow="0" w:firstColumn="1" w:lastColumn="0" w:noHBand="0" w:noVBand="1"/>
      </w:tblPr>
      <w:tblGrid>
        <w:gridCol w:w="2588"/>
        <w:gridCol w:w="2825"/>
        <w:gridCol w:w="3829"/>
      </w:tblGrid>
      <w:tr w:rsidR="007D0BAA" w:rsidRPr="007D0BAA" w14:paraId="4076D678" w14:textId="77777777" w:rsidTr="007D0B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A7D9E" w14:textId="77777777" w:rsidR="007D0BAA" w:rsidRPr="007D0BAA" w:rsidRDefault="007D0BAA" w:rsidP="007D0BAA">
            <w:pPr>
              <w:rPr>
                <w:kern w:val="0"/>
                <w:lang w:val="en-US" w:bidi="ar-SA"/>
              </w:rPr>
            </w:pPr>
            <w:r w:rsidRPr="007D0BAA">
              <w:rPr>
                <w:kern w:val="0"/>
                <w:lang w:val="en-US" w:bidi="ar-SA"/>
              </w:rPr>
              <w:t>Process</w:t>
            </w:r>
          </w:p>
        </w:tc>
        <w:tc>
          <w:tcPr>
            <w:tcW w:w="0" w:type="auto"/>
            <w:hideMark/>
          </w:tcPr>
          <w:p w14:paraId="6E51CC1F"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Objective</w:t>
            </w:r>
          </w:p>
        </w:tc>
        <w:tc>
          <w:tcPr>
            <w:tcW w:w="0" w:type="auto"/>
            <w:hideMark/>
          </w:tcPr>
          <w:p w14:paraId="5310A42B"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Security Contribution</w:t>
            </w:r>
          </w:p>
        </w:tc>
      </w:tr>
      <w:tr w:rsidR="007D0BAA" w:rsidRPr="007D0BAA" w14:paraId="33A443C1" w14:textId="77777777" w:rsidTr="007D0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0E930F" w14:textId="77777777" w:rsidR="007D0BAA" w:rsidRPr="007D0BAA" w:rsidRDefault="007D0BAA" w:rsidP="007D0BAA">
            <w:pPr>
              <w:rPr>
                <w:kern w:val="0"/>
                <w:lang w:val="en-US" w:bidi="ar-SA"/>
              </w:rPr>
            </w:pPr>
            <w:r w:rsidRPr="007D0BAA">
              <w:rPr>
                <w:kern w:val="0"/>
                <w:lang w:val="en-US" w:bidi="ar-SA"/>
              </w:rPr>
              <w:t>Incident Management</w:t>
            </w:r>
          </w:p>
        </w:tc>
        <w:tc>
          <w:tcPr>
            <w:tcW w:w="0" w:type="auto"/>
            <w:hideMark/>
          </w:tcPr>
          <w:p w14:paraId="0C2C7BA5"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Restore normal service promptly</w:t>
            </w:r>
          </w:p>
        </w:tc>
        <w:tc>
          <w:tcPr>
            <w:tcW w:w="0" w:type="auto"/>
            <w:hideMark/>
          </w:tcPr>
          <w:p w14:paraId="21903093"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Standardized security incident handling, reduced downtime</w:t>
            </w:r>
          </w:p>
        </w:tc>
      </w:tr>
      <w:tr w:rsidR="007D0BAA" w:rsidRPr="007D0BAA" w14:paraId="53D325E5" w14:textId="77777777" w:rsidTr="007D0BAA">
        <w:tc>
          <w:tcPr>
            <w:cnfStyle w:val="001000000000" w:firstRow="0" w:lastRow="0" w:firstColumn="1" w:lastColumn="0" w:oddVBand="0" w:evenVBand="0" w:oddHBand="0" w:evenHBand="0" w:firstRowFirstColumn="0" w:firstRowLastColumn="0" w:lastRowFirstColumn="0" w:lastRowLastColumn="0"/>
            <w:tcW w:w="0" w:type="auto"/>
            <w:hideMark/>
          </w:tcPr>
          <w:p w14:paraId="3FC82079" w14:textId="77777777" w:rsidR="007D0BAA" w:rsidRPr="007D0BAA" w:rsidRDefault="007D0BAA" w:rsidP="007D0BAA">
            <w:pPr>
              <w:rPr>
                <w:kern w:val="0"/>
                <w:lang w:val="en-US" w:bidi="ar-SA"/>
              </w:rPr>
            </w:pPr>
            <w:r w:rsidRPr="007D0BAA">
              <w:rPr>
                <w:kern w:val="0"/>
                <w:lang w:val="en-US" w:bidi="ar-SA"/>
              </w:rPr>
              <w:t>Change Management</w:t>
            </w:r>
          </w:p>
        </w:tc>
        <w:tc>
          <w:tcPr>
            <w:tcW w:w="0" w:type="auto"/>
            <w:hideMark/>
          </w:tcPr>
          <w:p w14:paraId="7B92A83B"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Assess, authorize, and track changes</w:t>
            </w:r>
          </w:p>
        </w:tc>
        <w:tc>
          <w:tcPr>
            <w:tcW w:w="0" w:type="auto"/>
            <w:hideMark/>
          </w:tcPr>
          <w:p w14:paraId="444CDD50"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Minimizes risk from insecure or uncontrolled changes</w:t>
            </w:r>
          </w:p>
        </w:tc>
      </w:tr>
      <w:tr w:rsidR="007D0BAA" w:rsidRPr="007D0BAA" w14:paraId="2C2A98CF" w14:textId="77777777" w:rsidTr="007D0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1A83E" w14:textId="77777777" w:rsidR="007D0BAA" w:rsidRPr="007D0BAA" w:rsidRDefault="007D0BAA" w:rsidP="007D0BAA">
            <w:pPr>
              <w:rPr>
                <w:kern w:val="0"/>
                <w:lang w:val="en-US" w:bidi="ar-SA"/>
              </w:rPr>
            </w:pPr>
            <w:r w:rsidRPr="007D0BAA">
              <w:rPr>
                <w:kern w:val="0"/>
                <w:lang w:val="en-US" w:bidi="ar-SA"/>
              </w:rPr>
              <w:t>Service Continuity Management</w:t>
            </w:r>
          </w:p>
        </w:tc>
        <w:tc>
          <w:tcPr>
            <w:tcW w:w="0" w:type="auto"/>
            <w:hideMark/>
          </w:tcPr>
          <w:p w14:paraId="4B803B7F"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Ensure IT service recovery post-disruption</w:t>
            </w:r>
          </w:p>
        </w:tc>
        <w:tc>
          <w:tcPr>
            <w:tcW w:w="0" w:type="auto"/>
            <w:hideMark/>
          </w:tcPr>
          <w:p w14:paraId="11776356"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Enhances resilience, disaster recovery, and availability</w:t>
            </w:r>
          </w:p>
        </w:tc>
      </w:tr>
    </w:tbl>
    <w:p w14:paraId="79350A5F" w14:textId="77777777" w:rsidR="0019684F" w:rsidRDefault="0019684F" w:rsidP="007A3FA2">
      <w:pPr>
        <w:keepNext/>
        <w:tabs>
          <w:tab w:val="left" w:pos="5625"/>
        </w:tabs>
        <w:jc w:val="center"/>
      </w:pPr>
    </w:p>
    <w:p w14:paraId="02DBE22A" w14:textId="77777777" w:rsidR="005A7569" w:rsidRDefault="007A3FA2" w:rsidP="007A3FA2">
      <w:pPr>
        <w:keepNext/>
        <w:tabs>
          <w:tab w:val="left" w:pos="5625"/>
        </w:tabs>
        <w:jc w:val="center"/>
      </w:pPr>
      <w:r>
        <w:rPr>
          <w:noProof/>
          <w:lang w:val="en-US" w:bidi="ar-SA"/>
        </w:rPr>
        <w:drawing>
          <wp:inline distT="0" distB="0" distL="0" distR="0" wp14:anchorId="77971024" wp14:editId="79532731">
            <wp:extent cx="5731510" cy="3343381"/>
            <wp:effectExtent l="19050" t="0" r="2540" b="0"/>
            <wp:docPr id="4" name="Picture 4" descr="ITIL Structure: Key Components and Lifecycle Stag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IL Structure: Key Components and Lifecycle Stages Explained"/>
                    <pic:cNvPicPr>
                      <a:picLocks noChangeAspect="1" noChangeArrowheads="1"/>
                    </pic:cNvPicPr>
                  </pic:nvPicPr>
                  <pic:blipFill>
                    <a:blip r:embed="rId9" cstate="print"/>
                    <a:srcRect/>
                    <a:stretch>
                      <a:fillRect/>
                    </a:stretch>
                  </pic:blipFill>
                  <pic:spPr bwMode="auto">
                    <a:xfrm>
                      <a:off x="0" y="0"/>
                      <a:ext cx="5731510" cy="3343381"/>
                    </a:xfrm>
                    <a:prstGeom prst="rect">
                      <a:avLst/>
                    </a:prstGeom>
                    <a:noFill/>
                    <a:ln w="9525">
                      <a:noFill/>
                      <a:miter lim="800000"/>
                      <a:headEnd/>
                      <a:tailEnd/>
                    </a:ln>
                  </pic:spPr>
                </pic:pic>
              </a:graphicData>
            </a:graphic>
          </wp:inline>
        </w:drawing>
      </w:r>
    </w:p>
    <w:p w14:paraId="48801E47" w14:textId="77777777" w:rsidR="00007A8E" w:rsidRDefault="005A7569" w:rsidP="007D0BAA">
      <w:pPr>
        <w:pStyle w:val="Caption"/>
        <w:jc w:val="center"/>
      </w:pPr>
      <w:bookmarkStart w:id="11" w:name="_Toc216261741"/>
      <w:r>
        <w:t xml:space="preserve">Figure </w:t>
      </w:r>
      <w:r w:rsidR="006D72F6">
        <w:fldChar w:fldCharType="begin"/>
      </w:r>
      <w:r>
        <w:instrText xml:space="preserve"> SEQ Figure \* ARABIC </w:instrText>
      </w:r>
      <w:r w:rsidR="006D72F6">
        <w:fldChar w:fldCharType="separate"/>
      </w:r>
      <w:r w:rsidR="00F67075">
        <w:rPr>
          <w:noProof/>
        </w:rPr>
        <w:t>2</w:t>
      </w:r>
      <w:r w:rsidR="006D72F6">
        <w:fldChar w:fldCharType="end"/>
      </w:r>
      <w:r>
        <w:rPr>
          <w:lang w:val="en-US"/>
        </w:rPr>
        <w:t xml:space="preserve">: </w:t>
      </w:r>
      <w:r w:rsidRPr="006C5D7C">
        <w:rPr>
          <w:lang w:val="en-US"/>
        </w:rPr>
        <w:t xml:space="preserve">ITIL </w:t>
      </w:r>
      <w:r>
        <w:rPr>
          <w:lang w:val="en-US"/>
        </w:rPr>
        <w:t>S</w:t>
      </w:r>
      <w:r w:rsidRPr="006C5D7C">
        <w:rPr>
          <w:lang w:val="en-US"/>
        </w:rPr>
        <w:t xml:space="preserve">ervice </w:t>
      </w:r>
      <w:r>
        <w:rPr>
          <w:lang w:val="en-US"/>
        </w:rPr>
        <w:t>L</w:t>
      </w:r>
      <w:r w:rsidRPr="006C5D7C">
        <w:rPr>
          <w:lang w:val="en-US"/>
        </w:rPr>
        <w:t>ifecycle</w:t>
      </w:r>
      <w:bookmarkEnd w:id="11"/>
    </w:p>
    <w:p w14:paraId="76166C66" w14:textId="77777777" w:rsidR="00023C5A" w:rsidRDefault="007D0BAA" w:rsidP="00007A8E">
      <w:r w:rsidRPr="007D0BAA">
        <w:t>When combined with the information security management, ITIL offers governance tools, including workflows, approval procedures, service-level goals, and reporting</w:t>
      </w:r>
      <w:r w:rsidR="0019684F">
        <w:t xml:space="preserve"> </w:t>
      </w:r>
      <w:r w:rsidR="0019684F" w:rsidRPr="0019684F">
        <w:t>(Otari Machaladze, 2025)</w:t>
      </w:r>
      <w:r w:rsidRPr="007D0BAA">
        <w:t xml:space="preserve">. In the case of </w:t>
      </w:r>
      <w:proofErr w:type="spellStart"/>
      <w:r w:rsidRPr="007D0BAA">
        <w:t>NatureGreen</w:t>
      </w:r>
      <w:proofErr w:type="spellEnd"/>
      <w:r w:rsidRPr="007D0BAA">
        <w:t>, the implementation of ITIL-based practices in the incident management system, change control, and service continuity will facilitate the process of responding to outages and security breaches, controlling changes in cloud and wireless infrastructure, and developing an official continuity plan of critical services that are being use</w:t>
      </w:r>
      <w:r w:rsidR="003C4E6A">
        <w:t>d by employees and clients</w:t>
      </w:r>
      <w:r w:rsidRPr="007D0BAA">
        <w:t>.</w:t>
      </w:r>
    </w:p>
    <w:p w14:paraId="55497765" w14:textId="77777777" w:rsidR="004B747A" w:rsidRDefault="004B747A" w:rsidP="00007A8E"/>
    <w:p w14:paraId="7E763EB8" w14:textId="77777777" w:rsidR="004B747A" w:rsidRDefault="004B747A" w:rsidP="004B747A">
      <w:pPr>
        <w:pStyle w:val="Heading2"/>
      </w:pPr>
      <w:bookmarkStart w:id="12" w:name="_Toc216261757"/>
      <w:r>
        <w:lastRenderedPageBreak/>
        <w:t>2</w:t>
      </w:r>
      <w:r w:rsidRPr="004B747A">
        <w:t>.3 Other Relevant Frameworks</w:t>
      </w:r>
      <w:bookmarkEnd w:id="12"/>
    </w:p>
    <w:p w14:paraId="195121AA" w14:textId="77777777" w:rsidR="009848C0" w:rsidRDefault="007D0BAA" w:rsidP="009848C0">
      <w:r w:rsidRPr="007D0BAA">
        <w:t>The NIST Cybersecurity Framework (CSF) provides a risk-based framework that categorizes cybersecurity operations as 5 functions, which are Identify, Protect, Detect, Respond, and Recover. It assists in assessing the level of security maturity, developing an objective profile, and prioritizing improvements and provides a degree of flexibility and adaptability to various technologies and environm</w:t>
      </w:r>
      <w:r w:rsidR="003C4E6A">
        <w:t>ents</w:t>
      </w:r>
      <w:r w:rsidRPr="007D0BAA">
        <w:t>. COBIT is an IT governance and management model, which aims at ensuring that IT provides its worth in safeguarding risk and compliance</w:t>
      </w:r>
      <w:r w:rsidR="0019684F">
        <w:t xml:space="preserve"> </w:t>
      </w:r>
      <w:r w:rsidR="0019684F" w:rsidRPr="0019684F">
        <w:t xml:space="preserve">(Morris and </w:t>
      </w:r>
      <w:proofErr w:type="spellStart"/>
      <w:r w:rsidR="0019684F" w:rsidRPr="0019684F">
        <w:t>Erienika</w:t>
      </w:r>
      <w:proofErr w:type="spellEnd"/>
      <w:r w:rsidR="0019684F" w:rsidRPr="0019684F">
        <w:t xml:space="preserve"> Lompoliu, 2025)</w:t>
      </w:r>
      <w:r w:rsidRPr="007D0BAA">
        <w:t>. Compared to the certifiable requirements of the ISMS stipulated by ISO/IEC 27001, COBIT suggests a more extensive governance framework, which can be used to supplement IS</w:t>
      </w:r>
      <w:r w:rsidR="003C4E6A">
        <w:t>O and ITIL</w:t>
      </w:r>
      <w:r w:rsidRPr="007D0BAA">
        <w:t>.</w:t>
      </w:r>
      <w:r w:rsidR="004478E0">
        <w:t xml:space="preserve"> </w:t>
      </w:r>
    </w:p>
    <w:p w14:paraId="5885444F" w14:textId="77777777" w:rsidR="007D0BAA" w:rsidRDefault="007D0BAA" w:rsidP="007D0BAA">
      <w:pPr>
        <w:pStyle w:val="Caption"/>
        <w:keepNext/>
        <w:jc w:val="center"/>
      </w:pPr>
      <w:bookmarkStart w:id="13" w:name="_Toc216261730"/>
      <w:r>
        <w:t xml:space="preserve">Table </w:t>
      </w:r>
      <w:fldSimple w:instr=" SEQ Table \* ARABIC ">
        <w:r w:rsidR="00487686">
          <w:rPr>
            <w:noProof/>
          </w:rPr>
          <w:t>3</w:t>
        </w:r>
      </w:fldSimple>
      <w:r>
        <w:t>: Comparison of major IT security frameworks</w:t>
      </w:r>
      <w:bookmarkEnd w:id="13"/>
    </w:p>
    <w:tbl>
      <w:tblPr>
        <w:tblStyle w:val="GridTable4-Accent11"/>
        <w:tblW w:w="0" w:type="auto"/>
        <w:tblLook w:val="04A0" w:firstRow="1" w:lastRow="0" w:firstColumn="1" w:lastColumn="0" w:noHBand="0" w:noVBand="1"/>
      </w:tblPr>
      <w:tblGrid>
        <w:gridCol w:w="1556"/>
        <w:gridCol w:w="2196"/>
        <w:gridCol w:w="2780"/>
        <w:gridCol w:w="2710"/>
      </w:tblGrid>
      <w:tr w:rsidR="007D0BAA" w:rsidRPr="007D0BAA" w14:paraId="777311FD" w14:textId="77777777" w:rsidTr="007D0B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9A6478" w14:textId="77777777" w:rsidR="007D0BAA" w:rsidRPr="007D0BAA" w:rsidRDefault="007D0BAA" w:rsidP="007D0BAA">
            <w:pPr>
              <w:rPr>
                <w:kern w:val="0"/>
                <w:lang w:val="en-US" w:bidi="ar-SA"/>
              </w:rPr>
            </w:pPr>
            <w:r w:rsidRPr="007D0BAA">
              <w:rPr>
                <w:kern w:val="0"/>
                <w:lang w:val="en-US" w:bidi="ar-SA"/>
              </w:rPr>
              <w:t>Framework</w:t>
            </w:r>
          </w:p>
        </w:tc>
        <w:tc>
          <w:tcPr>
            <w:tcW w:w="0" w:type="auto"/>
            <w:hideMark/>
          </w:tcPr>
          <w:p w14:paraId="3D0CF3EF"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Focus</w:t>
            </w:r>
          </w:p>
        </w:tc>
        <w:tc>
          <w:tcPr>
            <w:tcW w:w="0" w:type="auto"/>
            <w:hideMark/>
          </w:tcPr>
          <w:p w14:paraId="34F6F556"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Strengths</w:t>
            </w:r>
          </w:p>
        </w:tc>
        <w:tc>
          <w:tcPr>
            <w:tcW w:w="0" w:type="auto"/>
            <w:hideMark/>
          </w:tcPr>
          <w:p w14:paraId="012EB219"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Limitations</w:t>
            </w:r>
          </w:p>
        </w:tc>
      </w:tr>
      <w:tr w:rsidR="007D0BAA" w:rsidRPr="007D0BAA" w14:paraId="52FFDEC1" w14:textId="77777777" w:rsidTr="007D0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861DDC" w14:textId="77777777" w:rsidR="007D0BAA" w:rsidRPr="007D0BAA" w:rsidRDefault="007D0BAA" w:rsidP="007D0BAA">
            <w:pPr>
              <w:rPr>
                <w:kern w:val="0"/>
                <w:lang w:val="en-US" w:bidi="ar-SA"/>
              </w:rPr>
            </w:pPr>
            <w:r w:rsidRPr="007D0BAA">
              <w:rPr>
                <w:kern w:val="0"/>
                <w:lang w:val="en-US" w:bidi="ar-SA"/>
              </w:rPr>
              <w:t>ISO/IEC 27001</w:t>
            </w:r>
          </w:p>
        </w:tc>
        <w:tc>
          <w:tcPr>
            <w:tcW w:w="0" w:type="auto"/>
            <w:hideMark/>
          </w:tcPr>
          <w:p w14:paraId="7834452E"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ISMS requirements and controls</w:t>
            </w:r>
          </w:p>
        </w:tc>
        <w:tc>
          <w:tcPr>
            <w:tcW w:w="0" w:type="auto"/>
            <w:hideMark/>
          </w:tcPr>
          <w:p w14:paraId="084EE1C3"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Certifiable, widely recognized standard</w:t>
            </w:r>
          </w:p>
        </w:tc>
        <w:tc>
          <w:tcPr>
            <w:tcW w:w="0" w:type="auto"/>
            <w:hideMark/>
          </w:tcPr>
          <w:p w14:paraId="5537A69E"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Prescriptive, heavy on implementation</w:t>
            </w:r>
          </w:p>
        </w:tc>
      </w:tr>
      <w:tr w:rsidR="007D0BAA" w:rsidRPr="007D0BAA" w14:paraId="6BFE5B98" w14:textId="77777777" w:rsidTr="007D0BAA">
        <w:tc>
          <w:tcPr>
            <w:cnfStyle w:val="001000000000" w:firstRow="0" w:lastRow="0" w:firstColumn="1" w:lastColumn="0" w:oddVBand="0" w:evenVBand="0" w:oddHBand="0" w:evenHBand="0" w:firstRowFirstColumn="0" w:firstRowLastColumn="0" w:lastRowFirstColumn="0" w:lastRowLastColumn="0"/>
            <w:tcW w:w="0" w:type="auto"/>
            <w:hideMark/>
          </w:tcPr>
          <w:p w14:paraId="3D116668" w14:textId="77777777" w:rsidR="007D0BAA" w:rsidRPr="007D0BAA" w:rsidRDefault="007D0BAA" w:rsidP="007D0BAA">
            <w:pPr>
              <w:rPr>
                <w:kern w:val="0"/>
                <w:lang w:val="en-US" w:bidi="ar-SA"/>
              </w:rPr>
            </w:pPr>
            <w:r w:rsidRPr="007D0BAA">
              <w:rPr>
                <w:kern w:val="0"/>
                <w:lang w:val="en-US" w:bidi="ar-SA"/>
              </w:rPr>
              <w:t>NIST CSF</w:t>
            </w:r>
          </w:p>
        </w:tc>
        <w:tc>
          <w:tcPr>
            <w:tcW w:w="0" w:type="auto"/>
            <w:hideMark/>
          </w:tcPr>
          <w:p w14:paraId="5F928AE2"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Cybersecurity risk functions</w:t>
            </w:r>
          </w:p>
        </w:tc>
        <w:tc>
          <w:tcPr>
            <w:tcW w:w="0" w:type="auto"/>
            <w:hideMark/>
          </w:tcPr>
          <w:p w14:paraId="13E6D78C"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Flexible, adaptable, easy to map to other frameworks</w:t>
            </w:r>
          </w:p>
        </w:tc>
        <w:tc>
          <w:tcPr>
            <w:tcW w:w="0" w:type="auto"/>
            <w:hideMark/>
          </w:tcPr>
          <w:p w14:paraId="19E7C85D"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Voluntary, lacks detailed control guidance</w:t>
            </w:r>
          </w:p>
        </w:tc>
      </w:tr>
      <w:tr w:rsidR="007D0BAA" w:rsidRPr="007D0BAA" w14:paraId="68ABCFA2" w14:textId="77777777" w:rsidTr="007D0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CBED2" w14:textId="77777777" w:rsidR="007D0BAA" w:rsidRPr="007D0BAA" w:rsidRDefault="007D0BAA" w:rsidP="007D0BAA">
            <w:pPr>
              <w:rPr>
                <w:kern w:val="0"/>
                <w:lang w:val="en-US" w:bidi="ar-SA"/>
              </w:rPr>
            </w:pPr>
            <w:r w:rsidRPr="007D0BAA">
              <w:rPr>
                <w:kern w:val="0"/>
                <w:lang w:val="en-US" w:bidi="ar-SA"/>
              </w:rPr>
              <w:t>COBIT</w:t>
            </w:r>
          </w:p>
        </w:tc>
        <w:tc>
          <w:tcPr>
            <w:tcW w:w="0" w:type="auto"/>
            <w:hideMark/>
          </w:tcPr>
          <w:p w14:paraId="3C0147A5"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IT governance and management</w:t>
            </w:r>
          </w:p>
        </w:tc>
        <w:tc>
          <w:tcPr>
            <w:tcW w:w="0" w:type="auto"/>
            <w:hideMark/>
          </w:tcPr>
          <w:p w14:paraId="1826581D"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Focuses on value, risk, and compliance</w:t>
            </w:r>
          </w:p>
        </w:tc>
        <w:tc>
          <w:tcPr>
            <w:tcW w:w="0" w:type="auto"/>
            <w:hideMark/>
          </w:tcPr>
          <w:p w14:paraId="120F1BD7"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Requires customization, less technical detail</w:t>
            </w:r>
          </w:p>
        </w:tc>
      </w:tr>
      <w:tr w:rsidR="007D0BAA" w:rsidRPr="007D0BAA" w14:paraId="7FE56D99" w14:textId="77777777" w:rsidTr="007D0BAA">
        <w:tc>
          <w:tcPr>
            <w:cnfStyle w:val="001000000000" w:firstRow="0" w:lastRow="0" w:firstColumn="1" w:lastColumn="0" w:oddVBand="0" w:evenVBand="0" w:oddHBand="0" w:evenHBand="0" w:firstRowFirstColumn="0" w:firstRowLastColumn="0" w:lastRowFirstColumn="0" w:lastRowLastColumn="0"/>
            <w:tcW w:w="0" w:type="auto"/>
            <w:hideMark/>
          </w:tcPr>
          <w:p w14:paraId="22497376" w14:textId="77777777" w:rsidR="007D0BAA" w:rsidRPr="007D0BAA" w:rsidRDefault="007D0BAA" w:rsidP="007D0BAA">
            <w:pPr>
              <w:rPr>
                <w:kern w:val="0"/>
                <w:lang w:val="en-US" w:bidi="ar-SA"/>
              </w:rPr>
            </w:pPr>
            <w:r w:rsidRPr="007D0BAA">
              <w:rPr>
                <w:kern w:val="0"/>
                <w:lang w:val="en-US" w:bidi="ar-SA"/>
              </w:rPr>
              <w:t>ITIL</w:t>
            </w:r>
          </w:p>
        </w:tc>
        <w:tc>
          <w:tcPr>
            <w:tcW w:w="0" w:type="auto"/>
            <w:hideMark/>
          </w:tcPr>
          <w:p w14:paraId="76DF4823"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IT service management</w:t>
            </w:r>
          </w:p>
        </w:tc>
        <w:tc>
          <w:tcPr>
            <w:tcW w:w="0" w:type="auto"/>
            <w:hideMark/>
          </w:tcPr>
          <w:p w14:paraId="6EDF517C"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Mature operational guidance</w:t>
            </w:r>
          </w:p>
        </w:tc>
        <w:tc>
          <w:tcPr>
            <w:tcW w:w="0" w:type="auto"/>
            <w:hideMark/>
          </w:tcPr>
          <w:p w14:paraId="0845FC1C"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Not specifically focused on security</w:t>
            </w:r>
          </w:p>
        </w:tc>
      </w:tr>
    </w:tbl>
    <w:p w14:paraId="1FAA85F6" w14:textId="77777777" w:rsidR="009848C0" w:rsidRDefault="009848C0" w:rsidP="009848C0"/>
    <w:p w14:paraId="6BE2001D" w14:textId="77777777" w:rsidR="009848C0" w:rsidRDefault="009848C0" w:rsidP="0041218F">
      <w:pPr>
        <w:pStyle w:val="Heading2"/>
      </w:pPr>
      <w:bookmarkStart w:id="14" w:name="_Toc216261758"/>
      <w:r>
        <w:t>2</w:t>
      </w:r>
      <w:r w:rsidRPr="009848C0">
        <w:t>.4 Synthesis and Gap Analysis</w:t>
      </w:r>
      <w:bookmarkEnd w:id="14"/>
    </w:p>
    <w:p w14:paraId="582B38E4" w14:textId="77777777" w:rsidR="008F192C" w:rsidRDefault="007D0BAA" w:rsidP="00581F1D">
      <w:r w:rsidRPr="007D0BAA">
        <w:t xml:space="preserve">The bundling of ISO 27001/27002, ITIL, NIST CSF, and COBIT offers in-depth advice on the controls, service practices, risk management, and management. Though, </w:t>
      </w:r>
      <w:proofErr w:type="spellStart"/>
      <w:r w:rsidRPr="007D0BAA">
        <w:t>NatureGreen</w:t>
      </w:r>
      <w:proofErr w:type="spellEnd"/>
      <w:r w:rsidRPr="007D0BAA">
        <w:t xml:space="preserve"> does not have formalized security governance, structured ISMS controls as well as explicit risk posture documentation. Its security management is also a problem that needs to be addressed urgently because it has a cloud</w:t>
      </w:r>
      <w:r w:rsidR="003C4E6A">
        <w:t>-based and wireless environment</w:t>
      </w:r>
      <w:r w:rsidRPr="007D0BAA">
        <w:t>.</w:t>
      </w:r>
    </w:p>
    <w:p w14:paraId="0D327373" w14:textId="77777777" w:rsidR="007D0BAA" w:rsidRDefault="007D0BAA" w:rsidP="007D0BAA">
      <w:pPr>
        <w:pStyle w:val="Caption"/>
        <w:keepNext/>
      </w:pPr>
      <w:bookmarkStart w:id="15" w:name="_Toc216261731"/>
      <w:r>
        <w:t xml:space="preserve">Table </w:t>
      </w:r>
      <w:fldSimple w:instr=" SEQ Table \* ARABIC ">
        <w:r w:rsidR="00487686">
          <w:rPr>
            <w:noProof/>
          </w:rPr>
          <w:t>4</w:t>
        </w:r>
      </w:fldSimple>
      <w:r>
        <w:t>: Comparison of framework insights and gaps</w:t>
      </w:r>
      <w:bookmarkEnd w:id="15"/>
    </w:p>
    <w:tbl>
      <w:tblPr>
        <w:tblStyle w:val="GridTable4-Accent11"/>
        <w:tblW w:w="0" w:type="auto"/>
        <w:tblLook w:val="04A0" w:firstRow="1" w:lastRow="0" w:firstColumn="1" w:lastColumn="0" w:noHBand="0" w:noVBand="1"/>
      </w:tblPr>
      <w:tblGrid>
        <w:gridCol w:w="1838"/>
        <w:gridCol w:w="3604"/>
        <w:gridCol w:w="3800"/>
      </w:tblGrid>
      <w:tr w:rsidR="007D0BAA" w:rsidRPr="007D0BAA" w14:paraId="7B9A837A" w14:textId="77777777" w:rsidTr="007D0B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83B67A" w14:textId="77777777" w:rsidR="007D0BAA" w:rsidRPr="007D0BAA" w:rsidRDefault="007D0BAA" w:rsidP="007D0BAA">
            <w:pPr>
              <w:rPr>
                <w:kern w:val="0"/>
                <w:lang w:val="en-US" w:bidi="ar-SA"/>
              </w:rPr>
            </w:pPr>
            <w:r w:rsidRPr="007D0BAA">
              <w:rPr>
                <w:kern w:val="0"/>
                <w:lang w:val="en-US" w:bidi="ar-SA"/>
              </w:rPr>
              <w:t>Area</w:t>
            </w:r>
          </w:p>
        </w:tc>
        <w:tc>
          <w:tcPr>
            <w:tcW w:w="0" w:type="auto"/>
            <w:hideMark/>
          </w:tcPr>
          <w:p w14:paraId="4EFC4CE6"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Framework Insights</w:t>
            </w:r>
          </w:p>
        </w:tc>
        <w:tc>
          <w:tcPr>
            <w:tcW w:w="0" w:type="auto"/>
            <w:hideMark/>
          </w:tcPr>
          <w:p w14:paraId="401EE095" w14:textId="77777777" w:rsidR="007D0BAA" w:rsidRPr="007D0BAA" w:rsidRDefault="007D0BAA" w:rsidP="007D0BAA">
            <w:pPr>
              <w:cnfStyle w:val="100000000000" w:firstRow="1"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 xml:space="preserve">Gap at </w:t>
            </w:r>
            <w:proofErr w:type="spellStart"/>
            <w:r w:rsidRPr="007D0BAA">
              <w:rPr>
                <w:kern w:val="0"/>
                <w:lang w:val="en-US" w:bidi="ar-SA"/>
              </w:rPr>
              <w:t>NatureGreen</w:t>
            </w:r>
            <w:proofErr w:type="spellEnd"/>
          </w:p>
        </w:tc>
      </w:tr>
      <w:tr w:rsidR="007D0BAA" w:rsidRPr="007D0BAA" w14:paraId="703AEA3B" w14:textId="77777777" w:rsidTr="007D0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2C6DE" w14:textId="77777777" w:rsidR="007D0BAA" w:rsidRPr="007D0BAA" w:rsidRDefault="007D0BAA" w:rsidP="007D0BAA">
            <w:pPr>
              <w:rPr>
                <w:kern w:val="0"/>
                <w:lang w:val="en-US" w:bidi="ar-SA"/>
              </w:rPr>
            </w:pPr>
            <w:r w:rsidRPr="007D0BAA">
              <w:rPr>
                <w:kern w:val="0"/>
                <w:lang w:val="en-US" w:bidi="ar-SA"/>
              </w:rPr>
              <w:t>Governance</w:t>
            </w:r>
          </w:p>
        </w:tc>
        <w:tc>
          <w:tcPr>
            <w:tcW w:w="0" w:type="auto"/>
            <w:hideMark/>
          </w:tcPr>
          <w:p w14:paraId="7284340C"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COBIT defines roles, oversight</w:t>
            </w:r>
          </w:p>
        </w:tc>
        <w:tc>
          <w:tcPr>
            <w:tcW w:w="0" w:type="auto"/>
            <w:hideMark/>
          </w:tcPr>
          <w:p w14:paraId="54CDA4DF"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No established security governance</w:t>
            </w:r>
          </w:p>
        </w:tc>
      </w:tr>
      <w:tr w:rsidR="007D0BAA" w:rsidRPr="007D0BAA" w14:paraId="442F1010" w14:textId="77777777" w:rsidTr="007D0BAA">
        <w:tc>
          <w:tcPr>
            <w:cnfStyle w:val="001000000000" w:firstRow="0" w:lastRow="0" w:firstColumn="1" w:lastColumn="0" w:oddVBand="0" w:evenVBand="0" w:oddHBand="0" w:evenHBand="0" w:firstRowFirstColumn="0" w:firstRowLastColumn="0" w:lastRowFirstColumn="0" w:lastRowLastColumn="0"/>
            <w:tcW w:w="0" w:type="auto"/>
            <w:hideMark/>
          </w:tcPr>
          <w:p w14:paraId="1F38D6DE" w14:textId="77777777" w:rsidR="007D0BAA" w:rsidRPr="007D0BAA" w:rsidRDefault="007D0BAA" w:rsidP="007D0BAA">
            <w:pPr>
              <w:rPr>
                <w:kern w:val="0"/>
                <w:lang w:val="en-US" w:bidi="ar-SA"/>
              </w:rPr>
            </w:pPr>
            <w:r w:rsidRPr="007D0BAA">
              <w:rPr>
                <w:kern w:val="0"/>
                <w:lang w:val="en-US" w:bidi="ar-SA"/>
              </w:rPr>
              <w:lastRenderedPageBreak/>
              <w:t>ISMS Controls</w:t>
            </w:r>
          </w:p>
        </w:tc>
        <w:tc>
          <w:tcPr>
            <w:tcW w:w="0" w:type="auto"/>
            <w:hideMark/>
          </w:tcPr>
          <w:p w14:paraId="6297B8D2"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ISO 27001/27002 outlines control sets</w:t>
            </w:r>
          </w:p>
        </w:tc>
        <w:tc>
          <w:tcPr>
            <w:tcW w:w="0" w:type="auto"/>
            <w:hideMark/>
          </w:tcPr>
          <w:p w14:paraId="719A36A3"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Controls are not formalized or risk-driven</w:t>
            </w:r>
          </w:p>
        </w:tc>
      </w:tr>
      <w:tr w:rsidR="007D0BAA" w:rsidRPr="007D0BAA" w14:paraId="01752736" w14:textId="77777777" w:rsidTr="007D0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81199" w14:textId="77777777" w:rsidR="007D0BAA" w:rsidRPr="007D0BAA" w:rsidRDefault="007D0BAA" w:rsidP="007D0BAA">
            <w:pPr>
              <w:rPr>
                <w:kern w:val="0"/>
                <w:lang w:val="en-US" w:bidi="ar-SA"/>
              </w:rPr>
            </w:pPr>
            <w:r w:rsidRPr="007D0BAA">
              <w:rPr>
                <w:kern w:val="0"/>
                <w:lang w:val="en-US" w:bidi="ar-SA"/>
              </w:rPr>
              <w:t>Service Processes</w:t>
            </w:r>
          </w:p>
        </w:tc>
        <w:tc>
          <w:tcPr>
            <w:tcW w:w="0" w:type="auto"/>
            <w:hideMark/>
          </w:tcPr>
          <w:p w14:paraId="6B1807FA"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ITIL manages incidents, changes, continuity</w:t>
            </w:r>
          </w:p>
        </w:tc>
        <w:tc>
          <w:tcPr>
            <w:tcW w:w="0" w:type="auto"/>
            <w:hideMark/>
          </w:tcPr>
          <w:p w14:paraId="13F6E328" w14:textId="77777777" w:rsidR="007D0BAA" w:rsidRPr="007D0BAA" w:rsidRDefault="007D0BAA" w:rsidP="007D0BAA">
            <w:pPr>
              <w:cnfStyle w:val="000000100000" w:firstRow="0" w:lastRow="0" w:firstColumn="0" w:lastColumn="0" w:oddVBand="0" w:evenVBand="0" w:oddHBand="1" w:evenHBand="0" w:firstRowFirstColumn="0" w:firstRowLastColumn="0" w:lastRowFirstColumn="0" w:lastRowLastColumn="0"/>
              <w:rPr>
                <w:kern w:val="0"/>
                <w:lang w:val="en-US" w:bidi="ar-SA"/>
              </w:rPr>
            </w:pPr>
            <w:r w:rsidRPr="007D0BAA">
              <w:rPr>
                <w:kern w:val="0"/>
                <w:lang w:val="en-US" w:bidi="ar-SA"/>
              </w:rPr>
              <w:t>Operational security practices are disorganized</w:t>
            </w:r>
          </w:p>
        </w:tc>
      </w:tr>
      <w:tr w:rsidR="007D0BAA" w:rsidRPr="007D0BAA" w14:paraId="285F74A8" w14:textId="77777777" w:rsidTr="007D0BAA">
        <w:tc>
          <w:tcPr>
            <w:cnfStyle w:val="001000000000" w:firstRow="0" w:lastRow="0" w:firstColumn="1" w:lastColumn="0" w:oddVBand="0" w:evenVBand="0" w:oddHBand="0" w:evenHBand="0" w:firstRowFirstColumn="0" w:firstRowLastColumn="0" w:lastRowFirstColumn="0" w:lastRowLastColumn="0"/>
            <w:tcW w:w="0" w:type="auto"/>
            <w:hideMark/>
          </w:tcPr>
          <w:p w14:paraId="066E0682" w14:textId="77777777" w:rsidR="007D0BAA" w:rsidRPr="007D0BAA" w:rsidRDefault="007D0BAA" w:rsidP="007D0BAA">
            <w:pPr>
              <w:rPr>
                <w:kern w:val="0"/>
                <w:lang w:val="en-US" w:bidi="ar-SA"/>
              </w:rPr>
            </w:pPr>
            <w:r w:rsidRPr="007D0BAA">
              <w:rPr>
                <w:kern w:val="0"/>
                <w:lang w:val="en-US" w:bidi="ar-SA"/>
              </w:rPr>
              <w:t>Risk Posture</w:t>
            </w:r>
          </w:p>
        </w:tc>
        <w:tc>
          <w:tcPr>
            <w:tcW w:w="0" w:type="auto"/>
            <w:hideMark/>
          </w:tcPr>
          <w:p w14:paraId="45FC4C12"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NIST CSF defines risk functions</w:t>
            </w:r>
          </w:p>
        </w:tc>
        <w:tc>
          <w:tcPr>
            <w:tcW w:w="0" w:type="auto"/>
            <w:hideMark/>
          </w:tcPr>
          <w:p w14:paraId="7AFF1F44" w14:textId="77777777" w:rsidR="007D0BAA" w:rsidRPr="007D0BAA" w:rsidRDefault="007D0BAA" w:rsidP="007D0BAA">
            <w:pPr>
              <w:cnfStyle w:val="000000000000" w:firstRow="0" w:lastRow="0" w:firstColumn="0" w:lastColumn="0" w:oddVBand="0" w:evenVBand="0" w:oddHBand="0" w:evenHBand="0" w:firstRowFirstColumn="0" w:firstRowLastColumn="0" w:lastRowFirstColumn="0" w:lastRowLastColumn="0"/>
              <w:rPr>
                <w:kern w:val="0"/>
                <w:lang w:val="en-US" w:bidi="ar-SA"/>
              </w:rPr>
            </w:pPr>
            <w:r w:rsidRPr="007D0BAA">
              <w:rPr>
                <w:kern w:val="0"/>
                <w:lang w:val="en-US" w:bidi="ar-SA"/>
              </w:rPr>
              <w:t>No documented risk posture</w:t>
            </w:r>
          </w:p>
        </w:tc>
      </w:tr>
    </w:tbl>
    <w:p w14:paraId="710B1BBB" w14:textId="77777777" w:rsidR="00581F1D" w:rsidRDefault="00581F1D" w:rsidP="00581F1D"/>
    <w:p w14:paraId="5233D8CE" w14:textId="77777777" w:rsidR="00581F1D" w:rsidRDefault="0075653B" w:rsidP="0075653B">
      <w:pPr>
        <w:pStyle w:val="Heading1"/>
      </w:pPr>
      <w:bookmarkStart w:id="16" w:name="_Toc216261759"/>
      <w:r>
        <w:t>3</w:t>
      </w:r>
      <w:r w:rsidRPr="0075653B">
        <w:t xml:space="preserve">. Proposed Security Governance Framework for </w:t>
      </w:r>
      <w:proofErr w:type="spellStart"/>
      <w:r w:rsidRPr="0075653B">
        <w:t>NatureGreen</w:t>
      </w:r>
      <w:bookmarkEnd w:id="16"/>
      <w:proofErr w:type="spellEnd"/>
    </w:p>
    <w:p w14:paraId="2A114B0D" w14:textId="77777777" w:rsidR="00581F1D" w:rsidRDefault="00A55780" w:rsidP="00A55780">
      <w:pPr>
        <w:pStyle w:val="Heading2"/>
      </w:pPr>
      <w:bookmarkStart w:id="17" w:name="_Toc216261760"/>
      <w:r w:rsidRPr="00A55780">
        <w:t>3.1 Framework Design Philosophy</w:t>
      </w:r>
      <w:bookmarkEnd w:id="17"/>
    </w:p>
    <w:p w14:paraId="747900FE" w14:textId="77777777" w:rsidR="00A55780" w:rsidRDefault="003C5531" w:rsidP="00A55780">
      <w:r w:rsidRPr="003C5531">
        <w:t xml:space="preserve">The security governance framework to be proposed to </w:t>
      </w:r>
      <w:proofErr w:type="spellStart"/>
      <w:r w:rsidRPr="003C5531">
        <w:t>NatureGreen</w:t>
      </w:r>
      <w:proofErr w:type="spellEnd"/>
      <w:r w:rsidRPr="003C5531">
        <w:t xml:space="preserve"> will be a risk-based, tailor-made framework which will incorporate the ISO/IEC 27001 ISMS framework and ITIL service management practices. This framework is seen to have the strengths of both models, as the ISO 27001 is used as a framework to provide the foundation of control and management, and the ITIL is used to support the processes involved in the operation of incidents, changes, and continuity</w:t>
      </w:r>
      <w:r w:rsidR="0019684F">
        <w:t xml:space="preserve"> </w:t>
      </w:r>
      <w:r w:rsidR="0019684F" w:rsidRPr="0019684F">
        <w:t>(Kenyon, 2020)</w:t>
      </w:r>
      <w:r w:rsidRPr="003C5531">
        <w:t>. This is to make sure that security controls are seamlessly incorporated in the day to day service provision. It is a holistic solution to ensure the security of both the cloud-based, wireless infrastructure of the organization and the security of valuable data and intellectual property and provide the organization with an effective and safe mod</w:t>
      </w:r>
      <w:r w:rsidR="003C4E6A">
        <w:t>el of governance</w:t>
      </w:r>
      <w:r w:rsidRPr="003C5531">
        <w:t>.</w:t>
      </w:r>
    </w:p>
    <w:p w14:paraId="61281738" w14:textId="77777777" w:rsidR="003C5531" w:rsidRDefault="003C5531" w:rsidP="003C5531">
      <w:pPr>
        <w:pStyle w:val="Caption"/>
        <w:keepNext/>
        <w:jc w:val="center"/>
      </w:pPr>
      <w:bookmarkStart w:id="18" w:name="_Toc216261732"/>
      <w:r>
        <w:t xml:space="preserve">Table </w:t>
      </w:r>
      <w:fldSimple w:instr=" SEQ Table \* ARABIC ">
        <w:r w:rsidR="00487686">
          <w:rPr>
            <w:noProof/>
          </w:rPr>
          <w:t>5</w:t>
        </w:r>
      </w:fldSimple>
      <w:r>
        <w:t xml:space="preserve">: </w:t>
      </w:r>
      <w:r w:rsidRPr="00254537">
        <w:t>Primary Contributions of Security Frameworks</w:t>
      </w:r>
      <w:bookmarkEnd w:id="18"/>
    </w:p>
    <w:tbl>
      <w:tblPr>
        <w:tblStyle w:val="GridTable4-Accent11"/>
        <w:tblW w:w="0" w:type="auto"/>
        <w:jc w:val="center"/>
        <w:tblLook w:val="04A0" w:firstRow="1" w:lastRow="0" w:firstColumn="1" w:lastColumn="0" w:noHBand="0" w:noVBand="1"/>
      </w:tblPr>
      <w:tblGrid>
        <w:gridCol w:w="1943"/>
        <w:gridCol w:w="4355"/>
      </w:tblGrid>
      <w:tr w:rsidR="003C5531" w:rsidRPr="003C5531" w14:paraId="6C7D7A1F" w14:textId="77777777" w:rsidTr="003C55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0F9E6D" w14:textId="77777777" w:rsidR="003C5531" w:rsidRPr="003C5531" w:rsidRDefault="003C5531" w:rsidP="003C5531">
            <w:pPr>
              <w:rPr>
                <w:kern w:val="0"/>
                <w:lang w:val="en-US" w:bidi="ar-SA"/>
              </w:rPr>
            </w:pPr>
            <w:r w:rsidRPr="003C5531">
              <w:rPr>
                <w:kern w:val="0"/>
                <w:lang w:val="en-US" w:bidi="ar-SA"/>
              </w:rPr>
              <w:t>Element</w:t>
            </w:r>
          </w:p>
        </w:tc>
        <w:tc>
          <w:tcPr>
            <w:tcW w:w="0" w:type="auto"/>
            <w:hideMark/>
          </w:tcPr>
          <w:p w14:paraId="243DA8B2" w14:textId="77777777" w:rsidR="003C5531" w:rsidRPr="003C5531" w:rsidRDefault="003C5531" w:rsidP="003C5531">
            <w:pPr>
              <w:cnfStyle w:val="100000000000" w:firstRow="1"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Primary Contribution</w:t>
            </w:r>
          </w:p>
        </w:tc>
      </w:tr>
      <w:tr w:rsidR="003C5531" w:rsidRPr="003C5531" w14:paraId="0B3954B6" w14:textId="77777777" w:rsidTr="003C5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C2DFB7" w14:textId="77777777" w:rsidR="003C5531" w:rsidRPr="003C5531" w:rsidRDefault="003C5531" w:rsidP="003C5531">
            <w:pPr>
              <w:rPr>
                <w:kern w:val="0"/>
                <w:lang w:val="en-US" w:bidi="ar-SA"/>
              </w:rPr>
            </w:pPr>
            <w:r w:rsidRPr="003C5531">
              <w:rPr>
                <w:kern w:val="0"/>
                <w:lang w:val="en-US" w:bidi="ar-SA"/>
              </w:rPr>
              <w:t>ISO/IEC 27001</w:t>
            </w:r>
          </w:p>
        </w:tc>
        <w:tc>
          <w:tcPr>
            <w:tcW w:w="0" w:type="auto"/>
            <w:hideMark/>
          </w:tcPr>
          <w:p w14:paraId="630D2B0C"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Risk-based ISMS and control framework</w:t>
            </w:r>
          </w:p>
        </w:tc>
      </w:tr>
      <w:tr w:rsidR="003C5531" w:rsidRPr="003C5531" w14:paraId="64194791" w14:textId="77777777" w:rsidTr="003C55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738C6E" w14:textId="77777777" w:rsidR="003C5531" w:rsidRPr="003C5531" w:rsidRDefault="003C5531" w:rsidP="003C5531">
            <w:pPr>
              <w:rPr>
                <w:kern w:val="0"/>
                <w:lang w:val="en-US" w:bidi="ar-SA"/>
              </w:rPr>
            </w:pPr>
            <w:r w:rsidRPr="003C5531">
              <w:rPr>
                <w:kern w:val="0"/>
                <w:lang w:val="en-US" w:bidi="ar-SA"/>
              </w:rPr>
              <w:t>ITIL</w:t>
            </w:r>
          </w:p>
        </w:tc>
        <w:tc>
          <w:tcPr>
            <w:tcW w:w="0" w:type="auto"/>
            <w:hideMark/>
          </w:tcPr>
          <w:p w14:paraId="38DF2849"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Operationalization through ITSM practices</w:t>
            </w:r>
          </w:p>
        </w:tc>
      </w:tr>
      <w:tr w:rsidR="003C5531" w:rsidRPr="003C5531" w14:paraId="69EA9A32" w14:textId="77777777" w:rsidTr="003C5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DB77B8" w14:textId="77777777" w:rsidR="003C5531" w:rsidRPr="003C5531" w:rsidRDefault="003C5531" w:rsidP="003C5531">
            <w:pPr>
              <w:rPr>
                <w:kern w:val="0"/>
                <w:lang w:val="en-US" w:bidi="ar-SA"/>
              </w:rPr>
            </w:pPr>
            <w:r w:rsidRPr="003C5531">
              <w:rPr>
                <w:kern w:val="0"/>
                <w:lang w:val="en-US" w:bidi="ar-SA"/>
              </w:rPr>
              <w:t>Risk Orientation</w:t>
            </w:r>
          </w:p>
        </w:tc>
        <w:tc>
          <w:tcPr>
            <w:tcW w:w="0" w:type="auto"/>
            <w:hideMark/>
          </w:tcPr>
          <w:p w14:paraId="568C92DA"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Prioritized treatment of material threats</w:t>
            </w:r>
          </w:p>
        </w:tc>
      </w:tr>
    </w:tbl>
    <w:p w14:paraId="682A6AAB" w14:textId="77777777" w:rsidR="00A55780" w:rsidRDefault="00A55780" w:rsidP="00A55780"/>
    <w:p w14:paraId="3E4B21A6" w14:textId="77777777" w:rsidR="003E15D5" w:rsidRDefault="003E15D5" w:rsidP="00243B92">
      <w:pPr>
        <w:pStyle w:val="Heading2"/>
      </w:pPr>
      <w:bookmarkStart w:id="19" w:name="_Toc216261761"/>
      <w:r>
        <w:t>3</w:t>
      </w:r>
      <w:r w:rsidRPr="003E15D5">
        <w:t>.2 Governance Structure</w:t>
      </w:r>
      <w:bookmarkEnd w:id="19"/>
    </w:p>
    <w:p w14:paraId="6356BCFC" w14:textId="77777777" w:rsidR="00664F05" w:rsidRDefault="003C5531" w:rsidP="00A55780">
      <w:r w:rsidRPr="003C5531">
        <w:t xml:space="preserve">A robust information security governance is possible with a board and a Chief Information Security Officer (CISO) in place, which are backed by cross-functional committees. Considering the informal risk management and the governance environment of </w:t>
      </w:r>
      <w:proofErr w:type="spellStart"/>
      <w:r w:rsidRPr="003C5531">
        <w:t>NatureGreen</w:t>
      </w:r>
      <w:proofErr w:type="spellEnd"/>
      <w:r w:rsidRPr="003C5531">
        <w:t xml:space="preserve">, it is proposed to use a hierarchical governance model. The risk appetite of the organization will be established by the Board and the business level security results will be handled by the executives. The CISO will be in charge of the overall security operations, and the Security </w:t>
      </w:r>
      <w:r w:rsidRPr="003C5531">
        <w:lastRenderedPageBreak/>
        <w:t>Steering Committee, which consists of representatives of IT, legal, HR and business units, will lead the approval and prioritization of risks in the security policy. This design will provide a balance between corporate strategy and accountability on ev</w:t>
      </w:r>
      <w:r w:rsidR="003C4E6A">
        <w:t>ery level</w:t>
      </w:r>
      <w:r w:rsidRPr="003C5531">
        <w:t>.</w:t>
      </w:r>
    </w:p>
    <w:p w14:paraId="119D0E07" w14:textId="77777777" w:rsidR="003C5531" w:rsidRDefault="003C5531" w:rsidP="003C5531">
      <w:pPr>
        <w:pStyle w:val="Caption"/>
        <w:keepNext/>
        <w:jc w:val="center"/>
      </w:pPr>
      <w:bookmarkStart w:id="20" w:name="_Toc216261733"/>
      <w:r>
        <w:t xml:space="preserve">Table </w:t>
      </w:r>
      <w:fldSimple w:instr=" SEQ Table \* ARABIC ">
        <w:r w:rsidR="00487686">
          <w:rPr>
            <w:noProof/>
          </w:rPr>
          <w:t>6</w:t>
        </w:r>
      </w:fldSimple>
      <w:r>
        <w:t xml:space="preserve">: </w:t>
      </w:r>
      <w:r w:rsidRPr="00621725">
        <w:t>Information Security Governance Roles and Responsibilities</w:t>
      </w:r>
      <w:bookmarkEnd w:id="20"/>
    </w:p>
    <w:tbl>
      <w:tblPr>
        <w:tblStyle w:val="GridTable4-Accent11"/>
        <w:tblW w:w="0" w:type="auto"/>
        <w:tblLook w:val="04A0" w:firstRow="1" w:lastRow="0" w:firstColumn="1" w:lastColumn="0" w:noHBand="0" w:noVBand="1"/>
      </w:tblPr>
      <w:tblGrid>
        <w:gridCol w:w="3153"/>
        <w:gridCol w:w="4299"/>
        <w:gridCol w:w="1790"/>
      </w:tblGrid>
      <w:tr w:rsidR="003C5531" w:rsidRPr="003C5531" w14:paraId="727110F5" w14:textId="77777777" w:rsidTr="003C5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FED65" w14:textId="77777777" w:rsidR="003C5531" w:rsidRPr="003C5531" w:rsidRDefault="003C5531" w:rsidP="003C5531">
            <w:pPr>
              <w:rPr>
                <w:kern w:val="0"/>
                <w:lang w:val="en-US" w:bidi="ar-SA"/>
              </w:rPr>
            </w:pPr>
            <w:r w:rsidRPr="003C5531">
              <w:rPr>
                <w:kern w:val="0"/>
                <w:lang w:val="en-US" w:bidi="ar-SA"/>
              </w:rPr>
              <w:t>Role/Body</w:t>
            </w:r>
          </w:p>
        </w:tc>
        <w:tc>
          <w:tcPr>
            <w:tcW w:w="0" w:type="auto"/>
            <w:hideMark/>
          </w:tcPr>
          <w:p w14:paraId="36B32724" w14:textId="77777777" w:rsidR="003C5531" w:rsidRPr="003C5531" w:rsidRDefault="003C5531" w:rsidP="003C5531">
            <w:pPr>
              <w:cnfStyle w:val="100000000000" w:firstRow="1"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Key Responsibilities</w:t>
            </w:r>
          </w:p>
        </w:tc>
        <w:tc>
          <w:tcPr>
            <w:tcW w:w="0" w:type="auto"/>
            <w:hideMark/>
          </w:tcPr>
          <w:p w14:paraId="11F155B1" w14:textId="77777777" w:rsidR="003C5531" w:rsidRPr="003C5531" w:rsidRDefault="003C5531" w:rsidP="003C5531">
            <w:pPr>
              <w:cnfStyle w:val="100000000000" w:firstRow="1"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Reports To</w:t>
            </w:r>
          </w:p>
        </w:tc>
      </w:tr>
      <w:tr w:rsidR="003C5531" w:rsidRPr="003C5531" w14:paraId="7ECC5095" w14:textId="77777777" w:rsidTr="003C5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A486E7" w14:textId="77777777" w:rsidR="003C5531" w:rsidRPr="003C5531" w:rsidRDefault="003C5531" w:rsidP="003C5531">
            <w:pPr>
              <w:rPr>
                <w:kern w:val="0"/>
                <w:lang w:val="en-US" w:bidi="ar-SA"/>
              </w:rPr>
            </w:pPr>
            <w:r w:rsidRPr="003C5531">
              <w:rPr>
                <w:kern w:val="0"/>
                <w:lang w:val="en-US" w:bidi="ar-SA"/>
              </w:rPr>
              <w:t>Board/Executive</w:t>
            </w:r>
          </w:p>
        </w:tc>
        <w:tc>
          <w:tcPr>
            <w:tcW w:w="0" w:type="auto"/>
            <w:hideMark/>
          </w:tcPr>
          <w:p w14:paraId="20D84E85"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Approve strategy, set risk appetite</w:t>
            </w:r>
          </w:p>
        </w:tc>
        <w:tc>
          <w:tcPr>
            <w:tcW w:w="0" w:type="auto"/>
            <w:hideMark/>
          </w:tcPr>
          <w:p w14:paraId="25490EDF"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Shareholders</w:t>
            </w:r>
          </w:p>
        </w:tc>
      </w:tr>
      <w:tr w:rsidR="003C5531" w:rsidRPr="003C5531" w14:paraId="782E38E1" w14:textId="77777777" w:rsidTr="003C5531">
        <w:tc>
          <w:tcPr>
            <w:cnfStyle w:val="001000000000" w:firstRow="0" w:lastRow="0" w:firstColumn="1" w:lastColumn="0" w:oddVBand="0" w:evenVBand="0" w:oddHBand="0" w:evenHBand="0" w:firstRowFirstColumn="0" w:firstRowLastColumn="0" w:lastRowFirstColumn="0" w:lastRowLastColumn="0"/>
            <w:tcW w:w="0" w:type="auto"/>
            <w:hideMark/>
          </w:tcPr>
          <w:p w14:paraId="7F3C6095" w14:textId="77777777" w:rsidR="003C5531" w:rsidRPr="003C5531" w:rsidRDefault="003C5531" w:rsidP="003C5531">
            <w:pPr>
              <w:rPr>
                <w:kern w:val="0"/>
                <w:lang w:val="en-US" w:bidi="ar-SA"/>
              </w:rPr>
            </w:pPr>
            <w:r w:rsidRPr="003C5531">
              <w:rPr>
                <w:kern w:val="0"/>
                <w:lang w:val="en-US" w:bidi="ar-SA"/>
              </w:rPr>
              <w:t>CISO</w:t>
            </w:r>
          </w:p>
        </w:tc>
        <w:tc>
          <w:tcPr>
            <w:tcW w:w="0" w:type="auto"/>
            <w:hideMark/>
          </w:tcPr>
          <w:p w14:paraId="4A522917"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Lead ISMS, advise board, manage security</w:t>
            </w:r>
          </w:p>
        </w:tc>
        <w:tc>
          <w:tcPr>
            <w:tcW w:w="0" w:type="auto"/>
            <w:hideMark/>
          </w:tcPr>
          <w:p w14:paraId="4CFF4606"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CEO/Executive</w:t>
            </w:r>
          </w:p>
        </w:tc>
      </w:tr>
      <w:tr w:rsidR="003C5531" w:rsidRPr="003C5531" w14:paraId="3D0C4A2D" w14:textId="77777777" w:rsidTr="003C5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914BD" w14:textId="77777777" w:rsidR="003C5531" w:rsidRPr="003C5531" w:rsidRDefault="003C5531" w:rsidP="003C5531">
            <w:pPr>
              <w:rPr>
                <w:kern w:val="0"/>
                <w:lang w:val="en-US" w:bidi="ar-SA"/>
              </w:rPr>
            </w:pPr>
            <w:r w:rsidRPr="003C5531">
              <w:rPr>
                <w:kern w:val="0"/>
                <w:lang w:val="en-US" w:bidi="ar-SA"/>
              </w:rPr>
              <w:t>Security Steering Committee</w:t>
            </w:r>
          </w:p>
        </w:tc>
        <w:tc>
          <w:tcPr>
            <w:tcW w:w="0" w:type="auto"/>
            <w:hideMark/>
          </w:tcPr>
          <w:p w14:paraId="2EAD5A06"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Govern policies, risks, major initiatives</w:t>
            </w:r>
          </w:p>
        </w:tc>
        <w:tc>
          <w:tcPr>
            <w:tcW w:w="0" w:type="auto"/>
            <w:hideMark/>
          </w:tcPr>
          <w:p w14:paraId="4B6356F8"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CISO/Executive</w:t>
            </w:r>
          </w:p>
        </w:tc>
      </w:tr>
      <w:tr w:rsidR="003C5531" w:rsidRPr="003C5531" w14:paraId="5C59D668" w14:textId="77777777" w:rsidTr="003C5531">
        <w:tc>
          <w:tcPr>
            <w:cnfStyle w:val="001000000000" w:firstRow="0" w:lastRow="0" w:firstColumn="1" w:lastColumn="0" w:oddVBand="0" w:evenVBand="0" w:oddHBand="0" w:evenHBand="0" w:firstRowFirstColumn="0" w:firstRowLastColumn="0" w:lastRowFirstColumn="0" w:lastRowLastColumn="0"/>
            <w:tcW w:w="0" w:type="auto"/>
            <w:hideMark/>
          </w:tcPr>
          <w:p w14:paraId="1B867146" w14:textId="77777777" w:rsidR="003C5531" w:rsidRPr="003C5531" w:rsidRDefault="003C5531" w:rsidP="003C5531">
            <w:pPr>
              <w:rPr>
                <w:kern w:val="0"/>
                <w:lang w:val="en-US" w:bidi="ar-SA"/>
              </w:rPr>
            </w:pPr>
            <w:r w:rsidRPr="003C5531">
              <w:rPr>
                <w:kern w:val="0"/>
                <w:lang w:val="en-US" w:bidi="ar-SA"/>
              </w:rPr>
              <w:t>Operational Security &amp; IT</w:t>
            </w:r>
          </w:p>
        </w:tc>
        <w:tc>
          <w:tcPr>
            <w:tcW w:w="0" w:type="auto"/>
            <w:hideMark/>
          </w:tcPr>
          <w:p w14:paraId="0FB44481"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Implement controls, report incidents</w:t>
            </w:r>
          </w:p>
        </w:tc>
        <w:tc>
          <w:tcPr>
            <w:tcW w:w="0" w:type="auto"/>
            <w:hideMark/>
          </w:tcPr>
          <w:p w14:paraId="11B4B393"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CISO/CIO</w:t>
            </w:r>
          </w:p>
        </w:tc>
      </w:tr>
    </w:tbl>
    <w:p w14:paraId="7D8342F9" w14:textId="77777777" w:rsidR="003E15D5" w:rsidRDefault="003E15D5" w:rsidP="00A55780"/>
    <w:p w14:paraId="2FAD3994" w14:textId="77777777" w:rsidR="005A67BE" w:rsidRDefault="007A3FA2" w:rsidP="007A3FA2">
      <w:pPr>
        <w:keepNext/>
        <w:jc w:val="center"/>
      </w:pPr>
      <w:r>
        <w:rPr>
          <w:noProof/>
          <w:lang w:val="en-US" w:bidi="ar-SA"/>
        </w:rPr>
        <w:drawing>
          <wp:inline distT="0" distB="0" distL="0" distR="0" wp14:anchorId="06137538" wp14:editId="3384A6E8">
            <wp:extent cx="2520950" cy="1809750"/>
            <wp:effectExtent l="19050" t="0" r="0" b="0"/>
            <wp:docPr id="7" name="Picture 7" descr="2: PROPOSED FRAMEWORK OF INFORMATION SECURITY GOVERNAN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 PROPOSED FRAMEWORK OF INFORMATION SECURITY GOVERNANCE | Download  Scientific Diagram"/>
                    <pic:cNvPicPr>
                      <a:picLocks noChangeAspect="1" noChangeArrowheads="1"/>
                    </pic:cNvPicPr>
                  </pic:nvPicPr>
                  <pic:blipFill>
                    <a:blip r:embed="rId10" cstate="print"/>
                    <a:srcRect/>
                    <a:stretch>
                      <a:fillRect/>
                    </a:stretch>
                  </pic:blipFill>
                  <pic:spPr bwMode="auto">
                    <a:xfrm>
                      <a:off x="0" y="0"/>
                      <a:ext cx="2520950" cy="1809750"/>
                    </a:xfrm>
                    <a:prstGeom prst="rect">
                      <a:avLst/>
                    </a:prstGeom>
                    <a:noFill/>
                    <a:ln w="9525">
                      <a:noFill/>
                      <a:miter lim="800000"/>
                      <a:headEnd/>
                      <a:tailEnd/>
                    </a:ln>
                  </pic:spPr>
                </pic:pic>
              </a:graphicData>
            </a:graphic>
          </wp:inline>
        </w:drawing>
      </w:r>
    </w:p>
    <w:p w14:paraId="2386A4A1" w14:textId="77777777" w:rsidR="005A67BE" w:rsidRDefault="005A67BE" w:rsidP="00D437E2">
      <w:pPr>
        <w:pStyle w:val="Caption"/>
        <w:jc w:val="center"/>
      </w:pPr>
      <w:bookmarkStart w:id="21" w:name="_Toc216261742"/>
      <w:r>
        <w:t xml:space="preserve">Figure </w:t>
      </w:r>
      <w:r w:rsidR="006D72F6">
        <w:fldChar w:fldCharType="begin"/>
      </w:r>
      <w:r>
        <w:instrText xml:space="preserve"> SEQ Figure \* ARABIC </w:instrText>
      </w:r>
      <w:r w:rsidR="006D72F6">
        <w:fldChar w:fldCharType="separate"/>
      </w:r>
      <w:r w:rsidR="00F67075">
        <w:rPr>
          <w:noProof/>
        </w:rPr>
        <w:t>3</w:t>
      </w:r>
      <w:r w:rsidR="006D72F6">
        <w:fldChar w:fldCharType="end"/>
      </w:r>
      <w:r>
        <w:rPr>
          <w:lang w:val="en-US"/>
        </w:rPr>
        <w:t xml:space="preserve">: </w:t>
      </w:r>
      <w:r w:rsidRPr="007C4D80">
        <w:rPr>
          <w:lang w:val="en-US"/>
        </w:rPr>
        <w:t xml:space="preserve">Information </w:t>
      </w:r>
      <w:r w:rsidR="00DD61AF">
        <w:rPr>
          <w:lang w:val="en-US"/>
        </w:rPr>
        <w:t>S</w:t>
      </w:r>
      <w:r w:rsidRPr="007C4D80">
        <w:rPr>
          <w:lang w:val="en-US"/>
        </w:rPr>
        <w:t xml:space="preserve">ecurity </w:t>
      </w:r>
      <w:r w:rsidR="00DD61AF">
        <w:rPr>
          <w:lang w:val="en-US"/>
        </w:rPr>
        <w:t>G</w:t>
      </w:r>
      <w:r w:rsidRPr="007C4D80">
        <w:rPr>
          <w:lang w:val="en-US"/>
        </w:rPr>
        <w:t xml:space="preserve">overnance </w:t>
      </w:r>
      <w:r w:rsidR="00506DF4">
        <w:rPr>
          <w:lang w:val="en-US"/>
        </w:rPr>
        <w:t>S</w:t>
      </w:r>
      <w:r w:rsidRPr="007C4D80">
        <w:rPr>
          <w:lang w:val="en-US"/>
        </w:rPr>
        <w:t xml:space="preserve">tructure </w:t>
      </w:r>
      <w:r w:rsidR="00D15329">
        <w:rPr>
          <w:lang w:val="en-US"/>
        </w:rPr>
        <w:t>O</w:t>
      </w:r>
      <w:r w:rsidRPr="007C4D80">
        <w:rPr>
          <w:lang w:val="en-US"/>
        </w:rPr>
        <w:t>verview</w:t>
      </w:r>
      <w:bookmarkEnd w:id="21"/>
    </w:p>
    <w:p w14:paraId="7F66815C" w14:textId="77777777" w:rsidR="003E15D5" w:rsidRDefault="003E15D5" w:rsidP="00243B92">
      <w:pPr>
        <w:pStyle w:val="Heading2"/>
      </w:pPr>
      <w:bookmarkStart w:id="22" w:name="_Toc216261762"/>
      <w:r>
        <w:t>3.</w:t>
      </w:r>
      <w:r w:rsidRPr="003E15D5">
        <w:t>3 Strategic Security Planning</w:t>
      </w:r>
      <w:bookmarkEnd w:id="22"/>
    </w:p>
    <w:p w14:paraId="1A7DB490" w14:textId="77777777" w:rsidR="003E15D5" w:rsidRDefault="003C5531" w:rsidP="00A55780">
      <w:r w:rsidRPr="003C5531">
        <w:t xml:space="preserve">Strategic security planning converts general security objectives into specific objectives to be used in the process of securing information assets. The security strategy of </w:t>
      </w:r>
      <w:proofErr w:type="spellStart"/>
      <w:r w:rsidRPr="003C5531">
        <w:t>NatureGreen</w:t>
      </w:r>
      <w:proofErr w:type="spellEnd"/>
      <w:r w:rsidRPr="003C5531">
        <w:t xml:space="preserve"> will be based on business objectives, as it will contribute to the long-term priorities, including resilience, compliance with regulations, and trusted digital services</w:t>
      </w:r>
      <w:r w:rsidR="0019684F">
        <w:t xml:space="preserve"> </w:t>
      </w:r>
      <w:r w:rsidR="0019684F" w:rsidRPr="0019684F">
        <w:t>(Kofi, 2025)</w:t>
      </w:r>
      <w:r w:rsidRPr="003C5531">
        <w:t>. The security vision and mission of the organization will act as a guiding factor, and the goals will be converted into key performance indicators (KPIs). These security KPIs are going to be included in the balanced scorecard of the business and are aimed at the performance of the business in terms of financial metrics, the level of customer satisfaction, internal processes</w:t>
      </w:r>
      <w:r w:rsidR="003C4E6A">
        <w:t>, and learning and growth</w:t>
      </w:r>
      <w:r w:rsidRPr="003C5531">
        <w:t>.</w:t>
      </w:r>
    </w:p>
    <w:p w14:paraId="6384C1D1" w14:textId="77777777" w:rsidR="003C5531" w:rsidRDefault="003C5531" w:rsidP="003C5531">
      <w:pPr>
        <w:pStyle w:val="Caption"/>
        <w:keepNext/>
        <w:jc w:val="center"/>
      </w:pPr>
      <w:bookmarkStart w:id="23" w:name="_Toc216261734"/>
      <w:r>
        <w:lastRenderedPageBreak/>
        <w:t xml:space="preserve">Table </w:t>
      </w:r>
      <w:fldSimple w:instr=" SEQ Table \* ARABIC ">
        <w:r w:rsidR="00487686">
          <w:rPr>
            <w:noProof/>
          </w:rPr>
          <w:t>7</w:t>
        </w:r>
      </w:fldSimple>
      <w:r>
        <w:t xml:space="preserve">: </w:t>
      </w:r>
      <w:r w:rsidRPr="00113077">
        <w:t>Balanced Scorecard Perspectives for Security KPIs</w:t>
      </w:r>
      <w:bookmarkEnd w:id="23"/>
    </w:p>
    <w:tbl>
      <w:tblPr>
        <w:tblStyle w:val="GridTable4-Accent11"/>
        <w:tblW w:w="0" w:type="auto"/>
        <w:jc w:val="center"/>
        <w:tblLook w:val="04A0" w:firstRow="1" w:lastRow="0" w:firstColumn="1" w:lastColumn="0" w:noHBand="0" w:noVBand="1"/>
      </w:tblPr>
      <w:tblGrid>
        <w:gridCol w:w="2536"/>
        <w:gridCol w:w="5261"/>
      </w:tblGrid>
      <w:tr w:rsidR="003C5531" w:rsidRPr="003C5531" w14:paraId="471C823C" w14:textId="77777777" w:rsidTr="003C55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0C5008" w14:textId="77777777" w:rsidR="003C5531" w:rsidRPr="003C5531" w:rsidRDefault="003C5531" w:rsidP="003C5531">
            <w:pPr>
              <w:rPr>
                <w:kern w:val="0"/>
                <w:lang w:val="en-US" w:bidi="ar-SA"/>
              </w:rPr>
            </w:pPr>
            <w:r w:rsidRPr="003C5531">
              <w:rPr>
                <w:kern w:val="0"/>
                <w:lang w:val="en-US" w:bidi="ar-SA"/>
              </w:rPr>
              <w:t>Perspective</w:t>
            </w:r>
          </w:p>
        </w:tc>
        <w:tc>
          <w:tcPr>
            <w:tcW w:w="0" w:type="auto"/>
            <w:hideMark/>
          </w:tcPr>
          <w:p w14:paraId="2E672C55" w14:textId="77777777" w:rsidR="003C5531" w:rsidRPr="003C5531" w:rsidRDefault="003C5531" w:rsidP="003C5531">
            <w:pPr>
              <w:cnfStyle w:val="100000000000" w:firstRow="1"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Example Security Governance KPI Type</w:t>
            </w:r>
          </w:p>
        </w:tc>
      </w:tr>
      <w:tr w:rsidR="003C5531" w:rsidRPr="003C5531" w14:paraId="446EEC96" w14:textId="77777777" w:rsidTr="003C5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D0AF8" w14:textId="77777777" w:rsidR="003C5531" w:rsidRPr="003C5531" w:rsidRDefault="003C5531" w:rsidP="003C5531">
            <w:pPr>
              <w:rPr>
                <w:kern w:val="0"/>
                <w:lang w:val="en-US" w:bidi="ar-SA"/>
              </w:rPr>
            </w:pPr>
            <w:r w:rsidRPr="003C5531">
              <w:rPr>
                <w:kern w:val="0"/>
                <w:lang w:val="en-US" w:bidi="ar-SA"/>
              </w:rPr>
              <w:t>Financial</w:t>
            </w:r>
          </w:p>
        </w:tc>
        <w:tc>
          <w:tcPr>
            <w:tcW w:w="0" w:type="auto"/>
            <w:hideMark/>
          </w:tcPr>
          <w:p w14:paraId="0E5A9766"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Cost of security incidents, % security spend vs. IT</w:t>
            </w:r>
          </w:p>
        </w:tc>
      </w:tr>
      <w:tr w:rsidR="003C5531" w:rsidRPr="003C5531" w14:paraId="6895BA62" w14:textId="77777777" w:rsidTr="003C55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7709BC" w14:textId="77777777" w:rsidR="003C5531" w:rsidRPr="003C5531" w:rsidRDefault="003C5531" w:rsidP="003C5531">
            <w:pPr>
              <w:rPr>
                <w:kern w:val="0"/>
                <w:lang w:val="en-US" w:bidi="ar-SA"/>
              </w:rPr>
            </w:pPr>
            <w:r w:rsidRPr="003C5531">
              <w:rPr>
                <w:kern w:val="0"/>
                <w:lang w:val="en-US" w:bidi="ar-SA"/>
              </w:rPr>
              <w:t>Customer/Stakeholder</w:t>
            </w:r>
          </w:p>
        </w:tc>
        <w:tc>
          <w:tcPr>
            <w:tcW w:w="0" w:type="auto"/>
            <w:hideMark/>
          </w:tcPr>
          <w:p w14:paraId="67BD69EE"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Trust/satisfaction, incident impact on customers</w:t>
            </w:r>
          </w:p>
        </w:tc>
      </w:tr>
      <w:tr w:rsidR="003C5531" w:rsidRPr="003C5531" w14:paraId="63CC2055" w14:textId="77777777" w:rsidTr="003C55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C2328" w14:textId="77777777" w:rsidR="003C5531" w:rsidRPr="003C5531" w:rsidRDefault="003C5531" w:rsidP="003C5531">
            <w:pPr>
              <w:rPr>
                <w:kern w:val="0"/>
                <w:lang w:val="en-US" w:bidi="ar-SA"/>
              </w:rPr>
            </w:pPr>
            <w:r w:rsidRPr="003C5531">
              <w:rPr>
                <w:kern w:val="0"/>
                <w:lang w:val="en-US" w:bidi="ar-SA"/>
              </w:rPr>
              <w:t>Internal Processes</w:t>
            </w:r>
          </w:p>
        </w:tc>
        <w:tc>
          <w:tcPr>
            <w:tcW w:w="0" w:type="auto"/>
            <w:hideMark/>
          </w:tcPr>
          <w:p w14:paraId="797DA266"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Mean time to detect/respond, policy compliance rate</w:t>
            </w:r>
          </w:p>
        </w:tc>
      </w:tr>
      <w:tr w:rsidR="003C5531" w:rsidRPr="003C5531" w14:paraId="6B7B43FB" w14:textId="77777777" w:rsidTr="003C55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0151B2" w14:textId="77777777" w:rsidR="003C5531" w:rsidRPr="003C5531" w:rsidRDefault="003C5531" w:rsidP="003C5531">
            <w:pPr>
              <w:rPr>
                <w:kern w:val="0"/>
                <w:lang w:val="en-US" w:bidi="ar-SA"/>
              </w:rPr>
            </w:pPr>
            <w:r w:rsidRPr="003C5531">
              <w:rPr>
                <w:kern w:val="0"/>
                <w:lang w:val="en-US" w:bidi="ar-SA"/>
              </w:rPr>
              <w:t>Learning &amp; Growth</w:t>
            </w:r>
          </w:p>
        </w:tc>
        <w:tc>
          <w:tcPr>
            <w:tcW w:w="0" w:type="auto"/>
            <w:hideMark/>
          </w:tcPr>
          <w:p w14:paraId="32A7D3F6"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Training coverage, skills maturity, culture metrics</w:t>
            </w:r>
          </w:p>
        </w:tc>
      </w:tr>
    </w:tbl>
    <w:p w14:paraId="72EBD630" w14:textId="77777777" w:rsidR="003E15D5" w:rsidRDefault="003E15D5" w:rsidP="00A55780"/>
    <w:p w14:paraId="5C84DFC1" w14:textId="77777777" w:rsidR="003E15D5" w:rsidRDefault="00CC3546" w:rsidP="00243B92">
      <w:pPr>
        <w:pStyle w:val="Heading2"/>
      </w:pPr>
      <w:bookmarkStart w:id="24" w:name="_Toc216261763"/>
      <w:r>
        <w:t>3</w:t>
      </w:r>
      <w:r w:rsidR="003E15D5" w:rsidRPr="003E15D5">
        <w:t>.4 Security Policies and Procedures</w:t>
      </w:r>
      <w:bookmarkEnd w:id="24"/>
    </w:p>
    <w:p w14:paraId="7088D3BD" w14:textId="77777777" w:rsidR="002B450F" w:rsidRDefault="003C5531" w:rsidP="00A55780">
      <w:r w:rsidRPr="003C5531">
        <w:t>The security policies will be hierarchical whereby the organizational level strategic policies will delineate general principles, control requirements as tactical and operational procedures as to the implementation and enforcement procedures</w:t>
      </w:r>
      <w:r w:rsidR="0019684F">
        <w:t xml:space="preserve"> </w:t>
      </w:r>
      <w:r w:rsidR="0019684F" w:rsidRPr="0019684F">
        <w:t>(Edwards, 2024)</w:t>
      </w:r>
      <w:r w:rsidRPr="003C5531">
        <w:t xml:space="preserve">. Since, currently, </w:t>
      </w:r>
      <w:proofErr w:type="spellStart"/>
      <w:r w:rsidRPr="003C5531">
        <w:t>NatureGreen</w:t>
      </w:r>
      <w:proofErr w:type="spellEnd"/>
      <w:r w:rsidRPr="003C5531">
        <w:t xml:space="preserve"> does not have a proper security policy framework, formal policies are necessary that will govern the use of personal devices, the management of cloud services, and the safety of sensitive employee, customer, and intellectual property information. Detailed configuration standards, monitoring and compliance processes will support these policies.</w:t>
      </w:r>
    </w:p>
    <w:p w14:paraId="4C2FF7B0" w14:textId="77777777" w:rsidR="003C5531" w:rsidRDefault="003C5531" w:rsidP="003C5531">
      <w:pPr>
        <w:pStyle w:val="Caption"/>
        <w:keepNext/>
      </w:pPr>
      <w:bookmarkStart w:id="25" w:name="_Toc216261735"/>
      <w:r>
        <w:t xml:space="preserve">Table </w:t>
      </w:r>
      <w:fldSimple w:instr=" SEQ Table \* ARABIC ">
        <w:r w:rsidR="00487686">
          <w:rPr>
            <w:noProof/>
          </w:rPr>
          <w:t>8</w:t>
        </w:r>
      </w:fldSimple>
      <w:r>
        <w:t>: Key Security Policy Domains and Priorities</w:t>
      </w:r>
      <w:bookmarkEnd w:id="25"/>
    </w:p>
    <w:tbl>
      <w:tblPr>
        <w:tblStyle w:val="GridTable4-Accent11"/>
        <w:tblW w:w="0" w:type="auto"/>
        <w:tblLook w:val="04A0" w:firstRow="1" w:lastRow="0" w:firstColumn="1" w:lastColumn="0" w:noHBand="0" w:noVBand="1"/>
      </w:tblPr>
      <w:tblGrid>
        <w:gridCol w:w="3482"/>
        <w:gridCol w:w="4702"/>
        <w:gridCol w:w="1030"/>
      </w:tblGrid>
      <w:tr w:rsidR="003C5531" w:rsidRPr="003C5531" w14:paraId="498771D4" w14:textId="77777777" w:rsidTr="003C5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3E08DB" w14:textId="77777777" w:rsidR="003C5531" w:rsidRPr="003C5531" w:rsidRDefault="003C5531" w:rsidP="003C5531">
            <w:pPr>
              <w:rPr>
                <w:kern w:val="0"/>
                <w:lang w:val="en-US" w:bidi="ar-SA"/>
              </w:rPr>
            </w:pPr>
            <w:r w:rsidRPr="003C5531">
              <w:rPr>
                <w:kern w:val="0"/>
                <w:lang w:val="en-US" w:bidi="ar-SA"/>
              </w:rPr>
              <w:t>Policy Domain</w:t>
            </w:r>
          </w:p>
        </w:tc>
        <w:tc>
          <w:tcPr>
            <w:tcW w:w="0" w:type="auto"/>
            <w:hideMark/>
          </w:tcPr>
          <w:p w14:paraId="51E6A54E" w14:textId="77777777" w:rsidR="003C5531" w:rsidRPr="003C5531" w:rsidRDefault="003C5531" w:rsidP="003C5531">
            <w:pPr>
              <w:cnfStyle w:val="100000000000" w:firstRow="1"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Primary Focus</w:t>
            </w:r>
          </w:p>
        </w:tc>
        <w:tc>
          <w:tcPr>
            <w:tcW w:w="0" w:type="auto"/>
            <w:hideMark/>
          </w:tcPr>
          <w:p w14:paraId="186082D2" w14:textId="77777777" w:rsidR="003C5531" w:rsidRPr="003C5531" w:rsidRDefault="003C5531" w:rsidP="003C5531">
            <w:pPr>
              <w:cnfStyle w:val="100000000000" w:firstRow="1"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Priority</w:t>
            </w:r>
          </w:p>
        </w:tc>
      </w:tr>
      <w:tr w:rsidR="003C5531" w:rsidRPr="003C5531" w14:paraId="477D71DD" w14:textId="77777777" w:rsidTr="003C5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26AD0D" w14:textId="77777777" w:rsidR="003C5531" w:rsidRPr="003C5531" w:rsidRDefault="003C5531" w:rsidP="003C5531">
            <w:pPr>
              <w:rPr>
                <w:kern w:val="0"/>
                <w:lang w:val="en-US" w:bidi="ar-SA"/>
              </w:rPr>
            </w:pPr>
            <w:r w:rsidRPr="003C5531">
              <w:rPr>
                <w:kern w:val="0"/>
                <w:lang w:val="en-US" w:bidi="ar-SA"/>
              </w:rPr>
              <w:t>BYOD &amp; MDM</w:t>
            </w:r>
          </w:p>
        </w:tc>
        <w:tc>
          <w:tcPr>
            <w:tcW w:w="0" w:type="auto"/>
            <w:hideMark/>
          </w:tcPr>
          <w:p w14:paraId="22C9C02A"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Secure personal devices, access control</w:t>
            </w:r>
          </w:p>
        </w:tc>
        <w:tc>
          <w:tcPr>
            <w:tcW w:w="0" w:type="auto"/>
            <w:hideMark/>
          </w:tcPr>
          <w:p w14:paraId="30DDC93A"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High</w:t>
            </w:r>
          </w:p>
        </w:tc>
      </w:tr>
      <w:tr w:rsidR="003C5531" w:rsidRPr="003C5531" w14:paraId="6A6C2FF3" w14:textId="77777777" w:rsidTr="003C5531">
        <w:tc>
          <w:tcPr>
            <w:cnfStyle w:val="001000000000" w:firstRow="0" w:lastRow="0" w:firstColumn="1" w:lastColumn="0" w:oddVBand="0" w:evenVBand="0" w:oddHBand="0" w:evenHBand="0" w:firstRowFirstColumn="0" w:firstRowLastColumn="0" w:lastRowFirstColumn="0" w:lastRowLastColumn="0"/>
            <w:tcW w:w="0" w:type="auto"/>
            <w:hideMark/>
          </w:tcPr>
          <w:p w14:paraId="3286032D" w14:textId="77777777" w:rsidR="003C5531" w:rsidRPr="003C5531" w:rsidRDefault="003C5531" w:rsidP="003C5531">
            <w:pPr>
              <w:rPr>
                <w:kern w:val="0"/>
                <w:lang w:val="en-US" w:bidi="ar-SA"/>
              </w:rPr>
            </w:pPr>
            <w:r w:rsidRPr="003C5531">
              <w:rPr>
                <w:kern w:val="0"/>
                <w:lang w:val="en-US" w:bidi="ar-SA"/>
              </w:rPr>
              <w:t>Cloud Security</w:t>
            </w:r>
          </w:p>
        </w:tc>
        <w:tc>
          <w:tcPr>
            <w:tcW w:w="0" w:type="auto"/>
            <w:hideMark/>
          </w:tcPr>
          <w:p w14:paraId="5A34B1A8"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Provider responsibilities, configuration, access</w:t>
            </w:r>
          </w:p>
        </w:tc>
        <w:tc>
          <w:tcPr>
            <w:tcW w:w="0" w:type="auto"/>
            <w:hideMark/>
          </w:tcPr>
          <w:p w14:paraId="329071D8"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High</w:t>
            </w:r>
          </w:p>
        </w:tc>
      </w:tr>
      <w:tr w:rsidR="003C5531" w:rsidRPr="003C5531" w14:paraId="6AEBE907" w14:textId="77777777" w:rsidTr="003C5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787E3A" w14:textId="77777777" w:rsidR="003C5531" w:rsidRPr="003C5531" w:rsidRDefault="003C5531" w:rsidP="003C5531">
            <w:pPr>
              <w:rPr>
                <w:kern w:val="0"/>
                <w:lang w:val="en-US" w:bidi="ar-SA"/>
              </w:rPr>
            </w:pPr>
            <w:r w:rsidRPr="003C5531">
              <w:rPr>
                <w:kern w:val="0"/>
                <w:lang w:val="en-US" w:bidi="ar-SA"/>
              </w:rPr>
              <w:t>Data Classification &amp; Handling</w:t>
            </w:r>
          </w:p>
        </w:tc>
        <w:tc>
          <w:tcPr>
            <w:tcW w:w="0" w:type="auto"/>
            <w:hideMark/>
          </w:tcPr>
          <w:p w14:paraId="508F6810"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Sensitivity tiers, handling rules</w:t>
            </w:r>
          </w:p>
        </w:tc>
        <w:tc>
          <w:tcPr>
            <w:tcW w:w="0" w:type="auto"/>
            <w:hideMark/>
          </w:tcPr>
          <w:p w14:paraId="2898045B"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High</w:t>
            </w:r>
          </w:p>
        </w:tc>
      </w:tr>
      <w:tr w:rsidR="003C5531" w:rsidRPr="003C5531" w14:paraId="2EF17890" w14:textId="77777777" w:rsidTr="003C5531">
        <w:tc>
          <w:tcPr>
            <w:cnfStyle w:val="001000000000" w:firstRow="0" w:lastRow="0" w:firstColumn="1" w:lastColumn="0" w:oddVBand="0" w:evenVBand="0" w:oddHBand="0" w:evenHBand="0" w:firstRowFirstColumn="0" w:firstRowLastColumn="0" w:lastRowFirstColumn="0" w:lastRowLastColumn="0"/>
            <w:tcW w:w="0" w:type="auto"/>
            <w:hideMark/>
          </w:tcPr>
          <w:p w14:paraId="7757A6CD" w14:textId="77777777" w:rsidR="003C5531" w:rsidRPr="003C5531" w:rsidRDefault="003C5531" w:rsidP="003C5531">
            <w:pPr>
              <w:rPr>
                <w:kern w:val="0"/>
                <w:lang w:val="en-US" w:bidi="ar-SA"/>
              </w:rPr>
            </w:pPr>
            <w:r w:rsidRPr="003C5531">
              <w:rPr>
                <w:kern w:val="0"/>
                <w:lang w:val="en-US" w:bidi="ar-SA"/>
              </w:rPr>
              <w:t>Acceptable Use</w:t>
            </w:r>
          </w:p>
        </w:tc>
        <w:tc>
          <w:tcPr>
            <w:tcW w:w="0" w:type="auto"/>
            <w:hideMark/>
          </w:tcPr>
          <w:p w14:paraId="78A71103"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User behavior, prohibited activities</w:t>
            </w:r>
          </w:p>
        </w:tc>
        <w:tc>
          <w:tcPr>
            <w:tcW w:w="0" w:type="auto"/>
            <w:hideMark/>
          </w:tcPr>
          <w:p w14:paraId="3C449ABF" w14:textId="77777777" w:rsidR="003C5531" w:rsidRPr="003C5531" w:rsidRDefault="003C5531" w:rsidP="003C5531">
            <w:pPr>
              <w:cnfStyle w:val="000000000000" w:firstRow="0" w:lastRow="0" w:firstColumn="0" w:lastColumn="0" w:oddVBand="0" w:evenVBand="0" w:oddHBand="0" w:evenHBand="0" w:firstRowFirstColumn="0" w:firstRowLastColumn="0" w:lastRowFirstColumn="0" w:lastRowLastColumn="0"/>
              <w:rPr>
                <w:kern w:val="0"/>
                <w:lang w:val="en-US" w:bidi="ar-SA"/>
              </w:rPr>
            </w:pPr>
            <w:r w:rsidRPr="003C5531">
              <w:rPr>
                <w:kern w:val="0"/>
                <w:lang w:val="en-US" w:bidi="ar-SA"/>
              </w:rPr>
              <w:t>Medium</w:t>
            </w:r>
          </w:p>
        </w:tc>
      </w:tr>
      <w:tr w:rsidR="003C5531" w:rsidRPr="003C5531" w14:paraId="25A6FA32" w14:textId="77777777" w:rsidTr="003C5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AB0ABA" w14:textId="77777777" w:rsidR="003C5531" w:rsidRPr="003C5531" w:rsidRDefault="003C5531" w:rsidP="003C5531">
            <w:pPr>
              <w:rPr>
                <w:kern w:val="0"/>
                <w:lang w:val="en-US" w:bidi="ar-SA"/>
              </w:rPr>
            </w:pPr>
            <w:r w:rsidRPr="003C5531">
              <w:rPr>
                <w:kern w:val="0"/>
                <w:lang w:val="en-US" w:bidi="ar-SA"/>
              </w:rPr>
              <w:t>Intellectual Property Protection</w:t>
            </w:r>
          </w:p>
        </w:tc>
        <w:tc>
          <w:tcPr>
            <w:tcW w:w="0" w:type="auto"/>
            <w:hideMark/>
          </w:tcPr>
          <w:p w14:paraId="3CC72FF4"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Safeguarding proprietary information</w:t>
            </w:r>
          </w:p>
        </w:tc>
        <w:tc>
          <w:tcPr>
            <w:tcW w:w="0" w:type="auto"/>
            <w:hideMark/>
          </w:tcPr>
          <w:p w14:paraId="408767D4" w14:textId="77777777" w:rsidR="003C5531" w:rsidRPr="003C5531" w:rsidRDefault="003C5531" w:rsidP="003C5531">
            <w:pPr>
              <w:cnfStyle w:val="000000100000" w:firstRow="0" w:lastRow="0" w:firstColumn="0" w:lastColumn="0" w:oddVBand="0" w:evenVBand="0" w:oddHBand="1" w:evenHBand="0" w:firstRowFirstColumn="0" w:firstRowLastColumn="0" w:lastRowFirstColumn="0" w:lastRowLastColumn="0"/>
              <w:rPr>
                <w:kern w:val="0"/>
                <w:lang w:val="en-US" w:bidi="ar-SA"/>
              </w:rPr>
            </w:pPr>
            <w:r w:rsidRPr="003C5531">
              <w:rPr>
                <w:kern w:val="0"/>
                <w:lang w:val="en-US" w:bidi="ar-SA"/>
              </w:rPr>
              <w:t>High</w:t>
            </w:r>
          </w:p>
        </w:tc>
      </w:tr>
    </w:tbl>
    <w:p w14:paraId="11D92343" w14:textId="77777777" w:rsidR="003E15D5" w:rsidRDefault="003E15D5" w:rsidP="00A81018">
      <w:pPr>
        <w:tabs>
          <w:tab w:val="left" w:pos="1095"/>
        </w:tabs>
      </w:pPr>
    </w:p>
    <w:p w14:paraId="522A85AC" w14:textId="77777777" w:rsidR="003E15D5" w:rsidRDefault="00CC3546" w:rsidP="00243B92">
      <w:pPr>
        <w:pStyle w:val="Heading2"/>
      </w:pPr>
      <w:bookmarkStart w:id="26" w:name="_Toc216261764"/>
      <w:r>
        <w:t>3</w:t>
      </w:r>
      <w:r w:rsidR="003E15D5" w:rsidRPr="003E15D5">
        <w:t>.5 Risk Management Framework</w:t>
      </w:r>
      <w:bookmarkEnd w:id="26"/>
    </w:p>
    <w:p w14:paraId="44570A80" w14:textId="77777777" w:rsidR="0012161A" w:rsidRDefault="001727A2" w:rsidP="009254AB">
      <w:r w:rsidRPr="001727A2">
        <w:t xml:space="preserve">The risk management strategy of </w:t>
      </w:r>
      <w:proofErr w:type="spellStart"/>
      <w:r w:rsidRPr="001727A2">
        <w:t>NatureGreen</w:t>
      </w:r>
      <w:proofErr w:type="spellEnd"/>
      <w:r w:rsidRPr="001727A2">
        <w:t xml:space="preserve"> will be based on the ongoing risk identification, evaluation, and management. The assets risks will be assessed according to their effects and their probability of occurrence. Risks that do not meet the acceptable standards will either be mitigated, transferred, avoided, or accepted and constant monitoring. An Excel sheet will be used as a central risk register to document all the identified risks, their owners, and treatment plan. The heatmap will assist in prioritization and reporting the risks to the governance bodies with special focus on the wireless network vulnerabilities, cloud service threats, and BYOD risks.</w:t>
      </w:r>
    </w:p>
    <w:p w14:paraId="5A3AA35F" w14:textId="77777777" w:rsidR="00F67075" w:rsidRDefault="007A3FA2" w:rsidP="007A3FA2">
      <w:pPr>
        <w:keepNext/>
        <w:jc w:val="center"/>
      </w:pPr>
      <w:r>
        <w:rPr>
          <w:noProof/>
          <w:lang w:val="en-US" w:bidi="ar-SA"/>
        </w:rPr>
        <w:lastRenderedPageBreak/>
        <w:drawing>
          <wp:inline distT="0" distB="0" distL="0" distR="0" wp14:anchorId="0303E9A7" wp14:editId="48275733">
            <wp:extent cx="2289237" cy="2578100"/>
            <wp:effectExtent l="19050" t="0" r="0" b="0"/>
            <wp:docPr id="12" name="Picture 12" descr="The cyclical framework for environmental risk assessment and manage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cyclical framework for environmental risk assessment and management...  | Download Scientific Diagram"/>
                    <pic:cNvPicPr>
                      <a:picLocks noChangeAspect="1" noChangeArrowheads="1"/>
                    </pic:cNvPicPr>
                  </pic:nvPicPr>
                  <pic:blipFill>
                    <a:blip r:embed="rId11" cstate="print"/>
                    <a:srcRect/>
                    <a:stretch>
                      <a:fillRect/>
                    </a:stretch>
                  </pic:blipFill>
                  <pic:spPr bwMode="auto">
                    <a:xfrm>
                      <a:off x="0" y="0"/>
                      <a:ext cx="2289237" cy="2578100"/>
                    </a:xfrm>
                    <a:prstGeom prst="rect">
                      <a:avLst/>
                    </a:prstGeom>
                    <a:noFill/>
                    <a:ln w="9525">
                      <a:noFill/>
                      <a:miter lim="800000"/>
                      <a:headEnd/>
                      <a:tailEnd/>
                    </a:ln>
                  </pic:spPr>
                </pic:pic>
              </a:graphicData>
            </a:graphic>
          </wp:inline>
        </w:drawing>
      </w:r>
    </w:p>
    <w:p w14:paraId="169A494F" w14:textId="77777777" w:rsidR="0012161A" w:rsidRDefault="00F67075" w:rsidP="00F67075">
      <w:pPr>
        <w:pStyle w:val="Caption"/>
        <w:jc w:val="center"/>
      </w:pPr>
      <w:bookmarkStart w:id="27" w:name="_Toc216261743"/>
      <w:r>
        <w:t xml:space="preserve">Figure </w:t>
      </w:r>
      <w:r w:rsidR="006D72F6">
        <w:fldChar w:fldCharType="begin"/>
      </w:r>
      <w:r>
        <w:instrText xml:space="preserve"> SEQ Figure \* ARABIC </w:instrText>
      </w:r>
      <w:r w:rsidR="006D72F6">
        <w:fldChar w:fldCharType="separate"/>
      </w:r>
      <w:r>
        <w:rPr>
          <w:noProof/>
        </w:rPr>
        <w:t>4</w:t>
      </w:r>
      <w:r w:rsidR="006D72F6">
        <w:fldChar w:fldCharType="end"/>
      </w:r>
      <w:r>
        <w:rPr>
          <w:lang w:val="en-US"/>
        </w:rPr>
        <w:t xml:space="preserve">: </w:t>
      </w:r>
      <w:r w:rsidRPr="009D4750">
        <w:rPr>
          <w:lang w:val="en-US"/>
        </w:rPr>
        <w:t>Comprehensive cyclical framework for risk management</w:t>
      </w:r>
      <w:bookmarkEnd w:id="27"/>
    </w:p>
    <w:p w14:paraId="37FB0E5A" w14:textId="77777777" w:rsidR="0012161A" w:rsidRDefault="0012161A" w:rsidP="0012161A">
      <w:pPr>
        <w:pStyle w:val="Heading2"/>
      </w:pPr>
      <w:bookmarkStart w:id="28" w:name="_Toc216261765"/>
      <w:r>
        <w:t>3</w:t>
      </w:r>
      <w:r w:rsidRPr="0012161A">
        <w:t>.6 Compliance and Legal Requirements</w:t>
      </w:r>
      <w:bookmarkEnd w:id="28"/>
    </w:p>
    <w:p w14:paraId="35626471" w14:textId="77777777" w:rsidR="00095328" w:rsidRDefault="001727A2" w:rsidP="00095328">
      <w:r w:rsidRPr="001727A2">
        <w:t>Security governance framework will be aligned to the global data protection legislations including EU General Data Protection Regulation (GDPR) and industry-specific legislations. Adherence to them will guarantee compliance with law, rights of the data subject and accountability. The policies will also concern sector-specific policies like healthcare policies or financial policies, as well as intellectual property protection</w:t>
      </w:r>
      <w:r w:rsidR="0019684F">
        <w:t xml:space="preserve"> </w:t>
      </w:r>
      <w:r w:rsidR="0019684F" w:rsidRPr="0019684F">
        <w:t>(Poddar and Rao, 2024)</w:t>
      </w:r>
      <w:r w:rsidRPr="001727A2">
        <w:t>. Regular monitoring, audit, record of processing registers and audit trail will be considered to ensure complia</w:t>
      </w:r>
      <w:r w:rsidR="003C4E6A">
        <w:t>nce</w:t>
      </w:r>
      <w:r w:rsidRPr="001727A2">
        <w:t>.</w:t>
      </w:r>
    </w:p>
    <w:p w14:paraId="1AB42369" w14:textId="77777777" w:rsidR="001727A2" w:rsidRDefault="001727A2" w:rsidP="001727A2">
      <w:pPr>
        <w:pStyle w:val="Caption"/>
        <w:keepNext/>
        <w:jc w:val="center"/>
      </w:pPr>
      <w:bookmarkStart w:id="29" w:name="_Toc216261736"/>
      <w:r>
        <w:t xml:space="preserve">Table </w:t>
      </w:r>
      <w:fldSimple w:instr=" SEQ Table \* ARABIC ">
        <w:r w:rsidR="00487686">
          <w:rPr>
            <w:noProof/>
          </w:rPr>
          <w:t>9</w:t>
        </w:r>
      </w:fldSimple>
      <w:r>
        <w:t>: Key Compliance Areas and Their Focus</w:t>
      </w:r>
      <w:bookmarkEnd w:id="29"/>
    </w:p>
    <w:tbl>
      <w:tblPr>
        <w:tblStyle w:val="GridTable4-Accent11"/>
        <w:tblW w:w="0" w:type="auto"/>
        <w:jc w:val="center"/>
        <w:tblLook w:val="04A0" w:firstRow="1" w:lastRow="0" w:firstColumn="1" w:lastColumn="0" w:noHBand="0" w:noVBand="1"/>
      </w:tblPr>
      <w:tblGrid>
        <w:gridCol w:w="2384"/>
        <w:gridCol w:w="4589"/>
      </w:tblGrid>
      <w:tr w:rsidR="001727A2" w:rsidRPr="001727A2" w14:paraId="311F2DB2" w14:textId="77777777" w:rsidTr="00172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BF3D41" w14:textId="77777777" w:rsidR="001727A2" w:rsidRPr="001727A2" w:rsidRDefault="001727A2" w:rsidP="001727A2">
            <w:pPr>
              <w:rPr>
                <w:kern w:val="0"/>
                <w:lang w:val="en-US" w:bidi="ar-SA"/>
              </w:rPr>
            </w:pPr>
            <w:r w:rsidRPr="001727A2">
              <w:rPr>
                <w:kern w:val="0"/>
                <w:lang w:val="en-US" w:bidi="ar-SA"/>
              </w:rPr>
              <w:t>Area</w:t>
            </w:r>
          </w:p>
        </w:tc>
        <w:tc>
          <w:tcPr>
            <w:tcW w:w="0" w:type="auto"/>
            <w:hideMark/>
          </w:tcPr>
          <w:p w14:paraId="429D8C61" w14:textId="77777777" w:rsidR="001727A2" w:rsidRPr="001727A2" w:rsidRDefault="001727A2" w:rsidP="001727A2">
            <w:pPr>
              <w:cnfStyle w:val="100000000000" w:firstRow="1"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Compliance Focus</w:t>
            </w:r>
          </w:p>
        </w:tc>
      </w:tr>
      <w:tr w:rsidR="001727A2" w:rsidRPr="001727A2" w14:paraId="256467F3" w14:textId="77777777" w:rsidTr="00172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28D1F2" w14:textId="77777777" w:rsidR="001727A2" w:rsidRPr="001727A2" w:rsidRDefault="001727A2" w:rsidP="001727A2">
            <w:pPr>
              <w:rPr>
                <w:kern w:val="0"/>
                <w:lang w:val="en-US" w:bidi="ar-SA"/>
              </w:rPr>
            </w:pPr>
            <w:r w:rsidRPr="001727A2">
              <w:rPr>
                <w:kern w:val="0"/>
                <w:lang w:val="en-US" w:bidi="ar-SA"/>
              </w:rPr>
              <w:t>Data Protection</w:t>
            </w:r>
          </w:p>
        </w:tc>
        <w:tc>
          <w:tcPr>
            <w:tcW w:w="0" w:type="auto"/>
            <w:hideMark/>
          </w:tcPr>
          <w:p w14:paraId="7D0AE0F1"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GDPR, local privacy laws, data subject rights</w:t>
            </w:r>
          </w:p>
        </w:tc>
      </w:tr>
      <w:tr w:rsidR="001727A2" w:rsidRPr="001727A2" w14:paraId="05B64D5E" w14:textId="77777777" w:rsidTr="001727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F4AC6C" w14:textId="77777777" w:rsidR="001727A2" w:rsidRPr="001727A2" w:rsidRDefault="001727A2" w:rsidP="001727A2">
            <w:pPr>
              <w:rPr>
                <w:kern w:val="0"/>
                <w:lang w:val="en-US" w:bidi="ar-SA"/>
              </w:rPr>
            </w:pPr>
            <w:r w:rsidRPr="001727A2">
              <w:rPr>
                <w:kern w:val="0"/>
                <w:lang w:val="en-US" w:bidi="ar-SA"/>
              </w:rPr>
              <w:t>Industry Regulations</w:t>
            </w:r>
          </w:p>
        </w:tc>
        <w:tc>
          <w:tcPr>
            <w:tcW w:w="0" w:type="auto"/>
            <w:hideMark/>
          </w:tcPr>
          <w:p w14:paraId="2087683A" w14:textId="77777777" w:rsidR="001727A2" w:rsidRPr="001727A2" w:rsidRDefault="001727A2" w:rsidP="001727A2">
            <w:pPr>
              <w:cnfStyle w:val="000000000000" w:firstRow="0"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Sector-specific security and privacy rules</w:t>
            </w:r>
          </w:p>
        </w:tc>
      </w:tr>
      <w:tr w:rsidR="001727A2" w:rsidRPr="001727A2" w14:paraId="317EB326" w14:textId="77777777" w:rsidTr="00172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2CFE3" w14:textId="77777777" w:rsidR="001727A2" w:rsidRPr="001727A2" w:rsidRDefault="001727A2" w:rsidP="001727A2">
            <w:pPr>
              <w:rPr>
                <w:kern w:val="0"/>
                <w:lang w:val="en-US" w:bidi="ar-SA"/>
              </w:rPr>
            </w:pPr>
            <w:r w:rsidRPr="001727A2">
              <w:rPr>
                <w:kern w:val="0"/>
                <w:lang w:val="en-US" w:bidi="ar-SA"/>
              </w:rPr>
              <w:t>Intellectual Property</w:t>
            </w:r>
          </w:p>
        </w:tc>
        <w:tc>
          <w:tcPr>
            <w:tcW w:w="0" w:type="auto"/>
            <w:hideMark/>
          </w:tcPr>
          <w:p w14:paraId="75AE0EE7"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Protection of IP assets and licensing</w:t>
            </w:r>
          </w:p>
        </w:tc>
      </w:tr>
      <w:tr w:rsidR="001727A2" w:rsidRPr="001727A2" w14:paraId="6598B959" w14:textId="77777777" w:rsidTr="001727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AB7CC3" w14:textId="77777777" w:rsidR="001727A2" w:rsidRPr="001727A2" w:rsidRDefault="001727A2" w:rsidP="001727A2">
            <w:pPr>
              <w:rPr>
                <w:kern w:val="0"/>
                <w:lang w:val="en-US" w:bidi="ar-SA"/>
              </w:rPr>
            </w:pPr>
            <w:r w:rsidRPr="001727A2">
              <w:rPr>
                <w:kern w:val="0"/>
                <w:lang w:val="en-US" w:bidi="ar-SA"/>
              </w:rPr>
              <w:t>Monitoring &amp; Audit</w:t>
            </w:r>
          </w:p>
        </w:tc>
        <w:tc>
          <w:tcPr>
            <w:tcW w:w="0" w:type="auto"/>
            <w:hideMark/>
          </w:tcPr>
          <w:p w14:paraId="21DE3B61" w14:textId="77777777" w:rsidR="001727A2" w:rsidRPr="001727A2" w:rsidRDefault="001727A2" w:rsidP="001727A2">
            <w:pPr>
              <w:cnfStyle w:val="000000000000" w:firstRow="0"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Logs, registers, periodic audits, assessments</w:t>
            </w:r>
          </w:p>
        </w:tc>
      </w:tr>
    </w:tbl>
    <w:p w14:paraId="2F0B859E" w14:textId="77777777" w:rsidR="00095328" w:rsidRDefault="00095328" w:rsidP="00095328"/>
    <w:p w14:paraId="6811C2A8" w14:textId="77777777" w:rsidR="00095328" w:rsidRDefault="00095328" w:rsidP="00095328">
      <w:pPr>
        <w:pStyle w:val="Heading2"/>
      </w:pPr>
      <w:bookmarkStart w:id="30" w:name="_Toc216261766"/>
      <w:r>
        <w:t>3</w:t>
      </w:r>
      <w:r w:rsidRPr="00095328">
        <w:t>.7 Protection Mechanisms</w:t>
      </w:r>
      <w:bookmarkEnd w:id="30"/>
    </w:p>
    <w:p w14:paraId="0C659315" w14:textId="77777777" w:rsidR="00970AD8" w:rsidRDefault="001727A2" w:rsidP="00970AD8">
      <w:r w:rsidRPr="001727A2">
        <w:t xml:space="preserve">These protection mechanisms will consist of technical, administrative and physical controls that will enable the protection of the confidentiality, integrity and availability of the information assets of </w:t>
      </w:r>
      <w:proofErr w:type="spellStart"/>
      <w:r w:rsidRPr="001727A2">
        <w:t>NatureGreen</w:t>
      </w:r>
      <w:proofErr w:type="spellEnd"/>
      <w:r w:rsidRPr="001727A2">
        <w:t xml:space="preserve">. At the network, protocols such as WPA3 and 802.1X will protect the access of the wireless network. Anti-malware tools, firewalls and mobile device management (MDM) will be used to protect endpoints. Risks will be reduced and security </w:t>
      </w:r>
      <w:r w:rsidRPr="001727A2">
        <w:lastRenderedPageBreak/>
        <w:t>will be strengthened with the help of strong identity management, Cloud Access Security Brokers (CASB), and Zero Trust Architecture in the cloud.</w:t>
      </w:r>
    </w:p>
    <w:p w14:paraId="2FC83D42" w14:textId="77777777" w:rsidR="00970AD8" w:rsidRDefault="00970AD8" w:rsidP="00970AD8"/>
    <w:p w14:paraId="2FE2E265" w14:textId="77777777" w:rsidR="00970AD8" w:rsidRDefault="00970AD8" w:rsidP="00B408C7">
      <w:pPr>
        <w:pStyle w:val="Heading2"/>
      </w:pPr>
      <w:bookmarkStart w:id="31" w:name="_Toc216261767"/>
      <w:r>
        <w:t>3</w:t>
      </w:r>
      <w:r w:rsidRPr="00970AD8">
        <w:t>.8 Contingency and Business Continuity Planning</w:t>
      </w:r>
      <w:bookmarkEnd w:id="31"/>
    </w:p>
    <w:p w14:paraId="2E14193B" w14:textId="77777777" w:rsidR="00651E8E" w:rsidRDefault="001727A2" w:rsidP="00EC29D1">
      <w:r w:rsidRPr="001727A2">
        <w:t>Business continuity planning has the effect of ensuring that the important services are resilient and can recover well in case of disruptions like cyber attack or destruction of the infrastructure. The plan will consist of explicit recovery objectives, incident recovery plans, backup plans, and rules on crisis communication.</w:t>
      </w:r>
    </w:p>
    <w:p w14:paraId="5418AC6C" w14:textId="77777777" w:rsidR="001727A2" w:rsidRDefault="001727A2" w:rsidP="001727A2">
      <w:pPr>
        <w:pStyle w:val="Caption"/>
        <w:keepNext/>
        <w:jc w:val="center"/>
      </w:pPr>
      <w:bookmarkStart w:id="32" w:name="_Toc216261737"/>
      <w:r>
        <w:t xml:space="preserve">Table </w:t>
      </w:r>
      <w:fldSimple w:instr=" SEQ Table \* ARABIC ">
        <w:r w:rsidR="00487686">
          <w:rPr>
            <w:noProof/>
          </w:rPr>
          <w:t>10</w:t>
        </w:r>
      </w:fldSimple>
      <w:r>
        <w:t xml:space="preserve">: Core </w:t>
      </w:r>
      <w:r w:rsidRPr="00162EE6">
        <w:t>Components of Business Continuity Planning</w:t>
      </w:r>
      <w:bookmarkEnd w:id="32"/>
    </w:p>
    <w:tbl>
      <w:tblPr>
        <w:tblStyle w:val="GridTable4-Accent11"/>
        <w:tblW w:w="0" w:type="auto"/>
        <w:jc w:val="center"/>
        <w:tblLook w:val="04A0" w:firstRow="1" w:lastRow="0" w:firstColumn="1" w:lastColumn="0" w:noHBand="0" w:noVBand="1"/>
      </w:tblPr>
      <w:tblGrid>
        <w:gridCol w:w="3002"/>
        <w:gridCol w:w="5048"/>
      </w:tblGrid>
      <w:tr w:rsidR="001727A2" w:rsidRPr="001727A2" w14:paraId="1769B504" w14:textId="77777777" w:rsidTr="00172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9B89B8" w14:textId="77777777" w:rsidR="001727A2" w:rsidRPr="001727A2" w:rsidRDefault="001727A2" w:rsidP="001727A2">
            <w:pPr>
              <w:rPr>
                <w:kern w:val="0"/>
                <w:lang w:val="en-US" w:bidi="ar-SA"/>
              </w:rPr>
            </w:pPr>
            <w:r w:rsidRPr="001727A2">
              <w:rPr>
                <w:kern w:val="0"/>
                <w:lang w:val="en-US" w:bidi="ar-SA"/>
              </w:rPr>
              <w:t>Element</w:t>
            </w:r>
          </w:p>
        </w:tc>
        <w:tc>
          <w:tcPr>
            <w:tcW w:w="0" w:type="auto"/>
            <w:hideMark/>
          </w:tcPr>
          <w:p w14:paraId="56FF338E" w14:textId="77777777" w:rsidR="001727A2" w:rsidRPr="001727A2" w:rsidRDefault="001727A2" w:rsidP="001727A2">
            <w:pPr>
              <w:cnfStyle w:val="100000000000" w:firstRow="1"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Key Focus</w:t>
            </w:r>
          </w:p>
        </w:tc>
      </w:tr>
      <w:tr w:rsidR="001727A2" w:rsidRPr="001727A2" w14:paraId="6EBE4FCB" w14:textId="77777777" w:rsidTr="00172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52198B" w14:textId="77777777" w:rsidR="001727A2" w:rsidRPr="001727A2" w:rsidRDefault="001727A2" w:rsidP="001727A2">
            <w:pPr>
              <w:rPr>
                <w:kern w:val="0"/>
                <w:lang w:val="en-US" w:bidi="ar-SA"/>
              </w:rPr>
            </w:pPr>
            <w:r w:rsidRPr="001727A2">
              <w:rPr>
                <w:kern w:val="0"/>
                <w:lang w:val="en-US" w:bidi="ar-SA"/>
              </w:rPr>
              <w:t>Disaster Recovery Strategy</w:t>
            </w:r>
          </w:p>
        </w:tc>
        <w:tc>
          <w:tcPr>
            <w:tcW w:w="0" w:type="auto"/>
            <w:hideMark/>
          </w:tcPr>
          <w:p w14:paraId="61AAC116"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Recovery time, recovery point, alternate sites</w:t>
            </w:r>
          </w:p>
        </w:tc>
      </w:tr>
      <w:tr w:rsidR="001727A2" w:rsidRPr="001727A2" w14:paraId="703F04B5" w14:textId="77777777" w:rsidTr="001727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800AE" w14:textId="77777777" w:rsidR="001727A2" w:rsidRPr="001727A2" w:rsidRDefault="001727A2" w:rsidP="001727A2">
            <w:pPr>
              <w:rPr>
                <w:kern w:val="0"/>
                <w:lang w:val="en-US" w:bidi="ar-SA"/>
              </w:rPr>
            </w:pPr>
            <w:r w:rsidRPr="001727A2">
              <w:rPr>
                <w:kern w:val="0"/>
                <w:lang w:val="en-US" w:bidi="ar-SA"/>
              </w:rPr>
              <w:t>Incident Response Plan</w:t>
            </w:r>
          </w:p>
        </w:tc>
        <w:tc>
          <w:tcPr>
            <w:tcW w:w="0" w:type="auto"/>
            <w:hideMark/>
          </w:tcPr>
          <w:p w14:paraId="4C0ED645" w14:textId="77777777" w:rsidR="001727A2" w:rsidRPr="001727A2" w:rsidRDefault="001727A2" w:rsidP="001727A2">
            <w:pPr>
              <w:cnfStyle w:val="000000000000" w:firstRow="0"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Roles, triage, containment, eradication, lessons</w:t>
            </w:r>
          </w:p>
        </w:tc>
      </w:tr>
      <w:tr w:rsidR="001727A2" w:rsidRPr="001727A2" w14:paraId="3B073102" w14:textId="77777777" w:rsidTr="00172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A48652" w14:textId="77777777" w:rsidR="001727A2" w:rsidRPr="001727A2" w:rsidRDefault="001727A2" w:rsidP="001727A2">
            <w:pPr>
              <w:rPr>
                <w:kern w:val="0"/>
                <w:lang w:val="en-US" w:bidi="ar-SA"/>
              </w:rPr>
            </w:pPr>
            <w:r w:rsidRPr="001727A2">
              <w:rPr>
                <w:kern w:val="0"/>
                <w:lang w:val="en-US" w:bidi="ar-SA"/>
              </w:rPr>
              <w:t>Backup and Recovery</w:t>
            </w:r>
          </w:p>
        </w:tc>
        <w:tc>
          <w:tcPr>
            <w:tcW w:w="0" w:type="auto"/>
            <w:hideMark/>
          </w:tcPr>
          <w:p w14:paraId="0EC1C74B"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Regular backups, secure storage, restoration tests</w:t>
            </w:r>
          </w:p>
        </w:tc>
      </w:tr>
      <w:tr w:rsidR="001727A2" w:rsidRPr="001727A2" w14:paraId="31D42138" w14:textId="77777777" w:rsidTr="001727A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EFEC60" w14:textId="77777777" w:rsidR="001727A2" w:rsidRPr="001727A2" w:rsidRDefault="001727A2" w:rsidP="001727A2">
            <w:pPr>
              <w:rPr>
                <w:kern w:val="0"/>
                <w:lang w:val="en-US" w:bidi="ar-SA"/>
              </w:rPr>
            </w:pPr>
            <w:r w:rsidRPr="001727A2">
              <w:rPr>
                <w:kern w:val="0"/>
                <w:lang w:val="en-US" w:bidi="ar-SA"/>
              </w:rPr>
              <w:t>Crisis Communication</w:t>
            </w:r>
          </w:p>
        </w:tc>
        <w:tc>
          <w:tcPr>
            <w:tcW w:w="0" w:type="auto"/>
            <w:hideMark/>
          </w:tcPr>
          <w:p w14:paraId="184BDFC4" w14:textId="77777777" w:rsidR="001727A2" w:rsidRPr="001727A2" w:rsidRDefault="001727A2" w:rsidP="001727A2">
            <w:pPr>
              <w:cnfStyle w:val="000000000000" w:firstRow="0"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Notification trees, clear messages, media handling</w:t>
            </w:r>
          </w:p>
        </w:tc>
      </w:tr>
    </w:tbl>
    <w:p w14:paraId="320B31F8" w14:textId="77777777" w:rsidR="00EC29D1" w:rsidRDefault="00EC29D1" w:rsidP="00EC29D1"/>
    <w:p w14:paraId="7288BBA6" w14:textId="77777777" w:rsidR="00EC29D1" w:rsidRDefault="00EC29D1" w:rsidP="00EC29D1">
      <w:pPr>
        <w:pStyle w:val="Heading2"/>
      </w:pPr>
      <w:bookmarkStart w:id="33" w:name="_Toc216261768"/>
      <w:r>
        <w:t>3</w:t>
      </w:r>
      <w:r w:rsidRPr="00EC29D1">
        <w:t>.9 Service Level Agreements (SLAs)</w:t>
      </w:r>
      <w:bookmarkEnd w:id="33"/>
    </w:p>
    <w:p w14:paraId="0293D73B" w14:textId="77777777" w:rsidR="00BB7324" w:rsidRDefault="001727A2" w:rsidP="00BB7324">
      <w:r w:rsidRPr="001727A2">
        <w:t>Service Level Agreements (SLA) will establish performance and recovery goals such as uptime, response time and backup schedules to establish adherence to continuity and disaster recovery goals.</w:t>
      </w:r>
    </w:p>
    <w:p w14:paraId="7CB492B9" w14:textId="77777777" w:rsidR="00BB7324" w:rsidRDefault="00BB7324" w:rsidP="00602F38">
      <w:pPr>
        <w:pStyle w:val="Heading1"/>
      </w:pPr>
      <w:bookmarkStart w:id="34" w:name="_Toc216261769"/>
      <w:r>
        <w:t>4</w:t>
      </w:r>
      <w:r w:rsidRPr="00BB7324">
        <w:t>. Critical Analysis</w:t>
      </w:r>
      <w:bookmarkEnd w:id="34"/>
    </w:p>
    <w:p w14:paraId="366DCE6D" w14:textId="77777777" w:rsidR="00BC41DE" w:rsidRDefault="0032718A" w:rsidP="0032718A">
      <w:pPr>
        <w:pStyle w:val="Heading2"/>
      </w:pPr>
      <w:bookmarkStart w:id="35" w:name="_Toc216261770"/>
      <w:r>
        <w:t>4</w:t>
      </w:r>
      <w:r w:rsidRPr="0032718A">
        <w:t>.1 The Dynamic Nature of Cybersecurity Threats</w:t>
      </w:r>
      <w:bookmarkEnd w:id="35"/>
    </w:p>
    <w:p w14:paraId="2D9508E3" w14:textId="77777777" w:rsidR="00F54165" w:rsidRDefault="001727A2" w:rsidP="00F54165">
      <w:r w:rsidRPr="001727A2">
        <w:t>The threat landscape of cybersecurity is ever evolving, as classic malware is becoming more advanced such as sophisticated ransomware attacks, long-term attacks, Advanced Persistent Threats (APTs) and fast-moving zero-day attacks which affect different platforms. Organizations unintentionally introduce new vectors of attack, in the event they combine technologies like Internet of Things (IoT) devices, cloud service providers, and mobile ecosystems. Poor configurations and poor device security increase the attack surface, and make systems more susceptible to large and distributed threats</w:t>
      </w:r>
      <w:r w:rsidR="00DB0508">
        <w:t xml:space="preserve"> </w:t>
      </w:r>
      <w:r w:rsidR="00DB0508" w:rsidRPr="0019684F">
        <w:t>(Lukman Raimi, 2023)</w:t>
      </w:r>
      <w:r w:rsidRPr="001727A2">
        <w:t xml:space="preserve">. The recent instances of IoT botnets, APT attacks and ransomware attacks on cloud servers point to the sophistication of cyberattacks. Lateral movement, privilege escalation, and data </w:t>
      </w:r>
      <w:r w:rsidRPr="001727A2">
        <w:lastRenderedPageBreak/>
        <w:t>exfiltration tend to be some of the most common attackers strategies, which require consistent monitoring and adaptation to some of these emerging threats to rema</w:t>
      </w:r>
      <w:r w:rsidR="003C4E6A">
        <w:t>in resilient</w:t>
      </w:r>
      <w:r w:rsidRPr="001727A2">
        <w:t>.</w:t>
      </w:r>
    </w:p>
    <w:p w14:paraId="4982A569" w14:textId="77777777" w:rsidR="00714D7F" w:rsidRDefault="00714D7F" w:rsidP="00F54165"/>
    <w:p w14:paraId="341088C8" w14:textId="77777777" w:rsidR="00F54165" w:rsidRDefault="00BC524B" w:rsidP="00BC524B">
      <w:pPr>
        <w:pStyle w:val="Heading2"/>
      </w:pPr>
      <w:bookmarkStart w:id="36" w:name="_Toc216261771"/>
      <w:r>
        <w:t>4</w:t>
      </w:r>
      <w:r w:rsidRPr="00BC524B">
        <w:t>.2 Technological Advancement and Regulatory Adaptation</w:t>
      </w:r>
      <w:bookmarkEnd w:id="36"/>
    </w:p>
    <w:p w14:paraId="795C401D" w14:textId="77777777" w:rsidR="00456F18" w:rsidRDefault="001727A2" w:rsidP="00456F18">
      <w:r w:rsidRPr="001727A2">
        <w:t>The fast digital transformation, which has occurred due to the innovations in the field of cloud computing, is changing the nature of business models and operational environment. Technological changes, however, are rapidly moving faster than the regulatory policies that are meant to control them, especially when it comes to such aspects of technology as artificial intelligence (AI) and cross-border cloud services. Such a lack of regulation brings about uncertainty and challenges in compliance and hence business can only operate using the old, fixed regulatory methods. Consequently, it is growing in support of more malleable, and risk-based compliance frameworks, including ongoing cloud compliance audits and AI-based controls. The models allow organizations to monitor technological architecture and data processing changes in close real-time and keep pace with changing regu</w:t>
      </w:r>
      <w:r w:rsidR="003C4E6A">
        <w:t>latory needs</w:t>
      </w:r>
      <w:r w:rsidRPr="001727A2">
        <w:t>.</w:t>
      </w:r>
    </w:p>
    <w:p w14:paraId="6314821B" w14:textId="77777777" w:rsidR="001727A2" w:rsidRDefault="001727A2" w:rsidP="001727A2">
      <w:pPr>
        <w:pStyle w:val="Caption"/>
        <w:keepNext/>
        <w:jc w:val="center"/>
      </w:pPr>
      <w:bookmarkStart w:id="37" w:name="_Toc216261738"/>
      <w:r>
        <w:t xml:space="preserve">Table </w:t>
      </w:r>
      <w:fldSimple w:instr=" SEQ Table \* ARABIC ">
        <w:r w:rsidR="00487686">
          <w:rPr>
            <w:noProof/>
          </w:rPr>
          <w:t>11</w:t>
        </w:r>
      </w:fldSimple>
      <w:r>
        <w:t xml:space="preserve">: </w:t>
      </w:r>
      <w:r w:rsidRPr="004D41BB">
        <w:t>Regulatory needs driven by emerging technologies</w:t>
      </w:r>
      <w:bookmarkEnd w:id="37"/>
    </w:p>
    <w:tbl>
      <w:tblPr>
        <w:tblStyle w:val="GridTable4-Accent11"/>
        <w:tblW w:w="0" w:type="auto"/>
        <w:tblLook w:val="04A0" w:firstRow="1" w:lastRow="0" w:firstColumn="1" w:lastColumn="0" w:noHBand="0" w:noVBand="1"/>
      </w:tblPr>
      <w:tblGrid>
        <w:gridCol w:w="2074"/>
        <w:gridCol w:w="3047"/>
        <w:gridCol w:w="4121"/>
      </w:tblGrid>
      <w:tr w:rsidR="001727A2" w:rsidRPr="001727A2" w14:paraId="2D474AC4" w14:textId="77777777" w:rsidTr="00172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D04377" w14:textId="77777777" w:rsidR="001727A2" w:rsidRPr="001727A2" w:rsidRDefault="001727A2" w:rsidP="001727A2">
            <w:pPr>
              <w:rPr>
                <w:kern w:val="0"/>
                <w:lang w:val="en-US" w:bidi="ar-SA"/>
              </w:rPr>
            </w:pPr>
            <w:r w:rsidRPr="001727A2">
              <w:rPr>
                <w:kern w:val="0"/>
                <w:lang w:val="en-US" w:bidi="ar-SA"/>
              </w:rPr>
              <w:t>Dimension</w:t>
            </w:r>
          </w:p>
        </w:tc>
        <w:tc>
          <w:tcPr>
            <w:tcW w:w="0" w:type="auto"/>
            <w:hideMark/>
          </w:tcPr>
          <w:p w14:paraId="64B8F728" w14:textId="77777777" w:rsidR="001727A2" w:rsidRPr="001727A2" w:rsidRDefault="001727A2" w:rsidP="001727A2">
            <w:pPr>
              <w:cnfStyle w:val="100000000000" w:firstRow="1"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Technological Trend</w:t>
            </w:r>
          </w:p>
        </w:tc>
        <w:tc>
          <w:tcPr>
            <w:tcW w:w="0" w:type="auto"/>
            <w:hideMark/>
          </w:tcPr>
          <w:p w14:paraId="26EEABF3" w14:textId="77777777" w:rsidR="001727A2" w:rsidRPr="001727A2" w:rsidRDefault="001727A2" w:rsidP="001727A2">
            <w:pPr>
              <w:cnfStyle w:val="100000000000" w:firstRow="1"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Regulatory Response Need</w:t>
            </w:r>
          </w:p>
        </w:tc>
      </w:tr>
      <w:tr w:rsidR="001727A2" w:rsidRPr="001727A2" w14:paraId="290BE145" w14:textId="77777777" w:rsidTr="00172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C119A" w14:textId="77777777" w:rsidR="001727A2" w:rsidRPr="001727A2" w:rsidRDefault="001727A2" w:rsidP="001727A2">
            <w:pPr>
              <w:rPr>
                <w:kern w:val="0"/>
                <w:lang w:val="en-US" w:bidi="ar-SA"/>
              </w:rPr>
            </w:pPr>
            <w:r w:rsidRPr="001727A2">
              <w:rPr>
                <w:kern w:val="0"/>
                <w:lang w:val="en-US" w:bidi="ar-SA"/>
              </w:rPr>
              <w:t>Cloud Services</w:t>
            </w:r>
          </w:p>
        </w:tc>
        <w:tc>
          <w:tcPr>
            <w:tcW w:w="0" w:type="auto"/>
            <w:hideMark/>
          </w:tcPr>
          <w:p w14:paraId="210C16F7"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On-demand, global data processing</w:t>
            </w:r>
          </w:p>
        </w:tc>
        <w:tc>
          <w:tcPr>
            <w:tcW w:w="0" w:type="auto"/>
            <w:hideMark/>
          </w:tcPr>
          <w:p w14:paraId="67D9C949"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Cross-border data, security, and privacy regulations</w:t>
            </w:r>
          </w:p>
        </w:tc>
      </w:tr>
      <w:tr w:rsidR="001727A2" w:rsidRPr="001727A2" w14:paraId="4D0FADFF" w14:textId="77777777" w:rsidTr="001727A2">
        <w:tc>
          <w:tcPr>
            <w:cnfStyle w:val="001000000000" w:firstRow="0" w:lastRow="0" w:firstColumn="1" w:lastColumn="0" w:oddVBand="0" w:evenVBand="0" w:oddHBand="0" w:evenHBand="0" w:firstRowFirstColumn="0" w:firstRowLastColumn="0" w:lastRowFirstColumn="0" w:lastRowLastColumn="0"/>
            <w:tcW w:w="0" w:type="auto"/>
            <w:hideMark/>
          </w:tcPr>
          <w:p w14:paraId="47CDCF2F" w14:textId="77777777" w:rsidR="001727A2" w:rsidRPr="001727A2" w:rsidRDefault="001727A2" w:rsidP="001727A2">
            <w:pPr>
              <w:rPr>
                <w:kern w:val="0"/>
                <w:lang w:val="en-US" w:bidi="ar-SA"/>
              </w:rPr>
            </w:pPr>
            <w:r w:rsidRPr="001727A2">
              <w:rPr>
                <w:kern w:val="0"/>
                <w:lang w:val="en-US" w:bidi="ar-SA"/>
              </w:rPr>
              <w:t>AI and Automation</w:t>
            </w:r>
          </w:p>
        </w:tc>
        <w:tc>
          <w:tcPr>
            <w:tcW w:w="0" w:type="auto"/>
            <w:hideMark/>
          </w:tcPr>
          <w:p w14:paraId="3D9223FA" w14:textId="77777777" w:rsidR="001727A2" w:rsidRPr="001727A2" w:rsidRDefault="001727A2" w:rsidP="001727A2">
            <w:pPr>
              <w:cnfStyle w:val="000000000000" w:firstRow="0"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Adaptive, opaque decision systems</w:t>
            </w:r>
          </w:p>
        </w:tc>
        <w:tc>
          <w:tcPr>
            <w:tcW w:w="0" w:type="auto"/>
            <w:hideMark/>
          </w:tcPr>
          <w:p w14:paraId="2A7B08DC" w14:textId="77777777" w:rsidR="001727A2" w:rsidRPr="001727A2" w:rsidRDefault="001727A2" w:rsidP="001727A2">
            <w:pPr>
              <w:cnfStyle w:val="000000000000" w:firstRow="0" w:lastRow="0" w:firstColumn="0" w:lastColumn="0" w:oddVBand="0" w:evenVBand="0" w:oddHBand="0" w:evenHBand="0" w:firstRowFirstColumn="0" w:firstRowLastColumn="0" w:lastRowFirstColumn="0" w:lastRowLastColumn="0"/>
              <w:rPr>
                <w:kern w:val="0"/>
                <w:lang w:val="en-US" w:bidi="ar-SA"/>
              </w:rPr>
            </w:pPr>
            <w:r w:rsidRPr="001727A2">
              <w:rPr>
                <w:kern w:val="0"/>
                <w:lang w:val="en-US" w:bidi="ar-SA"/>
              </w:rPr>
              <w:t>Auditability, transparency, and oversight</w:t>
            </w:r>
          </w:p>
        </w:tc>
      </w:tr>
      <w:tr w:rsidR="001727A2" w:rsidRPr="001727A2" w14:paraId="2F2456F7" w14:textId="77777777" w:rsidTr="00172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2F3D0" w14:textId="77777777" w:rsidR="001727A2" w:rsidRPr="001727A2" w:rsidRDefault="001727A2" w:rsidP="001727A2">
            <w:pPr>
              <w:rPr>
                <w:kern w:val="0"/>
                <w:lang w:val="en-US" w:bidi="ar-SA"/>
              </w:rPr>
            </w:pPr>
            <w:r w:rsidRPr="001727A2">
              <w:rPr>
                <w:kern w:val="0"/>
                <w:lang w:val="en-US" w:bidi="ar-SA"/>
              </w:rPr>
              <w:t>Continuous Delivery</w:t>
            </w:r>
          </w:p>
        </w:tc>
        <w:tc>
          <w:tcPr>
            <w:tcW w:w="0" w:type="auto"/>
            <w:hideMark/>
          </w:tcPr>
          <w:p w14:paraId="39A06D25"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Rapid system changes</w:t>
            </w:r>
          </w:p>
        </w:tc>
        <w:tc>
          <w:tcPr>
            <w:tcW w:w="0" w:type="auto"/>
            <w:hideMark/>
          </w:tcPr>
          <w:p w14:paraId="5A880493" w14:textId="77777777" w:rsidR="001727A2" w:rsidRPr="001727A2" w:rsidRDefault="001727A2" w:rsidP="001727A2">
            <w:pPr>
              <w:cnfStyle w:val="000000100000" w:firstRow="0" w:lastRow="0" w:firstColumn="0" w:lastColumn="0" w:oddVBand="0" w:evenVBand="0" w:oddHBand="1" w:evenHBand="0" w:firstRowFirstColumn="0" w:firstRowLastColumn="0" w:lastRowFirstColumn="0" w:lastRowLastColumn="0"/>
              <w:rPr>
                <w:kern w:val="0"/>
                <w:lang w:val="en-US" w:bidi="ar-SA"/>
              </w:rPr>
            </w:pPr>
            <w:r w:rsidRPr="001727A2">
              <w:rPr>
                <w:kern w:val="0"/>
                <w:lang w:val="en-US" w:bidi="ar-SA"/>
              </w:rPr>
              <w:t>Ongoing, automated compliance checks</w:t>
            </w:r>
          </w:p>
        </w:tc>
      </w:tr>
    </w:tbl>
    <w:p w14:paraId="20291A39" w14:textId="77777777" w:rsidR="00456F18" w:rsidRDefault="00456F18" w:rsidP="00456F18"/>
    <w:p w14:paraId="63DFC409" w14:textId="77777777" w:rsidR="00456F18" w:rsidRDefault="00456F18" w:rsidP="006833B2">
      <w:pPr>
        <w:pStyle w:val="Heading2"/>
      </w:pPr>
      <w:bookmarkStart w:id="38" w:name="_Toc216261772"/>
      <w:r>
        <w:t>4</w:t>
      </w:r>
      <w:r w:rsidRPr="00456F18">
        <w:t>.3 Benefits of Regular Updates to Standards</w:t>
      </w:r>
      <w:bookmarkEnd w:id="38"/>
    </w:p>
    <w:p w14:paraId="1A708A7A" w14:textId="77777777" w:rsidR="006833B2" w:rsidRDefault="001727A2" w:rsidP="006833B2">
      <w:r w:rsidRPr="001727A2">
        <w:t>Security standards are also updated frequently to deal with new threats and based on the lessons learnt due to emerging attack techniques and technologies. These updates are useful in ensuring that companies have at least some form of protection against the most recent risks as well as coming up with any security gaps. Constant updates also encourage use of international security practices which help in the interoperability and even security requirement of organizations to meet cross-border security and privacy needs. Moreover, extended standards also lead to the development of trust between the stakeholders since organizations that stay certified or stay compliant are credible</w:t>
      </w:r>
      <w:r w:rsidR="00DB0508">
        <w:t xml:space="preserve"> </w:t>
      </w:r>
      <w:r w:rsidR="00DB0508" w:rsidRPr="0019684F">
        <w:t>(</w:t>
      </w:r>
      <w:proofErr w:type="spellStart"/>
      <w:r w:rsidR="00DB0508" w:rsidRPr="0019684F">
        <w:t>Syadali</w:t>
      </w:r>
      <w:proofErr w:type="spellEnd"/>
      <w:r w:rsidR="00DB0508" w:rsidRPr="0019684F">
        <w:t xml:space="preserve">, </w:t>
      </w:r>
      <w:proofErr w:type="spellStart"/>
      <w:r w:rsidR="00DB0508" w:rsidRPr="0019684F">
        <w:t>Segaf</w:t>
      </w:r>
      <w:proofErr w:type="spellEnd"/>
      <w:r w:rsidR="00DB0508" w:rsidRPr="0019684F">
        <w:t xml:space="preserve"> and </w:t>
      </w:r>
      <w:proofErr w:type="spellStart"/>
      <w:r w:rsidR="00DB0508" w:rsidRPr="0019684F">
        <w:lastRenderedPageBreak/>
        <w:t>Parmujianto</w:t>
      </w:r>
      <w:proofErr w:type="spellEnd"/>
      <w:r w:rsidR="00DB0508" w:rsidRPr="0019684F">
        <w:t>, 2023)</w:t>
      </w:r>
      <w:r w:rsidRPr="001727A2">
        <w:t>. Living by the new security models will lessen the legal and regulatory threats. In a sector where security posture is a major selection factor by the customer, partners and even by the regulator, keeping abreast with the security standards may also serve as a competitive advantage.</w:t>
      </w:r>
    </w:p>
    <w:p w14:paraId="6A7D31CD" w14:textId="77777777" w:rsidR="006833B2" w:rsidRDefault="006833B2" w:rsidP="006833B2"/>
    <w:p w14:paraId="5FEC6A40" w14:textId="77777777" w:rsidR="006833B2" w:rsidRDefault="006833B2" w:rsidP="006833B2">
      <w:pPr>
        <w:pStyle w:val="Heading2"/>
      </w:pPr>
      <w:bookmarkStart w:id="39" w:name="_Toc216261773"/>
      <w:r>
        <w:t>4</w:t>
      </w:r>
      <w:r w:rsidRPr="006833B2">
        <w:t>.4 Challenges and Considerations</w:t>
      </w:r>
      <w:bookmarkEnd w:id="39"/>
    </w:p>
    <w:p w14:paraId="0BB4FEDB" w14:textId="77777777" w:rsidR="009B6D57" w:rsidRDefault="001727A2" w:rsidP="009B6D57">
      <w:r w:rsidRPr="001727A2">
        <w:t>Compliance fatigue, or stress and strain induced by the frequent necessity to comply with overlapping regulations and standards is one of the biggest issues that organizations have to endure. The records and technical changes necessary to remain compliant have to be audited often, which exerts a lot of strain on organizations and the technical personnel. This unceasing drive to meet strict requirements may even slack digital initiatives, frustrate and even postpone important initiatives. It is thus necessary that the top management should create a balance between business agility and security. Good security programs must concentrate on proportional and risk-based controls which will target resources to the greatest urgency in the threats and uncertainty, as opposed to bombarding teams with more compliance requirements than necessary. Prioritization of risks allows the organizations to make the best use of their security efforts and limits the pressure on resources.</w:t>
      </w:r>
    </w:p>
    <w:p w14:paraId="39A1D6B9" w14:textId="77777777" w:rsidR="009B6D57" w:rsidRDefault="009B6D57" w:rsidP="009B6D57"/>
    <w:p w14:paraId="10B755C5" w14:textId="77777777" w:rsidR="009B6D57" w:rsidRDefault="009B6D57" w:rsidP="001421A7">
      <w:pPr>
        <w:pStyle w:val="Heading1"/>
      </w:pPr>
      <w:bookmarkStart w:id="40" w:name="_Toc216261774"/>
      <w:r>
        <w:t>5</w:t>
      </w:r>
      <w:r w:rsidRPr="009B6D57">
        <w:t xml:space="preserve">. Implementation Roadmap for </w:t>
      </w:r>
      <w:proofErr w:type="spellStart"/>
      <w:r w:rsidRPr="009B6D57">
        <w:t>NatureGreen</w:t>
      </w:r>
      <w:bookmarkEnd w:id="40"/>
      <w:proofErr w:type="spellEnd"/>
    </w:p>
    <w:p w14:paraId="646222E2" w14:textId="77777777" w:rsidR="001421A7" w:rsidRDefault="001421A7" w:rsidP="00906E91">
      <w:pPr>
        <w:pStyle w:val="Heading2"/>
      </w:pPr>
      <w:bookmarkStart w:id="41" w:name="_Toc216261775"/>
      <w:r>
        <w:t>5</w:t>
      </w:r>
      <w:r w:rsidRPr="001421A7">
        <w:t>.1 Phased Implementation Approach</w:t>
      </w:r>
      <w:bookmarkEnd w:id="41"/>
    </w:p>
    <w:p w14:paraId="23E11A69" w14:textId="77777777" w:rsidR="001C53FB" w:rsidRDefault="00487686" w:rsidP="001C53FB">
      <w:r w:rsidRPr="00487686">
        <w:t>The implementation plan should be implemented step by step to reduce the risks of the changes, which is in conformity to the best practices of adopting ISO 27001 and security programs. The strategy encompasses the segmentation of the process into phases so that the incremental movement can be manageable.</w:t>
      </w:r>
    </w:p>
    <w:p w14:paraId="0DBEED9D" w14:textId="77777777" w:rsidR="00487686" w:rsidRDefault="00487686" w:rsidP="00487686">
      <w:pPr>
        <w:pStyle w:val="Caption"/>
        <w:keepNext/>
        <w:jc w:val="center"/>
      </w:pPr>
      <w:bookmarkStart w:id="42" w:name="_Toc216261739"/>
      <w:r>
        <w:t xml:space="preserve">Table </w:t>
      </w:r>
      <w:fldSimple w:instr=" SEQ Table \* ARABIC ">
        <w:r>
          <w:rPr>
            <w:noProof/>
          </w:rPr>
          <w:t>12</w:t>
        </w:r>
      </w:fldSimple>
      <w:r>
        <w:t xml:space="preserve">: </w:t>
      </w:r>
      <w:r w:rsidRPr="00113CCE">
        <w:t>Phased roadmap for enhancing security maturity</w:t>
      </w:r>
      <w:bookmarkEnd w:id="42"/>
    </w:p>
    <w:tbl>
      <w:tblPr>
        <w:tblStyle w:val="GridTable4-Accent11"/>
        <w:tblW w:w="0" w:type="auto"/>
        <w:tblLook w:val="04A0" w:firstRow="1" w:lastRow="0" w:firstColumn="1" w:lastColumn="0" w:noHBand="0" w:noVBand="1"/>
      </w:tblPr>
      <w:tblGrid>
        <w:gridCol w:w="1796"/>
        <w:gridCol w:w="7446"/>
      </w:tblGrid>
      <w:tr w:rsidR="00487686" w:rsidRPr="00487686" w14:paraId="34EAFC39" w14:textId="77777777" w:rsidTr="004876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E4DBD" w14:textId="77777777" w:rsidR="00487686" w:rsidRPr="00487686" w:rsidRDefault="00487686" w:rsidP="00487686">
            <w:pPr>
              <w:rPr>
                <w:kern w:val="0"/>
                <w:lang w:val="en-US" w:bidi="ar-SA"/>
              </w:rPr>
            </w:pPr>
            <w:r w:rsidRPr="00487686">
              <w:rPr>
                <w:kern w:val="0"/>
                <w:lang w:val="en-US" w:bidi="ar-SA"/>
              </w:rPr>
              <w:t>Phase &amp; Timeline</w:t>
            </w:r>
          </w:p>
        </w:tc>
        <w:tc>
          <w:tcPr>
            <w:tcW w:w="0" w:type="auto"/>
            <w:hideMark/>
          </w:tcPr>
          <w:p w14:paraId="69E94438" w14:textId="77777777" w:rsidR="00487686" w:rsidRPr="00487686" w:rsidRDefault="00487686" w:rsidP="00487686">
            <w:pPr>
              <w:cnfStyle w:val="100000000000" w:firstRow="1" w:lastRow="0" w:firstColumn="0" w:lastColumn="0" w:oddVBand="0" w:evenVBand="0" w:oddHBand="0" w:evenHBand="0" w:firstRowFirstColumn="0" w:firstRowLastColumn="0" w:lastRowFirstColumn="0" w:lastRowLastColumn="0"/>
              <w:rPr>
                <w:kern w:val="0"/>
                <w:lang w:val="en-US" w:bidi="ar-SA"/>
              </w:rPr>
            </w:pPr>
            <w:r w:rsidRPr="00487686">
              <w:rPr>
                <w:kern w:val="0"/>
                <w:lang w:val="en-US" w:bidi="ar-SA"/>
              </w:rPr>
              <w:t>Key Focus Areas</w:t>
            </w:r>
          </w:p>
        </w:tc>
      </w:tr>
      <w:tr w:rsidR="00487686" w:rsidRPr="00487686" w14:paraId="76A7A9B0" w14:textId="77777777" w:rsidTr="004876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DAF56B" w14:textId="77777777" w:rsidR="00487686" w:rsidRPr="00487686" w:rsidRDefault="00487686" w:rsidP="00487686">
            <w:pPr>
              <w:rPr>
                <w:kern w:val="0"/>
                <w:lang w:val="en-US" w:bidi="ar-SA"/>
              </w:rPr>
            </w:pPr>
            <w:r w:rsidRPr="00487686">
              <w:rPr>
                <w:kern w:val="0"/>
                <w:lang w:val="en-US" w:bidi="ar-SA"/>
              </w:rPr>
              <w:t>Phase 1 (0-6 months)</w:t>
            </w:r>
          </w:p>
        </w:tc>
        <w:tc>
          <w:tcPr>
            <w:tcW w:w="0" w:type="auto"/>
            <w:hideMark/>
          </w:tcPr>
          <w:p w14:paraId="2C05D420" w14:textId="77777777" w:rsidR="00487686" w:rsidRPr="00487686" w:rsidRDefault="00487686" w:rsidP="00487686">
            <w:pPr>
              <w:cnfStyle w:val="000000100000" w:firstRow="0" w:lastRow="0" w:firstColumn="0" w:lastColumn="0" w:oddVBand="0" w:evenVBand="0" w:oddHBand="1" w:evenHBand="0" w:firstRowFirstColumn="0" w:firstRowLastColumn="0" w:lastRowFirstColumn="0" w:lastRowLastColumn="0"/>
              <w:rPr>
                <w:kern w:val="0"/>
                <w:lang w:val="en-US" w:bidi="ar-SA"/>
              </w:rPr>
            </w:pPr>
            <w:r w:rsidRPr="00487686">
              <w:rPr>
                <w:kern w:val="0"/>
                <w:lang w:val="en-US" w:bidi="ar-SA"/>
              </w:rPr>
              <w:t>Establish governing bodies, define roles, develop BYOD and cloud security policies, conduct initial risk analysis</w:t>
            </w:r>
          </w:p>
        </w:tc>
      </w:tr>
      <w:tr w:rsidR="00487686" w:rsidRPr="00487686" w14:paraId="6ED55367" w14:textId="77777777" w:rsidTr="00487686">
        <w:tc>
          <w:tcPr>
            <w:cnfStyle w:val="001000000000" w:firstRow="0" w:lastRow="0" w:firstColumn="1" w:lastColumn="0" w:oddVBand="0" w:evenVBand="0" w:oddHBand="0" w:evenHBand="0" w:firstRowFirstColumn="0" w:firstRowLastColumn="0" w:lastRowFirstColumn="0" w:lastRowLastColumn="0"/>
            <w:tcW w:w="0" w:type="auto"/>
            <w:hideMark/>
          </w:tcPr>
          <w:p w14:paraId="1925AB84" w14:textId="77777777" w:rsidR="00487686" w:rsidRPr="00487686" w:rsidRDefault="00487686" w:rsidP="00487686">
            <w:pPr>
              <w:rPr>
                <w:kern w:val="0"/>
                <w:lang w:val="en-US" w:bidi="ar-SA"/>
              </w:rPr>
            </w:pPr>
            <w:r w:rsidRPr="00487686">
              <w:rPr>
                <w:kern w:val="0"/>
                <w:lang w:val="en-US" w:bidi="ar-SA"/>
              </w:rPr>
              <w:t xml:space="preserve">Phase 2 (6-12 </w:t>
            </w:r>
            <w:r w:rsidRPr="00487686">
              <w:rPr>
                <w:kern w:val="0"/>
                <w:lang w:val="en-US" w:bidi="ar-SA"/>
              </w:rPr>
              <w:lastRenderedPageBreak/>
              <w:t>months)</w:t>
            </w:r>
          </w:p>
        </w:tc>
        <w:tc>
          <w:tcPr>
            <w:tcW w:w="0" w:type="auto"/>
            <w:hideMark/>
          </w:tcPr>
          <w:p w14:paraId="5531B40E" w14:textId="77777777" w:rsidR="00487686" w:rsidRPr="00487686" w:rsidRDefault="00487686" w:rsidP="00487686">
            <w:pPr>
              <w:cnfStyle w:val="000000000000" w:firstRow="0" w:lastRow="0" w:firstColumn="0" w:lastColumn="0" w:oddVBand="0" w:evenVBand="0" w:oddHBand="0" w:evenHBand="0" w:firstRowFirstColumn="0" w:firstRowLastColumn="0" w:lastRowFirstColumn="0" w:lastRowLastColumn="0"/>
              <w:rPr>
                <w:kern w:val="0"/>
                <w:lang w:val="en-US" w:bidi="ar-SA"/>
              </w:rPr>
            </w:pPr>
            <w:r w:rsidRPr="00487686">
              <w:rPr>
                <w:kern w:val="0"/>
                <w:lang w:val="en-US" w:bidi="ar-SA"/>
              </w:rPr>
              <w:lastRenderedPageBreak/>
              <w:t xml:space="preserve">Implement basic controls like MDM, network segmentation, launch </w:t>
            </w:r>
            <w:r w:rsidRPr="00487686">
              <w:rPr>
                <w:kern w:val="0"/>
                <w:lang w:val="en-US" w:bidi="ar-SA"/>
              </w:rPr>
              <w:lastRenderedPageBreak/>
              <w:t>security awareness training, establish incident response protocols</w:t>
            </w:r>
          </w:p>
        </w:tc>
      </w:tr>
      <w:tr w:rsidR="00487686" w:rsidRPr="00487686" w14:paraId="52983C92" w14:textId="77777777" w:rsidTr="004876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ED79DA" w14:textId="77777777" w:rsidR="00487686" w:rsidRPr="00487686" w:rsidRDefault="00487686" w:rsidP="00487686">
            <w:pPr>
              <w:rPr>
                <w:kern w:val="0"/>
                <w:lang w:val="en-US" w:bidi="ar-SA"/>
              </w:rPr>
            </w:pPr>
            <w:r w:rsidRPr="00487686">
              <w:rPr>
                <w:kern w:val="0"/>
                <w:lang w:val="en-US" w:bidi="ar-SA"/>
              </w:rPr>
              <w:lastRenderedPageBreak/>
              <w:t>Phase 3 (12-24 months)</w:t>
            </w:r>
          </w:p>
        </w:tc>
        <w:tc>
          <w:tcPr>
            <w:tcW w:w="0" w:type="auto"/>
            <w:hideMark/>
          </w:tcPr>
          <w:p w14:paraId="1968552C" w14:textId="77777777" w:rsidR="00487686" w:rsidRPr="00487686" w:rsidRDefault="00487686" w:rsidP="00487686">
            <w:pPr>
              <w:cnfStyle w:val="000000100000" w:firstRow="0" w:lastRow="0" w:firstColumn="0" w:lastColumn="0" w:oddVBand="0" w:evenVBand="0" w:oddHBand="1" w:evenHBand="0" w:firstRowFirstColumn="0" w:firstRowLastColumn="0" w:lastRowFirstColumn="0" w:lastRowLastColumn="0"/>
              <w:rPr>
                <w:kern w:val="0"/>
                <w:lang w:val="en-US" w:bidi="ar-SA"/>
              </w:rPr>
            </w:pPr>
            <w:r w:rsidRPr="00487686">
              <w:rPr>
                <w:kern w:val="0"/>
                <w:lang w:val="en-US" w:bidi="ar-SA"/>
              </w:rPr>
              <w:t>Standardize and streamline ISMS, pursue ISO 27001 certification, enhance threat detection and response capabilities, implement regular monitoring</w:t>
            </w:r>
          </w:p>
        </w:tc>
      </w:tr>
    </w:tbl>
    <w:p w14:paraId="355880BC" w14:textId="77777777" w:rsidR="001C53FB" w:rsidRDefault="001C53FB" w:rsidP="001C53FB"/>
    <w:p w14:paraId="1F4F8204" w14:textId="77777777" w:rsidR="001C53FB" w:rsidRDefault="001C53FB" w:rsidP="001C53FB">
      <w:pPr>
        <w:pStyle w:val="Heading2"/>
      </w:pPr>
      <w:bookmarkStart w:id="43" w:name="_Toc216261776"/>
      <w:r>
        <w:t>5</w:t>
      </w:r>
      <w:r w:rsidRPr="001C53FB">
        <w:t>.2 Success Factors and Key Recommendations</w:t>
      </w:r>
      <w:bookmarkEnd w:id="43"/>
    </w:p>
    <w:p w14:paraId="483BA580" w14:textId="77777777" w:rsidR="00B445E3" w:rsidRDefault="00487686" w:rsidP="001C53FB">
      <w:r w:rsidRPr="00487686">
        <w:t>To be successful in this security governance program, executive support, mandates and long time budget are essential. It is also necessary to promote a change of culture towards security, with staff education, training, and awareness that should counteract the adherence of the policy in the face of the technology. Co-operation in IT, business units, legal, HR, and external partners, is imperative in ensuring that security is entrenched in everyday activity. Last but not least, a strategy of metrics-based approach, KPIs and regular reviews assist in measuring progress, attracting investments and modifying strategies as necessary.</w:t>
      </w:r>
    </w:p>
    <w:p w14:paraId="3348F55E" w14:textId="77777777" w:rsidR="001C53FB" w:rsidRDefault="009D3B92" w:rsidP="0047545C">
      <w:pPr>
        <w:pStyle w:val="Heading1"/>
      </w:pPr>
      <w:bookmarkStart w:id="44" w:name="_Toc216261777"/>
      <w:r>
        <w:t>6</w:t>
      </w:r>
      <w:r w:rsidR="001C53FB" w:rsidRPr="001C53FB">
        <w:t>. Conclusion</w:t>
      </w:r>
      <w:bookmarkEnd w:id="44"/>
    </w:p>
    <w:p w14:paraId="10F9F723" w14:textId="77777777" w:rsidR="009A78D6" w:rsidRDefault="003058FE" w:rsidP="009A78D6">
      <w:proofErr w:type="spellStart"/>
      <w:r w:rsidRPr="003058FE">
        <w:t>NatureGreen</w:t>
      </w:r>
      <w:proofErr w:type="spellEnd"/>
      <w:r w:rsidRPr="003058FE">
        <w:t xml:space="preserve"> has a significant challenge caused by the reliance on cloud-based services, the prevalence of wireless connections, and intensive use of BYOD in the context of the need to secure valuable data and intellectual property in a chaotic security environment. This report suggests an overall control mechanism of governance through which the structured ISO 27001 ISMS, the ITIL processes of operating services and the risk oriented controls are integrated into a consistent and flexible system of security that meets organisational objectives. The success of attaining a strong security posture will entail long-term leadership commitment, implementation strategy, ongoing monitoring, and flexibility adapting to changing regulatory requirements. The further improvements should be also based on AI-based threat detection, automation, and orchestration, which will result in better performance without undermining the authority and supervision.</w:t>
      </w:r>
    </w:p>
    <w:p w14:paraId="608AA0FA" w14:textId="77777777" w:rsidR="00F80377" w:rsidRDefault="00F80377">
      <w:pPr>
        <w:spacing w:line="278" w:lineRule="auto"/>
        <w:jc w:val="left"/>
      </w:pPr>
      <w:r>
        <w:br w:type="page"/>
      </w:r>
    </w:p>
    <w:p w14:paraId="414E778E" w14:textId="77777777" w:rsidR="00F80377" w:rsidRDefault="00F80377" w:rsidP="00F80377">
      <w:pPr>
        <w:pStyle w:val="Heading1"/>
      </w:pPr>
      <w:bookmarkStart w:id="45" w:name="_Toc216261778"/>
      <w:r>
        <w:lastRenderedPageBreak/>
        <w:t>References</w:t>
      </w:r>
      <w:bookmarkEnd w:id="45"/>
    </w:p>
    <w:p w14:paraId="7A4D492A" w14:textId="77777777" w:rsidR="00E15C81" w:rsidRDefault="00E15C81" w:rsidP="00E15C81">
      <w:pPr>
        <w:spacing w:line="240" w:lineRule="auto"/>
        <w:ind w:left="720" w:hanging="720"/>
      </w:pPr>
      <w:r>
        <w:t xml:space="preserve"> </w:t>
      </w:r>
      <w:proofErr w:type="spellStart"/>
      <w:r>
        <w:t>Abdelkebir</w:t>
      </w:r>
      <w:proofErr w:type="spellEnd"/>
      <w:r>
        <w:t xml:space="preserve"> Sahid (2024). Securing Healthcare. </w:t>
      </w:r>
      <w:r>
        <w:rPr>
          <w:i/>
          <w:iCs/>
        </w:rPr>
        <w:t>CRC Press eBooks</w:t>
      </w:r>
      <w:r>
        <w:t xml:space="preserve">, pp.196–244. </w:t>
      </w:r>
      <w:proofErr w:type="spellStart"/>
      <w:r>
        <w:t>doi:https</w:t>
      </w:r>
      <w:proofErr w:type="spellEnd"/>
      <w:r>
        <w:t>://doi.org/10.1201/9781003470038-9.</w:t>
      </w:r>
    </w:p>
    <w:p w14:paraId="01FCD483" w14:textId="77777777" w:rsidR="00E15C81" w:rsidRDefault="00E15C81" w:rsidP="00E15C81">
      <w:pPr>
        <w:spacing w:line="240" w:lineRule="auto"/>
        <w:ind w:left="720" w:hanging="720"/>
      </w:pPr>
      <w:r>
        <w:t xml:space="preserve">Edwards, </w:t>
      </w:r>
      <w:proofErr w:type="spellStart"/>
      <w:r>
        <w:t>Dr.J</w:t>
      </w:r>
      <w:proofErr w:type="spellEnd"/>
      <w:r>
        <w:t xml:space="preserve">. (2024). Security Policies and Procedures. </w:t>
      </w:r>
      <w:r>
        <w:rPr>
          <w:i/>
          <w:iCs/>
        </w:rPr>
        <w:t>Mastering Cybersecurity</w:t>
      </w:r>
      <w:r>
        <w:t xml:space="preserve">, pp.413–434. </w:t>
      </w:r>
      <w:proofErr w:type="spellStart"/>
      <w:r>
        <w:t>doi:https</w:t>
      </w:r>
      <w:proofErr w:type="spellEnd"/>
      <w:r>
        <w:t>://doi.org/10.1007/979-8-8688-0297-3_12.</w:t>
      </w:r>
    </w:p>
    <w:p w14:paraId="5B7149A1" w14:textId="77777777" w:rsidR="00E15C81" w:rsidRDefault="00E15C81" w:rsidP="00E15C81">
      <w:pPr>
        <w:spacing w:line="240" w:lineRule="auto"/>
        <w:ind w:left="720" w:hanging="720"/>
      </w:pPr>
      <w:r>
        <w:t xml:space="preserve">Infante, A. and Rahayu </w:t>
      </w:r>
      <w:proofErr w:type="spellStart"/>
      <w:r>
        <w:t>Mardikaningsih</w:t>
      </w:r>
      <w:proofErr w:type="spellEnd"/>
      <w:r>
        <w:t xml:space="preserve"> (2022). The Potential of Social Media as a Means of Online Business Promotion. </w:t>
      </w:r>
      <w:r>
        <w:rPr>
          <w:i/>
          <w:iCs/>
        </w:rPr>
        <w:t>Journal of Social Science Studies</w:t>
      </w:r>
      <w:r>
        <w:t>, [online] 2(2), pp.45–48. Available at: https://jos3journals.id/index.php/jos3/article/view/25.</w:t>
      </w:r>
    </w:p>
    <w:p w14:paraId="24228D7E" w14:textId="77777777" w:rsidR="00E15C81" w:rsidRDefault="00E15C81" w:rsidP="00E15C81">
      <w:pPr>
        <w:spacing w:line="240" w:lineRule="auto"/>
        <w:ind w:left="720" w:hanging="720"/>
      </w:pPr>
      <w:r>
        <w:t xml:space="preserve">Kenyon, B. (2020). </w:t>
      </w:r>
      <w:r>
        <w:rPr>
          <w:i/>
          <w:iCs/>
        </w:rPr>
        <w:t>ISO 27001 Controls - A Guide to Implementing and Auditing</w:t>
      </w:r>
      <w:r>
        <w:t>.</w:t>
      </w:r>
    </w:p>
    <w:p w14:paraId="5C9AE9BF" w14:textId="77777777" w:rsidR="00E15C81" w:rsidRDefault="00E15C81" w:rsidP="00E15C81">
      <w:pPr>
        <w:spacing w:line="240" w:lineRule="auto"/>
        <w:ind w:left="720" w:hanging="720"/>
      </w:pPr>
      <w:r>
        <w:t xml:space="preserve">Kofi, S. (2025). Regulatory Frameworks and Digital Compliance in Green Market Orientation. </w:t>
      </w:r>
      <w:r>
        <w:rPr>
          <w:i/>
          <w:iCs/>
        </w:rPr>
        <w:t>IGI Global eBooks</w:t>
      </w:r>
      <w:r>
        <w:t xml:space="preserve">, [online] pp.291–328. </w:t>
      </w:r>
      <w:proofErr w:type="spellStart"/>
      <w:r>
        <w:t>doi:https</w:t>
      </w:r>
      <w:proofErr w:type="spellEnd"/>
      <w:r>
        <w:t>://doi.org/10.4018/979-8-3693-9831-9.ch009.</w:t>
      </w:r>
    </w:p>
    <w:p w14:paraId="3E062F76" w14:textId="77777777" w:rsidR="00E15C81" w:rsidRDefault="00E15C81" w:rsidP="00E15C81">
      <w:pPr>
        <w:spacing w:line="240" w:lineRule="auto"/>
        <w:ind w:left="720" w:hanging="720"/>
      </w:pPr>
      <w:r>
        <w:t xml:space="preserve">Lukman Raimi (2023). Business Continuity and Disaster Recovery Strategies as Resilience Tools after Cyberattacks in Toxic </w:t>
      </w:r>
      <w:proofErr w:type="spellStart"/>
      <w:r>
        <w:t>Enterpreneurship</w:t>
      </w:r>
      <w:proofErr w:type="spellEnd"/>
      <w:r>
        <w:t xml:space="preserve"> Ecosystems. </w:t>
      </w:r>
      <w:r>
        <w:rPr>
          <w:i/>
          <w:iCs/>
        </w:rPr>
        <w:t>CRC Press eBooks</w:t>
      </w:r>
      <w:r>
        <w:t xml:space="preserve">, pp.349–364. </w:t>
      </w:r>
      <w:proofErr w:type="spellStart"/>
      <w:r>
        <w:t>doi:https</w:t>
      </w:r>
      <w:proofErr w:type="spellEnd"/>
      <w:r>
        <w:t>://doi.org/10.1201/9781003319887-21.</w:t>
      </w:r>
    </w:p>
    <w:p w14:paraId="0E578B00" w14:textId="77777777" w:rsidR="00E15C81" w:rsidRDefault="00E15C81" w:rsidP="00E15C81">
      <w:pPr>
        <w:spacing w:line="240" w:lineRule="auto"/>
        <w:ind w:left="720" w:hanging="720"/>
      </w:pPr>
      <w:r>
        <w:t xml:space="preserve">Manjeet </w:t>
      </w:r>
      <w:proofErr w:type="spellStart"/>
      <w:r>
        <w:t>Kharub</w:t>
      </w:r>
      <w:proofErr w:type="spellEnd"/>
      <w:r>
        <w:t xml:space="preserve">, Mondal, S., Singh, S. and Gupta, H. (2024). Evaluation of competency dimensions for employee performance assessment: evidence from micro, small, and medium enterprises. </w:t>
      </w:r>
      <w:r>
        <w:rPr>
          <w:rFonts w:cs="Times New Roman"/>
          <w:i/>
          <w:iCs/>
        </w:rPr>
        <w:t>The international journal of productivity and performance management/International journal of productivity and performance management</w:t>
      </w:r>
      <w:r>
        <w:t xml:space="preserve">. </w:t>
      </w:r>
      <w:proofErr w:type="spellStart"/>
      <w:r>
        <w:t>doi:https</w:t>
      </w:r>
      <w:proofErr w:type="spellEnd"/>
      <w:r>
        <w:t>://doi.org/10.1108/ijppm-07-2023-0379.</w:t>
      </w:r>
    </w:p>
    <w:p w14:paraId="4F7C3D44" w14:textId="77777777" w:rsidR="00E15C81" w:rsidRDefault="00E15C81" w:rsidP="00E15C81">
      <w:pPr>
        <w:spacing w:line="240" w:lineRule="auto"/>
        <w:ind w:left="720" w:hanging="720"/>
      </w:pPr>
      <w:r>
        <w:t xml:space="preserve">Morris, G. and </w:t>
      </w:r>
      <w:proofErr w:type="spellStart"/>
      <w:r>
        <w:t>Erienika</w:t>
      </w:r>
      <w:proofErr w:type="spellEnd"/>
      <w:r>
        <w:t xml:space="preserve"> </w:t>
      </w:r>
      <w:proofErr w:type="spellStart"/>
      <w:r>
        <w:t>Lompoliu</w:t>
      </w:r>
      <w:proofErr w:type="spellEnd"/>
      <w:r>
        <w:t xml:space="preserve"> (2025). Optimizing IT Governance in BTS.id: A COBIT 2019-Based Analysis of Design Factors. </w:t>
      </w:r>
      <w:r>
        <w:rPr>
          <w:i/>
          <w:iCs/>
        </w:rPr>
        <w:t>MALCOM Indonesian Journal of Machine Learning and Computer Science</w:t>
      </w:r>
      <w:r>
        <w:t xml:space="preserve">, [online] 5(2), pp.699–710. </w:t>
      </w:r>
      <w:proofErr w:type="spellStart"/>
      <w:r>
        <w:t>doi:https</w:t>
      </w:r>
      <w:proofErr w:type="spellEnd"/>
      <w:r>
        <w:t>://doi.org/10.57152/malcom.v5i2.1997.</w:t>
      </w:r>
    </w:p>
    <w:p w14:paraId="6C47315E" w14:textId="77777777" w:rsidR="00E15C81" w:rsidRDefault="00E15C81" w:rsidP="00E15C81">
      <w:pPr>
        <w:spacing w:line="240" w:lineRule="auto"/>
        <w:ind w:left="720" w:hanging="720"/>
      </w:pPr>
      <w:r>
        <w:t xml:space="preserve">Otari Machaladze (2025). IT infrastructure management in educational institutions using the ITIL framework. </w:t>
      </w:r>
      <w:r>
        <w:rPr>
          <w:i/>
          <w:iCs/>
        </w:rPr>
        <w:t>International Science Journal of Engineering &amp; Agriculture</w:t>
      </w:r>
      <w:r>
        <w:t xml:space="preserve">, [online] 4(2), pp.215–225. </w:t>
      </w:r>
      <w:proofErr w:type="spellStart"/>
      <w:r>
        <w:t>doi:https</w:t>
      </w:r>
      <w:proofErr w:type="spellEnd"/>
      <w:r>
        <w:t>://doi.org/10.46299/j.isjea.20250402.14.</w:t>
      </w:r>
    </w:p>
    <w:p w14:paraId="023DD0EC" w14:textId="77777777" w:rsidR="00E15C81" w:rsidRDefault="00E15C81" w:rsidP="00E15C81">
      <w:pPr>
        <w:spacing w:line="240" w:lineRule="auto"/>
        <w:ind w:left="720" w:hanging="720"/>
      </w:pPr>
      <w:proofErr w:type="spellStart"/>
      <w:r>
        <w:t>Permatasari</w:t>
      </w:r>
      <w:proofErr w:type="spellEnd"/>
      <w:r>
        <w:t xml:space="preserve">, A.R., </w:t>
      </w:r>
      <w:proofErr w:type="spellStart"/>
      <w:r>
        <w:t>Sulistyo</w:t>
      </w:r>
      <w:proofErr w:type="spellEnd"/>
      <w:r>
        <w:t xml:space="preserve">, S. and Santosa, P.I. (2024). Optimizing IT Services Quality: Implementing ITIL for Enhanced IT Service Management. </w:t>
      </w:r>
      <w:r>
        <w:rPr>
          <w:i/>
          <w:iCs/>
        </w:rPr>
        <w:t>2024 11th International Conference on Information Technology, Computer, and Electrical Engineering (ICITACEE)</w:t>
      </w:r>
      <w:r>
        <w:t xml:space="preserve">, [online] pp.296–301. </w:t>
      </w:r>
      <w:proofErr w:type="spellStart"/>
      <w:r>
        <w:t>doi:https</w:t>
      </w:r>
      <w:proofErr w:type="spellEnd"/>
      <w:r>
        <w:t>://doi.org/10.1109/icitacee62763.2024.10762782.</w:t>
      </w:r>
    </w:p>
    <w:p w14:paraId="1884A542" w14:textId="77777777" w:rsidR="00E15C81" w:rsidRDefault="00E15C81" w:rsidP="00E15C81">
      <w:pPr>
        <w:spacing w:line="240" w:lineRule="auto"/>
        <w:ind w:left="720" w:hanging="720"/>
      </w:pPr>
      <w:r>
        <w:t xml:space="preserve">Poddar, A. and Rao, S.R. (2024). Evolving intellectual property landscape for AI-driven innovations in the biomedical sector: opportunities in stable IP regime for shared success. </w:t>
      </w:r>
      <w:r>
        <w:rPr>
          <w:i/>
          <w:iCs/>
        </w:rPr>
        <w:t>Frontiers in Artificial Intelligence</w:t>
      </w:r>
      <w:r>
        <w:t xml:space="preserve">, 7. </w:t>
      </w:r>
      <w:proofErr w:type="spellStart"/>
      <w:proofErr w:type="gramStart"/>
      <w:r>
        <w:t>doi:https</w:t>
      </w:r>
      <w:proofErr w:type="spellEnd"/>
      <w:r>
        <w:t>://doi.org/10.3389/frai.2024.1372161</w:t>
      </w:r>
      <w:proofErr w:type="gramEnd"/>
      <w:r>
        <w:t>.</w:t>
      </w:r>
    </w:p>
    <w:p w14:paraId="33C49F4F" w14:textId="77777777" w:rsidR="00F80377" w:rsidRPr="009A78D6" w:rsidRDefault="00E15C81" w:rsidP="00E15C81">
      <w:pPr>
        <w:spacing w:line="240" w:lineRule="auto"/>
        <w:ind w:left="720" w:hanging="720"/>
      </w:pPr>
      <w:r>
        <w:t xml:space="preserve">Syadali, M.R., </w:t>
      </w:r>
      <w:proofErr w:type="spellStart"/>
      <w:r>
        <w:t>Segaf</w:t>
      </w:r>
      <w:proofErr w:type="spellEnd"/>
      <w:r>
        <w:t xml:space="preserve">, S. and </w:t>
      </w:r>
      <w:proofErr w:type="spellStart"/>
      <w:r>
        <w:t>Parmujianto</w:t>
      </w:r>
      <w:proofErr w:type="spellEnd"/>
      <w:r>
        <w:t xml:space="preserve">, P. (2023). Risk management strategy for the problem of borrowing money for Islamic commercial banks. </w:t>
      </w:r>
      <w:proofErr w:type="gramStart"/>
      <w:r>
        <w:rPr>
          <w:i/>
          <w:iCs/>
        </w:rPr>
        <w:t>Enrichment :</w:t>
      </w:r>
      <w:proofErr w:type="gramEnd"/>
      <w:r>
        <w:rPr>
          <w:i/>
          <w:iCs/>
        </w:rPr>
        <w:t xml:space="preserve"> Journal of Management</w:t>
      </w:r>
      <w:r>
        <w:t xml:space="preserve">, [online] 13(2), pp.1227–1236. </w:t>
      </w:r>
      <w:proofErr w:type="spellStart"/>
      <w:r>
        <w:t>doi:https</w:t>
      </w:r>
      <w:proofErr w:type="spellEnd"/>
      <w:r>
        <w:t>://doi.org/10.35335/enrichment.v13i2.1392.</w:t>
      </w:r>
    </w:p>
    <w:sectPr w:rsidR="00F80377" w:rsidRPr="009A78D6" w:rsidSect="006D72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A683E" w14:textId="77777777" w:rsidR="00B0526C" w:rsidRDefault="00B0526C" w:rsidP="00F80377">
      <w:pPr>
        <w:spacing w:after="0" w:line="240" w:lineRule="auto"/>
      </w:pPr>
      <w:r>
        <w:separator/>
      </w:r>
    </w:p>
  </w:endnote>
  <w:endnote w:type="continuationSeparator" w:id="0">
    <w:p w14:paraId="2E8CD795" w14:textId="77777777" w:rsidR="00B0526C" w:rsidRDefault="00B0526C" w:rsidP="00F80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84269" w14:textId="77777777" w:rsidR="00B0526C" w:rsidRDefault="00B0526C" w:rsidP="00F80377">
      <w:pPr>
        <w:spacing w:after="0" w:line="240" w:lineRule="auto"/>
      </w:pPr>
      <w:r>
        <w:separator/>
      </w:r>
    </w:p>
  </w:footnote>
  <w:footnote w:type="continuationSeparator" w:id="0">
    <w:p w14:paraId="31545EB9" w14:textId="77777777" w:rsidR="00B0526C" w:rsidRDefault="00B0526C" w:rsidP="00F803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7516"/>
    <w:rsid w:val="000063EA"/>
    <w:rsid w:val="00007A8E"/>
    <w:rsid w:val="000219B2"/>
    <w:rsid w:val="00023C5A"/>
    <w:rsid w:val="00031757"/>
    <w:rsid w:val="0004634F"/>
    <w:rsid w:val="00062E2C"/>
    <w:rsid w:val="000876E2"/>
    <w:rsid w:val="00095328"/>
    <w:rsid w:val="000A1E43"/>
    <w:rsid w:val="000B26C0"/>
    <w:rsid w:val="000B57CC"/>
    <w:rsid w:val="000C4DF3"/>
    <w:rsid w:val="00116957"/>
    <w:rsid w:val="0012161A"/>
    <w:rsid w:val="001421A7"/>
    <w:rsid w:val="0015470B"/>
    <w:rsid w:val="001727A2"/>
    <w:rsid w:val="0018472D"/>
    <w:rsid w:val="00184824"/>
    <w:rsid w:val="0019684F"/>
    <w:rsid w:val="001C1CCD"/>
    <w:rsid w:val="001C53FB"/>
    <w:rsid w:val="001C576C"/>
    <w:rsid w:val="00217FF2"/>
    <w:rsid w:val="00243B92"/>
    <w:rsid w:val="00277C36"/>
    <w:rsid w:val="002B0968"/>
    <w:rsid w:val="002B450F"/>
    <w:rsid w:val="002B4661"/>
    <w:rsid w:val="002B47F0"/>
    <w:rsid w:val="002C1D64"/>
    <w:rsid w:val="002D3848"/>
    <w:rsid w:val="002E1B94"/>
    <w:rsid w:val="00303267"/>
    <w:rsid w:val="003058FE"/>
    <w:rsid w:val="0032718A"/>
    <w:rsid w:val="003335EC"/>
    <w:rsid w:val="00334DD7"/>
    <w:rsid w:val="0035416E"/>
    <w:rsid w:val="00372785"/>
    <w:rsid w:val="003A686C"/>
    <w:rsid w:val="003B0836"/>
    <w:rsid w:val="003C4E6A"/>
    <w:rsid w:val="003C5531"/>
    <w:rsid w:val="003E15D5"/>
    <w:rsid w:val="004021FF"/>
    <w:rsid w:val="00406BF9"/>
    <w:rsid w:val="0041218F"/>
    <w:rsid w:val="004478E0"/>
    <w:rsid w:val="00456F18"/>
    <w:rsid w:val="00464494"/>
    <w:rsid w:val="0046466C"/>
    <w:rsid w:val="0047545C"/>
    <w:rsid w:val="00487686"/>
    <w:rsid w:val="00493A03"/>
    <w:rsid w:val="004A1E8E"/>
    <w:rsid w:val="004B747A"/>
    <w:rsid w:val="004C3F6C"/>
    <w:rsid w:val="005025E0"/>
    <w:rsid w:val="00506DF4"/>
    <w:rsid w:val="00573F6E"/>
    <w:rsid w:val="005762E2"/>
    <w:rsid w:val="005811E9"/>
    <w:rsid w:val="00581F1D"/>
    <w:rsid w:val="00582872"/>
    <w:rsid w:val="005A67BE"/>
    <w:rsid w:val="005A7569"/>
    <w:rsid w:val="005B090C"/>
    <w:rsid w:val="005E2696"/>
    <w:rsid w:val="00602F38"/>
    <w:rsid w:val="00605CB1"/>
    <w:rsid w:val="006466E0"/>
    <w:rsid w:val="00651E8E"/>
    <w:rsid w:val="00664F05"/>
    <w:rsid w:val="006833B2"/>
    <w:rsid w:val="006D5496"/>
    <w:rsid w:val="006D72F6"/>
    <w:rsid w:val="00705415"/>
    <w:rsid w:val="007111E7"/>
    <w:rsid w:val="00714D7F"/>
    <w:rsid w:val="00724C80"/>
    <w:rsid w:val="00727516"/>
    <w:rsid w:val="00742729"/>
    <w:rsid w:val="00750778"/>
    <w:rsid w:val="0075653B"/>
    <w:rsid w:val="007807E5"/>
    <w:rsid w:val="0078774E"/>
    <w:rsid w:val="007A3FA2"/>
    <w:rsid w:val="007C64C7"/>
    <w:rsid w:val="007D0BAA"/>
    <w:rsid w:val="00815899"/>
    <w:rsid w:val="00873780"/>
    <w:rsid w:val="00882712"/>
    <w:rsid w:val="00894A05"/>
    <w:rsid w:val="008F192C"/>
    <w:rsid w:val="00906E91"/>
    <w:rsid w:val="00917582"/>
    <w:rsid w:val="009254AB"/>
    <w:rsid w:val="00931A7A"/>
    <w:rsid w:val="00936070"/>
    <w:rsid w:val="0095493A"/>
    <w:rsid w:val="00954CF2"/>
    <w:rsid w:val="00970AD8"/>
    <w:rsid w:val="00972F0F"/>
    <w:rsid w:val="009848C0"/>
    <w:rsid w:val="009A144C"/>
    <w:rsid w:val="009A78D6"/>
    <w:rsid w:val="009B07CC"/>
    <w:rsid w:val="009B6D57"/>
    <w:rsid w:val="009C4279"/>
    <w:rsid w:val="009C7EB1"/>
    <w:rsid w:val="009D3B92"/>
    <w:rsid w:val="009E54C1"/>
    <w:rsid w:val="009F5A2F"/>
    <w:rsid w:val="00A3309D"/>
    <w:rsid w:val="00A333D0"/>
    <w:rsid w:val="00A55780"/>
    <w:rsid w:val="00A66337"/>
    <w:rsid w:val="00A81018"/>
    <w:rsid w:val="00AA767C"/>
    <w:rsid w:val="00AC11E2"/>
    <w:rsid w:val="00AC2302"/>
    <w:rsid w:val="00B0526C"/>
    <w:rsid w:val="00B10358"/>
    <w:rsid w:val="00B1293A"/>
    <w:rsid w:val="00B34151"/>
    <w:rsid w:val="00B408C7"/>
    <w:rsid w:val="00B445E3"/>
    <w:rsid w:val="00B56A1C"/>
    <w:rsid w:val="00B73A88"/>
    <w:rsid w:val="00B854B6"/>
    <w:rsid w:val="00BA7500"/>
    <w:rsid w:val="00BB7324"/>
    <w:rsid w:val="00BC41DE"/>
    <w:rsid w:val="00BC4EA3"/>
    <w:rsid w:val="00BC524B"/>
    <w:rsid w:val="00BC6143"/>
    <w:rsid w:val="00BE0E14"/>
    <w:rsid w:val="00C0606D"/>
    <w:rsid w:val="00C44041"/>
    <w:rsid w:val="00C824D7"/>
    <w:rsid w:val="00C853BF"/>
    <w:rsid w:val="00C903C9"/>
    <w:rsid w:val="00CC215C"/>
    <w:rsid w:val="00CC3546"/>
    <w:rsid w:val="00CD087A"/>
    <w:rsid w:val="00CE359C"/>
    <w:rsid w:val="00CF54E1"/>
    <w:rsid w:val="00D0227D"/>
    <w:rsid w:val="00D044DA"/>
    <w:rsid w:val="00D04D9E"/>
    <w:rsid w:val="00D04EA9"/>
    <w:rsid w:val="00D15329"/>
    <w:rsid w:val="00D314BB"/>
    <w:rsid w:val="00D437E2"/>
    <w:rsid w:val="00D57417"/>
    <w:rsid w:val="00D85379"/>
    <w:rsid w:val="00DB0508"/>
    <w:rsid w:val="00DB68A4"/>
    <w:rsid w:val="00DD0B76"/>
    <w:rsid w:val="00DD61AF"/>
    <w:rsid w:val="00DE4CD7"/>
    <w:rsid w:val="00E15C81"/>
    <w:rsid w:val="00E6360E"/>
    <w:rsid w:val="00EC29D1"/>
    <w:rsid w:val="00F21BF7"/>
    <w:rsid w:val="00F21E1D"/>
    <w:rsid w:val="00F34869"/>
    <w:rsid w:val="00F54165"/>
    <w:rsid w:val="00F67075"/>
    <w:rsid w:val="00F80377"/>
    <w:rsid w:val="00F97CB7"/>
    <w:rsid w:val="00FB7585"/>
    <w:rsid w:val="00FC0094"/>
    <w:rsid w:val="00FE3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F4C70"/>
  <w15:docId w15:val="{060CDC76-B9C6-4591-9ECD-524C9FDA8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semiHidden/>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72751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2751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275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75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751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751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semiHidden/>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7275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5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5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5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5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516"/>
    <w:rPr>
      <w:rFonts w:eastAsiaTheme="majorEastAsia" w:cstheme="majorBidi"/>
      <w:color w:val="272727" w:themeColor="text1" w:themeTint="D8"/>
    </w:rPr>
  </w:style>
  <w:style w:type="paragraph" w:styleId="Title">
    <w:name w:val="Title"/>
    <w:basedOn w:val="Normal"/>
    <w:next w:val="Normal"/>
    <w:link w:val="TitleChar"/>
    <w:uiPriority w:val="10"/>
    <w:qFormat/>
    <w:rsid w:val="00727516"/>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27516"/>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27516"/>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27516"/>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27516"/>
    <w:pPr>
      <w:spacing w:before="160"/>
      <w:jc w:val="center"/>
    </w:pPr>
    <w:rPr>
      <w:i/>
      <w:iCs/>
      <w:color w:val="404040" w:themeColor="text1" w:themeTint="BF"/>
    </w:rPr>
  </w:style>
  <w:style w:type="character" w:customStyle="1" w:styleId="QuoteChar">
    <w:name w:val="Quote Char"/>
    <w:basedOn w:val="DefaultParagraphFont"/>
    <w:link w:val="Quote"/>
    <w:uiPriority w:val="29"/>
    <w:rsid w:val="00727516"/>
    <w:rPr>
      <w:rFonts w:ascii="Times New Roman" w:hAnsi="Times New Roman"/>
      <w:i/>
      <w:iCs/>
      <w:color w:val="404040" w:themeColor="text1" w:themeTint="BF"/>
    </w:rPr>
  </w:style>
  <w:style w:type="paragraph" w:styleId="ListParagraph">
    <w:name w:val="List Paragraph"/>
    <w:basedOn w:val="Normal"/>
    <w:uiPriority w:val="34"/>
    <w:qFormat/>
    <w:rsid w:val="00727516"/>
    <w:pPr>
      <w:ind w:left="720"/>
      <w:contextualSpacing/>
    </w:pPr>
  </w:style>
  <w:style w:type="character" w:styleId="IntenseEmphasis">
    <w:name w:val="Intense Emphasis"/>
    <w:basedOn w:val="DefaultParagraphFont"/>
    <w:uiPriority w:val="21"/>
    <w:qFormat/>
    <w:rsid w:val="00727516"/>
    <w:rPr>
      <w:i/>
      <w:iCs/>
      <w:color w:val="0F4761" w:themeColor="accent1" w:themeShade="BF"/>
    </w:rPr>
  </w:style>
  <w:style w:type="paragraph" w:styleId="IntenseQuote">
    <w:name w:val="Intense Quote"/>
    <w:basedOn w:val="Normal"/>
    <w:next w:val="Normal"/>
    <w:link w:val="IntenseQuoteChar"/>
    <w:uiPriority w:val="30"/>
    <w:qFormat/>
    <w:rsid w:val="007275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516"/>
    <w:rPr>
      <w:rFonts w:ascii="Times New Roman" w:hAnsi="Times New Roman"/>
      <w:i/>
      <w:iCs/>
      <w:color w:val="0F4761" w:themeColor="accent1" w:themeShade="BF"/>
    </w:rPr>
  </w:style>
  <w:style w:type="character" w:styleId="IntenseReference">
    <w:name w:val="Intense Reference"/>
    <w:basedOn w:val="DefaultParagraphFont"/>
    <w:uiPriority w:val="32"/>
    <w:qFormat/>
    <w:rsid w:val="00727516"/>
    <w:rPr>
      <w:b/>
      <w:bCs/>
      <w:smallCaps/>
      <w:color w:val="0F4761" w:themeColor="accent1" w:themeShade="BF"/>
      <w:spacing w:val="5"/>
    </w:rPr>
  </w:style>
  <w:style w:type="table" w:styleId="TableGrid">
    <w:name w:val="Table Grid"/>
    <w:basedOn w:val="TableNormal"/>
    <w:uiPriority w:val="39"/>
    <w:rsid w:val="00AA7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uiPriority w:val="49"/>
    <w:rsid w:val="00AA767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AA767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F80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377"/>
    <w:rPr>
      <w:rFonts w:ascii="Times New Roman" w:hAnsi="Times New Roman"/>
    </w:rPr>
  </w:style>
  <w:style w:type="paragraph" w:styleId="Footer">
    <w:name w:val="footer"/>
    <w:basedOn w:val="Normal"/>
    <w:link w:val="FooterChar"/>
    <w:uiPriority w:val="99"/>
    <w:unhideWhenUsed/>
    <w:rsid w:val="00F80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377"/>
    <w:rPr>
      <w:rFonts w:ascii="Times New Roman" w:hAnsi="Times New Roman"/>
    </w:rPr>
  </w:style>
  <w:style w:type="table" w:customStyle="1" w:styleId="GridTable1Light-Accent61">
    <w:name w:val="Grid Table 1 Light - Accent 61"/>
    <w:basedOn w:val="TableNormal"/>
    <w:uiPriority w:val="46"/>
    <w:rsid w:val="002B0968"/>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0063EA"/>
    <w:pPr>
      <w:spacing w:after="0" w:line="240" w:lineRule="auto"/>
      <w:ind w:left="720" w:hanging="720"/>
    </w:pPr>
  </w:style>
  <w:style w:type="paragraph" w:styleId="Caption">
    <w:name w:val="caption"/>
    <w:basedOn w:val="Normal"/>
    <w:next w:val="Normal"/>
    <w:uiPriority w:val="35"/>
    <w:unhideWhenUsed/>
    <w:qFormat/>
    <w:rsid w:val="00D85379"/>
    <w:pPr>
      <w:spacing w:after="200" w:line="240" w:lineRule="auto"/>
    </w:pPr>
    <w:rPr>
      <w:i/>
      <w:iCs/>
      <w:color w:val="0E2841" w:themeColor="text2"/>
      <w:sz w:val="18"/>
      <w:szCs w:val="16"/>
    </w:rPr>
  </w:style>
  <w:style w:type="paragraph" w:styleId="TOCHeading">
    <w:name w:val="TOC Heading"/>
    <w:basedOn w:val="Heading1"/>
    <w:next w:val="Normal"/>
    <w:uiPriority w:val="39"/>
    <w:unhideWhenUsed/>
    <w:qFormat/>
    <w:rsid w:val="00BC4EA3"/>
    <w:pPr>
      <w:spacing w:before="240" w:after="0" w:line="259" w:lineRule="auto"/>
      <w:jc w:val="left"/>
      <w:outlineLvl w:val="9"/>
    </w:pPr>
    <w:rPr>
      <w:rFonts w:asciiTheme="majorHAnsi" w:hAnsiTheme="majorHAnsi"/>
      <w:b w:val="0"/>
      <w:color w:val="0F4761" w:themeColor="accent1" w:themeShade="BF"/>
      <w:kern w:val="0"/>
      <w:sz w:val="32"/>
      <w:szCs w:val="32"/>
      <w:lang w:eastAsia="en-GB"/>
    </w:rPr>
  </w:style>
  <w:style w:type="paragraph" w:styleId="TOC1">
    <w:name w:val="toc 1"/>
    <w:basedOn w:val="Normal"/>
    <w:next w:val="Normal"/>
    <w:autoRedefine/>
    <w:uiPriority w:val="39"/>
    <w:unhideWhenUsed/>
    <w:rsid w:val="00BC4EA3"/>
    <w:pPr>
      <w:spacing w:after="100"/>
    </w:pPr>
  </w:style>
  <w:style w:type="paragraph" w:styleId="TOC2">
    <w:name w:val="toc 2"/>
    <w:basedOn w:val="Normal"/>
    <w:next w:val="Normal"/>
    <w:autoRedefine/>
    <w:uiPriority w:val="39"/>
    <w:unhideWhenUsed/>
    <w:rsid w:val="00BC4EA3"/>
    <w:pPr>
      <w:spacing w:after="100"/>
      <w:ind w:left="240"/>
    </w:pPr>
  </w:style>
  <w:style w:type="character" w:styleId="Hyperlink">
    <w:name w:val="Hyperlink"/>
    <w:basedOn w:val="DefaultParagraphFont"/>
    <w:uiPriority w:val="99"/>
    <w:unhideWhenUsed/>
    <w:rsid w:val="00BC4EA3"/>
    <w:rPr>
      <w:color w:val="467886" w:themeColor="hyperlink"/>
      <w:u w:val="single"/>
    </w:rPr>
  </w:style>
  <w:style w:type="paragraph" w:styleId="TableofFigures">
    <w:name w:val="table of figures"/>
    <w:basedOn w:val="Normal"/>
    <w:next w:val="Normal"/>
    <w:uiPriority w:val="99"/>
    <w:unhideWhenUsed/>
    <w:rsid w:val="00303267"/>
    <w:pPr>
      <w:spacing w:after="0"/>
    </w:pPr>
  </w:style>
  <w:style w:type="paragraph" w:styleId="BalloonText">
    <w:name w:val="Balloon Text"/>
    <w:basedOn w:val="Normal"/>
    <w:link w:val="BalloonTextChar"/>
    <w:uiPriority w:val="99"/>
    <w:semiHidden/>
    <w:unhideWhenUsed/>
    <w:rsid w:val="00B73A88"/>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B73A88"/>
    <w:rPr>
      <w:rFonts w:ascii="Tahoma" w:hAnsi="Tahoma" w:cs="Mangal"/>
      <w:sz w:val="16"/>
      <w:szCs w:val="14"/>
    </w:rPr>
  </w:style>
  <w:style w:type="character" w:styleId="Strong">
    <w:name w:val="Strong"/>
    <w:basedOn w:val="DefaultParagraphFont"/>
    <w:uiPriority w:val="22"/>
    <w:qFormat/>
    <w:rsid w:val="00487686"/>
    <w:rPr>
      <w:b/>
      <w:bCs/>
    </w:rPr>
  </w:style>
  <w:style w:type="paragraph" w:styleId="NormalWeb">
    <w:name w:val="Normal (Web)"/>
    <w:basedOn w:val="Normal"/>
    <w:uiPriority w:val="99"/>
    <w:unhideWhenUsed/>
    <w:rsid w:val="00E15C81"/>
    <w:pPr>
      <w:spacing w:before="100" w:beforeAutospacing="1" w:after="100" w:afterAutospacing="1" w:line="240" w:lineRule="auto"/>
      <w:jc w:val="left"/>
    </w:pPr>
    <w:rPr>
      <w:rFonts w:eastAsia="Times New Roman" w:cs="Times New Roman"/>
      <w:kern w:val="0"/>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7851">
      <w:bodyDiv w:val="1"/>
      <w:marLeft w:val="0"/>
      <w:marRight w:val="0"/>
      <w:marTop w:val="0"/>
      <w:marBottom w:val="0"/>
      <w:divBdr>
        <w:top w:val="none" w:sz="0" w:space="0" w:color="auto"/>
        <w:left w:val="none" w:sz="0" w:space="0" w:color="auto"/>
        <w:bottom w:val="none" w:sz="0" w:space="0" w:color="auto"/>
        <w:right w:val="none" w:sz="0" w:space="0" w:color="auto"/>
      </w:divBdr>
    </w:div>
    <w:div w:id="105394696">
      <w:bodyDiv w:val="1"/>
      <w:marLeft w:val="0"/>
      <w:marRight w:val="0"/>
      <w:marTop w:val="0"/>
      <w:marBottom w:val="0"/>
      <w:divBdr>
        <w:top w:val="none" w:sz="0" w:space="0" w:color="auto"/>
        <w:left w:val="none" w:sz="0" w:space="0" w:color="auto"/>
        <w:bottom w:val="none" w:sz="0" w:space="0" w:color="auto"/>
        <w:right w:val="none" w:sz="0" w:space="0" w:color="auto"/>
      </w:divBdr>
    </w:div>
    <w:div w:id="231308577">
      <w:bodyDiv w:val="1"/>
      <w:marLeft w:val="0"/>
      <w:marRight w:val="0"/>
      <w:marTop w:val="0"/>
      <w:marBottom w:val="0"/>
      <w:divBdr>
        <w:top w:val="none" w:sz="0" w:space="0" w:color="auto"/>
        <w:left w:val="none" w:sz="0" w:space="0" w:color="auto"/>
        <w:bottom w:val="none" w:sz="0" w:space="0" w:color="auto"/>
        <w:right w:val="none" w:sz="0" w:space="0" w:color="auto"/>
      </w:divBdr>
    </w:div>
    <w:div w:id="252476130">
      <w:bodyDiv w:val="1"/>
      <w:marLeft w:val="0"/>
      <w:marRight w:val="0"/>
      <w:marTop w:val="0"/>
      <w:marBottom w:val="0"/>
      <w:divBdr>
        <w:top w:val="none" w:sz="0" w:space="0" w:color="auto"/>
        <w:left w:val="none" w:sz="0" w:space="0" w:color="auto"/>
        <w:bottom w:val="none" w:sz="0" w:space="0" w:color="auto"/>
        <w:right w:val="none" w:sz="0" w:space="0" w:color="auto"/>
      </w:divBdr>
    </w:div>
    <w:div w:id="390085180">
      <w:bodyDiv w:val="1"/>
      <w:marLeft w:val="0"/>
      <w:marRight w:val="0"/>
      <w:marTop w:val="0"/>
      <w:marBottom w:val="0"/>
      <w:divBdr>
        <w:top w:val="none" w:sz="0" w:space="0" w:color="auto"/>
        <w:left w:val="none" w:sz="0" w:space="0" w:color="auto"/>
        <w:bottom w:val="none" w:sz="0" w:space="0" w:color="auto"/>
        <w:right w:val="none" w:sz="0" w:space="0" w:color="auto"/>
      </w:divBdr>
    </w:div>
    <w:div w:id="436146510">
      <w:bodyDiv w:val="1"/>
      <w:marLeft w:val="0"/>
      <w:marRight w:val="0"/>
      <w:marTop w:val="0"/>
      <w:marBottom w:val="0"/>
      <w:divBdr>
        <w:top w:val="none" w:sz="0" w:space="0" w:color="auto"/>
        <w:left w:val="none" w:sz="0" w:space="0" w:color="auto"/>
        <w:bottom w:val="none" w:sz="0" w:space="0" w:color="auto"/>
        <w:right w:val="none" w:sz="0" w:space="0" w:color="auto"/>
      </w:divBdr>
    </w:div>
    <w:div w:id="438599303">
      <w:bodyDiv w:val="1"/>
      <w:marLeft w:val="0"/>
      <w:marRight w:val="0"/>
      <w:marTop w:val="0"/>
      <w:marBottom w:val="0"/>
      <w:divBdr>
        <w:top w:val="none" w:sz="0" w:space="0" w:color="auto"/>
        <w:left w:val="none" w:sz="0" w:space="0" w:color="auto"/>
        <w:bottom w:val="none" w:sz="0" w:space="0" w:color="auto"/>
        <w:right w:val="none" w:sz="0" w:space="0" w:color="auto"/>
      </w:divBdr>
    </w:div>
    <w:div w:id="673193552">
      <w:bodyDiv w:val="1"/>
      <w:marLeft w:val="0"/>
      <w:marRight w:val="0"/>
      <w:marTop w:val="0"/>
      <w:marBottom w:val="0"/>
      <w:divBdr>
        <w:top w:val="none" w:sz="0" w:space="0" w:color="auto"/>
        <w:left w:val="none" w:sz="0" w:space="0" w:color="auto"/>
        <w:bottom w:val="none" w:sz="0" w:space="0" w:color="auto"/>
        <w:right w:val="none" w:sz="0" w:space="0" w:color="auto"/>
      </w:divBdr>
    </w:div>
    <w:div w:id="689528102">
      <w:bodyDiv w:val="1"/>
      <w:marLeft w:val="0"/>
      <w:marRight w:val="0"/>
      <w:marTop w:val="0"/>
      <w:marBottom w:val="0"/>
      <w:divBdr>
        <w:top w:val="none" w:sz="0" w:space="0" w:color="auto"/>
        <w:left w:val="none" w:sz="0" w:space="0" w:color="auto"/>
        <w:bottom w:val="none" w:sz="0" w:space="0" w:color="auto"/>
        <w:right w:val="none" w:sz="0" w:space="0" w:color="auto"/>
      </w:divBdr>
    </w:div>
    <w:div w:id="894973237">
      <w:bodyDiv w:val="1"/>
      <w:marLeft w:val="0"/>
      <w:marRight w:val="0"/>
      <w:marTop w:val="0"/>
      <w:marBottom w:val="0"/>
      <w:divBdr>
        <w:top w:val="none" w:sz="0" w:space="0" w:color="auto"/>
        <w:left w:val="none" w:sz="0" w:space="0" w:color="auto"/>
        <w:bottom w:val="none" w:sz="0" w:space="0" w:color="auto"/>
        <w:right w:val="none" w:sz="0" w:space="0" w:color="auto"/>
      </w:divBdr>
    </w:div>
    <w:div w:id="1235967680">
      <w:bodyDiv w:val="1"/>
      <w:marLeft w:val="0"/>
      <w:marRight w:val="0"/>
      <w:marTop w:val="0"/>
      <w:marBottom w:val="0"/>
      <w:divBdr>
        <w:top w:val="none" w:sz="0" w:space="0" w:color="auto"/>
        <w:left w:val="none" w:sz="0" w:space="0" w:color="auto"/>
        <w:bottom w:val="none" w:sz="0" w:space="0" w:color="auto"/>
        <w:right w:val="none" w:sz="0" w:space="0" w:color="auto"/>
      </w:divBdr>
    </w:div>
    <w:div w:id="1837109034">
      <w:bodyDiv w:val="1"/>
      <w:marLeft w:val="0"/>
      <w:marRight w:val="0"/>
      <w:marTop w:val="0"/>
      <w:marBottom w:val="0"/>
      <w:divBdr>
        <w:top w:val="none" w:sz="0" w:space="0" w:color="auto"/>
        <w:left w:val="none" w:sz="0" w:space="0" w:color="auto"/>
        <w:bottom w:val="none" w:sz="0" w:space="0" w:color="auto"/>
        <w:right w:val="none" w:sz="0" w:space="0" w:color="auto"/>
      </w:divBdr>
    </w:div>
    <w:div w:id="2038847475">
      <w:bodyDiv w:val="1"/>
      <w:marLeft w:val="0"/>
      <w:marRight w:val="0"/>
      <w:marTop w:val="0"/>
      <w:marBottom w:val="0"/>
      <w:divBdr>
        <w:top w:val="none" w:sz="0" w:space="0" w:color="auto"/>
        <w:left w:val="none" w:sz="0" w:space="0" w:color="auto"/>
        <w:bottom w:val="none" w:sz="0" w:space="0" w:color="auto"/>
        <w:right w:val="none" w:sz="0" w:space="0" w:color="auto"/>
      </w:divBdr>
      <w:divsChild>
        <w:div w:id="327515158">
          <w:marLeft w:val="0"/>
          <w:marRight w:val="0"/>
          <w:marTop w:val="0"/>
          <w:marBottom w:val="0"/>
          <w:divBdr>
            <w:top w:val="none" w:sz="0" w:space="0" w:color="auto"/>
            <w:left w:val="none" w:sz="0" w:space="0" w:color="auto"/>
            <w:bottom w:val="none" w:sz="0" w:space="0" w:color="auto"/>
            <w:right w:val="none" w:sz="0" w:space="0" w:color="auto"/>
          </w:divBdr>
        </w:div>
      </w:divsChild>
    </w:div>
    <w:div w:id="2042512467">
      <w:bodyDiv w:val="1"/>
      <w:marLeft w:val="0"/>
      <w:marRight w:val="0"/>
      <w:marTop w:val="0"/>
      <w:marBottom w:val="0"/>
      <w:divBdr>
        <w:top w:val="none" w:sz="0" w:space="0" w:color="auto"/>
        <w:left w:val="none" w:sz="0" w:space="0" w:color="auto"/>
        <w:bottom w:val="none" w:sz="0" w:space="0" w:color="auto"/>
        <w:right w:val="none" w:sz="0" w:space="0" w:color="auto"/>
      </w:divBdr>
    </w:div>
    <w:div w:id="204652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15FBE-D149-4CC9-9C6C-9C019CAA1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4901</Words>
  <Characters>27936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ansh italiya</cp:lastModifiedBy>
  <cp:revision>4</cp:revision>
  <dcterms:created xsi:type="dcterms:W3CDTF">2025-11-25T16:08:00Z</dcterms:created>
  <dcterms:modified xsi:type="dcterms:W3CDTF">2025-12-13T22:48:00Z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id="CT2xR0mF"/&gt;&lt;style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