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AF9" w:rsidRDefault="00D062AA">
      <w:pPr>
        <w:rPr>
          <w:rFonts w:ascii="Arial" w:hAnsi="Arial" w:cs="Arial"/>
        </w:rPr>
      </w:pPr>
      <w:r w:rsidRPr="00D062AA">
        <w:rPr>
          <w:rFonts w:ascii="Arial" w:hAnsi="Arial" w:cs="Arial"/>
        </w:rPr>
        <w:t>Literary approaches to the interpretation of the Bible focus o</w:t>
      </w:r>
      <w:r>
        <w:rPr>
          <w:rFonts w:ascii="Arial" w:hAnsi="Arial" w:cs="Arial"/>
        </w:rPr>
        <w:t>n</w:t>
      </w:r>
      <w:r w:rsidRPr="00D062AA">
        <w:rPr>
          <w:rFonts w:ascii="Arial" w:hAnsi="Arial" w:cs="Arial"/>
        </w:rPr>
        <w:t xml:space="preserve"> the text as a finished product.</w:t>
      </w:r>
      <w:r>
        <w:rPr>
          <w:rFonts w:ascii="Arial" w:hAnsi="Arial" w:cs="Arial"/>
        </w:rPr>
        <w:t xml:space="preserve">  They are concerned with the structure and genre of the text, how the story unfolds and the impact it has on its readers.  </w:t>
      </w:r>
      <w:r w:rsidR="00FA38D2">
        <w:rPr>
          <w:rFonts w:ascii="Arial" w:hAnsi="Arial" w:cs="Arial"/>
        </w:rPr>
        <w:t xml:space="preserve">The modern discipline of literary criticism is rooted in the hermeneutical approaches of </w:t>
      </w:r>
      <w:r w:rsidR="00206652">
        <w:rPr>
          <w:rFonts w:ascii="Arial" w:hAnsi="Arial" w:cs="Arial"/>
        </w:rPr>
        <w:t xml:space="preserve">both </w:t>
      </w:r>
      <w:r w:rsidR="00FA38D2">
        <w:rPr>
          <w:rFonts w:ascii="Arial" w:hAnsi="Arial" w:cs="Arial"/>
        </w:rPr>
        <w:t xml:space="preserve">ancient </w:t>
      </w:r>
      <w:r w:rsidR="00206652">
        <w:rPr>
          <w:rFonts w:ascii="Arial" w:hAnsi="Arial" w:cs="Arial"/>
        </w:rPr>
        <w:t>Jewish</w:t>
      </w:r>
      <w:r w:rsidR="00FA38D2">
        <w:rPr>
          <w:rFonts w:ascii="Arial" w:hAnsi="Arial" w:cs="Arial"/>
        </w:rPr>
        <w:t xml:space="preserve"> and </w:t>
      </w:r>
      <w:r w:rsidR="00206652">
        <w:rPr>
          <w:rFonts w:ascii="Arial" w:hAnsi="Arial" w:cs="Arial"/>
        </w:rPr>
        <w:t>pre eighteenth century Christian biblical criticism</w:t>
      </w:r>
      <w:r w:rsidR="00621747">
        <w:rPr>
          <w:rFonts w:ascii="Arial" w:hAnsi="Arial" w:cs="Arial"/>
        </w:rPr>
        <w:t>, which focussed on a close reading of</w:t>
      </w:r>
      <w:r w:rsidR="00163523">
        <w:rPr>
          <w:rFonts w:ascii="Arial" w:hAnsi="Arial" w:cs="Arial"/>
        </w:rPr>
        <w:t xml:space="preserve"> the Bible as l</w:t>
      </w:r>
      <w:r w:rsidR="00621747">
        <w:rPr>
          <w:rFonts w:ascii="Arial" w:hAnsi="Arial" w:cs="Arial"/>
        </w:rPr>
        <w:t>iterature</w:t>
      </w:r>
      <w:r w:rsidR="00163523">
        <w:rPr>
          <w:rFonts w:ascii="Arial" w:hAnsi="Arial" w:cs="Arial"/>
        </w:rPr>
        <w:t xml:space="preserve">, </w:t>
      </w:r>
      <w:r w:rsidR="00206652">
        <w:rPr>
          <w:rFonts w:ascii="Arial" w:hAnsi="Arial" w:cs="Arial"/>
        </w:rPr>
        <w:t>and Jasper is correct in concluding that it was the arrival of historical criticism in the late eighteenth century which “effected a broad separation between biblical criticism and other forms of literary criticism which remains largely in place today</w:t>
      </w:r>
      <w:r w:rsidR="00163523">
        <w:rPr>
          <w:rFonts w:ascii="Arial" w:hAnsi="Arial" w:cs="Arial"/>
        </w:rPr>
        <w:t>”.</w:t>
      </w:r>
      <w:r w:rsidR="00206652">
        <w:rPr>
          <w:rStyle w:val="FootnoteReference"/>
          <w:rFonts w:ascii="Arial" w:hAnsi="Arial" w:cs="Arial"/>
        </w:rPr>
        <w:footnoteReference w:id="1"/>
      </w:r>
      <w:r w:rsidR="00163523">
        <w:rPr>
          <w:rFonts w:ascii="Arial" w:hAnsi="Arial" w:cs="Arial"/>
        </w:rPr>
        <w:t xml:space="preserve"> However, I intend to </w:t>
      </w:r>
      <w:r w:rsidR="00621747">
        <w:rPr>
          <w:rFonts w:ascii="Arial" w:hAnsi="Arial" w:cs="Arial"/>
        </w:rPr>
        <w:t>argue</w:t>
      </w:r>
      <w:r w:rsidR="00163523">
        <w:rPr>
          <w:rFonts w:ascii="Arial" w:hAnsi="Arial" w:cs="Arial"/>
        </w:rPr>
        <w:t xml:space="preserve"> that using the techniques of literary criticism does not abandon the concerns of the historical critical approach but provides a complementary methodology.</w:t>
      </w:r>
    </w:p>
    <w:p w:rsidR="00C81931" w:rsidRDefault="00621747">
      <w:pPr>
        <w:rPr>
          <w:rFonts w:ascii="Arial" w:hAnsi="Arial" w:cs="Arial"/>
        </w:rPr>
      </w:pPr>
      <w:r>
        <w:rPr>
          <w:rFonts w:ascii="Arial" w:hAnsi="Arial" w:cs="Arial"/>
        </w:rPr>
        <w:t xml:space="preserve">The Creation </w:t>
      </w:r>
      <w:r w:rsidR="00456A69">
        <w:rPr>
          <w:rFonts w:ascii="Arial" w:hAnsi="Arial" w:cs="Arial"/>
        </w:rPr>
        <w:t>Myth of Genesis 1-3, whilst not</w:t>
      </w:r>
      <w:r>
        <w:rPr>
          <w:rFonts w:ascii="Arial" w:hAnsi="Arial" w:cs="Arial"/>
        </w:rPr>
        <w:t xml:space="preserve"> textually reliant, is reflective of beliefs widespread in the ancient </w:t>
      </w:r>
      <w:r w:rsidR="00456A69">
        <w:rPr>
          <w:rFonts w:ascii="Arial" w:hAnsi="Arial" w:cs="Arial"/>
        </w:rPr>
        <w:t xml:space="preserve">near eastern </w:t>
      </w:r>
      <w:r>
        <w:rPr>
          <w:rFonts w:ascii="Arial" w:hAnsi="Arial" w:cs="Arial"/>
        </w:rPr>
        <w:t>world.</w:t>
      </w:r>
      <w:r w:rsidR="00456A69">
        <w:rPr>
          <w:rFonts w:ascii="Arial" w:hAnsi="Arial" w:cs="Arial"/>
        </w:rPr>
        <w:t xml:space="preserve">  The Epic of Gilgamesh, organised onto twelve tablets by the end of the second millennium BCE, tells of a part divine/part human (Gilgamesh) for whom Enkidu is created to combat his loneliness. Enkidu</w:t>
      </w:r>
      <w:r w:rsidR="00046F1F">
        <w:rPr>
          <w:rFonts w:ascii="Arial" w:hAnsi="Arial" w:cs="Arial"/>
        </w:rPr>
        <w:t>, rejected by the animals after he has a sexual encounter with the prostitute Shamhat,</w:t>
      </w:r>
      <w:r w:rsidR="00456A69">
        <w:rPr>
          <w:rFonts w:ascii="Arial" w:hAnsi="Arial" w:cs="Arial"/>
        </w:rPr>
        <w:t xml:space="preserve"> acquires reason and embarks upon heroic deeds with Gilgamesh but dies as a punishment for Gilgamesh from the gods.  Despite being introduced to a plant with rejuvenating properties, which is taken and eaten by a serpent wh</w:t>
      </w:r>
      <w:r w:rsidR="00046F1F">
        <w:rPr>
          <w:rFonts w:ascii="Arial" w:hAnsi="Arial" w:cs="Arial"/>
        </w:rPr>
        <w:t>o</w:t>
      </w:r>
      <w:r w:rsidR="00456A69">
        <w:rPr>
          <w:rFonts w:ascii="Arial" w:hAnsi="Arial" w:cs="Arial"/>
        </w:rPr>
        <w:t xml:space="preserve"> promptly</w:t>
      </w:r>
      <w:r w:rsidR="00046F1F">
        <w:rPr>
          <w:rFonts w:ascii="Arial" w:hAnsi="Arial" w:cs="Arial"/>
        </w:rPr>
        <w:t xml:space="preserve"> sheds his skin as a sign of </w:t>
      </w:r>
      <w:r w:rsidR="00456A69">
        <w:rPr>
          <w:rFonts w:ascii="Arial" w:hAnsi="Arial" w:cs="Arial"/>
        </w:rPr>
        <w:t xml:space="preserve">immortality, Gilgamesh learns that death is </w:t>
      </w:r>
      <w:r w:rsidR="00046F1F">
        <w:rPr>
          <w:rFonts w:ascii="Arial" w:hAnsi="Arial" w:cs="Arial"/>
        </w:rPr>
        <w:t>t</w:t>
      </w:r>
      <w:r w:rsidR="00456A69">
        <w:rPr>
          <w:rFonts w:ascii="Arial" w:hAnsi="Arial" w:cs="Arial"/>
        </w:rPr>
        <w:t xml:space="preserve">he destiny for all </w:t>
      </w:r>
      <w:r w:rsidR="00046F1F">
        <w:rPr>
          <w:rFonts w:ascii="Arial" w:hAnsi="Arial" w:cs="Arial"/>
        </w:rPr>
        <w:t>humans</w:t>
      </w:r>
      <w:r w:rsidR="00456A69">
        <w:rPr>
          <w:rFonts w:ascii="Arial" w:hAnsi="Arial" w:cs="Arial"/>
        </w:rPr>
        <w:t>.</w:t>
      </w:r>
      <w:r w:rsidR="00046F1F">
        <w:rPr>
          <w:rFonts w:ascii="Arial" w:hAnsi="Arial" w:cs="Arial"/>
        </w:rPr>
        <w:t xml:space="preserve"> The Babylonian accounts of Athrahsis (seventeenth century BCE) and Enuma Elish (early first millennium BCE) both include the creation of humans through the mixing of the blood of a minor god/the ally of the sea monster Tiamat with clay</w:t>
      </w:r>
      <w:r w:rsidR="00167E18">
        <w:rPr>
          <w:rFonts w:ascii="Arial" w:hAnsi="Arial" w:cs="Arial"/>
        </w:rPr>
        <w:t>.  Genesis 1-3 shares obvious themes - the role of the serpent in the loss of immortality, the inability of human beings to live alone and the role of earth in creating humans (with not blood but breath introducing something of the divine) – with these contemporary myths, but also differences not least the call upon humans to multiply</w:t>
      </w:r>
      <w:r w:rsidR="00C81931">
        <w:rPr>
          <w:rFonts w:ascii="Arial" w:hAnsi="Arial" w:cs="Arial"/>
        </w:rPr>
        <w:t>,</w:t>
      </w:r>
      <w:r w:rsidR="00167E18">
        <w:rPr>
          <w:rFonts w:ascii="Arial" w:hAnsi="Arial" w:cs="Arial"/>
        </w:rPr>
        <w:t xml:space="preserve"> rather than their multiplication being problematic</w:t>
      </w:r>
      <w:r w:rsidR="00C81931">
        <w:rPr>
          <w:rFonts w:ascii="Arial" w:hAnsi="Arial" w:cs="Arial"/>
        </w:rPr>
        <w:t>,</w:t>
      </w:r>
      <w:r w:rsidR="00167E18">
        <w:rPr>
          <w:rFonts w:ascii="Arial" w:hAnsi="Arial" w:cs="Arial"/>
        </w:rPr>
        <w:t xml:space="preserve"> and humans being </w:t>
      </w:r>
      <w:r w:rsidR="00C81931">
        <w:rPr>
          <w:rFonts w:ascii="Arial" w:hAnsi="Arial" w:cs="Arial"/>
        </w:rPr>
        <w:t xml:space="preserve">made </w:t>
      </w:r>
      <w:r w:rsidR="00167E18">
        <w:rPr>
          <w:rFonts w:ascii="Arial" w:hAnsi="Arial" w:cs="Arial"/>
        </w:rPr>
        <w:t>in the image of God which was a concept reserved for kings in Egypt and Mesopotamia.  The widespread contemporary beliefs have been redefined.</w:t>
      </w:r>
      <w:r w:rsidR="00C81931">
        <w:rPr>
          <w:rFonts w:ascii="Arial" w:hAnsi="Arial" w:cs="Arial"/>
        </w:rPr>
        <w:t xml:space="preserve">  Genesis 1-3 provides a range of potential themes for exploration</w:t>
      </w:r>
      <w:r w:rsidR="0054246A">
        <w:rPr>
          <w:rFonts w:ascii="Arial" w:hAnsi="Arial" w:cs="Arial"/>
        </w:rPr>
        <w:t xml:space="preserve"> but I intend to focus on </w:t>
      </w:r>
      <w:r w:rsidR="0054246A" w:rsidRPr="00232349">
        <w:rPr>
          <w:rFonts w:ascii="Arial" w:hAnsi="Arial" w:cs="Arial"/>
        </w:rPr>
        <w:t>structure</w:t>
      </w:r>
      <w:r w:rsidR="00CA15BC" w:rsidRPr="00232349">
        <w:rPr>
          <w:rFonts w:ascii="Arial" w:hAnsi="Arial" w:cs="Arial"/>
        </w:rPr>
        <w:t xml:space="preserve"> and </w:t>
      </w:r>
      <w:r w:rsidR="00D760A9" w:rsidRPr="00232349">
        <w:rPr>
          <w:rFonts w:ascii="Arial" w:hAnsi="Arial" w:cs="Arial"/>
        </w:rPr>
        <w:t>language</w:t>
      </w:r>
      <w:r w:rsidR="00CA15BC" w:rsidRPr="00232349">
        <w:rPr>
          <w:rFonts w:ascii="Arial" w:hAnsi="Arial" w:cs="Arial"/>
        </w:rPr>
        <w:t xml:space="preserve"> (particularly in Chapters 1-2)</w:t>
      </w:r>
      <w:r w:rsidR="0054246A" w:rsidRPr="00232349">
        <w:rPr>
          <w:rFonts w:ascii="Arial" w:hAnsi="Arial" w:cs="Arial"/>
        </w:rPr>
        <w:t xml:space="preserve"> </w:t>
      </w:r>
      <w:r w:rsidR="007E72B8" w:rsidRPr="00232349">
        <w:rPr>
          <w:rFonts w:ascii="Arial" w:hAnsi="Arial" w:cs="Arial"/>
        </w:rPr>
        <w:t xml:space="preserve">and </w:t>
      </w:r>
      <w:r w:rsidR="00F228E5">
        <w:rPr>
          <w:rFonts w:ascii="Arial" w:hAnsi="Arial" w:cs="Arial"/>
        </w:rPr>
        <w:t>an alternative</w:t>
      </w:r>
      <w:r w:rsidR="00D760A9" w:rsidRPr="00232349">
        <w:rPr>
          <w:rFonts w:ascii="Arial" w:hAnsi="Arial" w:cs="Arial"/>
        </w:rPr>
        <w:t xml:space="preserve"> characterization </w:t>
      </w:r>
      <w:r w:rsidR="007E72B8" w:rsidRPr="00232349">
        <w:rPr>
          <w:rFonts w:ascii="Arial" w:hAnsi="Arial" w:cs="Arial"/>
        </w:rPr>
        <w:t>of Eve.</w:t>
      </w:r>
    </w:p>
    <w:p w:rsidR="00EC6C28" w:rsidRDefault="00EF4DF0">
      <w:pPr>
        <w:rPr>
          <w:rFonts w:ascii="Arial" w:hAnsi="Arial" w:cs="Arial"/>
          <w:b/>
          <w:u w:val="single"/>
        </w:rPr>
      </w:pPr>
      <w:r>
        <w:rPr>
          <w:rFonts w:ascii="Arial" w:hAnsi="Arial" w:cs="Arial"/>
          <w:b/>
          <w:u w:val="single"/>
        </w:rPr>
        <w:t>Structure</w:t>
      </w:r>
      <w:r w:rsidR="00EC6C28">
        <w:rPr>
          <w:rFonts w:ascii="Arial" w:hAnsi="Arial" w:cs="Arial"/>
          <w:b/>
          <w:u w:val="single"/>
        </w:rPr>
        <w:t>:</w:t>
      </w:r>
    </w:p>
    <w:p w:rsidR="00EC6C28" w:rsidRDefault="00EC6C28">
      <w:pPr>
        <w:rPr>
          <w:rFonts w:ascii="Arial" w:hAnsi="Arial" w:cs="Arial"/>
        </w:rPr>
      </w:pPr>
      <w:r w:rsidRPr="00EC6C28">
        <w:rPr>
          <w:rFonts w:ascii="Arial" w:hAnsi="Arial" w:cs="Arial"/>
        </w:rPr>
        <w:t>Apparent variations in style</w:t>
      </w:r>
      <w:r w:rsidR="00A91320">
        <w:rPr>
          <w:rFonts w:ascii="Arial" w:hAnsi="Arial" w:cs="Arial"/>
        </w:rPr>
        <w:t xml:space="preserve">, </w:t>
      </w:r>
      <w:r w:rsidR="00BD3AD7">
        <w:rPr>
          <w:rFonts w:ascii="Arial" w:hAnsi="Arial" w:cs="Arial"/>
        </w:rPr>
        <w:t>theological</w:t>
      </w:r>
      <w:r>
        <w:rPr>
          <w:rFonts w:ascii="Arial" w:hAnsi="Arial" w:cs="Arial"/>
        </w:rPr>
        <w:t xml:space="preserve"> viewpoints, </w:t>
      </w:r>
      <w:r w:rsidR="00BD3AD7">
        <w:rPr>
          <w:rFonts w:ascii="Arial" w:hAnsi="Arial" w:cs="Arial"/>
        </w:rPr>
        <w:t>repetition and doublets have been explained through recourse to the J and P source hypothesis and confusion from the recording of a previous oral tradition.  However, Brodie argues convincingly in his introduction that “recent literary criticism has begun to recognize that they are expressions of deliberate literary artistry”.</w:t>
      </w:r>
      <w:r w:rsidR="00BD3AD7">
        <w:rPr>
          <w:rStyle w:val="FootnoteReference"/>
          <w:rFonts w:ascii="Arial" w:hAnsi="Arial" w:cs="Arial"/>
        </w:rPr>
        <w:footnoteReference w:id="2"/>
      </w:r>
      <w:r w:rsidR="00BD3AD7">
        <w:rPr>
          <w:rFonts w:ascii="Arial" w:hAnsi="Arial" w:cs="Arial"/>
        </w:rPr>
        <w:t xml:space="preserve"> </w:t>
      </w:r>
      <w:r w:rsidR="00A91320">
        <w:rPr>
          <w:rFonts w:ascii="Arial" w:hAnsi="Arial" w:cs="Arial"/>
        </w:rPr>
        <w:t xml:space="preserve"> </w:t>
      </w:r>
      <w:r w:rsidR="00BD3AD7">
        <w:rPr>
          <w:rFonts w:ascii="Arial" w:hAnsi="Arial" w:cs="Arial"/>
        </w:rPr>
        <w:t>Variation in style and language is common in good writing, he argues, and the different names used for God bring a transcendent figure into greater imminence.</w:t>
      </w:r>
      <w:r w:rsidR="000710E9">
        <w:rPr>
          <w:rFonts w:ascii="Arial" w:hAnsi="Arial" w:cs="Arial"/>
        </w:rPr>
        <w:t xml:space="preserve"> </w:t>
      </w:r>
      <w:r w:rsidR="00EF4DF0">
        <w:rPr>
          <w:rFonts w:ascii="Arial" w:hAnsi="Arial" w:cs="Arial"/>
        </w:rPr>
        <w:t>Gunn summarises Erhard Blum</w:t>
      </w:r>
      <w:r w:rsidR="00EF4DF0">
        <w:rPr>
          <w:rStyle w:val="FootnoteReference"/>
          <w:rFonts w:ascii="Arial" w:hAnsi="Arial" w:cs="Arial"/>
        </w:rPr>
        <w:footnoteReference w:id="3"/>
      </w:r>
      <w:r w:rsidR="00EF4DF0">
        <w:rPr>
          <w:rFonts w:ascii="Arial" w:hAnsi="Arial" w:cs="Arial"/>
        </w:rPr>
        <w:t xml:space="preserve"> in identifying a coherence of plot, time-space and characterization across Genesis 1</w:t>
      </w:r>
      <w:r w:rsidR="00B634D2">
        <w:rPr>
          <w:rFonts w:ascii="Arial" w:hAnsi="Arial" w:cs="Arial"/>
        </w:rPr>
        <w:t xml:space="preserve"> </w:t>
      </w:r>
      <w:r w:rsidR="00EF4DF0">
        <w:rPr>
          <w:rFonts w:ascii="Arial" w:hAnsi="Arial" w:cs="Arial"/>
        </w:rPr>
        <w:t>-</w:t>
      </w:r>
      <w:r w:rsidR="00B634D2">
        <w:rPr>
          <w:rFonts w:ascii="Arial" w:hAnsi="Arial" w:cs="Arial"/>
        </w:rPr>
        <w:t xml:space="preserve"> </w:t>
      </w:r>
      <w:r w:rsidR="00EF4DF0">
        <w:rPr>
          <w:rFonts w:ascii="Arial" w:hAnsi="Arial" w:cs="Arial"/>
        </w:rPr>
        <w:t>2 Kings; in summarising Mandel and Freeman</w:t>
      </w:r>
      <w:r w:rsidR="00EF4DF0">
        <w:rPr>
          <w:rStyle w:val="FootnoteReference"/>
          <w:rFonts w:ascii="Arial" w:hAnsi="Arial" w:cs="Arial"/>
        </w:rPr>
        <w:footnoteReference w:id="4"/>
      </w:r>
      <w:r w:rsidR="00EF4DF0">
        <w:rPr>
          <w:rFonts w:ascii="Arial" w:hAnsi="Arial" w:cs="Arial"/>
        </w:rPr>
        <w:t xml:space="preserve"> Gunn notes the potential to view Genesis 1 as a prologue to the continuous narrative of </w:t>
      </w:r>
      <w:r w:rsidR="00EF4DF0">
        <w:rPr>
          <w:rFonts w:ascii="Arial" w:hAnsi="Arial" w:cs="Arial"/>
        </w:rPr>
        <w:lastRenderedPageBreak/>
        <w:t>Genesis – 2 Kings.  The disobedience of Adam and Eve leads to exile from Eden in the same way that the hero Israel, whose tragic flaw is also to rebel against God, results in exile from the land.  The breakdown of the relationship between Adam and Eve and God is replicated in the larger story.</w:t>
      </w:r>
    </w:p>
    <w:p w:rsidR="00FC4B9A" w:rsidRDefault="00EF4DF0">
      <w:pPr>
        <w:rPr>
          <w:rFonts w:ascii="Arial" w:hAnsi="Arial" w:cs="Arial"/>
        </w:rPr>
      </w:pPr>
      <w:r>
        <w:rPr>
          <w:rFonts w:ascii="Arial" w:hAnsi="Arial" w:cs="Arial"/>
        </w:rPr>
        <w:t xml:space="preserve">Brodie identifies a two-fold </w:t>
      </w:r>
      <w:r w:rsidR="00A26BA1">
        <w:rPr>
          <w:rFonts w:ascii="Arial" w:hAnsi="Arial" w:cs="Arial"/>
        </w:rPr>
        <w:t>diptych structure in Genesis 1-</w:t>
      </w:r>
      <w:r w:rsidR="000E12FE">
        <w:rPr>
          <w:rFonts w:ascii="Arial" w:hAnsi="Arial" w:cs="Arial"/>
        </w:rPr>
        <w:t xml:space="preserve">3.  </w:t>
      </w:r>
      <w:r w:rsidR="00A26BA1">
        <w:rPr>
          <w:rFonts w:ascii="Arial" w:hAnsi="Arial" w:cs="Arial"/>
        </w:rPr>
        <w:t xml:space="preserve">The story opens with the dramatic announcement, “In the beginning when God created </w:t>
      </w:r>
      <w:r w:rsidR="00F41BD6">
        <w:rPr>
          <w:rFonts w:ascii="Arial" w:hAnsi="Arial" w:cs="Arial"/>
        </w:rPr>
        <w:t>the heavens and the earth” (</w:t>
      </w:r>
      <w:r w:rsidR="00A26BA1">
        <w:rPr>
          <w:rFonts w:ascii="Arial" w:hAnsi="Arial" w:cs="Arial"/>
        </w:rPr>
        <w:t>1:1).</w:t>
      </w:r>
      <w:r w:rsidR="000E12FE">
        <w:rPr>
          <w:rFonts w:ascii="Arial" w:hAnsi="Arial" w:cs="Arial"/>
        </w:rPr>
        <w:t xml:space="preserve">  The first account then describes</w:t>
      </w:r>
      <w:r w:rsidR="00A26BA1">
        <w:rPr>
          <w:rFonts w:ascii="Arial" w:hAnsi="Arial" w:cs="Arial"/>
        </w:rPr>
        <w:t xml:space="preserve"> how this took place over a period of six </w:t>
      </w:r>
      <w:r w:rsidR="000E12FE">
        <w:rPr>
          <w:rFonts w:ascii="Arial" w:hAnsi="Arial" w:cs="Arial"/>
        </w:rPr>
        <w:t>days</w:t>
      </w:r>
      <w:r w:rsidR="00A26BA1">
        <w:rPr>
          <w:rFonts w:ascii="Arial" w:hAnsi="Arial" w:cs="Arial"/>
        </w:rPr>
        <w:t xml:space="preserve">.  The </w:t>
      </w:r>
      <w:r w:rsidR="000E12FE">
        <w:rPr>
          <w:rFonts w:ascii="Arial" w:hAnsi="Arial" w:cs="Arial"/>
        </w:rPr>
        <w:t xml:space="preserve">first </w:t>
      </w:r>
      <w:r w:rsidR="00A26BA1">
        <w:rPr>
          <w:rFonts w:ascii="Arial" w:hAnsi="Arial" w:cs="Arial"/>
        </w:rPr>
        <w:t xml:space="preserve">creation </w:t>
      </w:r>
      <w:r w:rsidR="000E12FE">
        <w:rPr>
          <w:rFonts w:ascii="Arial" w:hAnsi="Arial" w:cs="Arial"/>
        </w:rPr>
        <w:t xml:space="preserve">account </w:t>
      </w:r>
      <w:r w:rsidR="00A26BA1">
        <w:rPr>
          <w:rFonts w:ascii="Arial" w:hAnsi="Arial" w:cs="Arial"/>
        </w:rPr>
        <w:t>falls into two sections culminating in the creation of dry land/</w:t>
      </w:r>
      <w:r w:rsidR="000E12FE">
        <w:rPr>
          <w:rFonts w:ascii="Arial" w:hAnsi="Arial" w:cs="Arial"/>
        </w:rPr>
        <w:t>vegetation</w:t>
      </w:r>
      <w:r w:rsidR="00A26BA1">
        <w:rPr>
          <w:rFonts w:ascii="Arial" w:hAnsi="Arial" w:cs="Arial"/>
        </w:rPr>
        <w:t xml:space="preserve"> at the end of Day 3 and</w:t>
      </w:r>
      <w:r>
        <w:rPr>
          <w:rFonts w:ascii="Arial" w:hAnsi="Arial" w:cs="Arial"/>
        </w:rPr>
        <w:t xml:space="preserve"> </w:t>
      </w:r>
      <w:r w:rsidR="00A26BA1">
        <w:rPr>
          <w:rFonts w:ascii="Arial" w:hAnsi="Arial" w:cs="Arial"/>
        </w:rPr>
        <w:t xml:space="preserve">animals/humans on Day 6.  Within these two sections each day has an echo so </w:t>
      </w:r>
      <w:r w:rsidR="000E12FE">
        <w:rPr>
          <w:rFonts w:ascii="Arial" w:hAnsi="Arial" w:cs="Arial"/>
        </w:rPr>
        <w:t xml:space="preserve">the creation of light (Day 1) </w:t>
      </w:r>
      <w:r w:rsidR="00B634D2">
        <w:rPr>
          <w:rFonts w:ascii="Arial" w:hAnsi="Arial" w:cs="Arial"/>
        </w:rPr>
        <w:t>is echoed by</w:t>
      </w:r>
      <w:r w:rsidR="000E12FE">
        <w:rPr>
          <w:rFonts w:ascii="Arial" w:hAnsi="Arial" w:cs="Arial"/>
        </w:rPr>
        <w:t xml:space="preserve"> the creation of the greater and lesser lights (Day 4), the separation of the waters above and below (Day 2) </w:t>
      </w:r>
      <w:r w:rsidR="00B634D2">
        <w:rPr>
          <w:rFonts w:ascii="Arial" w:hAnsi="Arial" w:cs="Arial"/>
        </w:rPr>
        <w:t>is echoed by</w:t>
      </w:r>
      <w:r w:rsidR="000E12FE">
        <w:rPr>
          <w:rFonts w:ascii="Arial" w:hAnsi="Arial" w:cs="Arial"/>
        </w:rPr>
        <w:t xml:space="preserve"> the creation of the creatures of the sea and air (Day 5) and, climactically, the creation of trees</w:t>
      </w:r>
      <w:r w:rsidR="00B634D2">
        <w:rPr>
          <w:rFonts w:ascii="Arial" w:hAnsi="Arial" w:cs="Arial"/>
        </w:rPr>
        <w:t xml:space="preserve"> and plants (Day 3) is echoed by</w:t>
      </w:r>
      <w:r w:rsidR="000E12FE">
        <w:rPr>
          <w:rFonts w:ascii="Arial" w:hAnsi="Arial" w:cs="Arial"/>
        </w:rPr>
        <w:t xml:space="preserve"> the creation of animals and humans (Day 6).</w:t>
      </w:r>
      <w:r>
        <w:rPr>
          <w:rFonts w:ascii="Arial" w:hAnsi="Arial" w:cs="Arial"/>
        </w:rPr>
        <w:t xml:space="preserve"> </w:t>
      </w:r>
      <w:r w:rsidR="0054246A">
        <w:rPr>
          <w:rFonts w:ascii="Arial" w:hAnsi="Arial" w:cs="Arial"/>
        </w:rPr>
        <w:t xml:space="preserve">As the days progress God speaks more and more until the climactic creation of humans (1:26).  </w:t>
      </w:r>
      <w:r w:rsidR="00FC4B9A">
        <w:rPr>
          <w:rFonts w:ascii="Arial" w:hAnsi="Arial" w:cs="Arial"/>
        </w:rPr>
        <w:t xml:space="preserve">The second account (2:4b-24) unpacks the climactic third and sixth day but shifts emphasis from the mighty transcendent acts in the first account to something more earthly.  </w:t>
      </w:r>
      <w:r w:rsidR="00D760A9">
        <w:rPr>
          <w:rFonts w:ascii="Arial" w:hAnsi="Arial" w:cs="Arial"/>
        </w:rPr>
        <w:t xml:space="preserve">The word “create”, for example, has its final usage in 2:4a.  </w:t>
      </w:r>
      <w:r w:rsidR="00FC4B9A">
        <w:rPr>
          <w:rFonts w:ascii="Arial" w:hAnsi="Arial" w:cs="Arial"/>
        </w:rPr>
        <w:t>The “heavens and the earth” (1:1) become “the earth and heavens” (2:4b), whilst “a wind from God swept over the face of the waters” (1:2) gives way to God who “breathed into his nostrils the breath of life” (2:7). Whilst the first account closes with the divine harmony of God resting on the seventh day (2:2) the harmony in the second account is between the man and the woman (2:25).</w:t>
      </w:r>
      <w:r w:rsidR="00517AC1">
        <w:rPr>
          <w:rFonts w:ascii="Arial" w:hAnsi="Arial" w:cs="Arial"/>
        </w:rPr>
        <w:t xml:space="preserve">  </w:t>
      </w:r>
      <w:r w:rsidR="00FC4B9A">
        <w:rPr>
          <w:rFonts w:ascii="Arial" w:hAnsi="Arial" w:cs="Arial"/>
        </w:rPr>
        <w:t>The first account sees time sequentially progressing from Day 1 to Day 7</w:t>
      </w:r>
      <w:r w:rsidR="003B35DE">
        <w:rPr>
          <w:rFonts w:ascii="Arial" w:hAnsi="Arial" w:cs="Arial"/>
        </w:rPr>
        <w:t xml:space="preserve"> with reference to night and day/seasons/days and years (1:14)</w:t>
      </w:r>
      <w:r w:rsidR="00FC4B9A">
        <w:rPr>
          <w:rFonts w:ascii="Arial" w:hAnsi="Arial" w:cs="Arial"/>
        </w:rPr>
        <w:t xml:space="preserve"> whilst in the second account the focus is spatial</w:t>
      </w:r>
      <w:r w:rsidR="00517AC1">
        <w:rPr>
          <w:rFonts w:ascii="Arial" w:hAnsi="Arial" w:cs="Arial"/>
        </w:rPr>
        <w:t xml:space="preserve"> with </w:t>
      </w:r>
      <w:r w:rsidR="003B35DE">
        <w:rPr>
          <w:rFonts w:ascii="Arial" w:hAnsi="Arial" w:cs="Arial"/>
        </w:rPr>
        <w:t xml:space="preserve">a garden, its centre and </w:t>
      </w:r>
      <w:r w:rsidR="00517AC1">
        <w:rPr>
          <w:rFonts w:ascii="Arial" w:hAnsi="Arial" w:cs="Arial"/>
        </w:rPr>
        <w:t>the four rivers flowing out from Eden (2:10).  Whilst there is considerable variation between these two accounts Brodie argues</w:t>
      </w:r>
      <w:r w:rsidR="00517AC1">
        <w:rPr>
          <w:rStyle w:val="FootnoteReference"/>
          <w:rFonts w:ascii="Arial" w:hAnsi="Arial" w:cs="Arial"/>
        </w:rPr>
        <w:footnoteReference w:id="5"/>
      </w:r>
      <w:r w:rsidR="00517AC1">
        <w:rPr>
          <w:rFonts w:ascii="Arial" w:hAnsi="Arial" w:cs="Arial"/>
        </w:rPr>
        <w:t xml:space="preserve"> that they represent the two “basic types”</w:t>
      </w:r>
      <w:r w:rsidR="004B1E11">
        <w:rPr>
          <w:rFonts w:ascii="Arial" w:hAnsi="Arial" w:cs="Arial"/>
        </w:rPr>
        <w:t xml:space="preserve"> </w:t>
      </w:r>
      <w:r w:rsidR="00517AC1">
        <w:rPr>
          <w:rFonts w:ascii="Arial" w:hAnsi="Arial" w:cs="Arial"/>
        </w:rPr>
        <w:t>of creation story</w:t>
      </w:r>
      <w:r w:rsidR="00A91320">
        <w:rPr>
          <w:rFonts w:ascii="Arial" w:hAnsi="Arial" w:cs="Arial"/>
        </w:rPr>
        <w:t>,</w:t>
      </w:r>
      <w:r w:rsidR="00517AC1">
        <w:rPr>
          <w:rFonts w:ascii="Arial" w:hAnsi="Arial" w:cs="Arial"/>
        </w:rPr>
        <w:t xml:space="preserve"> namely creation as a whole and creation of something specific</w:t>
      </w:r>
      <w:r w:rsidR="00A91320">
        <w:rPr>
          <w:rFonts w:ascii="Arial" w:hAnsi="Arial" w:cs="Arial"/>
        </w:rPr>
        <w:t>,</w:t>
      </w:r>
      <w:r w:rsidR="00517AC1">
        <w:rPr>
          <w:rFonts w:ascii="Arial" w:hAnsi="Arial" w:cs="Arial"/>
        </w:rPr>
        <w:t xml:space="preserve"> and hence form a unity.    </w:t>
      </w:r>
    </w:p>
    <w:p w:rsidR="00EF4DF0" w:rsidRDefault="00EF4DF0">
      <w:pPr>
        <w:rPr>
          <w:rFonts w:ascii="Arial" w:hAnsi="Arial" w:cs="Arial"/>
        </w:rPr>
      </w:pPr>
      <w:r>
        <w:rPr>
          <w:rFonts w:ascii="Arial" w:hAnsi="Arial" w:cs="Arial"/>
        </w:rPr>
        <w:t xml:space="preserve">The transcendent and distant </w:t>
      </w:r>
      <w:r w:rsidR="00517AC1">
        <w:rPr>
          <w:rFonts w:ascii="Arial" w:hAnsi="Arial" w:cs="Arial"/>
        </w:rPr>
        <w:t xml:space="preserve">creator </w:t>
      </w:r>
      <w:r>
        <w:rPr>
          <w:rFonts w:ascii="Arial" w:hAnsi="Arial" w:cs="Arial"/>
        </w:rPr>
        <w:t>God of the first account is replaced by the anthropomorphic immanence of YHWH God in the second account</w:t>
      </w:r>
      <w:r w:rsidR="00517AC1">
        <w:rPr>
          <w:rFonts w:ascii="Arial" w:hAnsi="Arial" w:cs="Arial"/>
        </w:rPr>
        <w:t>.  The focus switches from creation flowing from God (God said/saw/called) to a focus on humans</w:t>
      </w:r>
      <w:r w:rsidR="004B1E11">
        <w:rPr>
          <w:rFonts w:ascii="Arial" w:hAnsi="Arial" w:cs="Arial"/>
        </w:rPr>
        <w:t xml:space="preserve"> e.g. “It is not good that a man should be alone” (2:18).</w:t>
      </w:r>
      <w:r w:rsidR="00517AC1">
        <w:rPr>
          <w:rFonts w:ascii="Arial" w:hAnsi="Arial" w:cs="Arial"/>
        </w:rPr>
        <w:t xml:space="preserve"> </w:t>
      </w:r>
      <w:r>
        <w:rPr>
          <w:rFonts w:ascii="Arial" w:hAnsi="Arial" w:cs="Arial"/>
        </w:rPr>
        <w:t xml:space="preserve"> </w:t>
      </w:r>
      <w:r w:rsidR="004B1E11">
        <w:rPr>
          <w:rFonts w:ascii="Arial" w:hAnsi="Arial" w:cs="Arial"/>
        </w:rPr>
        <w:t xml:space="preserve">Brodie illustrates the </w:t>
      </w:r>
      <w:r w:rsidR="00375E2B">
        <w:rPr>
          <w:rFonts w:ascii="Arial" w:hAnsi="Arial" w:cs="Arial"/>
        </w:rPr>
        <w:t>complementarity</w:t>
      </w:r>
      <w:r w:rsidR="004B1E11">
        <w:rPr>
          <w:rFonts w:ascii="Arial" w:hAnsi="Arial" w:cs="Arial"/>
        </w:rPr>
        <w:t xml:space="preserve"> of the two accounts with the example of the opening lines (1:1 and 2:4b).</w:t>
      </w:r>
      <w:r w:rsidR="004B1E11">
        <w:rPr>
          <w:rStyle w:val="FootnoteReference"/>
          <w:rFonts w:ascii="Arial" w:hAnsi="Arial" w:cs="Arial"/>
        </w:rPr>
        <w:footnoteReference w:id="6"/>
      </w:r>
      <w:r w:rsidR="004B1E11">
        <w:rPr>
          <w:rFonts w:ascii="Arial" w:hAnsi="Arial" w:cs="Arial"/>
        </w:rPr>
        <w:t xml:space="preserve">  “In the beginning” v “</w:t>
      </w:r>
      <w:r w:rsidR="00D760A9">
        <w:rPr>
          <w:rFonts w:ascii="Arial" w:hAnsi="Arial" w:cs="Arial"/>
        </w:rPr>
        <w:t>i</w:t>
      </w:r>
      <w:r w:rsidR="00A91320">
        <w:rPr>
          <w:rFonts w:ascii="Arial" w:hAnsi="Arial" w:cs="Arial"/>
        </w:rPr>
        <w:t>n the day”, “God” v “YHWH</w:t>
      </w:r>
      <w:r w:rsidR="004B1E11">
        <w:rPr>
          <w:rFonts w:ascii="Arial" w:hAnsi="Arial" w:cs="Arial"/>
        </w:rPr>
        <w:t xml:space="preserve"> God”, “created” v “made” and “the heavens and the earth” v “earth and heavens”.  The second account is focussed on humanity and earthliness and reflects the theological reality of a distant creator God at the same time involved with human beings.</w:t>
      </w:r>
      <w:r w:rsidR="00A91320">
        <w:rPr>
          <w:rFonts w:ascii="Arial" w:hAnsi="Arial" w:cs="Arial"/>
        </w:rPr>
        <w:t xml:space="preserve"> The use of YHWH</w:t>
      </w:r>
      <w:r w:rsidR="003B35DE">
        <w:rPr>
          <w:rFonts w:ascii="Arial" w:hAnsi="Arial" w:cs="Arial"/>
        </w:rPr>
        <w:t xml:space="preserve"> God, in particular, increases later in Genesis as humans become more troubled as well as in subsequent books especially Exodus (e.g. Ex 2:23-25). </w:t>
      </w:r>
      <w:r w:rsidR="00F303AD">
        <w:rPr>
          <w:rFonts w:ascii="Arial" w:hAnsi="Arial" w:cs="Arial"/>
        </w:rPr>
        <w:t xml:space="preserve">Moreover further </w:t>
      </w:r>
      <w:r w:rsidR="00375E2B">
        <w:rPr>
          <w:rFonts w:ascii="Arial" w:hAnsi="Arial" w:cs="Arial"/>
        </w:rPr>
        <w:t>complementarity</w:t>
      </w:r>
      <w:r w:rsidR="00F303AD">
        <w:rPr>
          <w:rFonts w:ascii="Arial" w:hAnsi="Arial" w:cs="Arial"/>
        </w:rPr>
        <w:t xml:space="preserve"> is shown when, i</w:t>
      </w:r>
      <w:r w:rsidR="003B35DE">
        <w:rPr>
          <w:rFonts w:ascii="Arial" w:hAnsi="Arial" w:cs="Arial"/>
        </w:rPr>
        <w:t>n the first account</w:t>
      </w:r>
      <w:r w:rsidR="00F303AD">
        <w:rPr>
          <w:rFonts w:ascii="Arial" w:hAnsi="Arial" w:cs="Arial"/>
        </w:rPr>
        <w:t>,</w:t>
      </w:r>
      <w:r w:rsidR="003B35DE">
        <w:rPr>
          <w:rFonts w:ascii="Arial" w:hAnsi="Arial" w:cs="Arial"/>
        </w:rPr>
        <w:t xml:space="preserve"> humans are made in God’s image (1:26) whilst in the second account, albeit with the divine breath, man comes from the earth (2:7). </w:t>
      </w:r>
      <w:r w:rsidR="00F303AD">
        <w:rPr>
          <w:rFonts w:ascii="Arial" w:hAnsi="Arial" w:cs="Arial"/>
        </w:rPr>
        <w:t xml:space="preserve">The first account emphasizes that humans should “be fruitful and multiply” (1:28) whilst in the second account the focus is on companionship (2:18).  Humans are ordered to have mastery over the animals in the first account (1:26) and this takes place in the second account when the animals are named (2:20). </w:t>
      </w:r>
      <w:r w:rsidR="00872DC2">
        <w:rPr>
          <w:rFonts w:ascii="Arial" w:hAnsi="Arial" w:cs="Arial"/>
        </w:rPr>
        <w:t>Brodie</w:t>
      </w:r>
      <w:r w:rsidR="00872DC2">
        <w:rPr>
          <w:rStyle w:val="FootnoteReference"/>
          <w:rFonts w:ascii="Arial" w:hAnsi="Arial" w:cs="Arial"/>
        </w:rPr>
        <w:footnoteReference w:id="7"/>
      </w:r>
      <w:r w:rsidR="00872DC2">
        <w:rPr>
          <w:rFonts w:ascii="Arial" w:hAnsi="Arial" w:cs="Arial"/>
        </w:rPr>
        <w:t xml:space="preserve"> also identifies a complementarity in relation to worship with the seventh day of the first account having a clear connection to the </w:t>
      </w:r>
      <w:r w:rsidR="00872DC2">
        <w:rPr>
          <w:rFonts w:ascii="Arial" w:hAnsi="Arial" w:cs="Arial"/>
        </w:rPr>
        <w:lastRenderedPageBreak/>
        <w:t>Sabbath whilst the Ed</w:t>
      </w:r>
      <w:r w:rsidR="00D760A9">
        <w:rPr>
          <w:rFonts w:ascii="Arial" w:hAnsi="Arial" w:cs="Arial"/>
        </w:rPr>
        <w:t>e</w:t>
      </w:r>
      <w:r w:rsidR="00872DC2">
        <w:rPr>
          <w:rFonts w:ascii="Arial" w:hAnsi="Arial" w:cs="Arial"/>
        </w:rPr>
        <w:t>n scene has echoes of the sanctuary with the tree in the middle as a source of life being like the sanctuary in the middle of people (Num 2).</w:t>
      </w:r>
    </w:p>
    <w:p w:rsidR="00D760A9" w:rsidRPr="00CA15BC" w:rsidRDefault="00D760A9">
      <w:pPr>
        <w:rPr>
          <w:rFonts w:ascii="Arial" w:hAnsi="Arial" w:cs="Arial"/>
          <w:b/>
          <w:u w:val="single"/>
        </w:rPr>
      </w:pPr>
      <w:r w:rsidRPr="00CA15BC">
        <w:rPr>
          <w:rFonts w:ascii="Arial" w:hAnsi="Arial" w:cs="Arial"/>
          <w:b/>
          <w:u w:val="single"/>
        </w:rPr>
        <w:t>Language:</w:t>
      </w:r>
    </w:p>
    <w:p w:rsidR="00D760A9" w:rsidRDefault="00CA15BC">
      <w:pPr>
        <w:rPr>
          <w:rFonts w:ascii="Arial" w:hAnsi="Arial" w:cs="Arial"/>
        </w:rPr>
      </w:pPr>
      <w:r>
        <w:rPr>
          <w:rFonts w:ascii="Arial" w:hAnsi="Arial" w:cs="Arial"/>
        </w:rPr>
        <w:t xml:space="preserve">In 1:1-2 we are told that god created “the heavens and the earth” (‘eres).  </w:t>
      </w:r>
      <w:r w:rsidR="00375E2B">
        <w:rPr>
          <w:rFonts w:ascii="Arial" w:hAnsi="Arial" w:cs="Arial"/>
        </w:rPr>
        <w:t>Whilst</w:t>
      </w:r>
      <w:r>
        <w:rPr>
          <w:rFonts w:ascii="Arial" w:hAnsi="Arial" w:cs="Arial"/>
        </w:rPr>
        <w:t xml:space="preserve"> this </w:t>
      </w:r>
      <w:r w:rsidR="00375E2B">
        <w:rPr>
          <w:rFonts w:ascii="Arial" w:hAnsi="Arial" w:cs="Arial"/>
        </w:rPr>
        <w:t>can</w:t>
      </w:r>
      <w:r>
        <w:rPr>
          <w:rFonts w:ascii="Arial" w:hAnsi="Arial" w:cs="Arial"/>
        </w:rPr>
        <w:t xml:space="preserve"> be taken as opposites to encompass a totality there is </w:t>
      </w:r>
      <w:r w:rsidR="00375E2B">
        <w:rPr>
          <w:rFonts w:ascii="Arial" w:hAnsi="Arial" w:cs="Arial"/>
        </w:rPr>
        <w:t>not</w:t>
      </w:r>
      <w:r>
        <w:rPr>
          <w:rFonts w:ascii="Arial" w:hAnsi="Arial" w:cs="Arial"/>
        </w:rPr>
        <w:t xml:space="preserve"> the same unity </w:t>
      </w:r>
      <w:r w:rsidR="00D9706A">
        <w:rPr>
          <w:rFonts w:ascii="Arial" w:hAnsi="Arial" w:cs="Arial"/>
        </w:rPr>
        <w:t xml:space="preserve">as </w:t>
      </w:r>
      <w:r>
        <w:rPr>
          <w:rFonts w:ascii="Arial" w:hAnsi="Arial" w:cs="Arial"/>
        </w:rPr>
        <w:t>found in the word kosmos.  However, whatever the possible division</w:t>
      </w:r>
      <w:r w:rsidR="00D9706A">
        <w:rPr>
          <w:rFonts w:ascii="Arial" w:hAnsi="Arial" w:cs="Arial"/>
        </w:rPr>
        <w:t>,</w:t>
      </w:r>
      <w:r>
        <w:rPr>
          <w:rFonts w:ascii="Arial" w:hAnsi="Arial" w:cs="Arial"/>
        </w:rPr>
        <w:t xml:space="preserve"> all is from God.  Creation brings order from chaos, a “formless void”.  In Hebrew this is a hendiadys (two nouns joined with a conjunction rather than the noun plus adject</w:t>
      </w:r>
      <w:r w:rsidR="008558B8">
        <w:rPr>
          <w:rFonts w:ascii="Arial" w:hAnsi="Arial" w:cs="Arial"/>
        </w:rPr>
        <w:t>ival form in English) formed fro</w:t>
      </w:r>
      <w:r>
        <w:rPr>
          <w:rFonts w:ascii="Arial" w:hAnsi="Arial" w:cs="Arial"/>
        </w:rPr>
        <w:t>m the rhyming words</w:t>
      </w:r>
      <w:r w:rsidR="008558B8">
        <w:rPr>
          <w:rFonts w:ascii="Arial" w:hAnsi="Arial" w:cs="Arial"/>
        </w:rPr>
        <w:t xml:space="preserve"> tōhu and bōhu which adds emphasis.  The darkness and deep create a vivid, and shadowy, image countered by the </w:t>
      </w:r>
      <w:r w:rsidR="00375E2B">
        <w:rPr>
          <w:rFonts w:ascii="Arial" w:hAnsi="Arial" w:cs="Arial"/>
        </w:rPr>
        <w:t>life-giving</w:t>
      </w:r>
      <w:r w:rsidR="008558B8">
        <w:rPr>
          <w:rFonts w:ascii="Arial" w:hAnsi="Arial" w:cs="Arial"/>
        </w:rPr>
        <w:t xml:space="preserve"> spirit of God.</w:t>
      </w:r>
    </w:p>
    <w:p w:rsidR="008558B8" w:rsidRDefault="008558B8">
      <w:pPr>
        <w:rPr>
          <w:rFonts w:ascii="Arial" w:hAnsi="Arial" w:cs="Arial"/>
        </w:rPr>
      </w:pPr>
      <w:r>
        <w:rPr>
          <w:rFonts w:ascii="Arial" w:hAnsi="Arial" w:cs="Arial"/>
        </w:rPr>
        <w:t>In 1:3-13 the first three days of creation are described.  On each occasion God says “Let there be</w:t>
      </w:r>
      <w:r w:rsidR="00375E2B">
        <w:rPr>
          <w:rFonts w:ascii="Arial" w:hAnsi="Arial" w:cs="Arial"/>
        </w:rPr>
        <w:t>...”</w:t>
      </w:r>
      <w:r>
        <w:rPr>
          <w:rFonts w:ascii="Arial" w:hAnsi="Arial" w:cs="Arial"/>
        </w:rPr>
        <w:t xml:space="preserve"> and there is – an indication of God’s </w:t>
      </w:r>
      <w:r w:rsidR="00375E2B">
        <w:rPr>
          <w:rFonts w:ascii="Arial" w:hAnsi="Arial" w:cs="Arial"/>
        </w:rPr>
        <w:t>sovereignty</w:t>
      </w:r>
      <w:r>
        <w:rPr>
          <w:rFonts w:ascii="Arial" w:hAnsi="Arial" w:cs="Arial"/>
        </w:rPr>
        <w:t xml:space="preserve">.  The Hebrew </w:t>
      </w:r>
      <w:r w:rsidR="00D9706A">
        <w:rPr>
          <w:rFonts w:ascii="Arial" w:hAnsi="Arial" w:cs="Arial"/>
        </w:rPr>
        <w:t>for “let there be” and “there i</w:t>
      </w:r>
      <w:r>
        <w:rPr>
          <w:rFonts w:ascii="Arial" w:hAnsi="Arial" w:cs="Arial"/>
        </w:rPr>
        <w:t xml:space="preserve">s” is </w:t>
      </w:r>
      <w:r w:rsidR="00375E2B">
        <w:rPr>
          <w:rFonts w:ascii="Arial" w:hAnsi="Arial" w:cs="Arial"/>
        </w:rPr>
        <w:t>the</w:t>
      </w:r>
      <w:r>
        <w:rPr>
          <w:rFonts w:ascii="Arial" w:hAnsi="Arial" w:cs="Arial"/>
        </w:rPr>
        <w:t xml:space="preserve"> same showing </w:t>
      </w:r>
      <w:r w:rsidR="00375E2B">
        <w:rPr>
          <w:rFonts w:ascii="Arial" w:hAnsi="Arial" w:cs="Arial"/>
        </w:rPr>
        <w:t>both</w:t>
      </w:r>
      <w:r>
        <w:rPr>
          <w:rFonts w:ascii="Arial" w:hAnsi="Arial" w:cs="Arial"/>
        </w:rPr>
        <w:t xml:space="preserve"> God’s command and the resulting reality.  The first day, as each subsequent day, concludes with the phrase, “And there was evening and there was morning” reflecting the starting of Feast Days at </w:t>
      </w:r>
      <w:r w:rsidR="00375E2B">
        <w:rPr>
          <w:rFonts w:ascii="Arial" w:hAnsi="Arial" w:cs="Arial"/>
        </w:rPr>
        <w:t>dusk in</w:t>
      </w:r>
      <w:r>
        <w:rPr>
          <w:rFonts w:ascii="Arial" w:hAnsi="Arial" w:cs="Arial"/>
        </w:rPr>
        <w:t xml:space="preserve"> the </w:t>
      </w:r>
      <w:r w:rsidR="00375E2B">
        <w:rPr>
          <w:rFonts w:ascii="Arial" w:hAnsi="Arial" w:cs="Arial"/>
        </w:rPr>
        <w:t>Jewish</w:t>
      </w:r>
      <w:r>
        <w:rPr>
          <w:rFonts w:ascii="Arial" w:hAnsi="Arial" w:cs="Arial"/>
        </w:rPr>
        <w:t xml:space="preserve"> calendar.  At the close of the second day (v 8) we are not told that it was good</w:t>
      </w:r>
      <w:r w:rsidR="00D9706A">
        <w:rPr>
          <w:rFonts w:ascii="Arial" w:hAnsi="Arial" w:cs="Arial"/>
        </w:rPr>
        <w:t>,</w:t>
      </w:r>
      <w:r>
        <w:rPr>
          <w:rFonts w:ascii="Arial" w:hAnsi="Arial" w:cs="Arial"/>
        </w:rPr>
        <w:t xml:space="preserve"> perhaps hinting at an issue to come in </w:t>
      </w:r>
      <w:r w:rsidR="00375E2B">
        <w:rPr>
          <w:rFonts w:ascii="Arial" w:hAnsi="Arial" w:cs="Arial"/>
        </w:rPr>
        <w:t>the</w:t>
      </w:r>
      <w:r>
        <w:rPr>
          <w:rFonts w:ascii="Arial" w:hAnsi="Arial" w:cs="Arial"/>
        </w:rPr>
        <w:t xml:space="preserve"> separation between heaven and earth</w:t>
      </w:r>
      <w:r w:rsidR="00D9706A">
        <w:rPr>
          <w:rFonts w:ascii="Arial" w:hAnsi="Arial" w:cs="Arial"/>
        </w:rPr>
        <w:t>,</w:t>
      </w:r>
      <w:r>
        <w:rPr>
          <w:rFonts w:ascii="Arial" w:hAnsi="Arial" w:cs="Arial"/>
        </w:rPr>
        <w:t xml:space="preserve"> whilst the action of Day 3 is </w:t>
      </w:r>
      <w:r w:rsidR="00375E2B">
        <w:rPr>
          <w:rFonts w:ascii="Arial" w:hAnsi="Arial" w:cs="Arial"/>
        </w:rPr>
        <w:t>doubly</w:t>
      </w:r>
      <w:r>
        <w:rPr>
          <w:rFonts w:ascii="Arial" w:hAnsi="Arial" w:cs="Arial"/>
        </w:rPr>
        <w:t xml:space="preserve"> goo</w:t>
      </w:r>
      <w:r w:rsidR="00375E2B">
        <w:rPr>
          <w:rFonts w:ascii="Arial" w:hAnsi="Arial" w:cs="Arial"/>
        </w:rPr>
        <w:t>d</w:t>
      </w:r>
      <w:r>
        <w:rPr>
          <w:rFonts w:ascii="Arial" w:hAnsi="Arial" w:cs="Arial"/>
        </w:rPr>
        <w:t xml:space="preserve"> (v</w:t>
      </w:r>
      <w:r w:rsidR="00D3521C">
        <w:rPr>
          <w:rFonts w:ascii="Arial" w:hAnsi="Arial" w:cs="Arial"/>
        </w:rPr>
        <w:t>10 and 12).</w:t>
      </w:r>
    </w:p>
    <w:p w:rsidR="00375E2B" w:rsidRDefault="00D3521C">
      <w:pPr>
        <w:rPr>
          <w:rFonts w:ascii="Arial" w:hAnsi="Arial" w:cs="Arial"/>
        </w:rPr>
      </w:pPr>
      <w:r>
        <w:rPr>
          <w:rFonts w:ascii="Arial" w:hAnsi="Arial" w:cs="Arial"/>
        </w:rPr>
        <w:t xml:space="preserve">In 1:14-31 the final days of creation are described.  Whilst each of Days 4-6 echoes Days 1-3, </w:t>
      </w:r>
      <w:r w:rsidR="00375E2B">
        <w:rPr>
          <w:rFonts w:ascii="Arial" w:hAnsi="Arial" w:cs="Arial"/>
        </w:rPr>
        <w:t>indicating</w:t>
      </w:r>
      <w:r>
        <w:rPr>
          <w:rFonts w:ascii="Arial" w:hAnsi="Arial" w:cs="Arial"/>
        </w:rPr>
        <w:t xml:space="preserve"> continuity, there is also progression.  The sun, moon and stars and the creation of fish and birds adds wonder however the lack of repetition of the concept of God speaking and it occurring, “God said, ‘</w:t>
      </w:r>
      <w:r w:rsidR="00375E2B">
        <w:rPr>
          <w:rFonts w:ascii="Arial" w:hAnsi="Arial" w:cs="Arial"/>
        </w:rPr>
        <w:t>Let t</w:t>
      </w:r>
      <w:r>
        <w:rPr>
          <w:rFonts w:ascii="Arial" w:hAnsi="Arial" w:cs="Arial"/>
        </w:rPr>
        <w:t>here be light’; and there was</w:t>
      </w:r>
      <w:r w:rsidR="00D9706A">
        <w:rPr>
          <w:rFonts w:ascii="Arial" w:hAnsi="Arial" w:cs="Arial"/>
        </w:rPr>
        <w:t xml:space="preserve"> light” (1:3) is not replicated, </w:t>
      </w:r>
      <w:r w:rsidR="00375E2B">
        <w:rPr>
          <w:rFonts w:ascii="Arial" w:hAnsi="Arial" w:cs="Arial"/>
        </w:rPr>
        <w:t>indicating</w:t>
      </w:r>
      <w:r w:rsidR="00B634D2">
        <w:rPr>
          <w:rFonts w:ascii="Arial" w:hAnsi="Arial" w:cs="Arial"/>
        </w:rPr>
        <w:t xml:space="preserve"> that, in a hint of what is to come, </w:t>
      </w:r>
      <w:r w:rsidR="00375E2B">
        <w:rPr>
          <w:rFonts w:ascii="Arial" w:hAnsi="Arial" w:cs="Arial"/>
        </w:rPr>
        <w:t>the</w:t>
      </w:r>
      <w:r>
        <w:rPr>
          <w:rFonts w:ascii="Arial" w:hAnsi="Arial" w:cs="Arial"/>
        </w:rPr>
        <w:t xml:space="preserve"> </w:t>
      </w:r>
      <w:r w:rsidR="00375E2B">
        <w:rPr>
          <w:rFonts w:ascii="Arial" w:hAnsi="Arial" w:cs="Arial"/>
        </w:rPr>
        <w:t>account</w:t>
      </w:r>
      <w:r>
        <w:rPr>
          <w:rFonts w:ascii="Arial" w:hAnsi="Arial" w:cs="Arial"/>
        </w:rPr>
        <w:t xml:space="preserve"> “misses a beat”.</w:t>
      </w:r>
      <w:r>
        <w:rPr>
          <w:rStyle w:val="FootnoteReference"/>
          <w:rFonts w:ascii="Arial" w:hAnsi="Arial" w:cs="Arial"/>
        </w:rPr>
        <w:footnoteReference w:id="8"/>
      </w:r>
      <w:r w:rsidR="00375E2B">
        <w:rPr>
          <w:rFonts w:ascii="Arial" w:hAnsi="Arial" w:cs="Arial"/>
        </w:rPr>
        <w:t xml:space="preserve">  The making of humans take</w:t>
      </w:r>
      <w:r>
        <w:rPr>
          <w:rFonts w:ascii="Arial" w:hAnsi="Arial" w:cs="Arial"/>
        </w:rPr>
        <w:t>s</w:t>
      </w:r>
      <w:r w:rsidR="00375E2B">
        <w:rPr>
          <w:rFonts w:ascii="Arial" w:hAnsi="Arial" w:cs="Arial"/>
        </w:rPr>
        <w:t xml:space="preserve"> </w:t>
      </w:r>
      <w:r>
        <w:rPr>
          <w:rFonts w:ascii="Arial" w:hAnsi="Arial" w:cs="Arial"/>
        </w:rPr>
        <w:t xml:space="preserve">place on the same day as the making of animals </w:t>
      </w:r>
      <w:r w:rsidR="00375E2B">
        <w:rPr>
          <w:rFonts w:ascii="Arial" w:hAnsi="Arial" w:cs="Arial"/>
        </w:rPr>
        <w:t>indicating</w:t>
      </w:r>
      <w:r>
        <w:rPr>
          <w:rFonts w:ascii="Arial" w:hAnsi="Arial" w:cs="Arial"/>
        </w:rPr>
        <w:t xml:space="preserve"> a unity </w:t>
      </w:r>
      <w:r w:rsidR="00375E2B">
        <w:rPr>
          <w:rFonts w:ascii="Arial" w:hAnsi="Arial" w:cs="Arial"/>
        </w:rPr>
        <w:t>between</w:t>
      </w:r>
      <w:r>
        <w:rPr>
          <w:rFonts w:ascii="Arial" w:hAnsi="Arial" w:cs="Arial"/>
        </w:rPr>
        <w:t xml:space="preserve"> them</w:t>
      </w:r>
      <w:r w:rsidR="00D9706A">
        <w:rPr>
          <w:rFonts w:ascii="Arial" w:hAnsi="Arial" w:cs="Arial"/>
        </w:rPr>
        <w:t>,</w:t>
      </w:r>
      <w:r>
        <w:rPr>
          <w:rFonts w:ascii="Arial" w:hAnsi="Arial" w:cs="Arial"/>
        </w:rPr>
        <w:t xml:space="preserve"> yet it also stands apart.  Humans are made in God’s image.  The plural “Let us make..”(1:26) may suggest a divine assembly but more likely is a rhetorical feature.</w:t>
      </w:r>
      <w:r w:rsidR="00375E2B">
        <w:rPr>
          <w:rFonts w:ascii="Arial" w:hAnsi="Arial" w:cs="Arial"/>
        </w:rPr>
        <w:t xml:space="preserve">  Humans are created, unlike the animals</w:t>
      </w:r>
      <w:r>
        <w:rPr>
          <w:rFonts w:ascii="Arial" w:hAnsi="Arial" w:cs="Arial"/>
        </w:rPr>
        <w:t>, in two varieties</w:t>
      </w:r>
      <w:r w:rsidR="00375E2B">
        <w:rPr>
          <w:rFonts w:ascii="Arial" w:hAnsi="Arial" w:cs="Arial"/>
        </w:rPr>
        <w:t xml:space="preserve"> but with no suggestion of difference in terms of value.  Humans are called to “have dominion” (1:26) over animals.  The term, rāda can imply care-giving but also of rule over subordinates. </w:t>
      </w:r>
    </w:p>
    <w:p w:rsidR="00375E2B" w:rsidRDefault="00375E2B">
      <w:pPr>
        <w:rPr>
          <w:rFonts w:ascii="Arial" w:hAnsi="Arial" w:cs="Arial"/>
        </w:rPr>
      </w:pPr>
      <w:r>
        <w:rPr>
          <w:rFonts w:ascii="Arial" w:hAnsi="Arial" w:cs="Arial"/>
        </w:rPr>
        <w:t xml:space="preserve">2:1-4b forms a conclusion (2:1-4a) consisting of a frame (2:1 and 4a) around a focus on God’s work which has both a strong connection to the earthy in that God rests (2:2) and to God’s transcendence in that the seventh day is “blessed and hallowed” (2:3). </w:t>
      </w:r>
    </w:p>
    <w:p w:rsidR="001421BF" w:rsidRDefault="001421BF">
      <w:pPr>
        <w:rPr>
          <w:rFonts w:ascii="Arial" w:hAnsi="Arial" w:cs="Arial"/>
        </w:rPr>
      </w:pPr>
      <w:r>
        <w:rPr>
          <w:rFonts w:ascii="Arial" w:hAnsi="Arial" w:cs="Arial"/>
        </w:rPr>
        <w:t xml:space="preserve">In </w:t>
      </w:r>
      <w:r w:rsidR="00375E2B">
        <w:rPr>
          <w:rFonts w:ascii="Arial" w:hAnsi="Arial" w:cs="Arial"/>
        </w:rPr>
        <w:t xml:space="preserve">2:4b-5 </w:t>
      </w:r>
      <w:r>
        <w:rPr>
          <w:rFonts w:ascii="Arial" w:hAnsi="Arial" w:cs="Arial"/>
        </w:rPr>
        <w:t>the reader is introduced to</w:t>
      </w:r>
      <w:r w:rsidR="00375E2B">
        <w:rPr>
          <w:rFonts w:ascii="Arial" w:hAnsi="Arial" w:cs="Arial"/>
        </w:rPr>
        <w:t xml:space="preserve"> the second account with a formless waste replaced by a growthless land.  In verse 5 we are told that there was no </w:t>
      </w:r>
      <w:r>
        <w:rPr>
          <w:rFonts w:ascii="Arial" w:hAnsi="Arial" w:cs="Arial"/>
        </w:rPr>
        <w:t>‘</w:t>
      </w:r>
      <w:r w:rsidR="00D854DB">
        <w:rPr>
          <w:rFonts w:ascii="Arial" w:hAnsi="Arial" w:cs="Arial"/>
        </w:rPr>
        <w:t xml:space="preserve">ādām </w:t>
      </w:r>
      <w:r w:rsidR="00B634D2">
        <w:rPr>
          <w:rFonts w:ascii="Arial" w:hAnsi="Arial" w:cs="Arial"/>
        </w:rPr>
        <w:t>to till the ground (‘ādāmah). ‘Ā</w:t>
      </w:r>
      <w:r>
        <w:rPr>
          <w:rFonts w:ascii="Arial" w:hAnsi="Arial" w:cs="Arial"/>
        </w:rPr>
        <w:t>dām is variously translated as humankind (e.g. 1:26), man (e.g. 3:8) and, later in 4:25, as a proper name.  An argument can be put forward that there is no sexuality implied here and so a translation of “the earthling” is more appropriate</w:t>
      </w:r>
      <w:r w:rsidR="00D9706A">
        <w:rPr>
          <w:rFonts w:ascii="Arial" w:hAnsi="Arial" w:cs="Arial"/>
        </w:rPr>
        <w:t>,</w:t>
      </w:r>
      <w:r>
        <w:rPr>
          <w:rFonts w:ascii="Arial" w:hAnsi="Arial" w:cs="Arial"/>
        </w:rPr>
        <w:t xml:space="preserve"> although Brodie disagrees with this conclusion.</w:t>
      </w:r>
      <w:r>
        <w:rPr>
          <w:rStyle w:val="FootnoteReference"/>
          <w:rFonts w:ascii="Arial" w:hAnsi="Arial" w:cs="Arial"/>
        </w:rPr>
        <w:footnoteReference w:id="9"/>
      </w:r>
      <w:r>
        <w:rPr>
          <w:rFonts w:ascii="Arial" w:hAnsi="Arial" w:cs="Arial"/>
        </w:rPr>
        <w:t xml:space="preserve"> </w:t>
      </w:r>
    </w:p>
    <w:p w:rsidR="00375E2B" w:rsidRDefault="001421BF">
      <w:pPr>
        <w:rPr>
          <w:rFonts w:ascii="Arial" w:hAnsi="Arial" w:cs="Arial"/>
        </w:rPr>
      </w:pPr>
      <w:r>
        <w:rPr>
          <w:rFonts w:ascii="Arial" w:hAnsi="Arial" w:cs="Arial"/>
        </w:rPr>
        <w:t>In 2</w:t>
      </w:r>
      <w:r w:rsidR="00D854DB">
        <w:rPr>
          <w:rFonts w:ascii="Arial" w:hAnsi="Arial" w:cs="Arial"/>
        </w:rPr>
        <w:t>:6-9 God is replaced by YHWH</w:t>
      </w:r>
      <w:r>
        <w:rPr>
          <w:rFonts w:ascii="Arial" w:hAnsi="Arial" w:cs="Arial"/>
        </w:rPr>
        <w:t xml:space="preserve"> God</w:t>
      </w:r>
      <w:r w:rsidR="007E4AF8">
        <w:rPr>
          <w:rFonts w:ascii="Arial" w:hAnsi="Arial" w:cs="Arial"/>
        </w:rPr>
        <w:t xml:space="preserve"> associating it with </w:t>
      </w:r>
      <w:r w:rsidR="00232349">
        <w:rPr>
          <w:rFonts w:ascii="Arial" w:hAnsi="Arial" w:cs="Arial"/>
        </w:rPr>
        <w:t>the</w:t>
      </w:r>
      <w:r w:rsidR="007E4AF8">
        <w:rPr>
          <w:rFonts w:ascii="Arial" w:hAnsi="Arial" w:cs="Arial"/>
        </w:rPr>
        <w:t xml:space="preserve"> closeness of God to human life (e.</w:t>
      </w:r>
      <w:r w:rsidR="00232349">
        <w:rPr>
          <w:rFonts w:ascii="Arial" w:hAnsi="Arial" w:cs="Arial"/>
        </w:rPr>
        <w:t>g. Exod 2:23).  God</w:t>
      </w:r>
      <w:r w:rsidR="007E4AF8">
        <w:rPr>
          <w:rFonts w:ascii="Arial" w:hAnsi="Arial" w:cs="Arial"/>
        </w:rPr>
        <w:t xml:space="preserve"> appears less sovereign.  In 2:6 “a stream would rise from the </w:t>
      </w:r>
      <w:r w:rsidR="00232349">
        <w:rPr>
          <w:rFonts w:ascii="Arial" w:hAnsi="Arial" w:cs="Arial"/>
        </w:rPr>
        <w:t>earth</w:t>
      </w:r>
      <w:r w:rsidR="007E4AF8">
        <w:rPr>
          <w:rFonts w:ascii="Arial" w:hAnsi="Arial" w:cs="Arial"/>
        </w:rPr>
        <w:t xml:space="preserve">”, </w:t>
      </w:r>
      <w:r w:rsidR="00232349">
        <w:rPr>
          <w:rFonts w:ascii="Arial" w:hAnsi="Arial" w:cs="Arial"/>
        </w:rPr>
        <w:t>seemingly</w:t>
      </w:r>
      <w:r>
        <w:rPr>
          <w:rFonts w:ascii="Arial" w:hAnsi="Arial" w:cs="Arial"/>
        </w:rPr>
        <w:t xml:space="preserve"> </w:t>
      </w:r>
      <w:r w:rsidR="00232349">
        <w:rPr>
          <w:rFonts w:ascii="Arial" w:hAnsi="Arial" w:cs="Arial"/>
        </w:rPr>
        <w:t>spontaneously</w:t>
      </w:r>
      <w:r w:rsidR="00D9706A">
        <w:rPr>
          <w:rFonts w:ascii="Arial" w:hAnsi="Arial" w:cs="Arial"/>
        </w:rPr>
        <w:t>,</w:t>
      </w:r>
      <w:r w:rsidR="00232349">
        <w:rPr>
          <w:rFonts w:ascii="Arial" w:hAnsi="Arial" w:cs="Arial"/>
        </w:rPr>
        <w:t xml:space="preserve"> an</w:t>
      </w:r>
      <w:r w:rsidR="007E4AF8">
        <w:rPr>
          <w:rFonts w:ascii="Arial" w:hAnsi="Arial" w:cs="Arial"/>
        </w:rPr>
        <w:t>d</w:t>
      </w:r>
      <w:r w:rsidR="00232349">
        <w:rPr>
          <w:rFonts w:ascii="Arial" w:hAnsi="Arial" w:cs="Arial"/>
        </w:rPr>
        <w:t xml:space="preserve"> </w:t>
      </w:r>
      <w:r w:rsidR="007E4AF8">
        <w:rPr>
          <w:rFonts w:ascii="Arial" w:hAnsi="Arial" w:cs="Arial"/>
        </w:rPr>
        <w:t>the earth begins to take shape and</w:t>
      </w:r>
      <w:r w:rsidR="00D9706A">
        <w:rPr>
          <w:rFonts w:ascii="Arial" w:hAnsi="Arial" w:cs="Arial"/>
        </w:rPr>
        <w:t xml:space="preserve"> become more tangible.  YHWH</w:t>
      </w:r>
      <w:r w:rsidR="007E4AF8">
        <w:rPr>
          <w:rFonts w:ascii="Arial" w:hAnsi="Arial" w:cs="Arial"/>
        </w:rPr>
        <w:t xml:space="preserve"> God creates “the tree of life … and the tree of the knowledge of good and evil” (2:9).  The trees represent the entirety of God’s creation – one limitless experience and </w:t>
      </w:r>
      <w:r w:rsidR="007E4AF8">
        <w:rPr>
          <w:rFonts w:ascii="Arial" w:hAnsi="Arial" w:cs="Arial"/>
        </w:rPr>
        <w:lastRenderedPageBreak/>
        <w:t xml:space="preserve">the other (eternal) life.  The tree of life is linked to immortality in both Gen 3:22 </w:t>
      </w:r>
      <w:r w:rsidR="00E13406">
        <w:rPr>
          <w:rFonts w:ascii="Arial" w:hAnsi="Arial" w:cs="Arial"/>
        </w:rPr>
        <w:t>a</w:t>
      </w:r>
      <w:r w:rsidR="007E4AF8">
        <w:rPr>
          <w:rFonts w:ascii="Arial" w:hAnsi="Arial" w:cs="Arial"/>
        </w:rPr>
        <w:t xml:space="preserve">nd in Revelation (e.g. 22:2).  </w:t>
      </w:r>
    </w:p>
    <w:p w:rsidR="00E13406" w:rsidRDefault="007E4AF8">
      <w:pPr>
        <w:rPr>
          <w:rFonts w:ascii="Arial" w:hAnsi="Arial" w:cs="Arial"/>
        </w:rPr>
      </w:pPr>
      <w:r>
        <w:rPr>
          <w:rFonts w:ascii="Arial" w:hAnsi="Arial" w:cs="Arial"/>
        </w:rPr>
        <w:t>In 2:10</w:t>
      </w:r>
      <w:r w:rsidR="00E13406">
        <w:rPr>
          <w:rFonts w:ascii="Arial" w:hAnsi="Arial" w:cs="Arial"/>
        </w:rPr>
        <w:t>-23</w:t>
      </w:r>
      <w:r>
        <w:rPr>
          <w:rFonts w:ascii="Arial" w:hAnsi="Arial" w:cs="Arial"/>
        </w:rPr>
        <w:t xml:space="preserve"> </w:t>
      </w:r>
      <w:r w:rsidR="00E13406">
        <w:rPr>
          <w:rFonts w:ascii="Arial" w:hAnsi="Arial" w:cs="Arial"/>
        </w:rPr>
        <w:t>man is given a specific role and an instruction not to eat from the tree of knowledge of good and evil. In verse 18, for the first time, God notes that something is not good (the man being alone) and God fashions the animals which the man subsequently names.  Since none fulfils the role as companion (helper) for the man</w:t>
      </w:r>
      <w:r w:rsidR="00D9706A">
        <w:rPr>
          <w:rFonts w:ascii="Arial" w:hAnsi="Arial" w:cs="Arial"/>
        </w:rPr>
        <w:t>,</w:t>
      </w:r>
      <w:r w:rsidR="00E13406">
        <w:rPr>
          <w:rFonts w:ascii="Arial" w:hAnsi="Arial" w:cs="Arial"/>
        </w:rPr>
        <w:t xml:space="preserve"> God then forms woman.  It is beyond </w:t>
      </w:r>
      <w:r w:rsidR="00232349">
        <w:rPr>
          <w:rFonts w:ascii="Arial" w:hAnsi="Arial" w:cs="Arial"/>
        </w:rPr>
        <w:t>the</w:t>
      </w:r>
      <w:r w:rsidR="00E13406">
        <w:rPr>
          <w:rFonts w:ascii="Arial" w:hAnsi="Arial" w:cs="Arial"/>
        </w:rPr>
        <w:t xml:space="preserve"> scope of this essay to consider the massive implication for feminist readings of this passage although I will touch on this in considering the characterization of Eve in the following section.</w:t>
      </w:r>
    </w:p>
    <w:p w:rsidR="007E4AF8" w:rsidRDefault="00E13406">
      <w:pPr>
        <w:rPr>
          <w:rFonts w:ascii="Arial" w:hAnsi="Arial" w:cs="Arial"/>
        </w:rPr>
      </w:pPr>
      <w:r>
        <w:rPr>
          <w:rFonts w:ascii="Arial" w:hAnsi="Arial" w:cs="Arial"/>
        </w:rPr>
        <w:t xml:space="preserve">Finally the second account concludes </w:t>
      </w:r>
      <w:r w:rsidR="00317FD1">
        <w:rPr>
          <w:rFonts w:ascii="Arial" w:hAnsi="Arial" w:cs="Arial"/>
        </w:rPr>
        <w:t>in 2:24</w:t>
      </w:r>
      <w:r w:rsidR="00232349">
        <w:rPr>
          <w:rFonts w:ascii="Arial" w:hAnsi="Arial" w:cs="Arial"/>
        </w:rPr>
        <w:t xml:space="preserve">.  The image of man </w:t>
      </w:r>
      <w:r>
        <w:rPr>
          <w:rFonts w:ascii="Arial" w:hAnsi="Arial" w:cs="Arial"/>
        </w:rPr>
        <w:t xml:space="preserve">going </w:t>
      </w:r>
      <w:r w:rsidR="00232349">
        <w:rPr>
          <w:rFonts w:ascii="Arial" w:hAnsi="Arial" w:cs="Arial"/>
        </w:rPr>
        <w:t>from</w:t>
      </w:r>
      <w:r>
        <w:rPr>
          <w:rFonts w:ascii="Arial" w:hAnsi="Arial" w:cs="Arial"/>
        </w:rPr>
        <w:t xml:space="preserve"> </w:t>
      </w:r>
      <w:r w:rsidR="00232349">
        <w:rPr>
          <w:rFonts w:ascii="Arial" w:hAnsi="Arial" w:cs="Arial"/>
        </w:rPr>
        <w:t>parents</w:t>
      </w:r>
      <w:r>
        <w:rPr>
          <w:rFonts w:ascii="Arial" w:hAnsi="Arial" w:cs="Arial"/>
        </w:rPr>
        <w:t xml:space="preserve"> to a wife concludes the creation diptych as a whole.  The man-woman harmony corresponds to that of man with the ground (2: 6-17) and God with creation (2:1-4a)</w:t>
      </w:r>
      <w:r w:rsidR="00232349">
        <w:rPr>
          <w:rFonts w:ascii="Arial" w:hAnsi="Arial" w:cs="Arial"/>
        </w:rPr>
        <w:t xml:space="preserve"> and the phrase “Therefore a man leaves ..” (2:24) shifts the story from the past to the present and the two accounts to an earthly conclusion</w:t>
      </w:r>
      <w:r>
        <w:rPr>
          <w:rFonts w:ascii="Arial" w:hAnsi="Arial" w:cs="Arial"/>
        </w:rPr>
        <w:t xml:space="preserve">. </w:t>
      </w:r>
    </w:p>
    <w:p w:rsidR="00EC6C28" w:rsidRDefault="00F228E5">
      <w:pPr>
        <w:rPr>
          <w:rFonts w:ascii="Arial" w:hAnsi="Arial" w:cs="Arial"/>
          <w:b/>
          <w:u w:val="single"/>
        </w:rPr>
      </w:pPr>
      <w:r>
        <w:rPr>
          <w:rFonts w:ascii="Arial" w:hAnsi="Arial" w:cs="Arial"/>
          <w:b/>
          <w:u w:val="single"/>
        </w:rPr>
        <w:t>An Alternative C</w:t>
      </w:r>
      <w:r w:rsidR="00EC6C28" w:rsidRPr="00EC6C28">
        <w:rPr>
          <w:rFonts w:ascii="Arial" w:hAnsi="Arial" w:cs="Arial"/>
          <w:b/>
          <w:u w:val="single"/>
        </w:rPr>
        <w:t>haracterization</w:t>
      </w:r>
      <w:r w:rsidR="00232349">
        <w:rPr>
          <w:rFonts w:ascii="Arial" w:hAnsi="Arial" w:cs="Arial"/>
          <w:b/>
          <w:u w:val="single"/>
        </w:rPr>
        <w:t xml:space="preserve"> of </w:t>
      </w:r>
      <w:r w:rsidR="00D760A9">
        <w:rPr>
          <w:rFonts w:ascii="Arial" w:hAnsi="Arial" w:cs="Arial"/>
          <w:b/>
          <w:u w:val="single"/>
        </w:rPr>
        <w:t>Eve</w:t>
      </w:r>
      <w:r w:rsidR="00EC6C28" w:rsidRPr="00EC6C28">
        <w:rPr>
          <w:rFonts w:ascii="Arial" w:hAnsi="Arial" w:cs="Arial"/>
          <w:b/>
          <w:u w:val="single"/>
        </w:rPr>
        <w:t>:</w:t>
      </w:r>
    </w:p>
    <w:p w:rsidR="009C4A15" w:rsidRDefault="009F5ED2">
      <w:pPr>
        <w:rPr>
          <w:rFonts w:ascii="Arial" w:hAnsi="Arial" w:cs="Arial"/>
        </w:rPr>
      </w:pPr>
      <w:r>
        <w:rPr>
          <w:rFonts w:ascii="Arial" w:hAnsi="Arial" w:cs="Arial"/>
        </w:rPr>
        <w:t>With the third chapter of G</w:t>
      </w:r>
      <w:r w:rsidRPr="009F5ED2">
        <w:rPr>
          <w:rFonts w:ascii="Arial" w:hAnsi="Arial" w:cs="Arial"/>
        </w:rPr>
        <w:t>enesis</w:t>
      </w:r>
      <w:r>
        <w:rPr>
          <w:rFonts w:ascii="Arial" w:hAnsi="Arial" w:cs="Arial"/>
        </w:rPr>
        <w:t xml:space="preserve"> the theme turns from harmony to disharmony – between God and humans and between the couple.  </w:t>
      </w:r>
      <w:r w:rsidR="001F44CD">
        <w:rPr>
          <w:rFonts w:ascii="Arial" w:hAnsi="Arial" w:cs="Arial"/>
        </w:rPr>
        <w:t xml:space="preserve">Outside of this Book there is no reference to Eve </w:t>
      </w:r>
      <w:r w:rsidR="00CC7C8A">
        <w:rPr>
          <w:rFonts w:ascii="Arial" w:hAnsi="Arial" w:cs="Arial"/>
        </w:rPr>
        <w:t>anywhere</w:t>
      </w:r>
      <w:r w:rsidR="001F44CD">
        <w:rPr>
          <w:rFonts w:ascii="Arial" w:hAnsi="Arial" w:cs="Arial"/>
        </w:rPr>
        <w:t xml:space="preserve"> else in the Hebrew </w:t>
      </w:r>
      <w:r w:rsidR="00CC7C8A">
        <w:rPr>
          <w:rFonts w:ascii="Arial" w:hAnsi="Arial" w:cs="Arial"/>
        </w:rPr>
        <w:t>Bible</w:t>
      </w:r>
      <w:r w:rsidR="001F44CD">
        <w:rPr>
          <w:rFonts w:ascii="Arial" w:hAnsi="Arial" w:cs="Arial"/>
        </w:rPr>
        <w:t xml:space="preserve"> although</w:t>
      </w:r>
      <w:r w:rsidR="00D854DB">
        <w:rPr>
          <w:rFonts w:ascii="Arial" w:hAnsi="Arial" w:cs="Arial"/>
        </w:rPr>
        <w:t xml:space="preserve"> Ben Sira </w:t>
      </w:r>
      <w:r w:rsidR="001F44CD">
        <w:rPr>
          <w:rFonts w:ascii="Arial" w:hAnsi="Arial" w:cs="Arial"/>
        </w:rPr>
        <w:t>asso</w:t>
      </w:r>
      <w:r w:rsidR="00B634D2">
        <w:rPr>
          <w:rFonts w:ascii="Arial" w:hAnsi="Arial" w:cs="Arial"/>
        </w:rPr>
        <w:t>ciates sin with Eve and in the P</w:t>
      </w:r>
      <w:r w:rsidR="001F44CD">
        <w:rPr>
          <w:rFonts w:ascii="Arial" w:hAnsi="Arial" w:cs="Arial"/>
        </w:rPr>
        <w:t>seudopigraphical Books of A</w:t>
      </w:r>
      <w:r w:rsidR="00D854DB">
        <w:rPr>
          <w:rFonts w:ascii="Arial" w:hAnsi="Arial" w:cs="Arial"/>
        </w:rPr>
        <w:t xml:space="preserve">dam and Eve </w:t>
      </w:r>
      <w:r w:rsidR="001F44CD">
        <w:rPr>
          <w:rFonts w:ascii="Arial" w:hAnsi="Arial" w:cs="Arial"/>
        </w:rPr>
        <w:t xml:space="preserve">a guilt ridden Eve confesses her terrible deeds.  For a character not named until 3:20, she is a towering figure in </w:t>
      </w:r>
      <w:r w:rsidR="00CC7C8A">
        <w:rPr>
          <w:rFonts w:ascii="Arial" w:hAnsi="Arial" w:cs="Arial"/>
        </w:rPr>
        <w:t>Christian</w:t>
      </w:r>
      <w:r w:rsidR="001F44CD">
        <w:rPr>
          <w:rFonts w:ascii="Arial" w:hAnsi="Arial" w:cs="Arial"/>
        </w:rPr>
        <w:t xml:space="preserve"> thought</w:t>
      </w:r>
      <w:r w:rsidR="00314D18">
        <w:rPr>
          <w:rFonts w:ascii="Arial" w:hAnsi="Arial" w:cs="Arial"/>
        </w:rPr>
        <w:t xml:space="preserve"> – </w:t>
      </w:r>
      <w:r w:rsidR="00D854DB">
        <w:rPr>
          <w:rFonts w:ascii="Arial" w:hAnsi="Arial" w:cs="Arial"/>
        </w:rPr>
        <w:t xml:space="preserve">traditionally </w:t>
      </w:r>
      <w:r w:rsidR="00314D18">
        <w:rPr>
          <w:rFonts w:ascii="Arial" w:hAnsi="Arial" w:cs="Arial"/>
        </w:rPr>
        <w:t>deceiver and sexual temptress</w:t>
      </w:r>
      <w:r w:rsidR="001F44CD">
        <w:rPr>
          <w:rFonts w:ascii="Arial" w:hAnsi="Arial" w:cs="Arial"/>
        </w:rPr>
        <w:t>.  The writer of 1Tim 2:14-15 tells us that “Adam was not deceived, but the woman was deceived and became a transgressor</w:t>
      </w:r>
      <w:r w:rsidR="00CC7C8A">
        <w:rPr>
          <w:rFonts w:ascii="Arial" w:hAnsi="Arial" w:cs="Arial"/>
        </w:rPr>
        <w:t>.  Yet she will be saved through childbearing..”. Amongst the Early C</w:t>
      </w:r>
      <w:r w:rsidR="00F228E5">
        <w:rPr>
          <w:rFonts w:ascii="Arial" w:hAnsi="Arial" w:cs="Arial"/>
        </w:rPr>
        <w:t xml:space="preserve">hurch Fathers </w:t>
      </w:r>
      <w:r w:rsidR="00CC7C8A">
        <w:rPr>
          <w:rFonts w:ascii="Arial" w:hAnsi="Arial" w:cs="Arial"/>
        </w:rPr>
        <w:t>Book I of Tertullian’s On the Apparel of Women states</w:t>
      </w:r>
      <w:r w:rsidR="00B634D2">
        <w:rPr>
          <w:rFonts w:ascii="Arial" w:hAnsi="Arial" w:cs="Arial"/>
        </w:rPr>
        <w:t>,</w:t>
      </w:r>
      <w:r w:rsidR="00CC7C8A">
        <w:rPr>
          <w:rFonts w:ascii="Arial" w:hAnsi="Arial" w:cs="Arial"/>
        </w:rPr>
        <w:t xml:space="preserve"> “And do you not know that you are (each) an Eve? …… You are the devil’s gateway: …… You destroyed so easily God’s image, man”.  The concept of “Fall”</w:t>
      </w:r>
      <w:r w:rsidR="009C4A15">
        <w:rPr>
          <w:rFonts w:ascii="Arial" w:hAnsi="Arial" w:cs="Arial"/>
        </w:rPr>
        <w:t xml:space="preserve"> however</w:t>
      </w:r>
      <w:r w:rsidR="00CC7C8A">
        <w:rPr>
          <w:rFonts w:ascii="Arial" w:hAnsi="Arial" w:cs="Arial"/>
        </w:rPr>
        <w:t xml:space="preserve">, such a fertile ground for art and </w:t>
      </w:r>
      <w:r w:rsidR="00F228E5">
        <w:rPr>
          <w:rFonts w:ascii="Arial" w:hAnsi="Arial" w:cs="Arial"/>
        </w:rPr>
        <w:t>literature</w:t>
      </w:r>
      <w:r w:rsidR="00CC7C8A">
        <w:rPr>
          <w:rFonts w:ascii="Arial" w:hAnsi="Arial" w:cs="Arial"/>
        </w:rPr>
        <w:t xml:space="preserve">, only applies if humans were </w:t>
      </w:r>
      <w:r w:rsidR="00F228E5">
        <w:rPr>
          <w:rFonts w:ascii="Arial" w:hAnsi="Arial" w:cs="Arial"/>
        </w:rPr>
        <w:t>created in</w:t>
      </w:r>
      <w:r w:rsidR="00CC7C8A">
        <w:rPr>
          <w:rFonts w:ascii="Arial" w:hAnsi="Arial" w:cs="Arial"/>
        </w:rPr>
        <w:t xml:space="preserve"> a state of perfection and I have alre</w:t>
      </w:r>
      <w:r w:rsidR="009C4A15">
        <w:rPr>
          <w:rFonts w:ascii="Arial" w:hAnsi="Arial" w:cs="Arial"/>
        </w:rPr>
        <w:t>ady demonstrated that the human</w:t>
      </w:r>
      <w:r w:rsidR="00CC7C8A">
        <w:rPr>
          <w:rFonts w:ascii="Arial" w:hAnsi="Arial" w:cs="Arial"/>
        </w:rPr>
        <w:t>s</w:t>
      </w:r>
      <w:r w:rsidR="009C4A15">
        <w:rPr>
          <w:rFonts w:ascii="Arial" w:hAnsi="Arial" w:cs="Arial"/>
        </w:rPr>
        <w:t xml:space="preserve"> </w:t>
      </w:r>
      <w:r w:rsidR="00CC7C8A">
        <w:rPr>
          <w:rFonts w:ascii="Arial" w:hAnsi="Arial" w:cs="Arial"/>
        </w:rPr>
        <w:t xml:space="preserve">in </w:t>
      </w:r>
      <w:r w:rsidR="00F228E5">
        <w:rPr>
          <w:rFonts w:ascii="Arial" w:hAnsi="Arial" w:cs="Arial"/>
        </w:rPr>
        <w:t>Genesis</w:t>
      </w:r>
      <w:r w:rsidR="00CC7C8A">
        <w:rPr>
          <w:rFonts w:ascii="Arial" w:hAnsi="Arial" w:cs="Arial"/>
        </w:rPr>
        <w:t xml:space="preserve"> are </w:t>
      </w:r>
      <w:r w:rsidR="00F228E5">
        <w:rPr>
          <w:rFonts w:ascii="Arial" w:hAnsi="Arial" w:cs="Arial"/>
        </w:rPr>
        <w:t>creatures</w:t>
      </w:r>
      <w:r w:rsidR="00CC7C8A">
        <w:rPr>
          <w:rFonts w:ascii="Arial" w:hAnsi="Arial" w:cs="Arial"/>
        </w:rPr>
        <w:t xml:space="preserve"> very much of the eart</w:t>
      </w:r>
      <w:r w:rsidR="009C4A15">
        <w:rPr>
          <w:rFonts w:ascii="Arial" w:hAnsi="Arial" w:cs="Arial"/>
        </w:rPr>
        <w:t xml:space="preserve">h.  </w:t>
      </w:r>
    </w:p>
    <w:p w:rsidR="009C4A15" w:rsidRDefault="009C4A15">
      <w:pPr>
        <w:rPr>
          <w:rFonts w:ascii="Arial" w:hAnsi="Arial" w:cs="Arial"/>
        </w:rPr>
      </w:pPr>
      <w:r>
        <w:rPr>
          <w:rFonts w:ascii="Arial" w:hAnsi="Arial" w:cs="Arial"/>
        </w:rPr>
        <w:t xml:space="preserve">The character of Eve is one of, if not THE, </w:t>
      </w:r>
      <w:r w:rsidR="00F228E5">
        <w:rPr>
          <w:rFonts w:ascii="Arial" w:hAnsi="Arial" w:cs="Arial"/>
        </w:rPr>
        <w:t>most</w:t>
      </w:r>
      <w:r>
        <w:rPr>
          <w:rFonts w:ascii="Arial" w:hAnsi="Arial" w:cs="Arial"/>
        </w:rPr>
        <w:t xml:space="preserve"> misread</w:t>
      </w:r>
      <w:r w:rsidR="00FD1042">
        <w:rPr>
          <w:rFonts w:ascii="Arial" w:hAnsi="Arial" w:cs="Arial"/>
        </w:rPr>
        <w:t xml:space="preserve"> and Meyers identifies, and addresses, four key </w:t>
      </w:r>
      <w:r w:rsidR="00F228E5">
        <w:rPr>
          <w:rFonts w:ascii="Arial" w:hAnsi="Arial" w:cs="Arial"/>
        </w:rPr>
        <w:t>misreadings</w:t>
      </w:r>
      <w:r>
        <w:rPr>
          <w:rFonts w:ascii="Arial" w:hAnsi="Arial" w:cs="Arial"/>
        </w:rPr>
        <w:t>.</w:t>
      </w:r>
      <w:r w:rsidR="00FD1042">
        <w:rPr>
          <w:rStyle w:val="FootnoteReference"/>
          <w:rFonts w:ascii="Arial" w:hAnsi="Arial" w:cs="Arial"/>
        </w:rPr>
        <w:footnoteReference w:id="10"/>
      </w:r>
      <w:r>
        <w:rPr>
          <w:rFonts w:ascii="Arial" w:hAnsi="Arial" w:cs="Arial"/>
        </w:rPr>
        <w:t xml:space="preserve"> The first key misreading is </w:t>
      </w:r>
      <w:r w:rsidR="00CC7C8A">
        <w:rPr>
          <w:rFonts w:ascii="Arial" w:hAnsi="Arial" w:cs="Arial"/>
        </w:rPr>
        <w:t>that man is super</w:t>
      </w:r>
      <w:r>
        <w:rPr>
          <w:rFonts w:ascii="Arial" w:hAnsi="Arial" w:cs="Arial"/>
        </w:rPr>
        <w:t xml:space="preserve">ior because he </w:t>
      </w:r>
      <w:r w:rsidR="00F228E5">
        <w:rPr>
          <w:rFonts w:ascii="Arial" w:hAnsi="Arial" w:cs="Arial"/>
        </w:rPr>
        <w:t>was</w:t>
      </w:r>
      <w:r>
        <w:rPr>
          <w:rFonts w:ascii="Arial" w:hAnsi="Arial" w:cs="Arial"/>
        </w:rPr>
        <w:t xml:space="preserve"> </w:t>
      </w:r>
      <w:r w:rsidR="00F228E5">
        <w:rPr>
          <w:rFonts w:ascii="Arial" w:hAnsi="Arial" w:cs="Arial"/>
        </w:rPr>
        <w:t>created</w:t>
      </w:r>
      <w:r>
        <w:rPr>
          <w:rFonts w:ascii="Arial" w:hAnsi="Arial" w:cs="Arial"/>
        </w:rPr>
        <w:t xml:space="preserve"> </w:t>
      </w:r>
      <w:r w:rsidR="00F228E5">
        <w:rPr>
          <w:rFonts w:ascii="Arial" w:hAnsi="Arial" w:cs="Arial"/>
        </w:rPr>
        <w:t>first</w:t>
      </w:r>
      <w:r>
        <w:rPr>
          <w:rFonts w:ascii="Arial" w:hAnsi="Arial" w:cs="Arial"/>
        </w:rPr>
        <w:t>.  Meyers argues that the characters in the creation accounts “present the</w:t>
      </w:r>
      <w:r w:rsidR="00F228E5">
        <w:rPr>
          <w:rFonts w:ascii="Arial" w:hAnsi="Arial" w:cs="Arial"/>
        </w:rPr>
        <w:t xml:space="preserve"> essential (archetypal) feature</w:t>
      </w:r>
      <w:r>
        <w:rPr>
          <w:rFonts w:ascii="Arial" w:hAnsi="Arial" w:cs="Arial"/>
        </w:rPr>
        <w:t>s</w:t>
      </w:r>
      <w:r w:rsidR="00F228E5">
        <w:rPr>
          <w:rFonts w:ascii="Arial" w:hAnsi="Arial" w:cs="Arial"/>
        </w:rPr>
        <w:t xml:space="preserve"> </w:t>
      </w:r>
      <w:r>
        <w:rPr>
          <w:rFonts w:ascii="Arial" w:hAnsi="Arial" w:cs="Arial"/>
        </w:rPr>
        <w:t>of human life, not the first (prototype) humans in a historical sense”.</w:t>
      </w:r>
      <w:r>
        <w:rPr>
          <w:rStyle w:val="FootnoteReference"/>
          <w:rFonts w:ascii="Arial" w:hAnsi="Arial" w:cs="Arial"/>
        </w:rPr>
        <w:footnoteReference w:id="11"/>
      </w:r>
      <w:r>
        <w:rPr>
          <w:rFonts w:ascii="Arial" w:hAnsi="Arial" w:cs="Arial"/>
        </w:rPr>
        <w:t xml:space="preserve">  In reviewing 2:7 she draws attention to ‘ādām as a generic </w:t>
      </w:r>
      <w:r w:rsidR="00F228E5">
        <w:rPr>
          <w:rFonts w:ascii="Arial" w:hAnsi="Arial" w:cs="Arial"/>
        </w:rPr>
        <w:t>term</w:t>
      </w:r>
      <w:r>
        <w:rPr>
          <w:rFonts w:ascii="Arial" w:hAnsi="Arial" w:cs="Arial"/>
        </w:rPr>
        <w:t xml:space="preserve"> for humanity and ‘ādāmah as the term for ground/earth and puts forward a translation of “The God YHWH formed an earthling of clods from the earth and breathed into its nostrils the breath of life; and the earthling became a living being”</w:t>
      </w:r>
      <w:r>
        <w:rPr>
          <w:rStyle w:val="FootnoteReference"/>
          <w:rFonts w:ascii="Arial" w:hAnsi="Arial" w:cs="Arial"/>
        </w:rPr>
        <w:footnoteReference w:id="12"/>
      </w:r>
      <w:r>
        <w:rPr>
          <w:rFonts w:ascii="Arial" w:hAnsi="Arial" w:cs="Arial"/>
        </w:rPr>
        <w:t xml:space="preserve"> arguing the focus is not on gender, but on the organic connection to the </w:t>
      </w:r>
      <w:r w:rsidR="00F228E5">
        <w:rPr>
          <w:rFonts w:ascii="Arial" w:hAnsi="Arial" w:cs="Arial"/>
        </w:rPr>
        <w:t>earth</w:t>
      </w:r>
      <w:r>
        <w:rPr>
          <w:rFonts w:ascii="Arial" w:hAnsi="Arial" w:cs="Arial"/>
        </w:rPr>
        <w:t xml:space="preserve">.  </w:t>
      </w:r>
      <w:r w:rsidR="00CC7C8A">
        <w:rPr>
          <w:rFonts w:ascii="Arial" w:hAnsi="Arial" w:cs="Arial"/>
        </w:rPr>
        <w:t xml:space="preserve"> </w:t>
      </w:r>
    </w:p>
    <w:p w:rsidR="009C4A15" w:rsidRDefault="009C4A15" w:rsidP="009C4A15">
      <w:pPr>
        <w:rPr>
          <w:rFonts w:ascii="Arial" w:hAnsi="Arial" w:cs="Arial"/>
        </w:rPr>
      </w:pPr>
      <w:r>
        <w:rPr>
          <w:rFonts w:ascii="Arial" w:hAnsi="Arial" w:cs="Arial"/>
        </w:rPr>
        <w:t>The second</w:t>
      </w:r>
      <w:r w:rsidR="00CC7C8A">
        <w:rPr>
          <w:rFonts w:ascii="Arial" w:hAnsi="Arial" w:cs="Arial"/>
        </w:rPr>
        <w:t xml:space="preserve"> </w:t>
      </w:r>
      <w:r>
        <w:rPr>
          <w:rFonts w:ascii="Arial" w:hAnsi="Arial" w:cs="Arial"/>
        </w:rPr>
        <w:t xml:space="preserve">key misreading is </w:t>
      </w:r>
      <w:r w:rsidR="00CC7C8A">
        <w:rPr>
          <w:rFonts w:ascii="Arial" w:hAnsi="Arial" w:cs="Arial"/>
        </w:rPr>
        <w:t xml:space="preserve">that women is </w:t>
      </w:r>
      <w:r>
        <w:rPr>
          <w:rFonts w:ascii="Arial" w:hAnsi="Arial" w:cs="Arial"/>
        </w:rPr>
        <w:t>created as an inferior helpmate.</w:t>
      </w:r>
      <w:r w:rsidR="00CC7C8A">
        <w:rPr>
          <w:rFonts w:ascii="Arial" w:hAnsi="Arial" w:cs="Arial"/>
        </w:rPr>
        <w:t xml:space="preserve"> </w:t>
      </w:r>
      <w:r>
        <w:rPr>
          <w:rFonts w:ascii="Arial" w:hAnsi="Arial" w:cs="Arial"/>
        </w:rPr>
        <w:t xml:space="preserve">Meyers questions the interpretation of the concept of “helpmate” found in 2:28 arguing that, rather </w:t>
      </w:r>
      <w:r w:rsidR="00F228E5">
        <w:rPr>
          <w:rFonts w:ascii="Arial" w:hAnsi="Arial" w:cs="Arial"/>
        </w:rPr>
        <w:t>than</w:t>
      </w:r>
      <w:r>
        <w:rPr>
          <w:rFonts w:ascii="Arial" w:hAnsi="Arial" w:cs="Arial"/>
        </w:rPr>
        <w:t xml:space="preserve"> </w:t>
      </w:r>
      <w:r w:rsidR="00F228E5">
        <w:rPr>
          <w:rFonts w:ascii="Arial" w:hAnsi="Arial" w:cs="Arial"/>
        </w:rPr>
        <w:t>implying</w:t>
      </w:r>
      <w:r>
        <w:rPr>
          <w:rFonts w:ascii="Arial" w:hAnsi="Arial" w:cs="Arial"/>
        </w:rPr>
        <w:t xml:space="preserve"> inferiority, elsewhere in the Hebrew Bible the source of help is God himself (e.g. Ps 121:1-2) and notes that one of the most common names </w:t>
      </w:r>
      <w:r w:rsidR="00F228E5">
        <w:rPr>
          <w:rFonts w:ascii="Arial" w:hAnsi="Arial" w:cs="Arial"/>
        </w:rPr>
        <w:t>found</w:t>
      </w:r>
      <w:r>
        <w:rPr>
          <w:rFonts w:ascii="Arial" w:hAnsi="Arial" w:cs="Arial"/>
        </w:rPr>
        <w:t xml:space="preserve"> in </w:t>
      </w:r>
      <w:r w:rsidR="00F228E5">
        <w:rPr>
          <w:rFonts w:ascii="Arial" w:hAnsi="Arial" w:cs="Arial"/>
        </w:rPr>
        <w:t>the</w:t>
      </w:r>
      <w:r>
        <w:rPr>
          <w:rFonts w:ascii="Arial" w:hAnsi="Arial" w:cs="Arial"/>
        </w:rPr>
        <w:t xml:space="preserve"> Hebrew Bible, </w:t>
      </w:r>
      <w:r>
        <w:rPr>
          <w:rFonts w:ascii="Arial" w:hAnsi="Arial" w:cs="Arial"/>
        </w:rPr>
        <w:lastRenderedPageBreak/>
        <w:t xml:space="preserve">Azariah, means </w:t>
      </w:r>
      <w:r w:rsidR="00D9706A">
        <w:rPr>
          <w:rFonts w:ascii="Arial" w:hAnsi="Arial" w:cs="Arial"/>
        </w:rPr>
        <w:t>“</w:t>
      </w:r>
      <w:r>
        <w:rPr>
          <w:rFonts w:ascii="Arial" w:hAnsi="Arial" w:cs="Arial"/>
        </w:rPr>
        <w:t>YHWH has helped</w:t>
      </w:r>
      <w:r w:rsidR="00BA3541">
        <w:rPr>
          <w:rFonts w:ascii="Arial" w:hAnsi="Arial" w:cs="Arial"/>
        </w:rPr>
        <w:t xml:space="preserve">”.  The helper in 2:18, </w:t>
      </w:r>
      <w:r>
        <w:rPr>
          <w:rFonts w:ascii="Arial" w:hAnsi="Arial" w:cs="Arial"/>
        </w:rPr>
        <w:t>20 is neither superior nor s</w:t>
      </w:r>
      <w:r w:rsidR="00D854DB">
        <w:rPr>
          <w:rFonts w:ascii="Arial" w:hAnsi="Arial" w:cs="Arial"/>
        </w:rPr>
        <w:t>ubordinate, but opposite or “on-a-</w:t>
      </w:r>
      <w:r>
        <w:rPr>
          <w:rFonts w:ascii="Arial" w:hAnsi="Arial" w:cs="Arial"/>
        </w:rPr>
        <w:t xml:space="preserve">par”.  </w:t>
      </w:r>
      <w:r w:rsidR="00F228E5">
        <w:rPr>
          <w:rFonts w:ascii="Arial" w:hAnsi="Arial" w:cs="Arial"/>
        </w:rPr>
        <w:t>Humanity</w:t>
      </w:r>
      <w:r>
        <w:rPr>
          <w:rFonts w:ascii="Arial" w:hAnsi="Arial" w:cs="Arial"/>
        </w:rPr>
        <w:t xml:space="preserve"> as a whole is the climax of creation in the first account and envelopes creation in the second account.</w:t>
      </w:r>
    </w:p>
    <w:p w:rsidR="009C4A15" w:rsidRDefault="009C4A15">
      <w:pPr>
        <w:rPr>
          <w:rFonts w:ascii="Arial" w:hAnsi="Arial" w:cs="Arial"/>
        </w:rPr>
      </w:pPr>
      <w:r>
        <w:rPr>
          <w:rFonts w:ascii="Arial" w:hAnsi="Arial" w:cs="Arial"/>
        </w:rPr>
        <w:t>The third</w:t>
      </w:r>
      <w:r w:rsidR="00CC7C8A">
        <w:rPr>
          <w:rFonts w:ascii="Arial" w:hAnsi="Arial" w:cs="Arial"/>
        </w:rPr>
        <w:t xml:space="preserve"> </w:t>
      </w:r>
      <w:r>
        <w:rPr>
          <w:rFonts w:ascii="Arial" w:hAnsi="Arial" w:cs="Arial"/>
        </w:rPr>
        <w:t xml:space="preserve">key misreading is </w:t>
      </w:r>
      <w:r w:rsidR="00CC7C8A">
        <w:rPr>
          <w:rFonts w:ascii="Arial" w:hAnsi="Arial" w:cs="Arial"/>
        </w:rPr>
        <w:t>that woman tempted man and so is responsible</w:t>
      </w:r>
      <w:r>
        <w:rPr>
          <w:rFonts w:ascii="Arial" w:hAnsi="Arial" w:cs="Arial"/>
        </w:rPr>
        <w:t xml:space="preserve"> for all </w:t>
      </w:r>
      <w:r w:rsidR="00F228E5">
        <w:rPr>
          <w:rFonts w:ascii="Arial" w:hAnsi="Arial" w:cs="Arial"/>
        </w:rPr>
        <w:t>human</w:t>
      </w:r>
      <w:r>
        <w:rPr>
          <w:rFonts w:ascii="Arial" w:hAnsi="Arial" w:cs="Arial"/>
        </w:rPr>
        <w:t xml:space="preserve"> sinfulness.  Adam and Eve are disobedient but none of the Hebrew words for sin/transgression are found in Genesis 3.  Woman, not man, is the first to speak (3:2) which is the essence of what makes humans distinct from animals. She speaks with the not yet cursed serpent, identified as the craftiest/shrewdest of </w:t>
      </w:r>
      <w:r w:rsidR="00F228E5">
        <w:rPr>
          <w:rFonts w:ascii="Arial" w:hAnsi="Arial" w:cs="Arial"/>
        </w:rPr>
        <w:t>creatures</w:t>
      </w:r>
      <w:r w:rsidR="00D854DB">
        <w:rPr>
          <w:rFonts w:ascii="Arial" w:hAnsi="Arial" w:cs="Arial"/>
        </w:rPr>
        <w:t>,</w:t>
      </w:r>
      <w:r>
        <w:rPr>
          <w:rFonts w:ascii="Arial" w:hAnsi="Arial" w:cs="Arial"/>
        </w:rPr>
        <w:t xml:space="preserve"> again </w:t>
      </w:r>
      <w:r w:rsidR="00F228E5">
        <w:rPr>
          <w:rFonts w:ascii="Arial" w:hAnsi="Arial" w:cs="Arial"/>
        </w:rPr>
        <w:t>indicating</w:t>
      </w:r>
      <w:r>
        <w:rPr>
          <w:rFonts w:ascii="Arial" w:hAnsi="Arial" w:cs="Arial"/>
        </w:rPr>
        <w:t xml:space="preserve"> her intellect. </w:t>
      </w:r>
      <w:r w:rsidR="00D854DB">
        <w:rPr>
          <w:rFonts w:ascii="Arial" w:hAnsi="Arial" w:cs="Arial"/>
        </w:rPr>
        <w:t>A</w:t>
      </w:r>
      <w:r>
        <w:rPr>
          <w:rFonts w:ascii="Arial" w:hAnsi="Arial" w:cs="Arial"/>
        </w:rPr>
        <w:t xml:space="preserve"> close connection between woman and wisdom is evident and Genesis 3 can be cast as a Wisdom Tale, like Job or certain Psalms, concerned with the harsh facts of life as it is.</w:t>
      </w:r>
    </w:p>
    <w:p w:rsidR="00314D18" w:rsidRDefault="009C4A15" w:rsidP="00F228E5">
      <w:pPr>
        <w:rPr>
          <w:rFonts w:ascii="Arial" w:hAnsi="Arial" w:cs="Arial"/>
        </w:rPr>
      </w:pPr>
      <w:r>
        <w:rPr>
          <w:rFonts w:ascii="Arial" w:hAnsi="Arial" w:cs="Arial"/>
        </w:rPr>
        <w:t>F</w:t>
      </w:r>
      <w:r w:rsidR="00CC7C8A">
        <w:rPr>
          <w:rFonts w:ascii="Arial" w:hAnsi="Arial" w:cs="Arial"/>
        </w:rPr>
        <w:t>inally</w:t>
      </w:r>
      <w:r>
        <w:rPr>
          <w:rFonts w:ascii="Arial" w:hAnsi="Arial" w:cs="Arial"/>
        </w:rPr>
        <w:t xml:space="preserve">, and </w:t>
      </w:r>
      <w:r w:rsidR="00FD1042">
        <w:rPr>
          <w:rFonts w:ascii="Arial" w:hAnsi="Arial" w:cs="Arial"/>
        </w:rPr>
        <w:t xml:space="preserve">proffering the greatest challenge, </w:t>
      </w:r>
      <w:r w:rsidR="00F228E5">
        <w:rPr>
          <w:rFonts w:ascii="Arial" w:hAnsi="Arial" w:cs="Arial"/>
        </w:rPr>
        <w:t>the</w:t>
      </w:r>
      <w:r w:rsidR="00FD1042">
        <w:rPr>
          <w:rFonts w:ascii="Arial" w:hAnsi="Arial" w:cs="Arial"/>
        </w:rPr>
        <w:t xml:space="preserve"> fourth key misreading is</w:t>
      </w:r>
      <w:r w:rsidR="00CC7C8A">
        <w:rPr>
          <w:rFonts w:ascii="Arial" w:hAnsi="Arial" w:cs="Arial"/>
        </w:rPr>
        <w:t xml:space="preserve"> that </w:t>
      </w:r>
      <w:r w:rsidR="00F228E5">
        <w:rPr>
          <w:rFonts w:ascii="Arial" w:hAnsi="Arial" w:cs="Arial"/>
        </w:rPr>
        <w:t>woman is</w:t>
      </w:r>
      <w:r w:rsidR="00CC7C8A">
        <w:rPr>
          <w:rFonts w:ascii="Arial" w:hAnsi="Arial" w:cs="Arial"/>
        </w:rPr>
        <w:t xml:space="preserve"> cursed by pain in childbirth</w:t>
      </w:r>
      <w:r w:rsidR="00F228E5">
        <w:rPr>
          <w:rFonts w:ascii="Arial" w:hAnsi="Arial" w:cs="Arial"/>
        </w:rPr>
        <w:t xml:space="preserve"> and shall be ruled over by her husband</w:t>
      </w:r>
      <w:r w:rsidR="00FD1042">
        <w:rPr>
          <w:rFonts w:ascii="Arial" w:hAnsi="Arial" w:cs="Arial"/>
        </w:rPr>
        <w:t xml:space="preserve"> (3:16)</w:t>
      </w:r>
      <w:r w:rsidR="00CC7C8A">
        <w:rPr>
          <w:rFonts w:ascii="Arial" w:hAnsi="Arial" w:cs="Arial"/>
        </w:rPr>
        <w:t xml:space="preserve">. </w:t>
      </w:r>
      <w:r w:rsidR="00FD1042">
        <w:rPr>
          <w:rFonts w:ascii="Arial" w:hAnsi="Arial" w:cs="Arial"/>
        </w:rPr>
        <w:t xml:space="preserve">Meyers mounts a strident response focussing on the parallelistic structure of Hebrew poetry and the lexical nuance of Hebrew to be found by looking at word </w:t>
      </w:r>
      <w:r w:rsidR="00F228E5">
        <w:rPr>
          <w:rFonts w:ascii="Arial" w:hAnsi="Arial" w:cs="Arial"/>
        </w:rPr>
        <w:t>usage</w:t>
      </w:r>
      <w:r w:rsidR="00FD1042">
        <w:rPr>
          <w:rFonts w:ascii="Arial" w:hAnsi="Arial" w:cs="Arial"/>
        </w:rPr>
        <w:t xml:space="preserve"> elsewhere in the Hebrew Bible.</w:t>
      </w:r>
      <w:r w:rsidR="009244F1">
        <w:rPr>
          <w:rFonts w:ascii="Arial" w:hAnsi="Arial" w:cs="Arial"/>
        </w:rPr>
        <w:t xml:space="preserve"> In the context of </w:t>
      </w:r>
      <w:r w:rsidR="00F228E5">
        <w:rPr>
          <w:rFonts w:ascii="Arial" w:hAnsi="Arial" w:cs="Arial"/>
        </w:rPr>
        <w:t>a strong</w:t>
      </w:r>
      <w:r w:rsidR="00314D18">
        <w:rPr>
          <w:rFonts w:ascii="Arial" w:hAnsi="Arial" w:cs="Arial"/>
        </w:rPr>
        <w:t xml:space="preserve"> linguistic and socio-economic case for the beginning of human existence coinci</w:t>
      </w:r>
      <w:r w:rsidR="009244F1">
        <w:rPr>
          <w:rFonts w:ascii="Arial" w:hAnsi="Arial" w:cs="Arial"/>
        </w:rPr>
        <w:t xml:space="preserve">ding with a concern for food in a Palestinian hilltop agricultural </w:t>
      </w:r>
      <w:r w:rsidR="00F228E5">
        <w:rPr>
          <w:rFonts w:ascii="Arial" w:hAnsi="Arial" w:cs="Arial"/>
        </w:rPr>
        <w:t>setting</w:t>
      </w:r>
      <w:r w:rsidR="00D854DB">
        <w:rPr>
          <w:rFonts w:ascii="Arial" w:hAnsi="Arial" w:cs="Arial"/>
        </w:rPr>
        <w:t xml:space="preserve">, </w:t>
      </w:r>
      <w:r w:rsidR="009244F1">
        <w:rPr>
          <w:rFonts w:ascii="Arial" w:hAnsi="Arial" w:cs="Arial"/>
        </w:rPr>
        <w:t xml:space="preserve">she concludes that women have to work hard and have many children but that their reluctance to do so, based on the hard work involved and inherent risk, is overcome by </w:t>
      </w:r>
      <w:r w:rsidR="00F228E5">
        <w:rPr>
          <w:rFonts w:ascii="Arial" w:hAnsi="Arial" w:cs="Arial"/>
        </w:rPr>
        <w:t>their sexual passion leading to them acceding to the advances of their husbands anyway.  Hence she offers the following alternative translation of 3:16</w:t>
      </w:r>
      <w:r w:rsidR="00815D80">
        <w:rPr>
          <w:rFonts w:ascii="Arial" w:hAnsi="Arial" w:cs="Arial"/>
        </w:rPr>
        <w:t xml:space="preserve"> which, whilst possibly overstretched, raises interesting questions on the basis of a literary critical approach</w:t>
      </w:r>
      <w:r w:rsidR="00F228E5">
        <w:rPr>
          <w:rFonts w:ascii="Arial" w:hAnsi="Arial" w:cs="Arial"/>
        </w:rPr>
        <w:t>:</w:t>
      </w:r>
    </w:p>
    <w:p w:rsidR="00F228E5" w:rsidRDefault="00F228E5" w:rsidP="00F228E5">
      <w:pPr>
        <w:jc w:val="center"/>
        <w:rPr>
          <w:rFonts w:ascii="Arial" w:hAnsi="Arial" w:cs="Arial"/>
        </w:rPr>
      </w:pPr>
      <w:r>
        <w:rPr>
          <w:rFonts w:ascii="Arial" w:hAnsi="Arial" w:cs="Arial"/>
        </w:rPr>
        <w:t>I will greatly increase your toil and your pregnancies;</w:t>
      </w:r>
    </w:p>
    <w:p w:rsidR="00F228E5" w:rsidRDefault="00F228E5" w:rsidP="00F228E5">
      <w:pPr>
        <w:jc w:val="center"/>
        <w:rPr>
          <w:rFonts w:ascii="Arial" w:hAnsi="Arial" w:cs="Arial"/>
        </w:rPr>
      </w:pPr>
      <w:r>
        <w:rPr>
          <w:rFonts w:ascii="Arial" w:hAnsi="Arial" w:cs="Arial"/>
        </w:rPr>
        <w:t>(Along) with travail shall you beget children.</w:t>
      </w:r>
    </w:p>
    <w:p w:rsidR="00F228E5" w:rsidRDefault="00F228E5" w:rsidP="00F228E5">
      <w:pPr>
        <w:jc w:val="center"/>
        <w:rPr>
          <w:rFonts w:ascii="Arial" w:hAnsi="Arial" w:cs="Arial"/>
        </w:rPr>
      </w:pPr>
      <w:r>
        <w:rPr>
          <w:rFonts w:ascii="Arial" w:hAnsi="Arial" w:cs="Arial"/>
        </w:rPr>
        <w:t>For to your man is your desire,</w:t>
      </w:r>
    </w:p>
    <w:p w:rsidR="00F228E5" w:rsidRPr="009244F1" w:rsidRDefault="00F228E5" w:rsidP="00F228E5">
      <w:pPr>
        <w:jc w:val="center"/>
        <w:rPr>
          <w:rFonts w:ascii="Arial" w:hAnsi="Arial" w:cs="Arial"/>
        </w:rPr>
      </w:pPr>
      <w:r>
        <w:rPr>
          <w:rFonts w:ascii="Arial" w:hAnsi="Arial" w:cs="Arial"/>
        </w:rPr>
        <w:t>And he shall predominate over you.</w:t>
      </w:r>
      <w:r>
        <w:rPr>
          <w:rStyle w:val="FootnoteReference"/>
          <w:rFonts w:ascii="Arial" w:hAnsi="Arial" w:cs="Arial"/>
        </w:rPr>
        <w:footnoteReference w:id="13"/>
      </w:r>
    </w:p>
    <w:p w:rsidR="00F27A0C" w:rsidRDefault="000710E9" w:rsidP="00F27A0C">
      <w:pPr>
        <w:rPr>
          <w:rFonts w:ascii="Arial" w:hAnsi="Arial" w:cs="Arial"/>
        </w:rPr>
      </w:pPr>
      <w:r>
        <w:rPr>
          <w:rFonts w:ascii="Arial" w:hAnsi="Arial" w:cs="Arial"/>
        </w:rPr>
        <w:t>Literary approaches to biblical interpretation have made a positive contribution to the field.</w:t>
      </w:r>
      <w:r w:rsidR="00BA3DA7">
        <w:rPr>
          <w:rFonts w:ascii="Arial" w:hAnsi="Arial" w:cs="Arial"/>
        </w:rPr>
        <w:t xml:space="preserve">  </w:t>
      </w:r>
      <w:r w:rsidR="00D01B19">
        <w:rPr>
          <w:rFonts w:ascii="Arial" w:hAnsi="Arial" w:cs="Arial"/>
        </w:rPr>
        <w:t>Whilst h</w:t>
      </w:r>
      <w:r w:rsidR="00BA3DA7">
        <w:rPr>
          <w:rFonts w:ascii="Arial" w:hAnsi="Arial" w:cs="Arial"/>
        </w:rPr>
        <w:t xml:space="preserve">istorical criticism can be seen as more </w:t>
      </w:r>
      <w:r w:rsidR="009E232A">
        <w:rPr>
          <w:rFonts w:ascii="Arial" w:hAnsi="Arial" w:cs="Arial"/>
        </w:rPr>
        <w:t>concerned</w:t>
      </w:r>
      <w:r w:rsidR="00BA3DA7">
        <w:rPr>
          <w:rFonts w:ascii="Arial" w:hAnsi="Arial" w:cs="Arial"/>
        </w:rPr>
        <w:t xml:space="preserve"> with the context within which the Bible was written than the text </w:t>
      </w:r>
      <w:r w:rsidR="009E232A">
        <w:rPr>
          <w:rFonts w:ascii="Arial" w:hAnsi="Arial" w:cs="Arial"/>
        </w:rPr>
        <w:t>itself</w:t>
      </w:r>
      <w:r w:rsidR="00B634D2">
        <w:rPr>
          <w:rFonts w:ascii="Arial" w:hAnsi="Arial" w:cs="Arial"/>
        </w:rPr>
        <w:t>,</w:t>
      </w:r>
      <w:r w:rsidR="00BA3DA7">
        <w:rPr>
          <w:rFonts w:ascii="Arial" w:hAnsi="Arial" w:cs="Arial"/>
        </w:rPr>
        <w:t xml:space="preserve"> </w:t>
      </w:r>
      <w:r w:rsidR="008F545D">
        <w:rPr>
          <w:rFonts w:ascii="Arial" w:hAnsi="Arial" w:cs="Arial"/>
        </w:rPr>
        <w:t>with its quest to reconstruct the life and thought of biblical times</w:t>
      </w:r>
      <w:r w:rsidR="00D01B19">
        <w:rPr>
          <w:rFonts w:ascii="Arial" w:hAnsi="Arial" w:cs="Arial"/>
        </w:rPr>
        <w:t xml:space="preserve">, </w:t>
      </w:r>
      <w:r w:rsidR="008F545D">
        <w:rPr>
          <w:rFonts w:ascii="Arial" w:hAnsi="Arial" w:cs="Arial"/>
        </w:rPr>
        <w:t xml:space="preserve"> it stands accused of failing to take seriously the narrative character of </w:t>
      </w:r>
      <w:r w:rsidR="00D01B19">
        <w:rPr>
          <w:rFonts w:ascii="Arial" w:hAnsi="Arial" w:cs="Arial"/>
        </w:rPr>
        <w:t>the text</w:t>
      </w:r>
      <w:r w:rsidR="008F545D">
        <w:rPr>
          <w:rFonts w:ascii="Arial" w:hAnsi="Arial" w:cs="Arial"/>
        </w:rPr>
        <w:t>.</w:t>
      </w:r>
      <w:r w:rsidR="00F27A0C">
        <w:rPr>
          <w:rFonts w:ascii="Arial" w:hAnsi="Arial" w:cs="Arial"/>
        </w:rPr>
        <w:t xml:space="preserve">  Powell</w:t>
      </w:r>
      <w:r w:rsidR="00F27A0C">
        <w:rPr>
          <w:rStyle w:val="FootnoteReference"/>
          <w:rFonts w:ascii="Arial" w:hAnsi="Arial" w:cs="Arial"/>
        </w:rPr>
        <w:footnoteReference w:id="14"/>
      </w:r>
      <w:r w:rsidR="00F27A0C">
        <w:rPr>
          <w:rFonts w:ascii="Arial" w:hAnsi="Arial" w:cs="Arial"/>
        </w:rPr>
        <w:t xml:space="preserve"> usefully identifies the following summary key differences between the historical and literary critical approaches:  literary criticism </w:t>
      </w:r>
      <w:r w:rsidR="00B634D2">
        <w:rPr>
          <w:rFonts w:ascii="Arial" w:hAnsi="Arial" w:cs="Arial"/>
        </w:rPr>
        <w:t xml:space="preserve">a) </w:t>
      </w:r>
      <w:r w:rsidR="00F27A0C">
        <w:rPr>
          <w:rFonts w:ascii="Arial" w:hAnsi="Arial" w:cs="Arial"/>
        </w:rPr>
        <w:t>focuses on the final form of the text rather than the process by which it came</w:t>
      </w:r>
      <w:r w:rsidR="00B634D2">
        <w:rPr>
          <w:rFonts w:ascii="Arial" w:hAnsi="Arial" w:cs="Arial"/>
        </w:rPr>
        <w:t xml:space="preserve"> into being; b) </w:t>
      </w:r>
      <w:r w:rsidR="00F27A0C">
        <w:rPr>
          <w:rFonts w:ascii="Arial" w:hAnsi="Arial" w:cs="Arial"/>
        </w:rPr>
        <w:t>emphasises the unity of the text as a whole viewing individual passages as coherent narratives and considering how they contribute to the story</w:t>
      </w:r>
      <w:r w:rsidR="00B634D2">
        <w:rPr>
          <w:rFonts w:ascii="Arial" w:hAnsi="Arial" w:cs="Arial"/>
        </w:rPr>
        <w:t xml:space="preserve"> as a whole; c) </w:t>
      </w:r>
      <w:r w:rsidR="00F27A0C">
        <w:rPr>
          <w:rFonts w:ascii="Arial" w:hAnsi="Arial" w:cs="Arial"/>
        </w:rPr>
        <w:t>views the text as an end in itself so whilst historical criticism sees the text as a window through which something can be learned about another time and place, literary criticism sees text as a mirror providing insights through encounters with the text itself.</w:t>
      </w:r>
    </w:p>
    <w:p w:rsidR="000710E9" w:rsidRDefault="00D01B19">
      <w:pPr>
        <w:rPr>
          <w:rFonts w:ascii="Arial" w:hAnsi="Arial" w:cs="Arial"/>
        </w:rPr>
      </w:pPr>
      <w:r>
        <w:rPr>
          <w:rFonts w:ascii="Arial" w:hAnsi="Arial" w:cs="Arial"/>
        </w:rPr>
        <w:t>L</w:t>
      </w:r>
      <w:r w:rsidR="00BA3DA7">
        <w:rPr>
          <w:rFonts w:ascii="Arial" w:hAnsi="Arial" w:cs="Arial"/>
        </w:rPr>
        <w:t xml:space="preserve">iterary </w:t>
      </w:r>
      <w:r w:rsidR="009E232A">
        <w:rPr>
          <w:rFonts w:ascii="Arial" w:hAnsi="Arial" w:cs="Arial"/>
        </w:rPr>
        <w:t>readings</w:t>
      </w:r>
      <w:r w:rsidR="00BA3DA7">
        <w:rPr>
          <w:rFonts w:ascii="Arial" w:hAnsi="Arial" w:cs="Arial"/>
        </w:rPr>
        <w:t xml:space="preserve"> claim to overcome “the hermeneutical </w:t>
      </w:r>
      <w:r w:rsidR="009E232A">
        <w:rPr>
          <w:rFonts w:ascii="Arial" w:hAnsi="Arial" w:cs="Arial"/>
        </w:rPr>
        <w:t>problem</w:t>
      </w:r>
      <w:r w:rsidR="00BA3DA7">
        <w:rPr>
          <w:rFonts w:ascii="Arial" w:hAnsi="Arial" w:cs="Arial"/>
        </w:rPr>
        <w:t xml:space="preserve"> of the ‘two horizons’, that is, the gap </w:t>
      </w:r>
      <w:r w:rsidR="009E232A">
        <w:rPr>
          <w:rFonts w:ascii="Arial" w:hAnsi="Arial" w:cs="Arial"/>
        </w:rPr>
        <w:t>between</w:t>
      </w:r>
      <w:r w:rsidR="00BA3DA7">
        <w:rPr>
          <w:rFonts w:ascii="Arial" w:hAnsi="Arial" w:cs="Arial"/>
        </w:rPr>
        <w:t xml:space="preserve"> the ancient texts and the modern reader”.</w:t>
      </w:r>
      <w:r w:rsidR="00BA3DA7">
        <w:rPr>
          <w:rStyle w:val="FootnoteReference"/>
          <w:rFonts w:ascii="Arial" w:hAnsi="Arial" w:cs="Arial"/>
        </w:rPr>
        <w:footnoteReference w:id="15"/>
      </w:r>
      <w:r>
        <w:rPr>
          <w:rFonts w:ascii="Arial" w:hAnsi="Arial" w:cs="Arial"/>
        </w:rPr>
        <w:t xml:space="preserve">  Literary criticism</w:t>
      </w:r>
      <w:r w:rsidR="008C418D">
        <w:rPr>
          <w:rFonts w:ascii="Arial" w:hAnsi="Arial" w:cs="Arial"/>
        </w:rPr>
        <w:t xml:space="preserve"> shift</w:t>
      </w:r>
      <w:r>
        <w:rPr>
          <w:rFonts w:ascii="Arial" w:hAnsi="Arial" w:cs="Arial"/>
        </w:rPr>
        <w:t>s</w:t>
      </w:r>
      <w:r w:rsidR="008C418D">
        <w:rPr>
          <w:rFonts w:ascii="Arial" w:hAnsi="Arial" w:cs="Arial"/>
        </w:rPr>
        <w:t xml:space="preserve"> the </w:t>
      </w:r>
      <w:r w:rsidR="008C418D">
        <w:rPr>
          <w:rFonts w:ascii="Arial" w:hAnsi="Arial" w:cs="Arial"/>
        </w:rPr>
        <w:lastRenderedPageBreak/>
        <w:t xml:space="preserve">focus from the original context of the writing and intention of the author to focus on the response of the </w:t>
      </w:r>
      <w:r>
        <w:rPr>
          <w:rFonts w:ascii="Arial" w:hAnsi="Arial" w:cs="Arial"/>
        </w:rPr>
        <w:t>reader in</w:t>
      </w:r>
      <w:r w:rsidR="008C418D">
        <w:rPr>
          <w:rFonts w:ascii="Arial" w:hAnsi="Arial" w:cs="Arial"/>
        </w:rPr>
        <w:t xml:space="preserve"> determining the </w:t>
      </w:r>
      <w:r>
        <w:rPr>
          <w:rFonts w:ascii="Arial" w:hAnsi="Arial" w:cs="Arial"/>
        </w:rPr>
        <w:t>meaning</w:t>
      </w:r>
      <w:r w:rsidR="008C418D">
        <w:rPr>
          <w:rFonts w:ascii="Arial" w:hAnsi="Arial" w:cs="Arial"/>
        </w:rPr>
        <w:t xml:space="preserve"> and significance of the text.  This undercuts the historical emphasis of biblical studies and gives attention to the interpretative reader/community of readers now.  Literary cri</w:t>
      </w:r>
      <w:r>
        <w:rPr>
          <w:rFonts w:ascii="Arial" w:hAnsi="Arial" w:cs="Arial"/>
        </w:rPr>
        <w:t>ticism facilitates emancipatory reading</w:t>
      </w:r>
      <w:r w:rsidR="008C418D">
        <w:rPr>
          <w:rFonts w:ascii="Arial" w:hAnsi="Arial" w:cs="Arial"/>
        </w:rPr>
        <w:t xml:space="preserve"> of the Bible with </w:t>
      </w:r>
      <w:r>
        <w:rPr>
          <w:rFonts w:ascii="Arial" w:hAnsi="Arial" w:cs="Arial"/>
        </w:rPr>
        <w:t>refusal</w:t>
      </w:r>
      <w:r w:rsidR="008C418D">
        <w:rPr>
          <w:rFonts w:ascii="Arial" w:hAnsi="Arial" w:cs="Arial"/>
        </w:rPr>
        <w:t xml:space="preserve"> to be constrained by history and tradition.  Close </w:t>
      </w:r>
      <w:r>
        <w:rPr>
          <w:rFonts w:ascii="Arial" w:hAnsi="Arial" w:cs="Arial"/>
        </w:rPr>
        <w:t>literary</w:t>
      </w:r>
      <w:r w:rsidR="008C418D">
        <w:rPr>
          <w:rFonts w:ascii="Arial" w:hAnsi="Arial" w:cs="Arial"/>
        </w:rPr>
        <w:t xml:space="preserve"> reading enables </w:t>
      </w:r>
      <w:r>
        <w:rPr>
          <w:rFonts w:ascii="Arial" w:hAnsi="Arial" w:cs="Arial"/>
        </w:rPr>
        <w:t>feminist scholars</w:t>
      </w:r>
      <w:r w:rsidR="008C418D">
        <w:rPr>
          <w:rFonts w:ascii="Arial" w:hAnsi="Arial" w:cs="Arial"/>
        </w:rPr>
        <w:t xml:space="preserve">, for example, to expose the process of power operative from both the origins and subsequent transmission of the text.  In addition, it links to the Midrashic tradition such that </w:t>
      </w:r>
      <w:r w:rsidR="008F545D">
        <w:rPr>
          <w:rFonts w:ascii="Arial" w:hAnsi="Arial" w:cs="Arial"/>
        </w:rPr>
        <w:t xml:space="preserve">“the </w:t>
      </w:r>
      <w:r>
        <w:rPr>
          <w:rFonts w:ascii="Arial" w:hAnsi="Arial" w:cs="Arial"/>
        </w:rPr>
        <w:t>Bible</w:t>
      </w:r>
      <w:r w:rsidR="008F545D">
        <w:rPr>
          <w:rFonts w:ascii="Arial" w:hAnsi="Arial" w:cs="Arial"/>
        </w:rPr>
        <w:t xml:space="preserve"> </w:t>
      </w:r>
      <w:r>
        <w:rPr>
          <w:rFonts w:ascii="Arial" w:hAnsi="Arial" w:cs="Arial"/>
        </w:rPr>
        <w:t>resists</w:t>
      </w:r>
      <w:r w:rsidR="008F545D">
        <w:rPr>
          <w:rFonts w:ascii="Arial" w:hAnsi="Arial" w:cs="Arial"/>
        </w:rPr>
        <w:t xml:space="preserve"> closure and conclusion …. demanding an endless exercise of reading and </w:t>
      </w:r>
      <w:r>
        <w:rPr>
          <w:rFonts w:ascii="Arial" w:hAnsi="Arial" w:cs="Arial"/>
        </w:rPr>
        <w:t>rereading</w:t>
      </w:r>
      <w:r w:rsidR="008F545D">
        <w:rPr>
          <w:rFonts w:ascii="Arial" w:hAnsi="Arial" w:cs="Arial"/>
        </w:rPr>
        <w:t>, writing and rewriting”.</w:t>
      </w:r>
      <w:r w:rsidR="008F545D">
        <w:rPr>
          <w:rStyle w:val="FootnoteReference"/>
          <w:rFonts w:ascii="Arial" w:hAnsi="Arial" w:cs="Arial"/>
        </w:rPr>
        <w:footnoteReference w:id="16"/>
      </w:r>
      <w:r w:rsidR="009E5DBC">
        <w:rPr>
          <w:rFonts w:ascii="Arial" w:hAnsi="Arial" w:cs="Arial"/>
        </w:rPr>
        <w:t xml:space="preserve">  Literary criticism is concerned with the “implie</w:t>
      </w:r>
      <w:r w:rsidR="00D854DB">
        <w:rPr>
          <w:rFonts w:ascii="Arial" w:hAnsi="Arial" w:cs="Arial"/>
        </w:rPr>
        <w:t>d author”</w:t>
      </w:r>
      <w:r w:rsidR="009E5DBC">
        <w:rPr>
          <w:rFonts w:ascii="Arial" w:hAnsi="Arial" w:cs="Arial"/>
        </w:rPr>
        <w:t xml:space="preserve">.  The </w:t>
      </w:r>
      <w:r>
        <w:rPr>
          <w:rFonts w:ascii="Arial" w:hAnsi="Arial" w:cs="Arial"/>
        </w:rPr>
        <w:t>implied</w:t>
      </w:r>
      <w:r w:rsidR="009E5DBC">
        <w:rPr>
          <w:rFonts w:ascii="Arial" w:hAnsi="Arial" w:cs="Arial"/>
        </w:rPr>
        <w:t xml:space="preserve"> </w:t>
      </w:r>
      <w:r>
        <w:rPr>
          <w:rFonts w:ascii="Arial" w:hAnsi="Arial" w:cs="Arial"/>
        </w:rPr>
        <w:t>author’s point</w:t>
      </w:r>
      <w:r w:rsidR="009E5DBC">
        <w:rPr>
          <w:rFonts w:ascii="Arial" w:hAnsi="Arial" w:cs="Arial"/>
        </w:rPr>
        <w:t xml:space="preserve"> of view can be determined without </w:t>
      </w:r>
      <w:r>
        <w:rPr>
          <w:rFonts w:ascii="Arial" w:hAnsi="Arial" w:cs="Arial"/>
        </w:rPr>
        <w:t>looking</w:t>
      </w:r>
      <w:r w:rsidR="009E5DBC">
        <w:rPr>
          <w:rFonts w:ascii="Arial" w:hAnsi="Arial" w:cs="Arial"/>
        </w:rPr>
        <w:t xml:space="preserve"> outside the narrative and the text is still able to speak for itself.  Implied authorship may be different for different texts produced by the same author, something which is less of an issue for biblical study which contain</w:t>
      </w:r>
      <w:r w:rsidR="00D854DB">
        <w:rPr>
          <w:rFonts w:ascii="Arial" w:hAnsi="Arial" w:cs="Arial"/>
        </w:rPr>
        <w:t>s literature from</w:t>
      </w:r>
      <w:r w:rsidR="009E5DBC">
        <w:rPr>
          <w:rFonts w:ascii="Arial" w:hAnsi="Arial" w:cs="Arial"/>
        </w:rPr>
        <w:t xml:space="preserve"> many different authors.</w:t>
      </w:r>
    </w:p>
    <w:p w:rsidR="00D01B19" w:rsidRDefault="00EC7453">
      <w:pPr>
        <w:rPr>
          <w:rFonts w:ascii="Arial" w:hAnsi="Arial" w:cs="Arial"/>
        </w:rPr>
      </w:pPr>
      <w:r>
        <w:rPr>
          <w:rFonts w:ascii="Arial" w:hAnsi="Arial" w:cs="Arial"/>
        </w:rPr>
        <w:t>However, despite</w:t>
      </w:r>
      <w:r w:rsidR="00D01B19">
        <w:rPr>
          <w:rFonts w:ascii="Arial" w:hAnsi="Arial" w:cs="Arial"/>
        </w:rPr>
        <w:t xml:space="preserve"> its positive contribution to the field, literary criticism is not </w:t>
      </w:r>
      <w:r w:rsidR="005D5214">
        <w:rPr>
          <w:rFonts w:ascii="Arial" w:hAnsi="Arial" w:cs="Arial"/>
        </w:rPr>
        <w:t>without</w:t>
      </w:r>
      <w:r w:rsidR="00D01B19">
        <w:rPr>
          <w:rFonts w:ascii="Arial" w:hAnsi="Arial" w:cs="Arial"/>
        </w:rPr>
        <w:t xml:space="preserve"> its challenges. Firstly it undercuts the hist</w:t>
      </w:r>
      <w:r>
        <w:rPr>
          <w:rFonts w:ascii="Arial" w:hAnsi="Arial" w:cs="Arial"/>
        </w:rPr>
        <w:t>orical emphasis present in</w:t>
      </w:r>
      <w:r w:rsidR="00D01B19">
        <w:rPr>
          <w:rFonts w:ascii="Arial" w:hAnsi="Arial" w:cs="Arial"/>
        </w:rPr>
        <w:t xml:space="preserve"> historical </w:t>
      </w:r>
      <w:r w:rsidR="005D5214">
        <w:rPr>
          <w:rFonts w:ascii="Arial" w:hAnsi="Arial" w:cs="Arial"/>
        </w:rPr>
        <w:t>criticism</w:t>
      </w:r>
      <w:r w:rsidR="006F34BF">
        <w:rPr>
          <w:rFonts w:ascii="Arial" w:hAnsi="Arial" w:cs="Arial"/>
        </w:rPr>
        <w:t>.  Se</w:t>
      </w:r>
      <w:r>
        <w:rPr>
          <w:rFonts w:ascii="Arial" w:hAnsi="Arial" w:cs="Arial"/>
        </w:rPr>
        <w:t>c</w:t>
      </w:r>
      <w:r w:rsidR="006F34BF">
        <w:rPr>
          <w:rFonts w:ascii="Arial" w:hAnsi="Arial" w:cs="Arial"/>
        </w:rPr>
        <w:t xml:space="preserve">ondly it raises significant </w:t>
      </w:r>
      <w:r w:rsidR="00375E2B">
        <w:rPr>
          <w:rFonts w:ascii="Arial" w:hAnsi="Arial" w:cs="Arial"/>
        </w:rPr>
        <w:t>questions</w:t>
      </w:r>
      <w:r w:rsidR="006F34BF">
        <w:rPr>
          <w:rFonts w:ascii="Arial" w:hAnsi="Arial" w:cs="Arial"/>
        </w:rPr>
        <w:t xml:space="preserve"> about the authority of biblical (sacred) </w:t>
      </w:r>
      <w:r w:rsidR="005D5214">
        <w:rPr>
          <w:rFonts w:ascii="Arial" w:hAnsi="Arial" w:cs="Arial"/>
        </w:rPr>
        <w:t>text</w:t>
      </w:r>
      <w:r w:rsidR="006F34BF">
        <w:rPr>
          <w:rFonts w:ascii="Arial" w:hAnsi="Arial" w:cs="Arial"/>
        </w:rPr>
        <w:t xml:space="preserve"> if the approach to biblical study becomes subsumed under the umbrella of lite</w:t>
      </w:r>
      <w:r>
        <w:rPr>
          <w:rFonts w:ascii="Arial" w:hAnsi="Arial" w:cs="Arial"/>
        </w:rPr>
        <w:t>rar</w:t>
      </w:r>
      <w:r w:rsidR="006F34BF">
        <w:rPr>
          <w:rFonts w:ascii="Arial" w:hAnsi="Arial" w:cs="Arial"/>
        </w:rPr>
        <w:t>y study more generally.</w:t>
      </w:r>
      <w:r w:rsidR="006F34BF">
        <w:rPr>
          <w:rStyle w:val="FootnoteReference"/>
          <w:rFonts w:ascii="Arial" w:hAnsi="Arial" w:cs="Arial"/>
        </w:rPr>
        <w:footnoteReference w:id="17"/>
      </w:r>
      <w:r w:rsidR="006F34BF">
        <w:rPr>
          <w:rFonts w:ascii="Arial" w:hAnsi="Arial" w:cs="Arial"/>
        </w:rPr>
        <w:t xml:space="preserve">  Thirdly in focussing on the implied author, i.e. the impression of the author formed by the reader, the question arises </w:t>
      </w:r>
      <w:r w:rsidR="005D5214">
        <w:rPr>
          <w:rFonts w:ascii="Arial" w:hAnsi="Arial" w:cs="Arial"/>
        </w:rPr>
        <w:t>whether</w:t>
      </w:r>
      <w:r w:rsidR="006F34BF">
        <w:rPr>
          <w:rFonts w:ascii="Arial" w:hAnsi="Arial" w:cs="Arial"/>
        </w:rPr>
        <w:t xml:space="preserve"> there could be </w:t>
      </w:r>
      <w:r w:rsidR="005D5214">
        <w:rPr>
          <w:rFonts w:ascii="Arial" w:hAnsi="Arial" w:cs="Arial"/>
        </w:rPr>
        <w:t>greater</w:t>
      </w:r>
      <w:r w:rsidR="006F34BF">
        <w:rPr>
          <w:rFonts w:ascii="Arial" w:hAnsi="Arial" w:cs="Arial"/>
        </w:rPr>
        <w:t xml:space="preserve"> value in trying to reconstruct a picture of the “actual author”.  </w:t>
      </w:r>
      <w:r w:rsidR="005D5214">
        <w:rPr>
          <w:rFonts w:ascii="Arial" w:hAnsi="Arial" w:cs="Arial"/>
        </w:rPr>
        <w:t>Fourthly</w:t>
      </w:r>
      <w:r w:rsidR="006F34BF">
        <w:rPr>
          <w:rFonts w:ascii="Arial" w:hAnsi="Arial" w:cs="Arial"/>
        </w:rPr>
        <w:t>, in focusing on the unity of the text the question arises:  How much unity does the text actually have? (although displacement theories regarding text, for example, could still be acknowledged whilst viewing the text holistically</w:t>
      </w:r>
      <w:r w:rsidR="005D5214">
        <w:rPr>
          <w:rFonts w:ascii="Arial" w:hAnsi="Arial" w:cs="Arial"/>
        </w:rPr>
        <w:t>)</w:t>
      </w:r>
      <w:r w:rsidR="006F34BF">
        <w:rPr>
          <w:rFonts w:ascii="Arial" w:hAnsi="Arial" w:cs="Arial"/>
        </w:rPr>
        <w:t xml:space="preserve">.  </w:t>
      </w:r>
      <w:r w:rsidR="005D5214">
        <w:rPr>
          <w:rFonts w:ascii="Arial" w:hAnsi="Arial" w:cs="Arial"/>
        </w:rPr>
        <w:t xml:space="preserve">Finally </w:t>
      </w:r>
      <w:r w:rsidR="006F34BF">
        <w:rPr>
          <w:rFonts w:ascii="Arial" w:hAnsi="Arial" w:cs="Arial"/>
        </w:rPr>
        <w:t xml:space="preserve">there is a risk of the </w:t>
      </w:r>
      <w:r w:rsidR="00F21EFC">
        <w:rPr>
          <w:rFonts w:ascii="Arial" w:hAnsi="Arial" w:cs="Arial"/>
        </w:rPr>
        <w:t xml:space="preserve">narrative becoming </w:t>
      </w:r>
      <w:r>
        <w:rPr>
          <w:rFonts w:ascii="Arial" w:hAnsi="Arial" w:cs="Arial"/>
        </w:rPr>
        <w:t xml:space="preserve">entirely </w:t>
      </w:r>
      <w:r w:rsidR="005D5214">
        <w:rPr>
          <w:rFonts w:ascii="Arial" w:hAnsi="Arial" w:cs="Arial"/>
        </w:rPr>
        <w:t>detached</w:t>
      </w:r>
      <w:r w:rsidR="00F21EFC">
        <w:rPr>
          <w:rFonts w:ascii="Arial" w:hAnsi="Arial" w:cs="Arial"/>
        </w:rPr>
        <w:t xml:space="preserve"> fro</w:t>
      </w:r>
      <w:r w:rsidR="005D5214">
        <w:rPr>
          <w:rFonts w:ascii="Arial" w:hAnsi="Arial" w:cs="Arial"/>
        </w:rPr>
        <w:t>m its historical</w:t>
      </w:r>
      <w:r w:rsidR="006F34BF">
        <w:rPr>
          <w:rFonts w:ascii="Arial" w:hAnsi="Arial" w:cs="Arial"/>
        </w:rPr>
        <w:t xml:space="preserve"> moorings.</w:t>
      </w:r>
    </w:p>
    <w:p w:rsidR="003F73ED" w:rsidRDefault="00F21EFC">
      <w:pPr>
        <w:rPr>
          <w:rFonts w:ascii="Arial" w:hAnsi="Arial" w:cs="Arial"/>
        </w:rPr>
      </w:pPr>
      <w:r>
        <w:rPr>
          <w:rFonts w:ascii="Arial" w:hAnsi="Arial" w:cs="Arial"/>
        </w:rPr>
        <w:t>It is also vital that the contribution of historical criticism to the field is not underestimated.</w:t>
      </w:r>
      <w:r w:rsidR="00F27A0C">
        <w:rPr>
          <w:rFonts w:ascii="Arial" w:hAnsi="Arial" w:cs="Arial"/>
        </w:rPr>
        <w:t xml:space="preserve">  Barton </w:t>
      </w:r>
      <w:r w:rsidR="00D11C88">
        <w:rPr>
          <w:rFonts w:ascii="Arial" w:hAnsi="Arial" w:cs="Arial"/>
        </w:rPr>
        <w:t xml:space="preserve">identifies four central </w:t>
      </w:r>
      <w:r w:rsidR="005D5214">
        <w:rPr>
          <w:rFonts w:ascii="Arial" w:hAnsi="Arial" w:cs="Arial"/>
        </w:rPr>
        <w:t>features</w:t>
      </w:r>
      <w:r w:rsidR="00D11C88">
        <w:rPr>
          <w:rFonts w:ascii="Arial" w:hAnsi="Arial" w:cs="Arial"/>
        </w:rPr>
        <w:t xml:space="preserve"> to the historical-critical approach. Firstly g</w:t>
      </w:r>
      <w:r w:rsidR="005D5214">
        <w:rPr>
          <w:rFonts w:ascii="Arial" w:hAnsi="Arial" w:cs="Arial"/>
        </w:rPr>
        <w:t>ener</w:t>
      </w:r>
      <w:r w:rsidR="00D11C88">
        <w:rPr>
          <w:rFonts w:ascii="Arial" w:hAnsi="Arial" w:cs="Arial"/>
        </w:rPr>
        <w:t xml:space="preserve">ic questions of authorship, date, intended audience and compositional stages.  Secondly the focus on the original meaning or possible </w:t>
      </w:r>
      <w:r w:rsidR="00EC7453">
        <w:rPr>
          <w:rFonts w:ascii="Arial" w:hAnsi="Arial" w:cs="Arial"/>
        </w:rPr>
        <w:t>original meanings,</w:t>
      </w:r>
      <w:r w:rsidR="00F27A0C">
        <w:rPr>
          <w:rFonts w:ascii="Arial" w:hAnsi="Arial" w:cs="Arial"/>
        </w:rPr>
        <w:t xml:space="preserve"> what </w:t>
      </w:r>
      <w:r>
        <w:rPr>
          <w:rFonts w:ascii="Arial" w:hAnsi="Arial" w:cs="Arial"/>
        </w:rPr>
        <w:t>Collins</w:t>
      </w:r>
      <w:r>
        <w:rPr>
          <w:rStyle w:val="FootnoteReference"/>
          <w:rFonts w:ascii="Arial" w:hAnsi="Arial" w:cs="Arial"/>
        </w:rPr>
        <w:footnoteReference w:id="18"/>
      </w:r>
      <w:r>
        <w:rPr>
          <w:rFonts w:ascii="Arial" w:hAnsi="Arial" w:cs="Arial"/>
        </w:rPr>
        <w:t xml:space="preserve"> identifies </w:t>
      </w:r>
      <w:r w:rsidR="00D11C88">
        <w:rPr>
          <w:rFonts w:ascii="Arial" w:hAnsi="Arial" w:cs="Arial"/>
        </w:rPr>
        <w:t xml:space="preserve">as setting a boundary for what the text could or could not mean in its ancient context so that “a text may have more than one possible </w:t>
      </w:r>
      <w:r w:rsidR="005D5214">
        <w:rPr>
          <w:rFonts w:ascii="Arial" w:hAnsi="Arial" w:cs="Arial"/>
        </w:rPr>
        <w:t>meaning</w:t>
      </w:r>
      <w:r w:rsidR="00D11C88">
        <w:rPr>
          <w:rFonts w:ascii="Arial" w:hAnsi="Arial" w:cs="Arial"/>
        </w:rPr>
        <w:t>, but it cannot just mean anything at all”.</w:t>
      </w:r>
      <w:r w:rsidR="00D11C88">
        <w:rPr>
          <w:rStyle w:val="FootnoteReference"/>
          <w:rFonts w:ascii="Arial" w:hAnsi="Arial" w:cs="Arial"/>
        </w:rPr>
        <w:footnoteReference w:id="19"/>
      </w:r>
      <w:r w:rsidR="00D11C88">
        <w:rPr>
          <w:rFonts w:ascii="Arial" w:hAnsi="Arial" w:cs="Arial"/>
        </w:rPr>
        <w:t xml:space="preserve">  Thirdly historical reconstruction i.e. getting back to what really happened and finally disinterested scholarship with a focus on value neutrality.</w:t>
      </w:r>
      <w:r w:rsidR="00B0506D">
        <w:rPr>
          <w:rFonts w:ascii="Arial" w:hAnsi="Arial" w:cs="Arial"/>
        </w:rPr>
        <w:t xml:space="preserve"> </w:t>
      </w:r>
      <w:r w:rsidR="00D11C88">
        <w:rPr>
          <w:rFonts w:ascii="Arial" w:hAnsi="Arial" w:cs="Arial"/>
        </w:rPr>
        <w:t>Whilst a number o</w:t>
      </w:r>
      <w:r w:rsidR="005D5214">
        <w:rPr>
          <w:rFonts w:ascii="Arial" w:hAnsi="Arial" w:cs="Arial"/>
        </w:rPr>
        <w:t>f criticisms can be levelled at</w:t>
      </w:r>
      <w:r w:rsidR="00D11C88">
        <w:rPr>
          <w:rFonts w:ascii="Arial" w:hAnsi="Arial" w:cs="Arial"/>
        </w:rPr>
        <w:t xml:space="preserve"> </w:t>
      </w:r>
      <w:r w:rsidR="005D5214">
        <w:rPr>
          <w:rFonts w:ascii="Arial" w:hAnsi="Arial" w:cs="Arial"/>
        </w:rPr>
        <w:t>t</w:t>
      </w:r>
      <w:r w:rsidR="00D11C88">
        <w:rPr>
          <w:rFonts w:ascii="Arial" w:hAnsi="Arial" w:cs="Arial"/>
        </w:rPr>
        <w:t xml:space="preserve">his approach including the </w:t>
      </w:r>
      <w:r w:rsidR="005D5214">
        <w:rPr>
          <w:rFonts w:ascii="Arial" w:hAnsi="Arial" w:cs="Arial"/>
        </w:rPr>
        <w:t>fallacy</w:t>
      </w:r>
      <w:r w:rsidR="00D11C88">
        <w:rPr>
          <w:rFonts w:ascii="Arial" w:hAnsi="Arial" w:cs="Arial"/>
        </w:rPr>
        <w:t xml:space="preserve"> of </w:t>
      </w:r>
      <w:r w:rsidR="005D5214">
        <w:rPr>
          <w:rFonts w:ascii="Arial" w:hAnsi="Arial" w:cs="Arial"/>
        </w:rPr>
        <w:t>neutrality</w:t>
      </w:r>
      <w:r w:rsidR="00D11C88">
        <w:rPr>
          <w:rFonts w:ascii="Arial" w:hAnsi="Arial" w:cs="Arial"/>
        </w:rPr>
        <w:t xml:space="preserve">, the question of why the original </w:t>
      </w:r>
      <w:r w:rsidR="00464A57">
        <w:rPr>
          <w:rFonts w:ascii="Arial" w:hAnsi="Arial" w:cs="Arial"/>
        </w:rPr>
        <w:t>meaning</w:t>
      </w:r>
      <w:r w:rsidR="00D11C88">
        <w:rPr>
          <w:rFonts w:ascii="Arial" w:hAnsi="Arial" w:cs="Arial"/>
        </w:rPr>
        <w:t xml:space="preserve"> should enjoy any privilege over subsequent </w:t>
      </w:r>
      <w:r w:rsidR="00464A57">
        <w:rPr>
          <w:rFonts w:ascii="Arial" w:hAnsi="Arial" w:cs="Arial"/>
        </w:rPr>
        <w:t>interpretations</w:t>
      </w:r>
      <w:r w:rsidR="00D11C88">
        <w:rPr>
          <w:rFonts w:ascii="Arial" w:hAnsi="Arial" w:cs="Arial"/>
        </w:rPr>
        <w:t xml:space="preserve"> and</w:t>
      </w:r>
      <w:r w:rsidR="00B0506D">
        <w:rPr>
          <w:rFonts w:ascii="Arial" w:hAnsi="Arial" w:cs="Arial"/>
        </w:rPr>
        <w:t xml:space="preserve"> the potential fruitlessness of a quest for objective historical facts the approach maintains significant merit.  </w:t>
      </w:r>
    </w:p>
    <w:p w:rsidR="00F55C9F" w:rsidRDefault="00EC7453" w:rsidP="00F55C9F">
      <w:pPr>
        <w:rPr>
          <w:rFonts w:ascii="Arial" w:hAnsi="Arial" w:cs="Arial"/>
        </w:rPr>
      </w:pPr>
      <w:r>
        <w:rPr>
          <w:rFonts w:ascii="Arial" w:hAnsi="Arial" w:cs="Arial"/>
        </w:rPr>
        <w:t>There is, however, a certain artificiality in lo</w:t>
      </w:r>
      <w:r w:rsidR="00726486">
        <w:rPr>
          <w:rFonts w:ascii="Arial" w:hAnsi="Arial" w:cs="Arial"/>
        </w:rPr>
        <w:t>o</w:t>
      </w:r>
      <w:r>
        <w:rPr>
          <w:rFonts w:ascii="Arial" w:hAnsi="Arial" w:cs="Arial"/>
        </w:rPr>
        <w:t xml:space="preserve">king at the historical and literary critical methods as in diametric opposition.  </w:t>
      </w:r>
      <w:r w:rsidR="003F73ED">
        <w:rPr>
          <w:rFonts w:ascii="Arial" w:hAnsi="Arial" w:cs="Arial"/>
        </w:rPr>
        <w:t>Barton</w:t>
      </w:r>
      <w:r w:rsidR="003F73ED">
        <w:rPr>
          <w:rStyle w:val="FootnoteReference"/>
          <w:rFonts w:ascii="Arial" w:hAnsi="Arial" w:cs="Arial"/>
        </w:rPr>
        <w:footnoteReference w:id="20"/>
      </w:r>
      <w:r w:rsidR="00F27A0C">
        <w:rPr>
          <w:rFonts w:ascii="Arial" w:hAnsi="Arial" w:cs="Arial"/>
        </w:rPr>
        <w:t xml:space="preserve"> </w:t>
      </w:r>
      <w:r w:rsidR="003F73ED">
        <w:rPr>
          <w:rFonts w:ascii="Arial" w:hAnsi="Arial" w:cs="Arial"/>
        </w:rPr>
        <w:t>identifies two crucial defences which support the view that</w:t>
      </w:r>
      <w:r w:rsidR="00B0506D">
        <w:rPr>
          <w:rFonts w:ascii="Arial" w:hAnsi="Arial" w:cs="Arial"/>
        </w:rPr>
        <w:t xml:space="preserve"> </w:t>
      </w:r>
      <w:r w:rsidR="00D01B19">
        <w:rPr>
          <w:rFonts w:ascii="Arial" w:hAnsi="Arial" w:cs="Arial"/>
        </w:rPr>
        <w:t xml:space="preserve">the use of literary criticism does not necessarily call for the abandonment of the historical critical method.  </w:t>
      </w:r>
      <w:r w:rsidR="00464A57">
        <w:rPr>
          <w:rFonts w:ascii="Arial" w:hAnsi="Arial" w:cs="Arial"/>
        </w:rPr>
        <w:t>Firstly</w:t>
      </w:r>
      <w:r w:rsidR="003F73ED">
        <w:rPr>
          <w:rFonts w:ascii="Arial" w:hAnsi="Arial" w:cs="Arial"/>
        </w:rPr>
        <w:t xml:space="preserve"> he argues that </w:t>
      </w:r>
      <w:r w:rsidR="00464A57">
        <w:rPr>
          <w:rFonts w:ascii="Arial" w:hAnsi="Arial" w:cs="Arial"/>
        </w:rPr>
        <w:t>interest</w:t>
      </w:r>
      <w:r w:rsidR="003F73ED">
        <w:rPr>
          <w:rFonts w:ascii="Arial" w:hAnsi="Arial" w:cs="Arial"/>
        </w:rPr>
        <w:t xml:space="preserve"> in how the development of text has taken place over time is really literary criticism.  The </w:t>
      </w:r>
      <w:r w:rsidR="00464A57">
        <w:rPr>
          <w:rFonts w:ascii="Arial" w:hAnsi="Arial" w:cs="Arial"/>
        </w:rPr>
        <w:t>focus</w:t>
      </w:r>
      <w:r w:rsidR="003F73ED">
        <w:rPr>
          <w:rFonts w:ascii="Arial" w:hAnsi="Arial" w:cs="Arial"/>
        </w:rPr>
        <w:t xml:space="preserve"> currently on the whole of the text has not always been the literary approach.  The genesis of historical criticism had much in </w:t>
      </w:r>
      <w:r w:rsidR="003F73ED">
        <w:rPr>
          <w:rFonts w:ascii="Arial" w:hAnsi="Arial" w:cs="Arial"/>
        </w:rPr>
        <w:lastRenderedPageBreak/>
        <w:t>common with literary criticism of t</w:t>
      </w:r>
      <w:r w:rsidR="00464A57">
        <w:rPr>
          <w:rFonts w:ascii="Arial" w:hAnsi="Arial" w:cs="Arial"/>
        </w:rPr>
        <w:t>he time in applying detailed an</w:t>
      </w:r>
      <w:r w:rsidR="003F73ED">
        <w:rPr>
          <w:rFonts w:ascii="Arial" w:hAnsi="Arial" w:cs="Arial"/>
        </w:rPr>
        <w:t xml:space="preserve">alysis to shorter sections of the text.  </w:t>
      </w:r>
      <w:r w:rsidR="00464A57">
        <w:rPr>
          <w:rFonts w:ascii="Arial" w:hAnsi="Arial" w:cs="Arial"/>
        </w:rPr>
        <w:t xml:space="preserve">Classical historical criticism, with its focus on the quest for sources (J, E, P and D in the Hebrew Bible or Q in Synoptic Gospel study) was largely literary criticism. </w:t>
      </w:r>
      <w:r w:rsidR="00F55C9F">
        <w:rPr>
          <w:rFonts w:ascii="Arial" w:hAnsi="Arial" w:cs="Arial"/>
        </w:rPr>
        <w:t xml:space="preserve">In fact the desire for the former comes from the work of the latter as Powell, </w:t>
      </w:r>
      <w:r w:rsidR="00332586">
        <w:rPr>
          <w:rFonts w:ascii="Arial" w:hAnsi="Arial" w:cs="Arial"/>
        </w:rPr>
        <w:t xml:space="preserve">quoting Norman Perrin </w:t>
      </w:r>
      <w:r w:rsidR="00655EC8">
        <w:rPr>
          <w:rFonts w:ascii="Arial" w:hAnsi="Arial" w:cs="Arial"/>
        </w:rPr>
        <w:t xml:space="preserve">(on Gospel redaction criticism) </w:t>
      </w:r>
      <w:r w:rsidR="00F55C9F">
        <w:rPr>
          <w:rFonts w:ascii="Arial" w:hAnsi="Arial" w:cs="Arial"/>
        </w:rPr>
        <w:t>writes, “If the evangelists are authors then they must be studied as other authors are studied”.</w:t>
      </w:r>
      <w:r w:rsidR="00F55C9F">
        <w:rPr>
          <w:rStyle w:val="FootnoteReference"/>
          <w:rFonts w:ascii="Arial" w:hAnsi="Arial" w:cs="Arial"/>
        </w:rPr>
        <w:footnoteReference w:id="21"/>
      </w:r>
      <w:r w:rsidR="00F55C9F">
        <w:rPr>
          <w:rFonts w:ascii="Arial" w:hAnsi="Arial" w:cs="Arial"/>
        </w:rPr>
        <w:t xml:space="preserve">  </w:t>
      </w:r>
    </w:p>
    <w:p w:rsidR="003F73ED" w:rsidRDefault="00464A57">
      <w:pPr>
        <w:rPr>
          <w:rFonts w:ascii="Arial" w:hAnsi="Arial" w:cs="Arial"/>
        </w:rPr>
      </w:pPr>
      <w:r>
        <w:rPr>
          <w:rFonts w:ascii="Arial" w:hAnsi="Arial" w:cs="Arial"/>
        </w:rPr>
        <w:t>Secondly</w:t>
      </w:r>
      <w:r w:rsidR="003F73ED">
        <w:rPr>
          <w:rFonts w:ascii="Arial" w:hAnsi="Arial" w:cs="Arial"/>
        </w:rPr>
        <w:t xml:space="preserve">, </w:t>
      </w:r>
      <w:r>
        <w:rPr>
          <w:rFonts w:ascii="Arial" w:hAnsi="Arial" w:cs="Arial"/>
        </w:rPr>
        <w:t>and</w:t>
      </w:r>
      <w:r w:rsidR="003F73ED">
        <w:rPr>
          <w:rFonts w:ascii="Arial" w:hAnsi="Arial" w:cs="Arial"/>
        </w:rPr>
        <w:t xml:space="preserve"> more significantly, he questions the usually cited original aim of the method.  Whilst it is </w:t>
      </w:r>
      <w:r>
        <w:rPr>
          <w:rFonts w:ascii="Arial" w:hAnsi="Arial" w:cs="Arial"/>
        </w:rPr>
        <w:t>common</w:t>
      </w:r>
      <w:r w:rsidR="003F73ED">
        <w:rPr>
          <w:rFonts w:ascii="Arial" w:hAnsi="Arial" w:cs="Arial"/>
        </w:rPr>
        <w:t xml:space="preserve"> to place it within the context of the Enlightenment with its focus on modernity, scientific methodology and rationality he argues that </w:t>
      </w:r>
      <w:r w:rsidR="005D5214">
        <w:rPr>
          <w:rFonts w:ascii="Arial" w:hAnsi="Arial" w:cs="Arial"/>
        </w:rPr>
        <w:t>this is incorrect.  Rath</w:t>
      </w:r>
      <w:r w:rsidR="003F73ED">
        <w:rPr>
          <w:rFonts w:ascii="Arial" w:hAnsi="Arial" w:cs="Arial"/>
        </w:rPr>
        <w:t>e</w:t>
      </w:r>
      <w:r w:rsidR="005D5214">
        <w:rPr>
          <w:rFonts w:ascii="Arial" w:hAnsi="Arial" w:cs="Arial"/>
        </w:rPr>
        <w:t>r he places the context as the R</w:t>
      </w:r>
      <w:r w:rsidR="003F73ED">
        <w:rPr>
          <w:rFonts w:ascii="Arial" w:hAnsi="Arial" w:cs="Arial"/>
        </w:rPr>
        <w:t>eformation with its insistence</w:t>
      </w:r>
      <w:r w:rsidR="005D5214">
        <w:rPr>
          <w:rFonts w:ascii="Arial" w:hAnsi="Arial" w:cs="Arial"/>
        </w:rPr>
        <w:t xml:space="preserve"> on “the authority of </w:t>
      </w:r>
      <w:r>
        <w:rPr>
          <w:rFonts w:ascii="Arial" w:hAnsi="Arial" w:cs="Arial"/>
        </w:rPr>
        <w:t>the</w:t>
      </w:r>
      <w:r w:rsidR="005D5214">
        <w:rPr>
          <w:rFonts w:ascii="Arial" w:hAnsi="Arial" w:cs="Arial"/>
        </w:rPr>
        <w:t xml:space="preserve"> Bible, read freely, over the Church”.</w:t>
      </w:r>
      <w:r w:rsidR="005D5214">
        <w:rPr>
          <w:rStyle w:val="FootnoteReference"/>
          <w:rFonts w:ascii="Arial" w:hAnsi="Arial" w:cs="Arial"/>
        </w:rPr>
        <w:footnoteReference w:id="22"/>
      </w:r>
      <w:r w:rsidR="005D5214">
        <w:rPr>
          <w:rFonts w:ascii="Arial" w:hAnsi="Arial" w:cs="Arial"/>
        </w:rPr>
        <w:t xml:space="preserve">  Hence in considering Church authority by questioning whether the bishops and deacons in Philippians 1 existed in Paul’s time as they do today </w:t>
      </w:r>
      <w:r w:rsidR="005D5214" w:rsidRPr="00464A57">
        <w:rPr>
          <w:rFonts w:ascii="Arial" w:hAnsi="Arial" w:cs="Arial"/>
          <w:b/>
        </w:rPr>
        <w:t>IS</w:t>
      </w:r>
      <w:r w:rsidR="00726486">
        <w:rPr>
          <w:rFonts w:ascii="Arial" w:hAnsi="Arial" w:cs="Arial"/>
        </w:rPr>
        <w:t xml:space="preserve"> a historical question, </w:t>
      </w:r>
      <w:r w:rsidR="005D5214">
        <w:rPr>
          <w:rFonts w:ascii="Arial" w:hAnsi="Arial" w:cs="Arial"/>
        </w:rPr>
        <w:t xml:space="preserve">it derives from a </w:t>
      </w:r>
      <w:r w:rsidR="00726486">
        <w:rPr>
          <w:rFonts w:ascii="Arial" w:hAnsi="Arial" w:cs="Arial"/>
        </w:rPr>
        <w:t xml:space="preserve">literary </w:t>
      </w:r>
      <w:r w:rsidR="005D5214">
        <w:rPr>
          <w:rFonts w:ascii="Arial" w:hAnsi="Arial" w:cs="Arial"/>
        </w:rPr>
        <w:t>question regarding language.</w:t>
      </w:r>
    </w:p>
    <w:p w:rsidR="00464A57" w:rsidRDefault="00464A57">
      <w:pPr>
        <w:rPr>
          <w:rFonts w:ascii="Arial" w:hAnsi="Arial" w:cs="Arial"/>
        </w:rPr>
      </w:pPr>
      <w:r>
        <w:rPr>
          <w:rFonts w:ascii="Arial" w:hAnsi="Arial" w:cs="Arial"/>
        </w:rPr>
        <w:t>In conclusion, then, the literary critical approach opens up new and interesting ways of viewing the Bible.  Not least it enables the text as a whole to speak to the reader enabling appreciation especially of “the dynamism of the world inside the text”.</w:t>
      </w:r>
      <w:r>
        <w:rPr>
          <w:rStyle w:val="FootnoteReference"/>
          <w:rFonts w:ascii="Arial" w:hAnsi="Arial" w:cs="Arial"/>
        </w:rPr>
        <w:footnoteReference w:id="23"/>
      </w:r>
      <w:r>
        <w:rPr>
          <w:rFonts w:ascii="Arial" w:hAnsi="Arial" w:cs="Arial"/>
        </w:rPr>
        <w:t xml:space="preserve">  However, literary and </w:t>
      </w:r>
      <w:r w:rsidR="00F55C9F">
        <w:rPr>
          <w:rFonts w:ascii="Arial" w:hAnsi="Arial" w:cs="Arial"/>
        </w:rPr>
        <w:t>historical</w:t>
      </w:r>
      <w:r>
        <w:rPr>
          <w:rFonts w:ascii="Arial" w:hAnsi="Arial" w:cs="Arial"/>
        </w:rPr>
        <w:t xml:space="preserve"> cr</w:t>
      </w:r>
      <w:r w:rsidR="00F55C9F">
        <w:rPr>
          <w:rFonts w:ascii="Arial" w:hAnsi="Arial" w:cs="Arial"/>
        </w:rPr>
        <w:t xml:space="preserve">iticism should not been seen </w:t>
      </w:r>
      <w:r>
        <w:rPr>
          <w:rFonts w:ascii="Arial" w:hAnsi="Arial" w:cs="Arial"/>
        </w:rPr>
        <w:t>in opposition.</w:t>
      </w:r>
      <w:r w:rsidR="00F55C9F">
        <w:rPr>
          <w:rFonts w:ascii="Arial" w:hAnsi="Arial" w:cs="Arial"/>
        </w:rPr>
        <w:t xml:space="preserve">  Biblical texts should not, and cannot, be interpreted by use of one single method.  By adopting a methodologically pluralistic approach, new insights will be gleaned and the text will speak with even greater force.</w:t>
      </w:r>
    </w:p>
    <w:p w:rsidR="009E5DBC" w:rsidRDefault="009E5DBC">
      <w:pPr>
        <w:rPr>
          <w:rFonts w:ascii="Arial" w:hAnsi="Arial" w:cs="Arial"/>
        </w:rPr>
      </w:pPr>
    </w:p>
    <w:p w:rsidR="00B0506D" w:rsidRDefault="00B0506D">
      <w:pPr>
        <w:rPr>
          <w:rFonts w:ascii="Arial" w:hAnsi="Arial" w:cs="Arial"/>
        </w:rPr>
      </w:pPr>
    </w:p>
    <w:p w:rsidR="00A40338" w:rsidRDefault="00A40338">
      <w:pPr>
        <w:rPr>
          <w:rFonts w:ascii="Arial" w:hAnsi="Arial" w:cs="Arial"/>
        </w:rPr>
      </w:pPr>
    </w:p>
    <w:p w:rsidR="00A40338" w:rsidRDefault="00A40338">
      <w:pPr>
        <w:rPr>
          <w:rFonts w:ascii="Arial" w:hAnsi="Arial" w:cs="Arial"/>
        </w:rPr>
      </w:pPr>
    </w:p>
    <w:p w:rsidR="00A40338" w:rsidRDefault="00A40338">
      <w:pPr>
        <w:rPr>
          <w:rFonts w:ascii="Arial" w:hAnsi="Arial" w:cs="Arial"/>
        </w:rPr>
      </w:pPr>
    </w:p>
    <w:p w:rsidR="00A40338" w:rsidRDefault="00A40338">
      <w:pPr>
        <w:rPr>
          <w:rFonts w:ascii="Arial" w:hAnsi="Arial" w:cs="Arial"/>
        </w:rPr>
      </w:pPr>
    </w:p>
    <w:p w:rsidR="00A40338" w:rsidRDefault="00A40338">
      <w:pPr>
        <w:rPr>
          <w:rFonts w:ascii="Arial" w:hAnsi="Arial" w:cs="Arial"/>
        </w:rPr>
      </w:pPr>
    </w:p>
    <w:p w:rsidR="00A40338" w:rsidRDefault="00A40338">
      <w:pPr>
        <w:rPr>
          <w:rFonts w:ascii="Arial" w:hAnsi="Arial" w:cs="Arial"/>
        </w:rPr>
      </w:pPr>
    </w:p>
    <w:p w:rsidR="00A40338" w:rsidRDefault="00A40338">
      <w:pPr>
        <w:rPr>
          <w:rFonts w:ascii="Arial" w:hAnsi="Arial" w:cs="Arial"/>
        </w:rPr>
      </w:pPr>
    </w:p>
    <w:p w:rsidR="00A40338" w:rsidRDefault="00F8476C" w:rsidP="00F8476C">
      <w:pPr>
        <w:tabs>
          <w:tab w:val="left" w:pos="1950"/>
        </w:tabs>
        <w:rPr>
          <w:rFonts w:ascii="Arial" w:hAnsi="Arial" w:cs="Arial"/>
        </w:rPr>
      </w:pPr>
      <w:r>
        <w:rPr>
          <w:rFonts w:ascii="Arial" w:hAnsi="Arial" w:cs="Arial"/>
        </w:rPr>
        <w:tab/>
      </w:r>
      <w:bookmarkStart w:id="0" w:name="_GoBack"/>
      <w:bookmarkEnd w:id="0"/>
    </w:p>
    <w:p w:rsidR="00A40338" w:rsidRDefault="00A40338">
      <w:pPr>
        <w:rPr>
          <w:rFonts w:ascii="Arial" w:hAnsi="Arial" w:cs="Arial"/>
        </w:rPr>
      </w:pPr>
    </w:p>
    <w:p w:rsidR="00A40338" w:rsidRDefault="00A40338">
      <w:pPr>
        <w:rPr>
          <w:rFonts w:ascii="Arial" w:hAnsi="Arial" w:cs="Arial"/>
        </w:rPr>
      </w:pPr>
    </w:p>
    <w:p w:rsidR="00A40338" w:rsidRDefault="00A40338">
      <w:pPr>
        <w:rPr>
          <w:rFonts w:ascii="Arial" w:hAnsi="Arial" w:cs="Arial"/>
        </w:rPr>
      </w:pPr>
    </w:p>
    <w:p w:rsidR="00F27A0C" w:rsidRDefault="00F27A0C" w:rsidP="00A40338">
      <w:pPr>
        <w:rPr>
          <w:rFonts w:ascii="Arial" w:hAnsi="Arial" w:cs="Arial"/>
          <w:b/>
          <w:u w:val="single"/>
        </w:rPr>
      </w:pPr>
    </w:p>
    <w:p w:rsidR="00A40338" w:rsidRDefault="00A40338" w:rsidP="00A40338">
      <w:pPr>
        <w:rPr>
          <w:rFonts w:ascii="Arial" w:hAnsi="Arial" w:cs="Arial"/>
          <w:b/>
          <w:u w:val="single"/>
        </w:rPr>
      </w:pPr>
      <w:r>
        <w:rPr>
          <w:rFonts w:ascii="Arial" w:hAnsi="Arial" w:cs="Arial"/>
          <w:b/>
          <w:u w:val="single"/>
        </w:rPr>
        <w:lastRenderedPageBreak/>
        <w:t>Bibliography</w:t>
      </w:r>
    </w:p>
    <w:p w:rsidR="00A40338" w:rsidRDefault="00A40338" w:rsidP="00A40338">
      <w:pPr>
        <w:rPr>
          <w:rFonts w:ascii="Arial" w:hAnsi="Arial" w:cs="Arial"/>
        </w:rPr>
      </w:pPr>
      <w:r w:rsidRPr="00E60960">
        <w:rPr>
          <w:rFonts w:ascii="Arial" w:hAnsi="Arial" w:cs="Arial"/>
        </w:rPr>
        <w:t xml:space="preserve">Barton, John, ‘Historical-Critical Approaches’, in John Barton (ed) </w:t>
      </w:r>
      <w:r w:rsidRPr="00E60960">
        <w:rPr>
          <w:rFonts w:ascii="Arial" w:hAnsi="Arial" w:cs="Arial"/>
          <w:i/>
        </w:rPr>
        <w:t>The Cambridge Companion to Biblical Interpretation</w:t>
      </w:r>
      <w:r w:rsidRPr="00E60960">
        <w:rPr>
          <w:rFonts w:ascii="Arial" w:hAnsi="Arial" w:cs="Arial"/>
        </w:rPr>
        <w:t xml:space="preserve"> (Cambridge: Cambridge University Press, 1998), 9-21.</w:t>
      </w:r>
    </w:p>
    <w:p w:rsidR="00A40338" w:rsidRDefault="00A40338" w:rsidP="00A40338">
      <w:pPr>
        <w:rPr>
          <w:rFonts w:ascii="Arial" w:hAnsi="Arial" w:cs="Arial"/>
        </w:rPr>
      </w:pPr>
      <w:r>
        <w:rPr>
          <w:rFonts w:ascii="Arial" w:hAnsi="Arial" w:cs="Arial"/>
        </w:rPr>
        <w:t>Brodie, Thomas L., Genesis as Dialogue:  A Literary, Historical and Theological Commentary (Oxford:  Oxford University Press, 2001).</w:t>
      </w:r>
    </w:p>
    <w:p w:rsidR="00A40338" w:rsidRDefault="00A40338" w:rsidP="00A40338">
      <w:pPr>
        <w:rPr>
          <w:rFonts w:ascii="Arial" w:hAnsi="Arial" w:cs="Arial"/>
        </w:rPr>
      </w:pPr>
      <w:r w:rsidRPr="00E60960">
        <w:rPr>
          <w:rFonts w:ascii="Arial" w:hAnsi="Arial" w:cs="Arial"/>
        </w:rPr>
        <w:t xml:space="preserve">Collins, John J., ‘Historical Criticism and Its Postmodern Critics’, in </w:t>
      </w:r>
      <w:r w:rsidRPr="004F3E79">
        <w:rPr>
          <w:rFonts w:ascii="Arial" w:hAnsi="Arial" w:cs="Arial"/>
          <w:i/>
        </w:rPr>
        <w:t>The Bible after Babel: Historical Criticism in a Postmodern Age</w:t>
      </w:r>
      <w:r w:rsidRPr="00E60960">
        <w:rPr>
          <w:rFonts w:ascii="Arial" w:hAnsi="Arial" w:cs="Arial"/>
        </w:rPr>
        <w:t xml:space="preserve"> (Grand Rapids:  Wm B. Eerdmans, 2005), 1-25.</w:t>
      </w:r>
    </w:p>
    <w:p w:rsidR="00A40338" w:rsidRDefault="00A40338" w:rsidP="00A40338">
      <w:pPr>
        <w:rPr>
          <w:rFonts w:ascii="Arial" w:hAnsi="Arial" w:cs="Arial"/>
        </w:rPr>
      </w:pPr>
      <w:r>
        <w:rPr>
          <w:rFonts w:ascii="Arial" w:hAnsi="Arial" w:cs="Arial"/>
        </w:rPr>
        <w:t>Dozeman, Thomas B., The Pentateuch:  Introducing the Torah (Minneapolis:  Fortress Press, 2016)</w:t>
      </w:r>
    </w:p>
    <w:p w:rsidR="00A40338" w:rsidRDefault="00A40338" w:rsidP="00A40338">
      <w:pPr>
        <w:rPr>
          <w:rFonts w:ascii="Arial" w:hAnsi="Arial" w:cs="Arial"/>
        </w:rPr>
      </w:pPr>
      <w:r>
        <w:rPr>
          <w:rFonts w:ascii="Arial" w:hAnsi="Arial" w:cs="Arial"/>
        </w:rPr>
        <w:t xml:space="preserve">Gunn, David M., ‘Telling and Retelling the Bible’s First Story’, in Danna Nolan Fewell (ed), </w:t>
      </w:r>
      <w:r>
        <w:rPr>
          <w:rFonts w:ascii="Arial" w:hAnsi="Arial" w:cs="Arial"/>
          <w:i/>
        </w:rPr>
        <w:t>The Oxford Handbook of Biblical Narrative</w:t>
      </w:r>
      <w:r>
        <w:rPr>
          <w:rFonts w:ascii="Arial" w:hAnsi="Arial" w:cs="Arial"/>
        </w:rPr>
        <w:t xml:space="preserve"> (Oxford:  Oxford University Press, 2015), 95-108.</w:t>
      </w:r>
    </w:p>
    <w:p w:rsidR="00A40338" w:rsidRDefault="00A40338" w:rsidP="00A40338">
      <w:pPr>
        <w:rPr>
          <w:rFonts w:ascii="Arial" w:hAnsi="Arial" w:cs="Arial"/>
        </w:rPr>
      </w:pPr>
      <w:r>
        <w:rPr>
          <w:rFonts w:ascii="Arial" w:hAnsi="Arial" w:cs="Arial"/>
        </w:rPr>
        <w:t>Holy Bible New Revised Standard Version - Anglicized Edition with Apocrypha (London:  SPCK, 2015).</w:t>
      </w:r>
    </w:p>
    <w:p w:rsidR="00A40338" w:rsidRDefault="00A40338" w:rsidP="00A40338">
      <w:pPr>
        <w:rPr>
          <w:rFonts w:ascii="Arial" w:hAnsi="Arial" w:cs="Arial"/>
        </w:rPr>
      </w:pPr>
      <w:r>
        <w:rPr>
          <w:rFonts w:ascii="Arial" w:hAnsi="Arial" w:cs="Arial"/>
        </w:rPr>
        <w:t xml:space="preserve">Jasper, David, ‘Literary Readings of the Bible’, in John Barton (ed), </w:t>
      </w:r>
      <w:r>
        <w:rPr>
          <w:rFonts w:ascii="Arial" w:hAnsi="Arial" w:cs="Arial"/>
          <w:i/>
        </w:rPr>
        <w:t>The Cambridge Companion to Biblical Interpretation</w:t>
      </w:r>
      <w:r>
        <w:rPr>
          <w:rFonts w:ascii="Arial" w:hAnsi="Arial" w:cs="Arial"/>
        </w:rPr>
        <w:t xml:space="preserve"> (Cambridge: Cambridge University Press, 1998), 21-35. </w:t>
      </w:r>
    </w:p>
    <w:p w:rsidR="00A40338" w:rsidRDefault="00A40338" w:rsidP="00A40338">
      <w:pPr>
        <w:rPr>
          <w:rFonts w:ascii="Arial" w:hAnsi="Arial" w:cs="Arial"/>
        </w:rPr>
      </w:pPr>
      <w:r>
        <w:rPr>
          <w:rFonts w:ascii="Arial" w:hAnsi="Arial" w:cs="Arial"/>
        </w:rPr>
        <w:t>McKenzie, John L., Dictionary of the Bible (New York:  Macmillan Publishing, 1965).</w:t>
      </w:r>
    </w:p>
    <w:p w:rsidR="00A40338" w:rsidRDefault="00A40338" w:rsidP="00A40338">
      <w:pPr>
        <w:rPr>
          <w:rFonts w:ascii="Arial" w:hAnsi="Arial" w:cs="Arial"/>
        </w:rPr>
      </w:pPr>
      <w:r>
        <w:rPr>
          <w:rFonts w:ascii="Arial" w:hAnsi="Arial" w:cs="Arial"/>
        </w:rPr>
        <w:t>Meyers, Carol, Discovering Eve:  Ancient Israelite Women in Context (Oxford:  Oxford University Press, 1991).</w:t>
      </w:r>
    </w:p>
    <w:p w:rsidR="00A40338" w:rsidRDefault="00A40338" w:rsidP="00A40338">
      <w:pPr>
        <w:rPr>
          <w:rFonts w:ascii="Arial" w:hAnsi="Arial" w:cs="Arial"/>
        </w:rPr>
      </w:pPr>
      <w:r>
        <w:rPr>
          <w:rFonts w:ascii="Arial" w:hAnsi="Arial" w:cs="Arial"/>
        </w:rPr>
        <w:t xml:space="preserve">Mitchell, Margaret M., ‘Rhetorical and New Literary Criticism’, in Judith M. Lieu and J.W. Rogerson (eds), </w:t>
      </w:r>
      <w:r>
        <w:rPr>
          <w:rFonts w:ascii="Arial" w:hAnsi="Arial" w:cs="Arial"/>
          <w:i/>
        </w:rPr>
        <w:t>The Oxford Handbook of Biblical Studies</w:t>
      </w:r>
      <w:r>
        <w:rPr>
          <w:rFonts w:ascii="Arial" w:hAnsi="Arial" w:cs="Arial"/>
        </w:rPr>
        <w:t xml:space="preserve"> (Oxford:  Oxford University Press, 2009), 615-633.</w:t>
      </w:r>
    </w:p>
    <w:p w:rsidR="00A40338" w:rsidRDefault="00A40338" w:rsidP="00A40338">
      <w:pPr>
        <w:rPr>
          <w:rFonts w:ascii="Arial" w:hAnsi="Arial" w:cs="Arial"/>
        </w:rPr>
      </w:pPr>
      <w:r>
        <w:rPr>
          <w:rFonts w:ascii="Arial" w:hAnsi="Arial" w:cs="Arial"/>
        </w:rPr>
        <w:t>Postell, Seth D., Adam as Israel: Genesis 1-3 as the Introduction to the Torah and Tanakh (Cambridge: The Lutterworth Press, 2011).</w:t>
      </w:r>
    </w:p>
    <w:p w:rsidR="00A40338" w:rsidRDefault="00A40338" w:rsidP="00A40338">
      <w:pPr>
        <w:rPr>
          <w:rFonts w:ascii="Arial" w:hAnsi="Arial" w:cs="Arial"/>
        </w:rPr>
      </w:pPr>
      <w:r>
        <w:rPr>
          <w:rFonts w:ascii="Arial" w:hAnsi="Arial" w:cs="Arial"/>
        </w:rPr>
        <w:t xml:space="preserve">Powell, Mark, ‘Scripture as Story’, in Mark Powell, </w:t>
      </w:r>
      <w:r>
        <w:rPr>
          <w:rFonts w:ascii="Arial" w:hAnsi="Arial" w:cs="Arial"/>
          <w:i/>
        </w:rPr>
        <w:t>What Is Narrative Criticism?</w:t>
      </w:r>
      <w:r>
        <w:rPr>
          <w:rFonts w:ascii="Arial" w:hAnsi="Arial" w:cs="Arial"/>
        </w:rPr>
        <w:t xml:space="preserve"> (Minneapolis: Fortress Press, 1993), 1-10. </w:t>
      </w:r>
    </w:p>
    <w:p w:rsidR="00A40338" w:rsidRDefault="00A40338" w:rsidP="00A40338">
      <w:pPr>
        <w:rPr>
          <w:rFonts w:ascii="Arial" w:hAnsi="Arial" w:cs="Arial"/>
        </w:rPr>
      </w:pPr>
      <w:r>
        <w:rPr>
          <w:rFonts w:ascii="Arial" w:hAnsi="Arial" w:cs="Arial"/>
        </w:rPr>
        <w:t xml:space="preserve">Rhoads, David, ‘Narrative Criticism: Practices and Prospects’, in David Rhoads, </w:t>
      </w:r>
      <w:r>
        <w:rPr>
          <w:rFonts w:ascii="Arial" w:hAnsi="Arial" w:cs="Arial"/>
          <w:i/>
        </w:rPr>
        <w:t>Reading Mark: Engaging the Gospel</w:t>
      </w:r>
      <w:r>
        <w:rPr>
          <w:rFonts w:ascii="Arial" w:hAnsi="Arial" w:cs="Arial"/>
        </w:rPr>
        <w:t xml:space="preserve"> (Minneapolis: Fortress Press, 2004), 23-43.</w:t>
      </w:r>
    </w:p>
    <w:p w:rsidR="00A40338" w:rsidRDefault="00A40338" w:rsidP="00A40338">
      <w:pPr>
        <w:rPr>
          <w:rFonts w:ascii="Arial" w:hAnsi="Arial" w:cs="Arial"/>
        </w:rPr>
      </w:pPr>
      <w:r>
        <w:rPr>
          <w:rFonts w:ascii="Arial" w:hAnsi="Arial" w:cs="Arial"/>
        </w:rPr>
        <w:t xml:space="preserve">Römer, Thomas, ‘The Narrative Books of the Hebrew Bible’, in John Barton (ed), </w:t>
      </w:r>
      <w:r>
        <w:rPr>
          <w:rFonts w:ascii="Arial" w:hAnsi="Arial" w:cs="Arial"/>
          <w:i/>
        </w:rPr>
        <w:t>The Hebrew Bible: A Critical Companion</w:t>
      </w:r>
      <w:r>
        <w:rPr>
          <w:rFonts w:ascii="Arial" w:hAnsi="Arial" w:cs="Arial"/>
        </w:rPr>
        <w:t xml:space="preserve"> (New Jersey:  Princeton University Press, 2016), 109-132.</w:t>
      </w:r>
    </w:p>
    <w:p w:rsidR="00A40338" w:rsidRDefault="00A40338" w:rsidP="00A40338">
      <w:pPr>
        <w:rPr>
          <w:rFonts w:ascii="Arial" w:hAnsi="Arial" w:cs="Arial"/>
        </w:rPr>
      </w:pPr>
      <w:r>
        <w:rPr>
          <w:rFonts w:ascii="Arial" w:hAnsi="Arial" w:cs="Arial"/>
        </w:rPr>
        <w:t xml:space="preserve">Wenham, Gordon J., ‘Genesis’ in James D.G. Gunn and John W. Rogerson (eds), </w:t>
      </w:r>
      <w:r>
        <w:rPr>
          <w:rFonts w:ascii="Arial" w:hAnsi="Arial" w:cs="Arial"/>
          <w:i/>
        </w:rPr>
        <w:t>Eerdmans Commentary on the Bible</w:t>
      </w:r>
      <w:r>
        <w:rPr>
          <w:rFonts w:ascii="Arial" w:hAnsi="Arial" w:cs="Arial"/>
        </w:rPr>
        <w:t xml:space="preserve"> (Grand Rapids:  Wm B. Eerdmans, 2021).</w:t>
      </w:r>
    </w:p>
    <w:p w:rsidR="00A40338" w:rsidRDefault="00A40338" w:rsidP="00A40338"/>
    <w:p w:rsidR="00A40338" w:rsidRPr="00D062AA" w:rsidRDefault="00A40338">
      <w:pPr>
        <w:rPr>
          <w:rFonts w:ascii="Arial" w:hAnsi="Arial" w:cs="Arial"/>
        </w:rPr>
      </w:pPr>
    </w:p>
    <w:sectPr w:rsidR="00A40338" w:rsidRPr="00D062A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7E84" w:rsidRDefault="006E7E84" w:rsidP="00DB2102">
      <w:pPr>
        <w:spacing w:after="0" w:line="240" w:lineRule="auto"/>
      </w:pPr>
      <w:r>
        <w:separator/>
      </w:r>
    </w:p>
  </w:endnote>
  <w:endnote w:type="continuationSeparator" w:id="0">
    <w:p w:rsidR="006E7E84" w:rsidRDefault="006E7E84" w:rsidP="00DB2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2157241"/>
      <w:docPartObj>
        <w:docPartGallery w:val="Page Numbers (Bottom of Page)"/>
        <w:docPartUnique/>
      </w:docPartObj>
    </w:sdtPr>
    <w:sdtEndPr>
      <w:rPr>
        <w:color w:val="7F7F7F" w:themeColor="background1" w:themeShade="7F"/>
        <w:spacing w:val="60"/>
      </w:rPr>
    </w:sdtEndPr>
    <w:sdtContent>
      <w:p w:rsidR="00314D18" w:rsidRDefault="00314D1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30C1C" w:rsidRPr="00D30C1C">
          <w:rPr>
            <w:b/>
            <w:bCs/>
            <w:noProof/>
          </w:rPr>
          <w:t>7</w:t>
        </w:r>
        <w:r>
          <w:rPr>
            <w:b/>
            <w:bCs/>
            <w:noProof/>
          </w:rPr>
          <w:fldChar w:fldCharType="end"/>
        </w:r>
        <w:r>
          <w:rPr>
            <w:b/>
            <w:bCs/>
          </w:rPr>
          <w:t xml:space="preserve"> | </w:t>
        </w:r>
        <w:r>
          <w:rPr>
            <w:color w:val="7F7F7F" w:themeColor="background1" w:themeShade="7F"/>
            <w:spacing w:val="60"/>
          </w:rPr>
          <w:t>Page</w:t>
        </w:r>
      </w:p>
    </w:sdtContent>
  </w:sdt>
  <w:p w:rsidR="00314D18" w:rsidRDefault="00314D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7E84" w:rsidRDefault="006E7E84" w:rsidP="00DB2102">
      <w:pPr>
        <w:spacing w:after="0" w:line="240" w:lineRule="auto"/>
      </w:pPr>
      <w:r>
        <w:separator/>
      </w:r>
    </w:p>
  </w:footnote>
  <w:footnote w:type="continuationSeparator" w:id="0">
    <w:p w:rsidR="006E7E84" w:rsidRDefault="006E7E84" w:rsidP="00DB2102">
      <w:pPr>
        <w:spacing w:after="0" w:line="240" w:lineRule="auto"/>
      </w:pPr>
      <w:r>
        <w:continuationSeparator/>
      </w:r>
    </w:p>
  </w:footnote>
  <w:footnote w:id="1">
    <w:p w:rsidR="00314D18" w:rsidRDefault="00314D18">
      <w:pPr>
        <w:pStyle w:val="FootnoteText"/>
      </w:pPr>
      <w:r>
        <w:rPr>
          <w:rStyle w:val="FootnoteReference"/>
        </w:rPr>
        <w:footnoteRef/>
      </w:r>
      <w:r>
        <w:t xml:space="preserve"> </w:t>
      </w:r>
      <w:r w:rsidR="00AB2783">
        <w:t xml:space="preserve">David </w:t>
      </w:r>
      <w:r>
        <w:t>Jasper</w:t>
      </w:r>
      <w:r w:rsidR="00AB2783">
        <w:t xml:space="preserve">, </w:t>
      </w:r>
      <w:r w:rsidR="00AB2783" w:rsidRPr="00AB2783">
        <w:rPr>
          <w:rFonts w:cs="Arial"/>
        </w:rPr>
        <w:t xml:space="preserve">‘Literary Readings of the Bible’, in John Barton (ed), </w:t>
      </w:r>
      <w:r w:rsidR="00AB2783" w:rsidRPr="00AB2783">
        <w:rPr>
          <w:rFonts w:cs="Arial"/>
          <w:i/>
        </w:rPr>
        <w:t>The Cambridge Companion to Biblical Interpretation</w:t>
      </w:r>
      <w:r w:rsidR="00AB2783" w:rsidRPr="00AB2783">
        <w:rPr>
          <w:rFonts w:cs="Arial"/>
        </w:rPr>
        <w:t xml:space="preserve"> (Cambridge: Cambridge University Press, 1998),</w:t>
      </w:r>
      <w:r w:rsidR="00AB2783">
        <w:t xml:space="preserve"> p.</w:t>
      </w:r>
      <w:r>
        <w:t>22</w:t>
      </w:r>
      <w:r w:rsidR="006C1E03">
        <w:t>.</w:t>
      </w:r>
    </w:p>
  </w:footnote>
  <w:footnote w:id="2">
    <w:p w:rsidR="00314D18" w:rsidRPr="00AB2783" w:rsidRDefault="00314D18" w:rsidP="00AB2783">
      <w:pPr>
        <w:rPr>
          <w:rFonts w:ascii="Arial" w:hAnsi="Arial" w:cs="Arial"/>
        </w:rPr>
      </w:pPr>
      <w:r>
        <w:rPr>
          <w:rStyle w:val="FootnoteReference"/>
        </w:rPr>
        <w:footnoteRef/>
      </w:r>
      <w:r w:rsidR="00AB2783">
        <w:t xml:space="preserve"> </w:t>
      </w:r>
      <w:r w:rsidR="00AB2783" w:rsidRPr="00AB2783">
        <w:rPr>
          <w:rFonts w:cs="Arial"/>
          <w:sz w:val="20"/>
          <w:szCs w:val="20"/>
        </w:rPr>
        <w:t xml:space="preserve">Thomas L. Brodie, </w:t>
      </w:r>
      <w:r w:rsidR="00AB2783" w:rsidRPr="00AB2783">
        <w:rPr>
          <w:rFonts w:cs="Arial"/>
          <w:i/>
          <w:sz w:val="20"/>
          <w:szCs w:val="20"/>
        </w:rPr>
        <w:t>Genesis as Dialogue:  A Literary, Historical and Theological Commentary</w:t>
      </w:r>
      <w:r w:rsidR="00AB2783" w:rsidRPr="00AB2783">
        <w:rPr>
          <w:rFonts w:cs="Arial"/>
          <w:sz w:val="20"/>
          <w:szCs w:val="20"/>
        </w:rPr>
        <w:t xml:space="preserve"> (Oxford:  Oxford University Press, 2001)</w:t>
      </w:r>
      <w:r w:rsidR="00AB2783" w:rsidRPr="00AB2783">
        <w:rPr>
          <w:sz w:val="20"/>
          <w:szCs w:val="20"/>
        </w:rPr>
        <w:t>, p.</w:t>
      </w:r>
      <w:r w:rsidRPr="00AB2783">
        <w:rPr>
          <w:sz w:val="20"/>
          <w:szCs w:val="20"/>
        </w:rPr>
        <w:t>5</w:t>
      </w:r>
      <w:r w:rsidR="006C1E03">
        <w:rPr>
          <w:sz w:val="20"/>
          <w:szCs w:val="20"/>
        </w:rPr>
        <w:t>.</w:t>
      </w:r>
    </w:p>
  </w:footnote>
  <w:footnote w:id="3">
    <w:p w:rsidR="00314D18" w:rsidRPr="00AB2783" w:rsidRDefault="00314D18">
      <w:pPr>
        <w:pStyle w:val="FootnoteText"/>
      </w:pPr>
      <w:r>
        <w:rPr>
          <w:rStyle w:val="FootnoteReference"/>
        </w:rPr>
        <w:footnoteRef/>
      </w:r>
      <w:r>
        <w:t xml:space="preserve"> </w:t>
      </w:r>
      <w:r w:rsidR="00AB2783">
        <w:t xml:space="preserve">David M. </w:t>
      </w:r>
      <w:r>
        <w:t>Gunn</w:t>
      </w:r>
      <w:r w:rsidR="00AB2783">
        <w:t>,</w:t>
      </w:r>
      <w:r w:rsidR="00AB2783">
        <w:rPr>
          <w:rFonts w:cs="Arial"/>
        </w:rPr>
        <w:t xml:space="preserve"> </w:t>
      </w:r>
      <w:r w:rsidR="00AB2783" w:rsidRPr="00AB2783">
        <w:rPr>
          <w:rFonts w:cs="Arial"/>
        </w:rPr>
        <w:t xml:space="preserve">‘Telling and Retelling the Bible’s First Story’, in Danna Nolan Fewell (ed), </w:t>
      </w:r>
      <w:r w:rsidR="00AB2783" w:rsidRPr="00AB2783">
        <w:rPr>
          <w:rFonts w:cs="Arial"/>
          <w:i/>
        </w:rPr>
        <w:t>The Oxford Handbook of Biblical Narrative</w:t>
      </w:r>
      <w:r w:rsidR="00AB2783" w:rsidRPr="00AB2783">
        <w:rPr>
          <w:rFonts w:cs="Arial"/>
        </w:rPr>
        <w:t xml:space="preserve"> (Oxford:  Oxford University Press, 2015),</w:t>
      </w:r>
      <w:r w:rsidR="00AB2783" w:rsidRPr="00AB2783">
        <w:t xml:space="preserve"> p.</w:t>
      </w:r>
      <w:r w:rsidRPr="00AB2783">
        <w:t xml:space="preserve"> 96</w:t>
      </w:r>
      <w:r w:rsidR="006C1E03">
        <w:t>.</w:t>
      </w:r>
    </w:p>
  </w:footnote>
  <w:footnote w:id="4">
    <w:p w:rsidR="00314D18" w:rsidRDefault="00314D18">
      <w:pPr>
        <w:pStyle w:val="FootnoteText"/>
      </w:pPr>
      <w:r>
        <w:rPr>
          <w:rStyle w:val="FootnoteReference"/>
        </w:rPr>
        <w:footnoteRef/>
      </w:r>
      <w:r>
        <w:t xml:space="preserve"> Gunn</w:t>
      </w:r>
      <w:r w:rsidR="00AB2783">
        <w:t xml:space="preserve">, </w:t>
      </w:r>
      <w:r w:rsidR="00AB2783" w:rsidRPr="00B634D2">
        <w:rPr>
          <w:rFonts w:cs="Arial"/>
          <w:i/>
        </w:rPr>
        <w:t>‘Telling and Retelling the Bible’s First Story’</w:t>
      </w:r>
      <w:r w:rsidR="00AB2783">
        <w:rPr>
          <w:rFonts w:cs="Arial"/>
        </w:rPr>
        <w:t>,</w:t>
      </w:r>
      <w:r w:rsidR="00AB2783">
        <w:t xml:space="preserve"> p.</w:t>
      </w:r>
      <w:r>
        <w:t xml:space="preserve"> 96</w:t>
      </w:r>
      <w:r w:rsidR="006C1E03">
        <w:t>.</w:t>
      </w:r>
    </w:p>
  </w:footnote>
  <w:footnote w:id="5">
    <w:p w:rsidR="00314D18" w:rsidRDefault="00314D18">
      <w:pPr>
        <w:pStyle w:val="FootnoteText"/>
      </w:pPr>
      <w:r>
        <w:rPr>
          <w:rStyle w:val="FootnoteReference"/>
        </w:rPr>
        <w:footnoteRef/>
      </w:r>
      <w:r>
        <w:t xml:space="preserve"> Brodie</w:t>
      </w:r>
      <w:r w:rsidR="00AB2783">
        <w:t xml:space="preserve">, </w:t>
      </w:r>
      <w:r w:rsidR="00AB2783" w:rsidRPr="00AB2783">
        <w:rPr>
          <w:rFonts w:cs="Arial"/>
          <w:i/>
        </w:rPr>
        <w:t>Genesis as Dialogue</w:t>
      </w:r>
      <w:r w:rsidR="00AB2783">
        <w:rPr>
          <w:rFonts w:cs="Arial"/>
          <w:i/>
        </w:rPr>
        <w:t>,</w:t>
      </w:r>
      <w:r w:rsidR="00AB2783">
        <w:t xml:space="preserve"> p.</w:t>
      </w:r>
      <w:r>
        <w:t xml:space="preserve"> 25</w:t>
      </w:r>
      <w:r w:rsidR="006C1E03">
        <w:t>.</w:t>
      </w:r>
    </w:p>
  </w:footnote>
  <w:footnote w:id="6">
    <w:p w:rsidR="00314D18" w:rsidRDefault="00314D18">
      <w:pPr>
        <w:pStyle w:val="FootnoteText"/>
      </w:pPr>
      <w:r>
        <w:rPr>
          <w:rStyle w:val="FootnoteReference"/>
        </w:rPr>
        <w:footnoteRef/>
      </w:r>
      <w:r>
        <w:t xml:space="preserve"> Brodie</w:t>
      </w:r>
      <w:r w:rsidR="00AB2783">
        <w:t xml:space="preserve">, </w:t>
      </w:r>
      <w:r w:rsidR="00AB2783" w:rsidRPr="00AB2783">
        <w:rPr>
          <w:rFonts w:cs="Arial"/>
          <w:i/>
        </w:rPr>
        <w:t>Genesis as Dialogue</w:t>
      </w:r>
      <w:r w:rsidR="00AB2783">
        <w:rPr>
          <w:rFonts w:cs="Arial"/>
          <w:i/>
        </w:rPr>
        <w:t>,</w:t>
      </w:r>
      <w:r w:rsidR="00AB2783">
        <w:t xml:space="preserve"> p.</w:t>
      </w:r>
      <w:r>
        <w:t xml:space="preserve"> 126</w:t>
      </w:r>
      <w:r w:rsidR="006C1E03">
        <w:t>.</w:t>
      </w:r>
    </w:p>
  </w:footnote>
  <w:footnote w:id="7">
    <w:p w:rsidR="00314D18" w:rsidRDefault="00314D18">
      <w:pPr>
        <w:pStyle w:val="FootnoteText"/>
      </w:pPr>
      <w:r>
        <w:rPr>
          <w:rStyle w:val="FootnoteReference"/>
        </w:rPr>
        <w:footnoteRef/>
      </w:r>
      <w:r>
        <w:t xml:space="preserve"> Brodie</w:t>
      </w:r>
      <w:r w:rsidR="00AB2783">
        <w:t xml:space="preserve">, </w:t>
      </w:r>
      <w:r w:rsidR="00AB2783" w:rsidRPr="00AB2783">
        <w:rPr>
          <w:rFonts w:cs="Arial"/>
          <w:i/>
        </w:rPr>
        <w:t>Genesis as Dialogue</w:t>
      </w:r>
      <w:r w:rsidR="00AB2783">
        <w:t>, p.</w:t>
      </w:r>
      <w:r>
        <w:t xml:space="preserve"> 127</w:t>
      </w:r>
      <w:r w:rsidR="006C1E03">
        <w:t>.</w:t>
      </w:r>
    </w:p>
  </w:footnote>
  <w:footnote w:id="8">
    <w:p w:rsidR="00314D18" w:rsidRDefault="00314D18">
      <w:pPr>
        <w:pStyle w:val="FootnoteText"/>
      </w:pPr>
      <w:r>
        <w:rPr>
          <w:rStyle w:val="FootnoteReference"/>
        </w:rPr>
        <w:footnoteRef/>
      </w:r>
      <w:r>
        <w:t xml:space="preserve"> Brodie</w:t>
      </w:r>
      <w:r w:rsidR="00AB2783">
        <w:t xml:space="preserve">, </w:t>
      </w:r>
      <w:r w:rsidR="00AB2783" w:rsidRPr="00AB2783">
        <w:rPr>
          <w:rFonts w:cs="Arial"/>
          <w:i/>
        </w:rPr>
        <w:t>Genesis as Dialogue</w:t>
      </w:r>
      <w:r w:rsidR="00AB2783">
        <w:t>, p.</w:t>
      </w:r>
      <w:r>
        <w:t xml:space="preserve"> 136</w:t>
      </w:r>
      <w:r w:rsidR="006C1E03">
        <w:t>.</w:t>
      </w:r>
    </w:p>
  </w:footnote>
  <w:footnote w:id="9">
    <w:p w:rsidR="00314D18" w:rsidRDefault="00314D18">
      <w:pPr>
        <w:pStyle w:val="FootnoteText"/>
      </w:pPr>
      <w:r>
        <w:rPr>
          <w:rStyle w:val="FootnoteReference"/>
        </w:rPr>
        <w:footnoteRef/>
      </w:r>
      <w:r w:rsidR="00AB2783">
        <w:t xml:space="preserve"> Brodie, </w:t>
      </w:r>
      <w:r w:rsidR="00AB2783" w:rsidRPr="00AB2783">
        <w:rPr>
          <w:rFonts w:cs="Arial"/>
          <w:i/>
        </w:rPr>
        <w:t>Genesis as Dialogue</w:t>
      </w:r>
      <w:r w:rsidR="00AB2783">
        <w:t>, p.</w:t>
      </w:r>
      <w:r>
        <w:t>138</w:t>
      </w:r>
      <w:r w:rsidR="006C1E03">
        <w:t>.</w:t>
      </w:r>
    </w:p>
  </w:footnote>
  <w:footnote w:id="10">
    <w:p w:rsidR="00FD1042" w:rsidRPr="00AB2783" w:rsidRDefault="00FD1042" w:rsidP="00AB2783">
      <w:pPr>
        <w:rPr>
          <w:rFonts w:cs="Arial"/>
          <w:sz w:val="20"/>
          <w:szCs w:val="20"/>
        </w:rPr>
      </w:pPr>
      <w:r>
        <w:rPr>
          <w:rStyle w:val="FootnoteReference"/>
        </w:rPr>
        <w:footnoteRef/>
      </w:r>
      <w:r>
        <w:t xml:space="preserve"> </w:t>
      </w:r>
      <w:r w:rsidR="00AB2783" w:rsidRPr="00254661">
        <w:rPr>
          <w:sz w:val="20"/>
          <w:szCs w:val="20"/>
        </w:rPr>
        <w:t>Carol Meyers</w:t>
      </w:r>
      <w:r w:rsidR="00AB2783">
        <w:rPr>
          <w:rFonts w:ascii="Arial" w:hAnsi="Arial" w:cs="Arial"/>
        </w:rPr>
        <w:t xml:space="preserve">, </w:t>
      </w:r>
      <w:r w:rsidR="00AB2783" w:rsidRPr="00AB2783">
        <w:rPr>
          <w:rFonts w:cs="Arial"/>
          <w:i/>
          <w:sz w:val="20"/>
          <w:szCs w:val="20"/>
        </w:rPr>
        <w:t>Discovering Eve:  Ancient Israelite Women in Context</w:t>
      </w:r>
      <w:r w:rsidR="00AB2783" w:rsidRPr="00AB2783">
        <w:rPr>
          <w:rFonts w:cs="Arial"/>
          <w:sz w:val="20"/>
          <w:szCs w:val="20"/>
        </w:rPr>
        <w:t xml:space="preserve"> (Oxford: </w:t>
      </w:r>
      <w:r w:rsidR="00AB2783">
        <w:rPr>
          <w:rFonts w:cs="Arial"/>
          <w:sz w:val="20"/>
          <w:szCs w:val="20"/>
        </w:rPr>
        <w:t xml:space="preserve"> Oxford Unive</w:t>
      </w:r>
      <w:r w:rsidR="00A40338">
        <w:rPr>
          <w:rFonts w:cs="Arial"/>
          <w:sz w:val="20"/>
          <w:szCs w:val="20"/>
        </w:rPr>
        <w:t>rsity Press, 1991), p. 72-121.</w:t>
      </w:r>
    </w:p>
  </w:footnote>
  <w:footnote w:id="11">
    <w:p w:rsidR="009C4A15" w:rsidRDefault="009C4A15" w:rsidP="009C4A15">
      <w:pPr>
        <w:pStyle w:val="FootnoteText"/>
      </w:pPr>
      <w:r>
        <w:rPr>
          <w:rStyle w:val="FootnoteReference"/>
        </w:rPr>
        <w:footnoteRef/>
      </w:r>
      <w:r>
        <w:t xml:space="preserve"> Meyers </w:t>
      </w:r>
      <w:r w:rsidR="00AB2783" w:rsidRPr="00AB2783">
        <w:rPr>
          <w:rFonts w:cs="Arial"/>
          <w:i/>
        </w:rPr>
        <w:t>Discovering Eve:  Ancient Israelite Women in Context</w:t>
      </w:r>
      <w:r w:rsidR="00AB2783">
        <w:rPr>
          <w:rFonts w:cs="Arial"/>
        </w:rPr>
        <w:t xml:space="preserve">, </w:t>
      </w:r>
      <w:r w:rsidR="00AB2783">
        <w:t>p.</w:t>
      </w:r>
      <w:r>
        <w:t xml:space="preserve"> 80-81</w:t>
      </w:r>
      <w:r w:rsidR="006C1E03">
        <w:t>.</w:t>
      </w:r>
    </w:p>
  </w:footnote>
  <w:footnote w:id="12">
    <w:p w:rsidR="009C4A15" w:rsidRDefault="009C4A15" w:rsidP="009C4A15">
      <w:pPr>
        <w:pStyle w:val="FootnoteText"/>
      </w:pPr>
      <w:r>
        <w:rPr>
          <w:rStyle w:val="FootnoteReference"/>
        </w:rPr>
        <w:footnoteRef/>
      </w:r>
      <w:r>
        <w:t xml:space="preserve"> Meyers</w:t>
      </w:r>
      <w:r w:rsidR="00AB2783" w:rsidRPr="00AB2783">
        <w:rPr>
          <w:rFonts w:cs="Arial"/>
          <w:i/>
        </w:rPr>
        <w:t xml:space="preserve"> Discovering Eve:  Ancient Israelite Women in Context</w:t>
      </w:r>
      <w:r w:rsidR="00AB2783">
        <w:t>, p.</w:t>
      </w:r>
      <w:r>
        <w:t xml:space="preserve"> 81</w:t>
      </w:r>
      <w:r w:rsidR="006C1E03">
        <w:t>.</w:t>
      </w:r>
    </w:p>
  </w:footnote>
  <w:footnote w:id="13">
    <w:p w:rsidR="00F228E5" w:rsidRDefault="00F228E5">
      <w:pPr>
        <w:pStyle w:val="FootnoteText"/>
      </w:pPr>
      <w:r>
        <w:rPr>
          <w:rStyle w:val="FootnoteReference"/>
        </w:rPr>
        <w:footnoteRef/>
      </w:r>
      <w:r>
        <w:t xml:space="preserve"> Meyers</w:t>
      </w:r>
      <w:r w:rsidR="00AB2783">
        <w:t xml:space="preserve">, </w:t>
      </w:r>
      <w:r w:rsidR="00AB2783" w:rsidRPr="00AB2783">
        <w:rPr>
          <w:rFonts w:cs="Arial"/>
          <w:i/>
        </w:rPr>
        <w:t>Discovering Eve:  Ancient Israelite Women in Context</w:t>
      </w:r>
      <w:r w:rsidR="00A40338">
        <w:t>, p. 118.</w:t>
      </w:r>
    </w:p>
  </w:footnote>
  <w:footnote w:id="14">
    <w:p w:rsidR="00F27A0C" w:rsidRPr="00254661" w:rsidRDefault="00F27A0C" w:rsidP="00F27A0C">
      <w:pPr>
        <w:pStyle w:val="FootnoteText"/>
      </w:pPr>
      <w:r>
        <w:rPr>
          <w:rStyle w:val="FootnoteReference"/>
        </w:rPr>
        <w:footnoteRef/>
      </w:r>
      <w:r>
        <w:t xml:space="preserve"> </w:t>
      </w:r>
      <w:r w:rsidRPr="00254661">
        <w:t xml:space="preserve">Mark Powell, </w:t>
      </w:r>
      <w:r w:rsidRPr="00254661">
        <w:rPr>
          <w:rFonts w:cs="Arial"/>
        </w:rPr>
        <w:t xml:space="preserve">‘Scripture as Story’, in Mark Powell, </w:t>
      </w:r>
      <w:r w:rsidRPr="00254661">
        <w:rPr>
          <w:rFonts w:cs="Arial"/>
          <w:i/>
        </w:rPr>
        <w:t>What Is Narrative Criticism?</w:t>
      </w:r>
      <w:r w:rsidRPr="00254661">
        <w:rPr>
          <w:rFonts w:cs="Arial"/>
        </w:rPr>
        <w:t xml:space="preserve"> (Minneapolis: Fortress Press, 1993), </w:t>
      </w:r>
      <w:r w:rsidRPr="00254661">
        <w:t>p. 7-8</w:t>
      </w:r>
      <w:r>
        <w:t>.</w:t>
      </w:r>
    </w:p>
  </w:footnote>
  <w:footnote w:id="15">
    <w:p w:rsidR="00314D18" w:rsidRDefault="00314D18">
      <w:pPr>
        <w:pStyle w:val="FootnoteText"/>
      </w:pPr>
      <w:r>
        <w:rPr>
          <w:rStyle w:val="FootnoteReference"/>
        </w:rPr>
        <w:footnoteRef/>
      </w:r>
      <w:r>
        <w:t xml:space="preserve"> Jasper</w:t>
      </w:r>
      <w:r w:rsidR="00AB2783">
        <w:t>,</w:t>
      </w:r>
      <w:r>
        <w:t xml:space="preserve"> </w:t>
      </w:r>
      <w:r w:rsidR="00AB2783" w:rsidRPr="00B634D2">
        <w:rPr>
          <w:rFonts w:cs="Arial"/>
          <w:i/>
        </w:rPr>
        <w:t>‘Literary Readings of the Bible’</w:t>
      </w:r>
      <w:r w:rsidR="00AB2783" w:rsidRPr="00AB2783">
        <w:rPr>
          <w:rFonts w:cs="Arial"/>
        </w:rPr>
        <w:t xml:space="preserve">, </w:t>
      </w:r>
      <w:r w:rsidR="00AB2783">
        <w:rPr>
          <w:rFonts w:cs="Arial"/>
        </w:rPr>
        <w:t xml:space="preserve">p. </w:t>
      </w:r>
      <w:r>
        <w:t>27</w:t>
      </w:r>
      <w:r w:rsidR="006C1E03">
        <w:t>.</w:t>
      </w:r>
    </w:p>
  </w:footnote>
  <w:footnote w:id="16">
    <w:p w:rsidR="00314D18" w:rsidRDefault="00314D18">
      <w:pPr>
        <w:pStyle w:val="FootnoteText"/>
      </w:pPr>
      <w:r>
        <w:rPr>
          <w:rStyle w:val="FootnoteReference"/>
        </w:rPr>
        <w:footnoteRef/>
      </w:r>
      <w:r>
        <w:t xml:space="preserve"> Jasper</w:t>
      </w:r>
      <w:r w:rsidR="00AB2783">
        <w:t xml:space="preserve">, </w:t>
      </w:r>
      <w:r w:rsidR="00AB2783" w:rsidRPr="00B634D2">
        <w:rPr>
          <w:rFonts w:cs="Arial"/>
          <w:i/>
        </w:rPr>
        <w:t>‘Literary Readings of the Bible’</w:t>
      </w:r>
      <w:r w:rsidR="00AB2783" w:rsidRPr="00AB2783">
        <w:rPr>
          <w:rFonts w:cs="Arial"/>
        </w:rPr>
        <w:t xml:space="preserve">, </w:t>
      </w:r>
      <w:r w:rsidR="00AB2783">
        <w:rPr>
          <w:rFonts w:cs="Arial"/>
        </w:rPr>
        <w:t xml:space="preserve">p. </w:t>
      </w:r>
      <w:r>
        <w:t>30</w:t>
      </w:r>
      <w:r w:rsidR="006C1E03">
        <w:t>.</w:t>
      </w:r>
    </w:p>
  </w:footnote>
  <w:footnote w:id="17">
    <w:p w:rsidR="00314D18" w:rsidRDefault="00314D18">
      <w:pPr>
        <w:pStyle w:val="FootnoteText"/>
      </w:pPr>
      <w:r>
        <w:rPr>
          <w:rStyle w:val="FootnoteReference"/>
        </w:rPr>
        <w:footnoteRef/>
      </w:r>
      <w:r>
        <w:t xml:space="preserve"> Jasper</w:t>
      </w:r>
      <w:r w:rsidR="00AB2783">
        <w:t>,</w:t>
      </w:r>
      <w:r>
        <w:t xml:space="preserve"> </w:t>
      </w:r>
      <w:r w:rsidR="00AB2783" w:rsidRPr="00B634D2">
        <w:rPr>
          <w:rFonts w:cs="Arial"/>
          <w:i/>
        </w:rPr>
        <w:t>‘Literary Readings of the Bible’</w:t>
      </w:r>
      <w:r w:rsidR="00AB2783" w:rsidRPr="00AB2783">
        <w:rPr>
          <w:rFonts w:cs="Arial"/>
        </w:rPr>
        <w:t xml:space="preserve">, </w:t>
      </w:r>
      <w:r w:rsidR="00AB2783">
        <w:rPr>
          <w:rFonts w:cs="Arial"/>
        </w:rPr>
        <w:t xml:space="preserve">p. </w:t>
      </w:r>
      <w:r>
        <w:t>28</w:t>
      </w:r>
      <w:r w:rsidR="006C1E03">
        <w:t>.</w:t>
      </w:r>
    </w:p>
  </w:footnote>
  <w:footnote w:id="18">
    <w:p w:rsidR="00314D18" w:rsidRDefault="00314D18">
      <w:pPr>
        <w:pStyle w:val="FootnoteText"/>
      </w:pPr>
      <w:r>
        <w:rPr>
          <w:rStyle w:val="FootnoteReference"/>
        </w:rPr>
        <w:footnoteRef/>
      </w:r>
      <w:r>
        <w:t xml:space="preserve"> </w:t>
      </w:r>
      <w:r w:rsidR="00254661">
        <w:t xml:space="preserve">John J. </w:t>
      </w:r>
      <w:r>
        <w:t>Collins</w:t>
      </w:r>
      <w:r w:rsidR="00254661">
        <w:t>,</w:t>
      </w:r>
      <w:r>
        <w:t xml:space="preserve"> </w:t>
      </w:r>
      <w:r w:rsidR="00254661" w:rsidRPr="00254661">
        <w:rPr>
          <w:rFonts w:cs="Arial"/>
        </w:rPr>
        <w:t xml:space="preserve">‘Historical Criticism and Its Postmodern Critics’, in </w:t>
      </w:r>
      <w:r w:rsidR="00254661" w:rsidRPr="00254661">
        <w:rPr>
          <w:rFonts w:cs="Arial"/>
          <w:i/>
        </w:rPr>
        <w:t>The Bible after Babel: Historical Criticism in a Postmodern Age</w:t>
      </w:r>
      <w:r w:rsidR="00254661" w:rsidRPr="00254661">
        <w:rPr>
          <w:rFonts w:cs="Arial"/>
        </w:rPr>
        <w:t xml:space="preserve"> (Grand Rapids:  Wm B. Eerdmans, 2005),</w:t>
      </w:r>
      <w:r w:rsidR="00254661" w:rsidRPr="00E60960">
        <w:rPr>
          <w:rFonts w:ascii="Arial" w:hAnsi="Arial" w:cs="Arial"/>
        </w:rPr>
        <w:t xml:space="preserve"> </w:t>
      </w:r>
      <w:r w:rsidR="00254661">
        <w:t>p.</w:t>
      </w:r>
      <w:r>
        <w:t xml:space="preserve"> 10-11</w:t>
      </w:r>
      <w:r w:rsidR="006C1E03">
        <w:t>.</w:t>
      </w:r>
    </w:p>
  </w:footnote>
  <w:footnote w:id="19">
    <w:p w:rsidR="00314D18" w:rsidRDefault="00314D18" w:rsidP="00D11C88">
      <w:pPr>
        <w:pStyle w:val="FootnoteText"/>
      </w:pPr>
      <w:r>
        <w:rPr>
          <w:rStyle w:val="FootnoteReference"/>
        </w:rPr>
        <w:footnoteRef/>
      </w:r>
      <w:r>
        <w:t xml:space="preserve"> Collins</w:t>
      </w:r>
      <w:r w:rsidR="00254661">
        <w:t xml:space="preserve">, </w:t>
      </w:r>
      <w:r w:rsidR="00254661" w:rsidRPr="00B634D2">
        <w:rPr>
          <w:rFonts w:cs="Arial"/>
          <w:i/>
        </w:rPr>
        <w:t>‘Historical Criticism and Its Postmodern Critics’</w:t>
      </w:r>
      <w:r w:rsidR="00254661" w:rsidRPr="00254661">
        <w:rPr>
          <w:rFonts w:cs="Arial"/>
        </w:rPr>
        <w:t xml:space="preserve">, </w:t>
      </w:r>
      <w:r w:rsidR="00254661">
        <w:t>p.</w:t>
      </w:r>
      <w:r>
        <w:t xml:space="preserve"> 10</w:t>
      </w:r>
      <w:r w:rsidR="006C1E03">
        <w:t>.</w:t>
      </w:r>
    </w:p>
  </w:footnote>
  <w:footnote w:id="20">
    <w:p w:rsidR="00314D18" w:rsidRDefault="00314D18">
      <w:pPr>
        <w:pStyle w:val="FootnoteText"/>
      </w:pPr>
      <w:r>
        <w:rPr>
          <w:rStyle w:val="FootnoteReference"/>
        </w:rPr>
        <w:footnoteRef/>
      </w:r>
      <w:r>
        <w:t xml:space="preserve"> </w:t>
      </w:r>
      <w:r w:rsidR="00254661">
        <w:t xml:space="preserve">John </w:t>
      </w:r>
      <w:r>
        <w:t>Barton</w:t>
      </w:r>
      <w:r w:rsidR="00254661">
        <w:t xml:space="preserve">, </w:t>
      </w:r>
      <w:r w:rsidR="00254661" w:rsidRPr="00254661">
        <w:rPr>
          <w:rFonts w:cs="Arial"/>
        </w:rPr>
        <w:t xml:space="preserve">‘Historical-Critical Approaches’, in John Barton (ed) </w:t>
      </w:r>
      <w:r w:rsidR="00254661" w:rsidRPr="00254661">
        <w:rPr>
          <w:rFonts w:cs="Arial"/>
          <w:i/>
        </w:rPr>
        <w:t>The Cambridge Companion to Biblical Interpretation</w:t>
      </w:r>
      <w:r w:rsidR="00254661" w:rsidRPr="00254661">
        <w:rPr>
          <w:rFonts w:cs="Arial"/>
        </w:rPr>
        <w:t xml:space="preserve"> (Cambridge: Cambridge University Press, 1998),</w:t>
      </w:r>
      <w:r w:rsidR="00254661" w:rsidRPr="00E60960">
        <w:rPr>
          <w:rFonts w:ascii="Arial" w:hAnsi="Arial" w:cs="Arial"/>
        </w:rPr>
        <w:t xml:space="preserve"> </w:t>
      </w:r>
      <w:r w:rsidR="00254661">
        <w:t>p. 14-16</w:t>
      </w:r>
      <w:r w:rsidR="006C1E03">
        <w:t>.</w:t>
      </w:r>
      <w:r w:rsidR="00254661">
        <w:t xml:space="preserve"> </w:t>
      </w:r>
    </w:p>
  </w:footnote>
  <w:footnote w:id="21">
    <w:p w:rsidR="00314D18" w:rsidRDefault="00314D18" w:rsidP="00F55C9F">
      <w:pPr>
        <w:pStyle w:val="FootnoteText"/>
      </w:pPr>
      <w:r>
        <w:rPr>
          <w:rStyle w:val="FootnoteReference"/>
        </w:rPr>
        <w:footnoteRef/>
      </w:r>
      <w:r>
        <w:t xml:space="preserve"> Powell</w:t>
      </w:r>
      <w:r w:rsidR="00254661">
        <w:t xml:space="preserve">, </w:t>
      </w:r>
      <w:r w:rsidR="00254661" w:rsidRPr="00F8476C">
        <w:rPr>
          <w:rFonts w:cs="Arial"/>
          <w:i/>
        </w:rPr>
        <w:t>‘Scripture as Story’</w:t>
      </w:r>
      <w:r w:rsidR="00254661">
        <w:rPr>
          <w:rFonts w:cs="Arial"/>
        </w:rPr>
        <w:t>,</w:t>
      </w:r>
      <w:r w:rsidR="00254661">
        <w:t xml:space="preserve"> p.</w:t>
      </w:r>
      <w:r>
        <w:t xml:space="preserve"> 3</w:t>
      </w:r>
      <w:r w:rsidR="006C1E03">
        <w:t>.</w:t>
      </w:r>
    </w:p>
  </w:footnote>
  <w:footnote w:id="22">
    <w:p w:rsidR="00314D18" w:rsidRDefault="00314D18">
      <w:pPr>
        <w:pStyle w:val="FootnoteText"/>
      </w:pPr>
      <w:r>
        <w:rPr>
          <w:rStyle w:val="FootnoteReference"/>
        </w:rPr>
        <w:footnoteRef/>
      </w:r>
      <w:r w:rsidR="00254661">
        <w:t xml:space="preserve"> Barton, </w:t>
      </w:r>
      <w:r w:rsidR="00254661" w:rsidRPr="00F8476C">
        <w:rPr>
          <w:rFonts w:cs="Arial"/>
          <w:i/>
        </w:rPr>
        <w:t>‘Historical-Critical Approaches’</w:t>
      </w:r>
      <w:r w:rsidR="00254661">
        <w:rPr>
          <w:rFonts w:cs="Arial"/>
        </w:rPr>
        <w:t xml:space="preserve">, </w:t>
      </w:r>
      <w:r w:rsidR="00254661">
        <w:t xml:space="preserve">p. 16. </w:t>
      </w:r>
    </w:p>
  </w:footnote>
  <w:footnote w:id="23">
    <w:p w:rsidR="00314D18" w:rsidRDefault="00314D18">
      <w:pPr>
        <w:pStyle w:val="FootnoteText"/>
      </w:pPr>
      <w:r>
        <w:rPr>
          <w:rStyle w:val="FootnoteReference"/>
        </w:rPr>
        <w:footnoteRef/>
      </w:r>
      <w:r>
        <w:t xml:space="preserve"> </w:t>
      </w:r>
      <w:r w:rsidR="00254661">
        <w:t>Margaret M. Mitchell</w:t>
      </w:r>
      <w:r w:rsidR="00254661" w:rsidRPr="00254661">
        <w:rPr>
          <w:rFonts w:cs="Arial"/>
        </w:rPr>
        <w:t xml:space="preserve">, ‘Rhetorical and New Literary Criticism’, in Judith M. Lieu and J.W. Rogerson (eds), </w:t>
      </w:r>
      <w:r w:rsidR="00254661" w:rsidRPr="00254661">
        <w:rPr>
          <w:rFonts w:cs="Arial"/>
          <w:i/>
        </w:rPr>
        <w:t>The Oxford Handbook of Biblical Studies</w:t>
      </w:r>
      <w:r w:rsidR="00254661" w:rsidRPr="00254661">
        <w:rPr>
          <w:rFonts w:cs="Arial"/>
        </w:rPr>
        <w:t xml:space="preserve"> (Oxford:  Oxford University Press, 2009),</w:t>
      </w:r>
      <w:r w:rsidR="00254661">
        <w:rPr>
          <w:rFonts w:ascii="Arial" w:hAnsi="Arial" w:cs="Arial"/>
        </w:rPr>
        <w:t xml:space="preserve"> </w:t>
      </w:r>
      <w:r w:rsidR="00254661">
        <w:t>p.</w:t>
      </w:r>
      <w:r>
        <w:t xml:space="preserve"> 619</w:t>
      </w:r>
      <w:r w:rsidR="0025466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D18" w:rsidRDefault="00314D18" w:rsidP="00DB2102">
    <w:pPr>
      <w:pStyle w:val="Header"/>
      <w:rPr>
        <w:rFonts w:ascii="Arial" w:hAnsi="Arial" w:cs="Arial"/>
        <w:b/>
      </w:rPr>
    </w:pPr>
    <w:r>
      <w:rPr>
        <w:rFonts w:ascii="Arial" w:hAnsi="Arial" w:cs="Arial"/>
        <w:b/>
      </w:rPr>
      <w:t>Helen Springall (2120514)</w:t>
    </w:r>
  </w:p>
  <w:p w:rsidR="00314D18" w:rsidRDefault="00314D18" w:rsidP="00DB2102">
    <w:pPr>
      <w:pStyle w:val="Header"/>
      <w:rPr>
        <w:rFonts w:ascii="Arial" w:hAnsi="Arial" w:cs="Arial"/>
        <w:b/>
      </w:rPr>
    </w:pPr>
    <w:r>
      <w:rPr>
        <w:rFonts w:ascii="Arial" w:hAnsi="Arial" w:cs="Arial"/>
        <w:b/>
      </w:rPr>
      <w:t>HPRS7014 The Bible:  Contemporary Approaches - Assessment 1:  Textual Analysis Genesis 1-3 from a Literary Critical Perspective</w:t>
    </w:r>
  </w:p>
  <w:p w:rsidR="00314D18" w:rsidRDefault="00314D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102"/>
    <w:rsid w:val="00046F1F"/>
    <w:rsid w:val="000710E9"/>
    <w:rsid w:val="000E12FE"/>
    <w:rsid w:val="000E584F"/>
    <w:rsid w:val="001135D6"/>
    <w:rsid w:val="001421BF"/>
    <w:rsid w:val="00163523"/>
    <w:rsid w:val="00167E18"/>
    <w:rsid w:val="001E2238"/>
    <w:rsid w:val="001F44CD"/>
    <w:rsid w:val="00206652"/>
    <w:rsid w:val="00232349"/>
    <w:rsid w:val="002406E1"/>
    <w:rsid w:val="00254661"/>
    <w:rsid w:val="002764AC"/>
    <w:rsid w:val="00314D18"/>
    <w:rsid w:val="00317FD1"/>
    <w:rsid w:val="00332586"/>
    <w:rsid w:val="003516B9"/>
    <w:rsid w:val="00375E2B"/>
    <w:rsid w:val="003B35DE"/>
    <w:rsid w:val="003F73ED"/>
    <w:rsid w:val="00441AF9"/>
    <w:rsid w:val="00456A69"/>
    <w:rsid w:val="00464A57"/>
    <w:rsid w:val="004B1E11"/>
    <w:rsid w:val="00517AC1"/>
    <w:rsid w:val="0054246A"/>
    <w:rsid w:val="005B38F4"/>
    <w:rsid w:val="005D5214"/>
    <w:rsid w:val="005F19AC"/>
    <w:rsid w:val="00621747"/>
    <w:rsid w:val="00655EC8"/>
    <w:rsid w:val="006C1E03"/>
    <w:rsid w:val="006E7E84"/>
    <w:rsid w:val="006F34BF"/>
    <w:rsid w:val="006F5C71"/>
    <w:rsid w:val="00726486"/>
    <w:rsid w:val="00763D3D"/>
    <w:rsid w:val="007D31B1"/>
    <w:rsid w:val="007E4AF8"/>
    <w:rsid w:val="007E72B8"/>
    <w:rsid w:val="007E7DA6"/>
    <w:rsid w:val="00815D80"/>
    <w:rsid w:val="008311AB"/>
    <w:rsid w:val="008558B8"/>
    <w:rsid w:val="00872DC2"/>
    <w:rsid w:val="008C418D"/>
    <w:rsid w:val="008D6AB0"/>
    <w:rsid w:val="008F545D"/>
    <w:rsid w:val="009244F1"/>
    <w:rsid w:val="00930481"/>
    <w:rsid w:val="009C4A15"/>
    <w:rsid w:val="009D0295"/>
    <w:rsid w:val="009E232A"/>
    <w:rsid w:val="009E5DBC"/>
    <w:rsid w:val="009F5ED2"/>
    <w:rsid w:val="00A26BA1"/>
    <w:rsid w:val="00A40338"/>
    <w:rsid w:val="00A91320"/>
    <w:rsid w:val="00AB2783"/>
    <w:rsid w:val="00AE6F9A"/>
    <w:rsid w:val="00B0506D"/>
    <w:rsid w:val="00B62F0D"/>
    <w:rsid w:val="00B634D2"/>
    <w:rsid w:val="00B90254"/>
    <w:rsid w:val="00BA2B14"/>
    <w:rsid w:val="00BA3541"/>
    <w:rsid w:val="00BA3DA7"/>
    <w:rsid w:val="00BC5F09"/>
    <w:rsid w:val="00BD3AD7"/>
    <w:rsid w:val="00C216D0"/>
    <w:rsid w:val="00C81931"/>
    <w:rsid w:val="00CA15BC"/>
    <w:rsid w:val="00CC7C8A"/>
    <w:rsid w:val="00D01B19"/>
    <w:rsid w:val="00D062AA"/>
    <w:rsid w:val="00D11C88"/>
    <w:rsid w:val="00D15F65"/>
    <w:rsid w:val="00D30C1C"/>
    <w:rsid w:val="00D3521C"/>
    <w:rsid w:val="00D571B4"/>
    <w:rsid w:val="00D760A9"/>
    <w:rsid w:val="00D854DB"/>
    <w:rsid w:val="00D9706A"/>
    <w:rsid w:val="00DB2102"/>
    <w:rsid w:val="00E13406"/>
    <w:rsid w:val="00EC6C28"/>
    <w:rsid w:val="00EC7453"/>
    <w:rsid w:val="00EF4DF0"/>
    <w:rsid w:val="00F1035A"/>
    <w:rsid w:val="00F21EFC"/>
    <w:rsid w:val="00F228E5"/>
    <w:rsid w:val="00F27A0C"/>
    <w:rsid w:val="00F303AD"/>
    <w:rsid w:val="00F41BD6"/>
    <w:rsid w:val="00F55C9F"/>
    <w:rsid w:val="00F8476C"/>
    <w:rsid w:val="00FA38D2"/>
    <w:rsid w:val="00FB61E4"/>
    <w:rsid w:val="00FC4B9A"/>
    <w:rsid w:val="00FD1042"/>
    <w:rsid w:val="00FD6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1475A7-09CA-4D84-AE41-11AEA6D93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2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102"/>
  </w:style>
  <w:style w:type="paragraph" w:styleId="Footer">
    <w:name w:val="footer"/>
    <w:basedOn w:val="Normal"/>
    <w:link w:val="FooterChar"/>
    <w:uiPriority w:val="99"/>
    <w:unhideWhenUsed/>
    <w:rsid w:val="00DB2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102"/>
  </w:style>
  <w:style w:type="paragraph" w:styleId="FootnoteText">
    <w:name w:val="footnote text"/>
    <w:basedOn w:val="Normal"/>
    <w:link w:val="FootnoteTextChar"/>
    <w:uiPriority w:val="99"/>
    <w:semiHidden/>
    <w:unhideWhenUsed/>
    <w:rsid w:val="002066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6652"/>
    <w:rPr>
      <w:sz w:val="20"/>
      <w:szCs w:val="20"/>
    </w:rPr>
  </w:style>
  <w:style w:type="character" w:styleId="FootnoteReference">
    <w:name w:val="footnote reference"/>
    <w:basedOn w:val="DefaultParagraphFont"/>
    <w:uiPriority w:val="99"/>
    <w:semiHidden/>
    <w:unhideWhenUsed/>
    <w:rsid w:val="00206652"/>
    <w:rPr>
      <w:vertAlign w:val="superscript"/>
    </w:rPr>
  </w:style>
  <w:style w:type="character" w:styleId="PlaceholderText">
    <w:name w:val="Placeholder Text"/>
    <w:basedOn w:val="DefaultParagraphFont"/>
    <w:uiPriority w:val="99"/>
    <w:semiHidden/>
    <w:rsid w:val="008558B8"/>
    <w:rPr>
      <w:color w:val="808080"/>
    </w:rPr>
  </w:style>
  <w:style w:type="paragraph" w:styleId="NormalWeb">
    <w:name w:val="Normal (Web)"/>
    <w:basedOn w:val="Normal"/>
    <w:uiPriority w:val="99"/>
    <w:semiHidden/>
    <w:unhideWhenUsed/>
    <w:rsid w:val="00CC7C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C7C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1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95589-1CB7-4CC4-93AF-07D7F7994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3730</Words>
  <Characters>21265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2023-03-25T08:55:00Z</dcterms:created>
  <dcterms:modified xsi:type="dcterms:W3CDTF">2023-03-25T08:55:00Z</dcterms:modified>
</cp:coreProperties>
</file>