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BF3CF" w14:textId="74CE2300" w:rsidR="00D91EFA" w:rsidRPr="00D91EFA" w:rsidRDefault="00D91EFA" w:rsidP="00D91EFA">
      <w:pPr>
        <w:pBdr>
          <w:bottom w:val="single" w:sz="4" w:space="0" w:color="auto"/>
        </w:pBdr>
        <w:spacing w:after="0" w:line="240" w:lineRule="auto"/>
        <w:jc w:val="center"/>
        <w:rPr>
          <w:rFonts w:ascii="Arial" w:eastAsia="宋体" w:hAnsi="Arial" w:cs="Arial"/>
          <w:bCs/>
          <w:sz w:val="24"/>
          <w14:ligatures w14:val="none"/>
        </w:rPr>
      </w:pPr>
      <w:r w:rsidRPr="00D91EFA">
        <w:rPr>
          <w:rFonts w:ascii="Calibri" w:eastAsia="宋体" w:hAnsi="Calibri" w:cs="Times New Roman"/>
          <w:noProof/>
          <w:sz w:val="21"/>
          <w:szCs w:val="21"/>
          <w14:ligatures w14:val="none"/>
        </w:rPr>
        <w:fldChar w:fldCharType="begin"/>
      </w:r>
      <w:r w:rsidRPr="00D91EFA">
        <w:rPr>
          <w:rFonts w:ascii="Calibri" w:eastAsia="宋体" w:hAnsi="Calibri" w:cs="Times New Roman"/>
          <w:noProof/>
          <w:sz w:val="21"/>
          <w:szCs w:val="21"/>
          <w14:ligatures w14:val="none"/>
        </w:rPr>
        <w:instrText xml:space="preserve"> INCLUDEPICTURE  "/Users/shajinqi/Library/Containers/com.kingsoft.wpsoffice.mac/Data/tmp/wps-shajinqi/ksohtml/wps1.jpg" \* MERGEFORMATINET </w:instrText>
      </w:r>
      <w:r w:rsidRPr="00D91EFA">
        <w:rPr>
          <w:rFonts w:ascii="Calibri" w:eastAsia="宋体" w:hAnsi="Calibri" w:cs="Times New Roman"/>
          <w:noProof/>
          <w:sz w:val="21"/>
          <w:szCs w:val="21"/>
          <w14:ligatures w14:val="none"/>
        </w:rPr>
        <w:fldChar w:fldCharType="separate"/>
      </w:r>
      <w:r w:rsidRPr="00D91EFA">
        <w:rPr>
          <w:rFonts w:ascii="Calibri" w:eastAsia="宋体" w:hAnsi="Calibri" w:cs="Times New Roman"/>
          <w:noProof/>
          <w:sz w:val="21"/>
          <w:szCs w:val="21"/>
          <w14:ligatures w14:val="none"/>
        </w:rPr>
        <w:drawing>
          <wp:inline distT="0" distB="0" distL="0" distR="0" wp14:anchorId="1E39A7ED" wp14:editId="72F2F06D">
            <wp:extent cx="2581275" cy="1056640"/>
            <wp:effectExtent l="0" t="0" r="0" b="0"/>
            <wp:docPr id="1050835144" name="图片 1" descr="文本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文本AI 生成的内容可能不正确。"/>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83357" cy="1057492"/>
                    </a:xfrm>
                    <a:prstGeom prst="rect">
                      <a:avLst/>
                    </a:prstGeom>
                    <a:noFill/>
                    <a:ln>
                      <a:noFill/>
                    </a:ln>
                  </pic:spPr>
                </pic:pic>
              </a:graphicData>
            </a:graphic>
          </wp:inline>
        </w:drawing>
      </w:r>
      <w:r w:rsidRPr="00D91EFA">
        <w:rPr>
          <w:rFonts w:ascii="Calibri" w:eastAsia="宋体" w:hAnsi="Calibri" w:cs="Times New Roman"/>
          <w:noProof/>
          <w:sz w:val="21"/>
          <w:szCs w:val="21"/>
          <w14:ligatures w14:val="none"/>
        </w:rPr>
        <w:fldChar w:fldCharType="end"/>
      </w:r>
    </w:p>
    <w:p w14:paraId="266E1094" w14:textId="7A410663" w:rsidR="00D91EFA" w:rsidRPr="00D91EFA" w:rsidRDefault="00D91EFA" w:rsidP="00D91EFA">
      <w:pPr>
        <w:spacing w:after="0" w:line="240" w:lineRule="auto"/>
        <w:jc w:val="center"/>
        <w:rPr>
          <w:rFonts w:ascii="Arial" w:eastAsia="宋体" w:hAnsi="Arial" w:cs="Arial" w:hint="eastAsia"/>
          <w:sz w:val="24"/>
          <w14:ligatures w14:val="none"/>
        </w:rPr>
      </w:pPr>
      <w:r w:rsidRPr="00D91EFA">
        <w:rPr>
          <w:rFonts w:ascii="Arial" w:eastAsia="宋体" w:hAnsi="Arial" w:cs="Arial"/>
          <w:sz w:val="24"/>
          <w14:ligatures w14:val="none"/>
        </w:rPr>
        <w:t>Module Code: BMBM60</w:t>
      </w:r>
      <w:r w:rsidR="00A720C0">
        <w:rPr>
          <w:rFonts w:ascii="Arial" w:eastAsia="宋体" w:hAnsi="Arial" w:cs="Arial"/>
          <w:sz w:val="24"/>
          <w14:ligatures w14:val="none"/>
        </w:rPr>
        <w:t>15</w:t>
      </w:r>
      <w:r w:rsidRPr="00D91EFA">
        <w:rPr>
          <w:rFonts w:ascii="Arial" w:eastAsia="宋体" w:hAnsi="Arial" w:cs="Arial"/>
          <w:sz w:val="24"/>
          <w14:ligatures w14:val="none"/>
        </w:rPr>
        <w:t xml:space="preserve">    Module: </w:t>
      </w:r>
      <w:r>
        <w:rPr>
          <w:rFonts w:ascii="Arial" w:eastAsia="宋体" w:hAnsi="Arial" w:cs="Arial"/>
          <w:sz w:val="24"/>
          <w14:ligatures w14:val="none"/>
        </w:rPr>
        <w:t>Strategic Management and Sustainability</w:t>
      </w:r>
    </w:p>
    <w:p w14:paraId="677ECB2A"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0644FC74"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1F959ABA"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495D87F8"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243609FD"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482A0108" w14:textId="77777777" w:rsidR="00D91EFA" w:rsidRDefault="00D91EFA" w:rsidP="00D91EFA">
      <w:pPr>
        <w:spacing w:after="0" w:line="360" w:lineRule="auto"/>
        <w:jc w:val="center"/>
        <w:rPr>
          <w:rFonts w:ascii="Arial" w:eastAsia="宋体" w:hAnsi="Arial" w:cs="Times New Roman"/>
          <w:bCs/>
          <w:sz w:val="24"/>
          <w14:ligatures w14:val="none"/>
        </w:rPr>
      </w:pPr>
    </w:p>
    <w:p w14:paraId="54032832" w14:textId="737CB156" w:rsidR="00D91EFA" w:rsidRPr="005C23F1" w:rsidRDefault="00C97C5F" w:rsidP="00D91EFA">
      <w:pPr>
        <w:spacing w:after="0" w:line="360" w:lineRule="auto"/>
        <w:jc w:val="center"/>
        <w:rPr>
          <w:rFonts w:ascii="Arial" w:eastAsia="宋体" w:hAnsi="Arial" w:cs="Times New Roman" w:hint="eastAsia"/>
          <w:b/>
          <w:sz w:val="32"/>
          <w:szCs w:val="32"/>
          <w14:ligatures w14:val="none"/>
        </w:rPr>
      </w:pPr>
      <w:r w:rsidRPr="005C23F1">
        <w:rPr>
          <w:rFonts w:ascii="Arial" w:eastAsia="宋体" w:hAnsi="Arial" w:cs="Times New Roman"/>
          <w:b/>
          <w:sz w:val="32"/>
          <w:szCs w:val="32"/>
          <w14:ligatures w14:val="none"/>
        </w:rPr>
        <w:t>Strategic Analysis and Sustainable Strategy Development: A Study of Audi</w:t>
      </w:r>
    </w:p>
    <w:p w14:paraId="71AE6FBB" w14:textId="438B800C" w:rsidR="00D91EFA" w:rsidRPr="005C23F1" w:rsidRDefault="00C97C5F" w:rsidP="005C23F1">
      <w:pPr>
        <w:spacing w:after="0" w:line="360" w:lineRule="auto"/>
        <w:jc w:val="center"/>
        <w:rPr>
          <w:rFonts w:ascii="Arial" w:eastAsia="宋体" w:hAnsi="Arial" w:cs="Times New Roman" w:hint="eastAsia"/>
          <w:bCs/>
          <w:sz w:val="24"/>
          <w:lang w:val="en-US"/>
          <w14:ligatures w14:val="none"/>
        </w:rPr>
      </w:pPr>
      <w:r>
        <w:rPr>
          <w:rFonts w:ascii="Arial" w:eastAsia="宋体" w:hAnsi="Arial" w:cs="Times New Roman"/>
          <w:bCs/>
          <w:noProof/>
          <w:sz w:val="24"/>
          <w:lang w:val="en-US"/>
        </w:rPr>
        <w:drawing>
          <wp:inline distT="0" distB="0" distL="0" distR="0" wp14:anchorId="46D090B4" wp14:editId="521269F2">
            <wp:extent cx="2500624" cy="1331844"/>
            <wp:effectExtent l="0" t="0" r="1905" b="1905"/>
            <wp:docPr id="44614627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146274" name="图片 44614627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77681" cy="1372885"/>
                    </a:xfrm>
                    <a:prstGeom prst="rect">
                      <a:avLst/>
                    </a:prstGeom>
                  </pic:spPr>
                </pic:pic>
              </a:graphicData>
            </a:graphic>
          </wp:inline>
        </w:drawing>
      </w:r>
    </w:p>
    <w:p w14:paraId="4C015504" w14:textId="77777777" w:rsidR="00D91EFA" w:rsidRPr="00D91EFA" w:rsidRDefault="00D91EFA" w:rsidP="00D91EFA">
      <w:pPr>
        <w:spacing w:after="0" w:line="360" w:lineRule="auto"/>
        <w:jc w:val="center"/>
        <w:rPr>
          <w:rFonts w:ascii="Arial" w:eastAsia="宋体" w:hAnsi="Arial" w:cs="Times New Roman"/>
          <w:bCs/>
          <w:sz w:val="24"/>
          <w:lang w:val="en-US"/>
          <w14:ligatures w14:val="none"/>
        </w:rPr>
      </w:pPr>
    </w:p>
    <w:p w14:paraId="6A274C7F" w14:textId="77777777" w:rsidR="00D91EFA" w:rsidRPr="00D91EFA" w:rsidRDefault="00D91EFA" w:rsidP="00D91EFA">
      <w:pPr>
        <w:spacing w:after="0" w:line="360" w:lineRule="auto"/>
        <w:jc w:val="center"/>
        <w:rPr>
          <w:rFonts w:ascii="Arial" w:eastAsia="宋体" w:hAnsi="Arial" w:cs="Times New Roman"/>
          <w:bCs/>
          <w:sz w:val="24"/>
          <w:lang w:val="en-US"/>
          <w14:ligatures w14:val="none"/>
        </w:rPr>
      </w:pPr>
    </w:p>
    <w:p w14:paraId="00AEA05F"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464B1622" w14:textId="77777777" w:rsidR="00D91EFA" w:rsidRPr="00D91EFA" w:rsidRDefault="00D91EFA" w:rsidP="00D91EFA">
      <w:pPr>
        <w:spacing w:after="0" w:line="360" w:lineRule="auto"/>
        <w:jc w:val="center"/>
        <w:rPr>
          <w:rFonts w:ascii="Arial" w:eastAsia="宋体" w:hAnsi="Arial" w:cs="Times New Roman" w:hint="eastAsia"/>
          <w:bCs/>
          <w:sz w:val="24"/>
          <w14:ligatures w14:val="none"/>
        </w:rPr>
      </w:pPr>
    </w:p>
    <w:p w14:paraId="499CE3FA"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22E2DA05" w14:textId="77777777" w:rsidR="00D91EFA" w:rsidRPr="00D91EFA" w:rsidRDefault="00D91EFA" w:rsidP="00D91EFA">
      <w:pPr>
        <w:spacing w:after="0" w:line="360" w:lineRule="auto"/>
        <w:jc w:val="center"/>
        <w:rPr>
          <w:rFonts w:ascii="Arial" w:eastAsia="宋体" w:hAnsi="Arial" w:cs="Times New Roman"/>
          <w:bCs/>
          <w:sz w:val="24"/>
          <w14:ligatures w14:val="none"/>
        </w:rPr>
      </w:pPr>
    </w:p>
    <w:p w14:paraId="73D2B061" w14:textId="77777777" w:rsidR="00D91EFA" w:rsidRPr="00D91EFA" w:rsidRDefault="00D91EFA" w:rsidP="00D91EFA">
      <w:pPr>
        <w:spacing w:after="0" w:line="360" w:lineRule="auto"/>
        <w:jc w:val="center"/>
        <w:rPr>
          <w:rFonts w:ascii="Arial" w:eastAsia="宋体" w:hAnsi="Arial" w:cs="Times New Roman" w:hint="eastAsia"/>
          <w:bCs/>
          <w:sz w:val="24"/>
          <w14:ligatures w14:val="none"/>
        </w:rPr>
      </w:pPr>
    </w:p>
    <w:p w14:paraId="74C56CC6" w14:textId="77777777" w:rsidR="00D91EFA" w:rsidRPr="00D91EFA" w:rsidRDefault="00D91EFA" w:rsidP="00D91EFA">
      <w:pPr>
        <w:spacing w:after="0" w:line="360" w:lineRule="auto"/>
        <w:jc w:val="center"/>
        <w:rPr>
          <w:rFonts w:ascii="Arial" w:eastAsia="宋体" w:hAnsi="Arial" w:cs="Times New Roman"/>
          <w:bCs/>
          <w:sz w:val="24"/>
          <w14:ligatures w14:val="none"/>
        </w:rPr>
      </w:pPr>
      <w:r w:rsidRPr="00D91EFA">
        <w:rPr>
          <w:rFonts w:ascii="Arial" w:eastAsia="宋体" w:hAnsi="Arial" w:cs="Times New Roman"/>
          <w:bCs/>
          <w:sz w:val="24"/>
          <w14:ligatures w14:val="none"/>
        </w:rPr>
        <w:t>Student Name:</w:t>
      </w:r>
      <w:r w:rsidRPr="00D91EFA">
        <w:rPr>
          <w:rFonts w:ascii="Arial" w:eastAsia="宋体" w:hAnsi="Arial" w:cs="Arial"/>
          <w:bCs/>
          <w:sz w:val="24"/>
          <w14:ligatures w14:val="none"/>
        </w:rPr>
        <w:t xml:space="preserve"> Jinqi Sha</w:t>
      </w:r>
    </w:p>
    <w:p w14:paraId="54EAEB94" w14:textId="77777777" w:rsidR="00D91EFA" w:rsidRPr="00D91EFA" w:rsidRDefault="00D91EFA" w:rsidP="00D91EFA">
      <w:pPr>
        <w:spacing w:after="0" w:line="360" w:lineRule="auto"/>
        <w:jc w:val="center"/>
        <w:rPr>
          <w:rFonts w:ascii="Arial" w:eastAsia="宋体" w:hAnsi="Arial" w:cs="Times New Roman"/>
          <w:bCs/>
          <w:sz w:val="24"/>
          <w14:ligatures w14:val="none"/>
        </w:rPr>
      </w:pPr>
      <w:r w:rsidRPr="00D91EFA">
        <w:rPr>
          <w:rFonts w:ascii="Arial" w:eastAsia="宋体" w:hAnsi="Arial" w:cs="Times New Roman"/>
          <w:bCs/>
          <w:sz w:val="24"/>
          <w14:ligatures w14:val="none"/>
        </w:rPr>
        <w:t>Student ID Number:</w:t>
      </w:r>
      <w:r w:rsidRPr="00D91EFA">
        <w:rPr>
          <w:rFonts w:ascii="Arial" w:eastAsia="宋体" w:hAnsi="Arial" w:cs="Arial"/>
          <w:bCs/>
          <w:sz w:val="24"/>
          <w14:ligatures w14:val="none"/>
        </w:rPr>
        <w:t>2502887</w:t>
      </w:r>
    </w:p>
    <w:p w14:paraId="535C6C26" w14:textId="316103A1" w:rsidR="00D91EFA" w:rsidRPr="00D91EFA" w:rsidRDefault="00D91EFA" w:rsidP="00D91EFA">
      <w:pPr>
        <w:spacing w:after="0" w:line="360" w:lineRule="auto"/>
        <w:jc w:val="center"/>
        <w:rPr>
          <w:rFonts w:ascii="Arial" w:eastAsia="宋体" w:hAnsi="Arial" w:cs="Times New Roman"/>
          <w:bCs/>
          <w:sz w:val="24"/>
          <w14:ligatures w14:val="none"/>
        </w:rPr>
      </w:pPr>
      <w:r w:rsidRPr="00D91EFA">
        <w:rPr>
          <w:rFonts w:ascii="Arial" w:eastAsia="宋体" w:hAnsi="Arial" w:cs="Times New Roman"/>
          <w:bCs/>
          <w:sz w:val="24"/>
          <w14:ligatures w14:val="none"/>
        </w:rPr>
        <w:t>Programme:</w:t>
      </w:r>
      <w:r w:rsidRPr="00D91EFA">
        <w:rPr>
          <w:rFonts w:ascii="Arial" w:eastAsia="宋体" w:hAnsi="Arial" w:cs="Arial"/>
          <w:bCs/>
          <w:sz w:val="24"/>
          <w14:ligatures w14:val="none"/>
        </w:rPr>
        <w:t xml:space="preserve"> International</w:t>
      </w:r>
      <w:r w:rsidRPr="00D91EFA">
        <w:rPr>
          <w:rFonts w:ascii="Arial" w:eastAsia="宋体" w:hAnsi="Arial" w:cs="Arial"/>
          <w:bCs/>
          <w:sz w:val="24"/>
          <w14:ligatures w14:val="none"/>
        </w:rPr>
        <w:t xml:space="preserve"> </w:t>
      </w:r>
      <w:r w:rsidRPr="00D91EFA">
        <w:rPr>
          <w:rFonts w:ascii="Arial" w:eastAsia="宋体" w:hAnsi="Arial" w:cs="Times New Roman"/>
          <w:bCs/>
          <w:sz w:val="24"/>
          <w14:ligatures w14:val="none"/>
        </w:rPr>
        <w:t>Business Management</w:t>
      </w:r>
    </w:p>
    <w:p w14:paraId="1BADD06A" w14:textId="77777777" w:rsidR="00D91EFA" w:rsidRPr="00D91EFA" w:rsidRDefault="00D91EFA" w:rsidP="00D91EFA">
      <w:pPr>
        <w:spacing w:after="0" w:line="360" w:lineRule="auto"/>
        <w:jc w:val="center"/>
        <w:rPr>
          <w:rFonts w:ascii="Arial" w:eastAsia="宋体" w:hAnsi="Arial" w:cs="Times New Roman"/>
          <w:bCs/>
          <w:sz w:val="24"/>
          <w14:ligatures w14:val="none"/>
        </w:rPr>
      </w:pPr>
      <w:r w:rsidRPr="00D91EFA">
        <w:rPr>
          <w:rFonts w:ascii="Arial" w:eastAsia="宋体" w:hAnsi="Arial" w:cs="Times New Roman"/>
          <w:bCs/>
          <w:sz w:val="24"/>
          <w14:ligatures w14:val="none"/>
        </w:rPr>
        <w:t>Lecturer Name: Robyn Griffiths</w:t>
      </w:r>
    </w:p>
    <w:p w14:paraId="7621277B" w14:textId="2AEF6184" w:rsidR="00D91EFA" w:rsidRPr="00D91EFA" w:rsidRDefault="00D91EFA" w:rsidP="00D91EFA">
      <w:pPr>
        <w:spacing w:after="0" w:line="360" w:lineRule="auto"/>
        <w:jc w:val="center"/>
        <w:rPr>
          <w:rFonts w:ascii="Arial" w:eastAsia="宋体" w:hAnsi="Arial" w:cs="Times New Roman"/>
          <w:bCs/>
          <w:sz w:val="24"/>
          <w14:ligatures w14:val="none"/>
        </w:rPr>
      </w:pPr>
      <w:r w:rsidRPr="00D91EFA">
        <w:rPr>
          <w:rFonts w:ascii="Arial" w:eastAsia="宋体" w:hAnsi="Arial" w:cs="Times New Roman"/>
          <w:bCs/>
          <w:sz w:val="24"/>
          <w14:ligatures w14:val="none"/>
        </w:rPr>
        <w:t xml:space="preserve">Submission Deadline: </w:t>
      </w:r>
      <w:r>
        <w:rPr>
          <w:rFonts w:ascii="Arial" w:eastAsia="宋体" w:hAnsi="Arial" w:cs="Times New Roman"/>
          <w:bCs/>
          <w:sz w:val="24"/>
          <w14:ligatures w14:val="none"/>
        </w:rPr>
        <w:t>27</w:t>
      </w:r>
      <w:r w:rsidRPr="00D91EFA">
        <w:rPr>
          <w:rFonts w:ascii="Arial" w:eastAsia="宋体" w:hAnsi="Arial" w:cs="Times New Roman"/>
          <w:bCs/>
          <w:sz w:val="24"/>
          <w14:ligatures w14:val="none"/>
        </w:rPr>
        <w:t>/</w:t>
      </w:r>
      <w:r>
        <w:rPr>
          <w:rFonts w:ascii="Arial" w:eastAsia="宋体" w:hAnsi="Arial" w:cs="Times New Roman"/>
          <w:bCs/>
          <w:sz w:val="24"/>
          <w14:ligatures w14:val="none"/>
        </w:rPr>
        <w:t>03</w:t>
      </w:r>
      <w:r w:rsidRPr="00D91EFA">
        <w:rPr>
          <w:rFonts w:ascii="Arial" w:eastAsia="宋体" w:hAnsi="Arial" w:cs="Times New Roman"/>
          <w:bCs/>
          <w:sz w:val="24"/>
          <w14:ligatures w14:val="none"/>
        </w:rPr>
        <w:t>/202</w:t>
      </w:r>
      <w:r>
        <w:rPr>
          <w:rFonts w:ascii="Arial" w:eastAsia="宋体" w:hAnsi="Arial" w:cs="Times New Roman"/>
          <w:bCs/>
          <w:sz w:val="24"/>
          <w14:ligatures w14:val="none"/>
        </w:rPr>
        <w:t>6</w:t>
      </w:r>
    </w:p>
    <w:p w14:paraId="08C1AACF" w14:textId="6B03D0FA" w:rsidR="0093780E" w:rsidRPr="007A0208" w:rsidRDefault="002F78BD" w:rsidP="007B565A">
      <w:pPr>
        <w:spacing w:line="360" w:lineRule="auto"/>
        <w:jc w:val="both"/>
        <w:rPr>
          <w:rFonts w:ascii="Arial" w:hAnsi="Arial" w:cs="Arial"/>
          <w:b/>
          <w:bCs/>
          <w:sz w:val="30"/>
          <w:szCs w:val="30"/>
          <w:lang w:val="en-US"/>
        </w:rPr>
      </w:pPr>
      <w:r w:rsidRPr="007A0208">
        <w:rPr>
          <w:rFonts w:ascii="Arial" w:hAnsi="Arial" w:cs="Arial"/>
          <w:b/>
          <w:bCs/>
          <w:sz w:val="30"/>
          <w:szCs w:val="30"/>
          <w:lang w:val="en-US"/>
        </w:rPr>
        <w:lastRenderedPageBreak/>
        <w:t>Ex</w:t>
      </w:r>
      <w:r w:rsidR="00521781" w:rsidRPr="007A0208">
        <w:rPr>
          <w:rFonts w:ascii="Arial" w:hAnsi="Arial" w:cs="Arial"/>
          <w:b/>
          <w:bCs/>
          <w:sz w:val="30"/>
          <w:szCs w:val="30"/>
          <w:lang w:val="en-US"/>
        </w:rPr>
        <w:t>ecutive summary</w:t>
      </w:r>
    </w:p>
    <w:p w14:paraId="32E3AE91" w14:textId="77777777" w:rsidR="00694D6D" w:rsidRPr="00694D6D" w:rsidRDefault="00694D6D" w:rsidP="00694D6D">
      <w:pPr>
        <w:spacing w:line="360" w:lineRule="auto"/>
        <w:jc w:val="both"/>
        <w:rPr>
          <w:rFonts w:ascii="Arial" w:hAnsi="Arial" w:cs="Arial"/>
          <w:sz w:val="24"/>
          <w:lang w:val="en-US"/>
        </w:rPr>
      </w:pPr>
      <w:r w:rsidRPr="00694D6D">
        <w:rPr>
          <w:rFonts w:ascii="Arial" w:hAnsi="Arial" w:cs="Arial"/>
          <w:sz w:val="24"/>
          <w:lang w:val="en-US"/>
        </w:rPr>
        <w:t>This report conducts a comprehensive strategic and sustainability analysis of Audi. In the process of the global automotive industry's transition from traditional internal combustion engines to electric vehicles and smart mobility, Audi is facing dual pressures from intense market competition and strict global carbon neutrality regulations. At the same time, it relies on its long-standing brand reputation and engineering technology advantages to cope with the challenges.</w:t>
      </w:r>
    </w:p>
    <w:p w14:paraId="63ACBED3" w14:textId="77777777" w:rsidR="00694D6D" w:rsidRPr="00694D6D" w:rsidRDefault="00694D6D" w:rsidP="00694D6D">
      <w:pPr>
        <w:spacing w:line="360" w:lineRule="auto"/>
        <w:jc w:val="both"/>
        <w:rPr>
          <w:rFonts w:ascii="Arial" w:hAnsi="Arial" w:cs="Arial"/>
          <w:sz w:val="24"/>
          <w:lang w:val="en-US"/>
        </w:rPr>
      </w:pPr>
      <w:r w:rsidRPr="00694D6D">
        <w:rPr>
          <w:rFonts w:ascii="Arial" w:hAnsi="Arial" w:cs="Arial"/>
          <w:sz w:val="24"/>
          <w:lang w:val="en-US"/>
        </w:rPr>
        <w:t>The external analysis conducted using the PESTEL and Porter's Five Forces models indicates that Audi is deeply influenced by global carbon reduction policies, economic inflation, changes in consumer preferences, and rapid technological progress. It also faces threats from new entrants like Tesla. Internally, Audi has a high-end brand reputation, world-class R&amp;D capabilities, and a global production and distribution network. However, it also has some shortcomings, such as lagging software development and excessive reliance on external battery suppliers. Its current differentiated strategy targeting high-income groups is increasingly challenged by competitors who offer smarter electric vehicles.</w:t>
      </w:r>
    </w:p>
    <w:p w14:paraId="5780CBE6" w14:textId="75218FCC" w:rsidR="00D91EFA" w:rsidRPr="0017482A" w:rsidRDefault="00694D6D" w:rsidP="00694D6D">
      <w:pPr>
        <w:spacing w:line="360" w:lineRule="auto"/>
        <w:jc w:val="both"/>
        <w:rPr>
          <w:rFonts w:ascii="Arial" w:hAnsi="Arial" w:cs="Arial"/>
          <w:sz w:val="24"/>
          <w:lang w:val="en-US"/>
        </w:rPr>
      </w:pPr>
      <w:r w:rsidRPr="00694D6D">
        <w:rPr>
          <w:rFonts w:ascii="Arial" w:hAnsi="Arial" w:cs="Arial"/>
          <w:sz w:val="24"/>
          <w:lang w:val="en-US"/>
        </w:rPr>
        <w:t>This report assesses Audi's existing sustainability initiatives, points out its strategic deficiencies and impacts, and proposes targeted suggestions. Overall, Audi can only achieve sustainable competitive advantages by balancing short-term profits with long-term green transformation, addressing internal capability deficiencies, and aligning business strategies with global sustainability and market evolution.</w:t>
      </w:r>
    </w:p>
    <w:p w14:paraId="42A0E9B9" w14:textId="77777777" w:rsidR="00D91EFA" w:rsidRPr="0017482A" w:rsidRDefault="00D91EFA" w:rsidP="007B565A">
      <w:pPr>
        <w:spacing w:line="360" w:lineRule="auto"/>
        <w:jc w:val="both"/>
        <w:rPr>
          <w:rFonts w:ascii="Arial" w:hAnsi="Arial" w:cs="Arial"/>
          <w:sz w:val="24"/>
          <w:lang w:val="en-US"/>
        </w:rPr>
      </w:pPr>
    </w:p>
    <w:p w14:paraId="712B1658" w14:textId="77777777" w:rsidR="00D91EFA" w:rsidRPr="0017482A" w:rsidRDefault="00D91EFA" w:rsidP="007B565A">
      <w:pPr>
        <w:spacing w:line="360" w:lineRule="auto"/>
        <w:jc w:val="both"/>
        <w:rPr>
          <w:rFonts w:ascii="Arial" w:hAnsi="Arial" w:cs="Arial"/>
          <w:sz w:val="24"/>
          <w:lang w:val="en-US"/>
        </w:rPr>
      </w:pPr>
    </w:p>
    <w:p w14:paraId="67D521AB" w14:textId="77777777" w:rsidR="00D91EFA" w:rsidRPr="0017482A" w:rsidRDefault="00D91EFA" w:rsidP="007B565A">
      <w:pPr>
        <w:spacing w:line="360" w:lineRule="auto"/>
        <w:jc w:val="both"/>
        <w:rPr>
          <w:rFonts w:ascii="Arial" w:hAnsi="Arial" w:cs="Arial"/>
          <w:sz w:val="24"/>
          <w:lang w:val="en-US"/>
        </w:rPr>
      </w:pPr>
    </w:p>
    <w:p w14:paraId="2E371D22" w14:textId="77777777" w:rsidR="00D91EFA" w:rsidRPr="0017482A" w:rsidRDefault="00D91EFA" w:rsidP="007B565A">
      <w:pPr>
        <w:spacing w:line="360" w:lineRule="auto"/>
        <w:jc w:val="both"/>
        <w:rPr>
          <w:rFonts w:ascii="Arial" w:hAnsi="Arial" w:cs="Arial"/>
          <w:sz w:val="24"/>
          <w:lang w:val="en-US"/>
        </w:rPr>
      </w:pPr>
    </w:p>
    <w:p w14:paraId="35EC2737" w14:textId="77777777" w:rsidR="00D91EFA" w:rsidRPr="0017482A" w:rsidRDefault="00D91EFA" w:rsidP="007B565A">
      <w:pPr>
        <w:spacing w:line="360" w:lineRule="auto"/>
        <w:jc w:val="both"/>
        <w:rPr>
          <w:rFonts w:ascii="Arial" w:hAnsi="Arial" w:cs="Arial"/>
          <w:sz w:val="24"/>
          <w:lang w:val="en-US"/>
        </w:rPr>
      </w:pPr>
    </w:p>
    <w:p w14:paraId="05B99DBB" w14:textId="77777777" w:rsidR="00C91AE6" w:rsidRPr="0017482A" w:rsidRDefault="00C91AE6" w:rsidP="007B565A">
      <w:pPr>
        <w:spacing w:line="360" w:lineRule="auto"/>
        <w:jc w:val="both"/>
        <w:rPr>
          <w:rFonts w:ascii="Arial" w:hAnsi="Arial" w:cs="Arial" w:hint="eastAsia"/>
          <w:sz w:val="24"/>
          <w:lang w:val="en-US"/>
        </w:rPr>
      </w:pPr>
    </w:p>
    <w:p w14:paraId="19683503" w14:textId="3CE4D54B" w:rsidR="00D91EFA" w:rsidRPr="007A0208" w:rsidRDefault="00D91EFA" w:rsidP="007807DF">
      <w:pPr>
        <w:spacing w:line="360" w:lineRule="auto"/>
        <w:jc w:val="center"/>
        <w:rPr>
          <w:rFonts w:ascii="Arial" w:hAnsi="Arial" w:cs="Arial"/>
          <w:b/>
          <w:bCs/>
          <w:sz w:val="32"/>
          <w:szCs w:val="32"/>
          <w:lang w:val="en-US"/>
        </w:rPr>
      </w:pPr>
      <w:r w:rsidRPr="007A0208">
        <w:rPr>
          <w:rFonts w:ascii="Arial" w:hAnsi="Arial" w:cs="Arial"/>
          <w:b/>
          <w:bCs/>
          <w:sz w:val="32"/>
          <w:szCs w:val="32"/>
          <w:lang w:val="en-US"/>
        </w:rPr>
        <w:lastRenderedPageBreak/>
        <w:t>Content</w:t>
      </w:r>
    </w:p>
    <w:p w14:paraId="7C1FECDB" w14:textId="77777777" w:rsidR="00D91EFA" w:rsidRPr="0017482A" w:rsidRDefault="00D91EFA" w:rsidP="007B565A">
      <w:pPr>
        <w:spacing w:line="360" w:lineRule="auto"/>
        <w:jc w:val="both"/>
        <w:rPr>
          <w:rFonts w:ascii="Arial" w:hAnsi="Arial" w:cs="Arial"/>
          <w:sz w:val="24"/>
          <w:lang w:val="en-US"/>
        </w:rPr>
      </w:pPr>
    </w:p>
    <w:p w14:paraId="00EE0EB6" w14:textId="1BB08E99" w:rsidR="008076AB" w:rsidRPr="0017482A" w:rsidRDefault="008076AB" w:rsidP="00340BFC">
      <w:pPr>
        <w:tabs>
          <w:tab w:val="right" w:leader="middleDot" w:pos="9680"/>
        </w:tabs>
        <w:spacing w:line="360" w:lineRule="auto"/>
        <w:jc w:val="both"/>
        <w:rPr>
          <w:rFonts w:ascii="Arial" w:hAnsi="Arial" w:cs="Arial" w:hint="eastAsia"/>
          <w:sz w:val="24"/>
          <w:lang w:val="en-US"/>
        </w:rPr>
      </w:pPr>
      <w:bookmarkStart w:id="0" w:name="OLE_LINK1"/>
      <w:r w:rsidRPr="0017482A">
        <w:rPr>
          <w:rFonts w:ascii="Arial" w:hAnsi="Arial" w:cs="Arial"/>
          <w:sz w:val="24"/>
          <w:lang w:val="en-US"/>
        </w:rPr>
        <w:t>1 Introduction</w:t>
      </w:r>
      <w:r w:rsidR="00340BFC">
        <w:rPr>
          <w:rFonts w:ascii="Arial" w:hAnsi="Arial" w:cs="Arial"/>
          <w:sz w:val="24"/>
          <w:lang w:val="en-US"/>
        </w:rPr>
        <w:tab/>
      </w:r>
      <w:r w:rsidR="00EF2F03">
        <w:rPr>
          <w:rFonts w:ascii="Arial" w:hAnsi="Arial" w:cs="Arial" w:hint="eastAsia"/>
          <w:sz w:val="24"/>
          <w:lang w:val="en-US"/>
        </w:rPr>
        <w:t>4</w:t>
      </w:r>
    </w:p>
    <w:p w14:paraId="47B71A62" w14:textId="5F5B56AD" w:rsidR="008076AB" w:rsidRPr="0017482A" w:rsidRDefault="008076AB" w:rsidP="00340BFC">
      <w:pPr>
        <w:tabs>
          <w:tab w:val="right" w:leader="middleDot" w:pos="9680"/>
        </w:tabs>
        <w:spacing w:line="360" w:lineRule="auto"/>
        <w:jc w:val="both"/>
        <w:rPr>
          <w:rFonts w:ascii="Arial" w:hAnsi="Arial" w:cs="Arial" w:hint="eastAsia"/>
          <w:sz w:val="24"/>
          <w:lang w:val="en-US"/>
        </w:rPr>
      </w:pPr>
      <w:r w:rsidRPr="0017482A">
        <w:rPr>
          <w:rFonts w:ascii="Arial" w:hAnsi="Arial" w:cs="Arial"/>
          <w:sz w:val="24"/>
          <w:lang w:val="en-US"/>
        </w:rPr>
        <w:t>2 External Analysis</w:t>
      </w:r>
      <w:r w:rsidR="00340BFC">
        <w:rPr>
          <w:rFonts w:ascii="Arial" w:hAnsi="Arial" w:cs="Arial"/>
          <w:sz w:val="24"/>
          <w:lang w:val="en-US"/>
        </w:rPr>
        <w:tab/>
      </w:r>
      <w:r w:rsidR="00EF2F03">
        <w:rPr>
          <w:rFonts w:ascii="Arial" w:hAnsi="Arial" w:cs="Arial" w:hint="eastAsia"/>
          <w:sz w:val="24"/>
          <w:lang w:val="en-US"/>
        </w:rPr>
        <w:t>4</w:t>
      </w:r>
    </w:p>
    <w:p w14:paraId="567BF945" w14:textId="4E19158C"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2.1 PESTEL Analysis</w:t>
      </w:r>
      <w:r w:rsidR="00340BFC">
        <w:rPr>
          <w:rFonts w:ascii="Arial" w:hAnsi="Arial" w:cs="Arial"/>
          <w:sz w:val="24"/>
          <w:lang w:val="en-US"/>
        </w:rPr>
        <w:tab/>
      </w:r>
      <w:r w:rsidR="00EF2F03">
        <w:rPr>
          <w:rFonts w:ascii="Arial" w:hAnsi="Arial" w:cs="Arial" w:hint="eastAsia"/>
          <w:sz w:val="24"/>
          <w:lang w:val="en-US"/>
        </w:rPr>
        <w:t>4</w:t>
      </w:r>
    </w:p>
    <w:p w14:paraId="6D169EEF" w14:textId="335C6883"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2.2 Porter’s Five Forces Analysis</w:t>
      </w:r>
      <w:r w:rsidR="00340BFC">
        <w:rPr>
          <w:rFonts w:ascii="Arial" w:hAnsi="Arial" w:cs="Arial"/>
          <w:sz w:val="24"/>
          <w:lang w:val="en-US"/>
        </w:rPr>
        <w:tab/>
      </w:r>
      <w:r w:rsidR="00C07CC2">
        <w:rPr>
          <w:rFonts w:ascii="Arial" w:hAnsi="Arial" w:cs="Arial" w:hint="eastAsia"/>
          <w:sz w:val="24"/>
          <w:lang w:val="en-US"/>
        </w:rPr>
        <w:t>5</w:t>
      </w:r>
    </w:p>
    <w:p w14:paraId="17DC32FC" w14:textId="7B223C75"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2.3 Key Economic Trends Influencing Audi’s Business Strategy</w:t>
      </w:r>
      <w:r w:rsidR="00340BFC">
        <w:rPr>
          <w:rFonts w:ascii="Arial" w:hAnsi="Arial" w:cs="Arial"/>
          <w:sz w:val="24"/>
          <w:lang w:val="en-US"/>
        </w:rPr>
        <w:tab/>
      </w:r>
      <w:r w:rsidR="00C07CC2">
        <w:rPr>
          <w:rFonts w:ascii="Arial" w:hAnsi="Arial" w:cs="Arial" w:hint="eastAsia"/>
          <w:sz w:val="24"/>
          <w:lang w:val="en-US"/>
        </w:rPr>
        <w:t>6</w:t>
      </w:r>
    </w:p>
    <w:p w14:paraId="759CA045" w14:textId="6B7650A8" w:rsidR="008076AB" w:rsidRPr="0017482A" w:rsidRDefault="008076AB" w:rsidP="00340BFC">
      <w:pPr>
        <w:tabs>
          <w:tab w:val="right" w:leader="middleDot" w:pos="9680"/>
        </w:tabs>
        <w:spacing w:line="360" w:lineRule="auto"/>
        <w:jc w:val="both"/>
        <w:rPr>
          <w:rFonts w:ascii="Arial" w:hAnsi="Arial" w:cs="Arial" w:hint="eastAsia"/>
          <w:sz w:val="24"/>
          <w:lang w:val="en-US"/>
        </w:rPr>
      </w:pPr>
      <w:r w:rsidRPr="0017482A">
        <w:rPr>
          <w:rFonts w:ascii="Arial" w:hAnsi="Arial" w:cs="Arial"/>
          <w:sz w:val="24"/>
          <w:lang w:val="en-US"/>
        </w:rPr>
        <w:t>3 Internal Analysis</w:t>
      </w:r>
      <w:r w:rsidR="00340BFC">
        <w:rPr>
          <w:rFonts w:ascii="Arial" w:hAnsi="Arial" w:cs="Arial"/>
          <w:sz w:val="24"/>
          <w:lang w:val="en-US"/>
        </w:rPr>
        <w:tab/>
      </w:r>
      <w:r w:rsidR="00C07CC2">
        <w:rPr>
          <w:rFonts w:ascii="Arial" w:hAnsi="Arial" w:cs="Arial" w:hint="eastAsia"/>
          <w:sz w:val="24"/>
          <w:lang w:val="en-US"/>
        </w:rPr>
        <w:t>7</w:t>
      </w:r>
    </w:p>
    <w:p w14:paraId="14BD7626" w14:textId="35013C7C"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3.1 Resource-Based View</w:t>
      </w:r>
      <w:r w:rsidR="00340BFC">
        <w:rPr>
          <w:rFonts w:ascii="Arial" w:hAnsi="Arial" w:cs="Arial"/>
          <w:sz w:val="24"/>
          <w:lang w:val="en-US"/>
        </w:rPr>
        <w:tab/>
      </w:r>
      <w:r w:rsidR="00C07CC2">
        <w:rPr>
          <w:rFonts w:ascii="Arial" w:hAnsi="Arial" w:cs="Arial" w:hint="eastAsia"/>
          <w:sz w:val="24"/>
          <w:lang w:val="en-US"/>
        </w:rPr>
        <w:t>7</w:t>
      </w:r>
    </w:p>
    <w:p w14:paraId="436A45AE" w14:textId="0B7A39D7"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3.2 Value Chain Analysis</w:t>
      </w:r>
      <w:r w:rsidR="00340BFC">
        <w:rPr>
          <w:rFonts w:ascii="Arial" w:hAnsi="Arial" w:cs="Arial"/>
          <w:sz w:val="24"/>
          <w:lang w:val="en-US"/>
        </w:rPr>
        <w:tab/>
      </w:r>
      <w:r w:rsidR="00C07CC2">
        <w:rPr>
          <w:rFonts w:ascii="Arial" w:hAnsi="Arial" w:cs="Arial" w:hint="eastAsia"/>
          <w:sz w:val="24"/>
          <w:lang w:val="en-US"/>
        </w:rPr>
        <w:t>7</w:t>
      </w:r>
    </w:p>
    <w:p w14:paraId="5EFFEEB0" w14:textId="6B09A9F2"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3.3 SWOT-TOWS Matrix: Linking Audi’s Internal and External Environment</w:t>
      </w:r>
      <w:r w:rsidR="00340BFC">
        <w:rPr>
          <w:rFonts w:ascii="Arial" w:hAnsi="Arial" w:cs="Arial"/>
          <w:sz w:val="24"/>
          <w:lang w:val="en-US"/>
        </w:rPr>
        <w:tab/>
      </w:r>
      <w:r w:rsidR="00C07CC2">
        <w:rPr>
          <w:rFonts w:ascii="Arial" w:hAnsi="Arial" w:cs="Arial" w:hint="eastAsia"/>
          <w:sz w:val="24"/>
          <w:lang w:val="en-US"/>
        </w:rPr>
        <w:t>8</w:t>
      </w:r>
    </w:p>
    <w:p w14:paraId="1B74C4E9" w14:textId="6CC995A2" w:rsidR="008076AB" w:rsidRPr="0017482A" w:rsidRDefault="008076AB" w:rsidP="00340BFC">
      <w:pPr>
        <w:tabs>
          <w:tab w:val="right" w:leader="middleDot" w:pos="9680"/>
        </w:tabs>
        <w:spacing w:line="360" w:lineRule="auto"/>
        <w:jc w:val="both"/>
        <w:rPr>
          <w:rFonts w:ascii="Arial" w:hAnsi="Arial" w:cs="Arial" w:hint="eastAsia"/>
          <w:sz w:val="24"/>
          <w:lang w:val="en-US"/>
        </w:rPr>
      </w:pPr>
      <w:r w:rsidRPr="0017482A">
        <w:rPr>
          <w:rFonts w:ascii="Arial" w:hAnsi="Arial" w:cs="Arial"/>
          <w:sz w:val="24"/>
          <w:lang w:val="en-US"/>
        </w:rPr>
        <w:t>4 Strategy Formulation &amp; Competitive Positioning</w:t>
      </w:r>
      <w:r w:rsidR="00340BFC">
        <w:rPr>
          <w:rFonts w:ascii="Arial" w:hAnsi="Arial" w:cs="Arial"/>
          <w:sz w:val="24"/>
          <w:lang w:val="en-US"/>
        </w:rPr>
        <w:tab/>
      </w:r>
      <w:r w:rsidR="00C07CC2">
        <w:rPr>
          <w:rFonts w:ascii="Arial" w:hAnsi="Arial" w:cs="Arial" w:hint="eastAsia"/>
          <w:sz w:val="24"/>
          <w:lang w:val="en-US"/>
        </w:rPr>
        <w:t>8</w:t>
      </w:r>
    </w:p>
    <w:p w14:paraId="69B2D27E" w14:textId="0C7E5746"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4.1 Audi’s Current Strategic Positioning</w:t>
      </w:r>
      <w:r w:rsidR="00340BFC">
        <w:rPr>
          <w:rFonts w:ascii="Arial" w:hAnsi="Arial" w:cs="Arial"/>
          <w:sz w:val="24"/>
          <w:lang w:val="en-US"/>
        </w:rPr>
        <w:tab/>
      </w:r>
      <w:r w:rsidR="00C07CC2">
        <w:rPr>
          <w:rFonts w:ascii="Arial" w:hAnsi="Arial" w:cs="Arial" w:hint="eastAsia"/>
          <w:sz w:val="24"/>
          <w:lang w:val="en-US"/>
        </w:rPr>
        <w:t>8</w:t>
      </w:r>
    </w:p>
    <w:p w14:paraId="0C42204A" w14:textId="65E6CFCD"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4.2 Potential Growth Strategies for Audi</w:t>
      </w:r>
      <w:r w:rsidR="00340BFC">
        <w:rPr>
          <w:rFonts w:ascii="Arial" w:hAnsi="Arial" w:cs="Arial"/>
          <w:sz w:val="24"/>
          <w:lang w:val="en-US"/>
        </w:rPr>
        <w:tab/>
      </w:r>
      <w:r w:rsidR="00C07CC2">
        <w:rPr>
          <w:rFonts w:ascii="Arial" w:hAnsi="Arial" w:cs="Arial" w:hint="eastAsia"/>
          <w:sz w:val="24"/>
          <w:lang w:val="en-US"/>
        </w:rPr>
        <w:t>9</w:t>
      </w:r>
    </w:p>
    <w:p w14:paraId="5FDD7BAA" w14:textId="62BECE3A" w:rsidR="008076AB" w:rsidRPr="0017482A" w:rsidRDefault="008076AB" w:rsidP="00340BFC">
      <w:pPr>
        <w:tabs>
          <w:tab w:val="right" w:leader="middleDot" w:pos="9680"/>
        </w:tabs>
        <w:spacing w:line="360" w:lineRule="auto"/>
        <w:ind w:firstLineChars="50" w:firstLine="120"/>
        <w:jc w:val="both"/>
        <w:rPr>
          <w:rFonts w:ascii="Arial" w:hAnsi="Arial" w:cs="Arial" w:hint="eastAsia"/>
          <w:sz w:val="24"/>
          <w:lang w:val="en-US"/>
        </w:rPr>
      </w:pPr>
      <w:r w:rsidRPr="0017482A">
        <w:rPr>
          <w:rFonts w:ascii="Arial" w:hAnsi="Arial" w:cs="Arial"/>
          <w:sz w:val="24"/>
          <w:lang w:val="en-US"/>
        </w:rPr>
        <w:t>4.3 Assessment of Audi’s Mergers &amp; Acquisitions Strategy</w:t>
      </w:r>
      <w:r w:rsidR="00340BFC">
        <w:rPr>
          <w:rFonts w:ascii="Arial" w:hAnsi="Arial" w:cs="Arial"/>
          <w:sz w:val="24"/>
          <w:lang w:val="en-US"/>
        </w:rPr>
        <w:tab/>
      </w:r>
      <w:r w:rsidR="00C07CC2">
        <w:rPr>
          <w:rFonts w:ascii="Arial" w:hAnsi="Arial" w:cs="Arial" w:hint="eastAsia"/>
          <w:sz w:val="24"/>
          <w:lang w:val="en-US"/>
        </w:rPr>
        <w:t>9</w:t>
      </w:r>
    </w:p>
    <w:p w14:paraId="4EDE1F38" w14:textId="4CFA7058" w:rsidR="008076AB" w:rsidRPr="0017482A" w:rsidRDefault="008076AB" w:rsidP="00340BFC">
      <w:pPr>
        <w:tabs>
          <w:tab w:val="right" w:leader="middleDot" w:pos="9680"/>
        </w:tabs>
        <w:spacing w:line="360" w:lineRule="auto"/>
        <w:jc w:val="both"/>
        <w:rPr>
          <w:rFonts w:ascii="Arial" w:hAnsi="Arial" w:cs="Arial" w:hint="eastAsia"/>
          <w:sz w:val="24"/>
          <w:lang w:val="en-US"/>
        </w:rPr>
      </w:pPr>
      <w:r w:rsidRPr="0017482A">
        <w:rPr>
          <w:rFonts w:ascii="Arial" w:hAnsi="Arial" w:cs="Arial"/>
          <w:sz w:val="24"/>
          <w:lang w:val="en-US"/>
        </w:rPr>
        <w:t>5 Sustainability &amp; Strategic Recommendations</w:t>
      </w:r>
      <w:r w:rsidR="00340BFC">
        <w:rPr>
          <w:rFonts w:ascii="Arial" w:hAnsi="Arial" w:cs="Arial"/>
          <w:sz w:val="24"/>
          <w:lang w:val="en-US"/>
        </w:rPr>
        <w:tab/>
      </w:r>
      <w:r w:rsidR="00C07CC2">
        <w:rPr>
          <w:rFonts w:ascii="Arial" w:hAnsi="Arial" w:cs="Arial" w:hint="eastAsia"/>
          <w:sz w:val="24"/>
          <w:lang w:val="en-US"/>
        </w:rPr>
        <w:t>10</w:t>
      </w:r>
    </w:p>
    <w:p w14:paraId="32415B91" w14:textId="3EB4C1AD" w:rsidR="008076AB" w:rsidRPr="0017482A" w:rsidRDefault="008076AB" w:rsidP="00340BFC">
      <w:pPr>
        <w:tabs>
          <w:tab w:val="right" w:leader="middleDot" w:pos="9680"/>
        </w:tabs>
        <w:spacing w:line="360" w:lineRule="auto"/>
        <w:jc w:val="both"/>
        <w:rPr>
          <w:rFonts w:ascii="Arial" w:hAnsi="Arial" w:cs="Arial" w:hint="eastAsia"/>
          <w:sz w:val="24"/>
          <w:lang w:val="en-US"/>
        </w:rPr>
      </w:pPr>
      <w:r w:rsidRPr="0017482A">
        <w:rPr>
          <w:rFonts w:ascii="Arial" w:hAnsi="Arial" w:cs="Arial"/>
          <w:sz w:val="24"/>
          <w:lang w:val="en-US"/>
        </w:rPr>
        <w:t>6 Conclusion</w:t>
      </w:r>
      <w:r w:rsidR="00340BFC">
        <w:rPr>
          <w:rFonts w:ascii="Arial" w:hAnsi="Arial" w:cs="Arial"/>
          <w:sz w:val="24"/>
          <w:lang w:val="en-US"/>
        </w:rPr>
        <w:tab/>
      </w:r>
      <w:r w:rsidR="00C07CC2">
        <w:rPr>
          <w:rFonts w:ascii="Arial" w:hAnsi="Arial" w:cs="Arial" w:hint="eastAsia"/>
          <w:sz w:val="24"/>
          <w:lang w:val="en-US"/>
        </w:rPr>
        <w:t>10</w:t>
      </w:r>
    </w:p>
    <w:p w14:paraId="34DD3447" w14:textId="3776DE4B" w:rsidR="002A38FC" w:rsidRPr="0017482A" w:rsidRDefault="008076AB" w:rsidP="00340BFC">
      <w:pPr>
        <w:tabs>
          <w:tab w:val="right" w:leader="middleDot" w:pos="9680"/>
        </w:tabs>
        <w:spacing w:line="360" w:lineRule="auto"/>
        <w:jc w:val="both"/>
        <w:rPr>
          <w:rFonts w:ascii="Arial" w:hAnsi="Arial" w:cs="Arial" w:hint="eastAsia"/>
          <w:sz w:val="24"/>
          <w:lang w:val="en-US"/>
        </w:rPr>
      </w:pPr>
      <w:r w:rsidRPr="0017482A">
        <w:rPr>
          <w:rFonts w:ascii="Arial" w:hAnsi="Arial" w:cs="Arial"/>
          <w:sz w:val="24"/>
          <w:lang w:val="en-US"/>
        </w:rPr>
        <w:t>References</w:t>
      </w:r>
      <w:r w:rsidR="00340BFC">
        <w:rPr>
          <w:rFonts w:ascii="Arial" w:hAnsi="Arial" w:cs="Arial"/>
          <w:sz w:val="24"/>
          <w:lang w:val="en-US"/>
        </w:rPr>
        <w:tab/>
      </w:r>
      <w:r w:rsidR="00340BFC">
        <w:rPr>
          <w:rFonts w:ascii="Arial" w:hAnsi="Arial" w:cs="Arial" w:hint="eastAsia"/>
          <w:sz w:val="24"/>
          <w:lang w:val="en-US"/>
        </w:rPr>
        <w:t>12</w:t>
      </w:r>
    </w:p>
    <w:bookmarkEnd w:id="0"/>
    <w:p w14:paraId="093C98D5" w14:textId="77777777" w:rsidR="002A38FC" w:rsidRPr="0017482A" w:rsidRDefault="002A38FC" w:rsidP="007B565A">
      <w:pPr>
        <w:spacing w:line="360" w:lineRule="auto"/>
        <w:jc w:val="both"/>
        <w:rPr>
          <w:rFonts w:ascii="Arial" w:hAnsi="Arial" w:cs="Arial"/>
          <w:sz w:val="24"/>
          <w:lang w:val="en-US"/>
        </w:rPr>
      </w:pPr>
    </w:p>
    <w:p w14:paraId="00712C6A" w14:textId="77777777" w:rsidR="002A38FC" w:rsidRPr="0017482A" w:rsidRDefault="002A38FC" w:rsidP="007B565A">
      <w:pPr>
        <w:spacing w:line="360" w:lineRule="auto"/>
        <w:jc w:val="both"/>
        <w:rPr>
          <w:rFonts w:ascii="Arial" w:hAnsi="Arial" w:cs="Arial"/>
          <w:sz w:val="24"/>
          <w:lang w:val="en-US"/>
        </w:rPr>
      </w:pPr>
    </w:p>
    <w:p w14:paraId="6B49D664" w14:textId="77777777" w:rsidR="002A38FC" w:rsidRPr="0017482A" w:rsidRDefault="002A38FC" w:rsidP="007B565A">
      <w:pPr>
        <w:spacing w:line="360" w:lineRule="auto"/>
        <w:jc w:val="both"/>
        <w:rPr>
          <w:rFonts w:ascii="Arial" w:hAnsi="Arial" w:cs="Arial"/>
          <w:sz w:val="24"/>
          <w:lang w:val="en-US"/>
        </w:rPr>
      </w:pPr>
    </w:p>
    <w:p w14:paraId="05EE5201" w14:textId="77777777" w:rsidR="002A38FC" w:rsidRPr="0017482A" w:rsidRDefault="002A38FC" w:rsidP="007B565A">
      <w:pPr>
        <w:spacing w:line="360" w:lineRule="auto"/>
        <w:jc w:val="both"/>
        <w:rPr>
          <w:rFonts w:ascii="Arial" w:hAnsi="Arial" w:cs="Arial"/>
          <w:sz w:val="24"/>
          <w:lang w:val="en-US"/>
        </w:rPr>
      </w:pPr>
    </w:p>
    <w:p w14:paraId="44FF5189" w14:textId="77777777" w:rsidR="004C007E" w:rsidRPr="007A0208" w:rsidRDefault="004C007E" w:rsidP="007B565A">
      <w:pPr>
        <w:spacing w:line="360" w:lineRule="auto"/>
        <w:jc w:val="both"/>
        <w:rPr>
          <w:rFonts w:ascii="Arial" w:hAnsi="Arial" w:cs="Arial"/>
          <w:b/>
          <w:bCs/>
          <w:sz w:val="30"/>
          <w:szCs w:val="30"/>
          <w:lang w:val="en-US"/>
        </w:rPr>
      </w:pPr>
      <w:r w:rsidRPr="007A0208">
        <w:rPr>
          <w:rFonts w:ascii="Arial" w:hAnsi="Arial" w:cs="Arial"/>
          <w:b/>
          <w:bCs/>
          <w:sz w:val="30"/>
          <w:szCs w:val="30"/>
          <w:lang w:val="en-US"/>
        </w:rPr>
        <w:lastRenderedPageBreak/>
        <w:t>1 Introduction</w:t>
      </w:r>
    </w:p>
    <w:p w14:paraId="21FAD38D" w14:textId="134029FE" w:rsidR="002231BB" w:rsidRDefault="003C07A0" w:rsidP="002231BB">
      <w:pPr>
        <w:spacing w:line="360" w:lineRule="auto"/>
        <w:jc w:val="both"/>
        <w:rPr>
          <w:rFonts w:ascii="Arial" w:hAnsi="Arial" w:cs="Arial"/>
          <w:sz w:val="24"/>
          <w:lang w:val="en-US"/>
        </w:rPr>
      </w:pPr>
      <w:r w:rsidRPr="003C07A0">
        <w:rPr>
          <w:rFonts w:ascii="Arial" w:hAnsi="Arial" w:cs="Arial"/>
          <w:sz w:val="24"/>
          <w:lang w:val="en-US"/>
        </w:rPr>
        <w:t xml:space="preserve">Audi is a high-end car brand under the Volkswagen Group. It was founded in </w:t>
      </w:r>
      <w:proofErr w:type="gramStart"/>
      <w:r w:rsidRPr="003C07A0">
        <w:rPr>
          <w:rFonts w:ascii="Arial" w:hAnsi="Arial" w:cs="Arial"/>
          <w:sz w:val="24"/>
          <w:lang w:val="en-US"/>
        </w:rPr>
        <w:t>1909</w:t>
      </w:r>
      <w:proofErr w:type="gramEnd"/>
      <w:r w:rsidRPr="003C07A0">
        <w:rPr>
          <w:rFonts w:ascii="Arial" w:hAnsi="Arial" w:cs="Arial"/>
          <w:sz w:val="24"/>
          <w:lang w:val="en-US"/>
        </w:rPr>
        <w:t xml:space="preserve"> and its headquarters </w:t>
      </w:r>
      <w:proofErr w:type="gramStart"/>
      <w:r w:rsidRPr="003C07A0">
        <w:rPr>
          <w:rFonts w:ascii="Arial" w:hAnsi="Arial" w:cs="Arial"/>
          <w:sz w:val="24"/>
          <w:lang w:val="en-US"/>
        </w:rPr>
        <w:t>is located in</w:t>
      </w:r>
      <w:proofErr w:type="gramEnd"/>
      <w:r w:rsidRPr="003C07A0">
        <w:rPr>
          <w:rFonts w:ascii="Arial" w:hAnsi="Arial" w:cs="Arial"/>
          <w:sz w:val="24"/>
          <w:lang w:val="en-US"/>
        </w:rPr>
        <w:t xml:space="preserve"> Ingolstadt, Germany. The brand's business covers more than 100 countries. Its core business includes the research, production and sales of high-end passenger cars, electric vehicles and related automotive components</w:t>
      </w:r>
      <w:r w:rsidR="00703874">
        <w:rPr>
          <w:rFonts w:ascii="Arial" w:hAnsi="Arial" w:cs="Arial"/>
          <w:sz w:val="24"/>
          <w:lang w:val="en-US"/>
        </w:rPr>
        <w:fldChar w:fldCharType="begin"/>
      </w:r>
      <w:r w:rsidR="00A25A27">
        <w:rPr>
          <w:rFonts w:ascii="Arial" w:hAnsi="Arial" w:cs="Arial"/>
          <w:sz w:val="24"/>
          <w:lang w:val="en-US"/>
        </w:rPr>
        <w:instrText xml:space="preserve"> ADDIN ZOTERO_ITEM CSL_CITATION {"citationID":"b9jXwFwH","properties":{"formattedCitation":"({\\i{}Company | audi.com}, no date)","plainCitation":"(Company | audi.com, no date)","noteIndex":0},"citationItems":[{"id":375,"uris":["http://zotero.org/users/18628635/items/VG5US9QB"],"itemData":{"id":375,"type":"webpage","abstract":"Audi stands for sporty vehicles, high build quality and progressive design – for “Vorsprung durch Technik.” The Audi Group is among the world’s leading producers of premium cars.","language":"en","title":"Company | audi.com","URL":"https://www.audi.com/en/company/","accessed":{"date-parts":[["2026",3,26]]}}}],"schema":"https://github.com/citation-style-language/schema/raw/master/csl-citation.json"} </w:instrText>
      </w:r>
      <w:r w:rsidR="00703874">
        <w:rPr>
          <w:rFonts w:ascii="Arial" w:hAnsi="Arial" w:cs="Arial"/>
          <w:sz w:val="24"/>
          <w:lang w:val="en-US"/>
        </w:rPr>
        <w:fldChar w:fldCharType="separate"/>
      </w:r>
      <w:r w:rsidR="00A25A27" w:rsidRPr="00A25A27">
        <w:rPr>
          <w:rFonts w:ascii="Arial" w:hAnsi="Arial" w:cs="Arial"/>
          <w:kern w:val="0"/>
          <w:sz w:val="24"/>
          <w:lang w:val="en-US"/>
        </w:rPr>
        <w:t>(</w:t>
      </w:r>
      <w:r w:rsidR="00A25A27" w:rsidRPr="00A25A27">
        <w:rPr>
          <w:rFonts w:ascii="Arial" w:hAnsi="Arial" w:cs="Arial"/>
          <w:i/>
          <w:iCs/>
          <w:kern w:val="0"/>
          <w:sz w:val="24"/>
          <w:lang w:val="en-US"/>
        </w:rPr>
        <w:t>Company | audi.com</w:t>
      </w:r>
      <w:r w:rsidR="00A25A27" w:rsidRPr="00A25A27">
        <w:rPr>
          <w:rFonts w:ascii="Arial" w:hAnsi="Arial" w:cs="Arial"/>
          <w:kern w:val="0"/>
          <w:sz w:val="24"/>
          <w:lang w:val="en-US"/>
        </w:rPr>
        <w:t>, no date)</w:t>
      </w:r>
      <w:r w:rsidR="00703874">
        <w:rPr>
          <w:rFonts w:ascii="Arial" w:hAnsi="Arial" w:cs="Arial"/>
          <w:sz w:val="24"/>
          <w:lang w:val="en-US"/>
        </w:rPr>
        <w:fldChar w:fldCharType="end"/>
      </w:r>
      <w:r w:rsidRPr="003C07A0">
        <w:rPr>
          <w:rFonts w:ascii="Arial" w:hAnsi="Arial" w:cs="Arial"/>
          <w:sz w:val="24"/>
          <w:lang w:val="en-US"/>
        </w:rPr>
        <w:t>.</w:t>
      </w:r>
    </w:p>
    <w:p w14:paraId="57C6285A" w14:textId="5CB34301" w:rsidR="004C007E" w:rsidRPr="0017482A" w:rsidRDefault="003C07A0" w:rsidP="007B565A">
      <w:pPr>
        <w:spacing w:line="360" w:lineRule="auto"/>
        <w:jc w:val="both"/>
        <w:rPr>
          <w:rFonts w:ascii="Arial" w:hAnsi="Arial" w:cs="Arial" w:hint="eastAsia"/>
          <w:sz w:val="24"/>
          <w:lang w:val="en-US"/>
        </w:rPr>
      </w:pPr>
      <w:r w:rsidRPr="003C07A0">
        <w:rPr>
          <w:rFonts w:ascii="Arial" w:hAnsi="Arial" w:cs="Arial"/>
          <w:sz w:val="24"/>
          <w:lang w:val="en-US"/>
        </w:rPr>
        <w:t>Audi is a typical research subject for strategic and sustainability analysis because the automotive industry is in a critical transformation period, shifting from traditional internal combustion engines to electrification and intelligent mobility. As a high-end brand with a long history, Audi also faces challenges. The first and foremost is the intensified competition in the automotive market. Competitors such as Tesla, BMW and Mercedes-Benz have accelerated their electric vehicle strategies, eroding Audi's traditional market share. Moreover, strict global carbon neutrality policies have forced Audi to accelerate its electrification transformation while balancing short-term profits and long-term sustainable investments</w:t>
      </w:r>
      <w:r w:rsidR="005C010C">
        <w:rPr>
          <w:rFonts w:ascii="Arial" w:hAnsi="Arial" w:cs="Arial"/>
          <w:sz w:val="24"/>
          <w:lang w:val="en-US"/>
        </w:rPr>
        <w:fldChar w:fldCharType="begin"/>
      </w:r>
      <w:r w:rsidR="005C010C">
        <w:rPr>
          <w:rFonts w:ascii="Arial" w:hAnsi="Arial" w:cs="Arial"/>
          <w:sz w:val="24"/>
          <w:lang w:val="en-US"/>
        </w:rPr>
        <w:instrText xml:space="preserve"> ADDIN ZOTERO_ITEM CSL_CITATION {"citationID":"n3Jp6mPa","properties":{"formattedCitation":"(Zhang {\\i{}et al.}, 2025)","plainCitation":"(Zhang et al., 2025)","noteIndex":0},"citationItems":[{"id":377,"uris":["http://zotero.org/users/18628635/items/AZ7J4I5R"],"itemData":{"id":377,"type":"article-journal","abstract":"The global push for carbon neutrality highlights the need for rigorous assessments of whether national efforts align with stated targets. However, existing evaluations often prioritize commitments over tangible progress, lacking comprehensive and transparent metrics. To bridge this gap, we develop a multidimensional indicator system that evaluates targets, policies, actions, and effectiveness across key areas, including policy implementation, technology deployment, financial investment, and international cooperation. While 151 countries have pledged carbon neutrality—19 of which are developing nations that made commitments in 2024—implementation remains uneven. Only 72 countries have established complete policy frameworks, and advanced low-carbon technologies are concentrated in a handful of nations. Current trends indicate that global renewable energy capacity will reach just 2.7 times its 2022 level by 2030, falling short of the tripling target. Moreover, the global median action score in 2024 stands at only 25—far below the target of 65—highlighting the urgency for stronger efforts. Our findings reveal a significant gap between ambition and action, with renewable energy deployment lagging behind expectations. To accelerate progress, enhanced global cooperation, increased investment, and fewer barriers to technology diffusion are crucial. This study underscores the need for more implementation-focused tracking to ensure carbon neutrality commitments translate into measurable outcomes.","container-title":"Environmental Science and Ecotechnology","DOI":"10.1016/j.ese.2025.100546","ISSN":"2666-4984","journalAbbreviation":"Environmental Science and Ecotechnology","page":"100546","source":"ScienceDirect","title":"Global readiness for carbon neutrality: From targets to action","title-short":"Global readiness for carbon neutrality","volume":"25","author":[{"family":"Zhang","given":"Shihui"},{"family":"Cai","given":"Wenjia"},{"family":"Zheng","given":"Xinzhu"},{"family":"Lv","given":"Xuedu"},{"family":"An","given":"Kangxin"},{"family":"Cao","given":"Yuan"},{"family":"Cheng","given":"Hou Sang"},{"family":"Dai","given":"Jingyi"},{"family":"Dong","given":"Xinyang"},{"family":"Fan","given":"Shuting"},{"family":"Gao","given":"Yiying"},{"family":"Gong","given":"Zaizuo"},{"family":"Guan","given":"Yusheng"},{"family":"Hong","given":"Congkai"},{"family":"Li","given":"Jie"},{"family":"Li","given":"Mingyu"},{"family":"Li","given":"Yukai"},{"family":"Liang","given":"Songrun"},{"family":"Liao","given":"Weiyi"},{"family":"Ma","given":"Zhongqi"},{"family":"Ren","given":"Yue"},{"family":"Shen","given":"Jianxiang"},{"family":"Shi","given":"Xin"},{"family":"Su","given":"Yang"},{"family":"Sun","given":"Jinjie"},{"family":"Xia","given":"Chengqi"},{"family":"Xu","given":"Junyuan"},{"family":"Ye","given":"Wenxin"},{"family":"Zhang","given":"Ling"},{"family":"Zhang","given":"Shangchen"},{"family":"Zhang","given":"Tianyi"},{"family":"Zhen","given":"Zihan"},{"family":"Zhong","given":"Hanying"},{"family":"Wang","given":"Can"},{"family":"He","given":"Kebin"}],"issued":{"date-parts":[["2025",5,1]]}}}],"schema":"https://github.com/citation-style-language/schema/raw/master/csl-citation.json"} </w:instrText>
      </w:r>
      <w:r w:rsidR="005C010C">
        <w:rPr>
          <w:rFonts w:ascii="Arial" w:hAnsi="Arial" w:cs="Arial"/>
          <w:sz w:val="24"/>
          <w:lang w:val="en-US"/>
        </w:rPr>
        <w:fldChar w:fldCharType="separate"/>
      </w:r>
      <w:r w:rsidR="005C010C" w:rsidRPr="005C010C">
        <w:rPr>
          <w:rFonts w:ascii="Arial" w:hAnsi="Arial" w:cs="Arial"/>
          <w:kern w:val="0"/>
          <w:sz w:val="24"/>
          <w:lang w:val="en-US"/>
        </w:rPr>
        <w:t xml:space="preserve">(Zhang </w:t>
      </w:r>
      <w:r w:rsidR="005C010C" w:rsidRPr="005C010C">
        <w:rPr>
          <w:rFonts w:ascii="Arial" w:hAnsi="Arial" w:cs="Arial"/>
          <w:i/>
          <w:iCs/>
          <w:kern w:val="0"/>
          <w:sz w:val="24"/>
          <w:lang w:val="en-US"/>
        </w:rPr>
        <w:t>et al.</w:t>
      </w:r>
      <w:r w:rsidR="005C010C" w:rsidRPr="005C010C">
        <w:rPr>
          <w:rFonts w:ascii="Arial" w:hAnsi="Arial" w:cs="Arial"/>
          <w:kern w:val="0"/>
          <w:sz w:val="24"/>
          <w:lang w:val="en-US"/>
        </w:rPr>
        <w:t>, 2025)</w:t>
      </w:r>
      <w:r w:rsidR="005C010C">
        <w:rPr>
          <w:rFonts w:ascii="Arial" w:hAnsi="Arial" w:cs="Arial"/>
          <w:sz w:val="24"/>
          <w:lang w:val="en-US"/>
        </w:rPr>
        <w:fldChar w:fldCharType="end"/>
      </w:r>
      <w:r w:rsidRPr="003C07A0">
        <w:rPr>
          <w:rFonts w:ascii="Arial" w:hAnsi="Arial" w:cs="Arial"/>
          <w:sz w:val="24"/>
          <w:lang w:val="en-US"/>
        </w:rPr>
        <w:t>.</w:t>
      </w:r>
    </w:p>
    <w:p w14:paraId="6AF2DB2C" w14:textId="77777777" w:rsidR="004C007E" w:rsidRPr="0017482A" w:rsidRDefault="004C007E" w:rsidP="007B565A">
      <w:pPr>
        <w:spacing w:line="360" w:lineRule="auto"/>
        <w:jc w:val="both"/>
        <w:rPr>
          <w:rFonts w:ascii="Arial" w:hAnsi="Arial" w:cs="Arial"/>
          <w:sz w:val="24"/>
          <w:lang w:val="en-US"/>
        </w:rPr>
      </w:pPr>
    </w:p>
    <w:p w14:paraId="11E7C4DF" w14:textId="6806E101" w:rsidR="004C007E" w:rsidRPr="002E469E" w:rsidRDefault="004C007E" w:rsidP="007B565A">
      <w:pPr>
        <w:spacing w:line="360" w:lineRule="auto"/>
        <w:jc w:val="both"/>
        <w:rPr>
          <w:rFonts w:ascii="Arial" w:hAnsi="Arial" w:cs="Arial"/>
          <w:b/>
          <w:bCs/>
          <w:sz w:val="30"/>
          <w:szCs w:val="30"/>
          <w:lang w:val="en-US"/>
        </w:rPr>
      </w:pPr>
      <w:r w:rsidRPr="002E469E">
        <w:rPr>
          <w:rFonts w:ascii="Arial" w:hAnsi="Arial" w:cs="Arial"/>
          <w:b/>
          <w:bCs/>
          <w:sz w:val="30"/>
          <w:szCs w:val="30"/>
          <w:lang w:val="en-US"/>
        </w:rPr>
        <w:t>2 External Analysis</w:t>
      </w:r>
    </w:p>
    <w:p w14:paraId="03785929" w14:textId="13977127"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2.1 PESTEL Analysis</w:t>
      </w:r>
    </w:p>
    <w:p w14:paraId="05B402E4" w14:textId="096EF6BC" w:rsidR="004C007E" w:rsidRPr="0017482A" w:rsidRDefault="002645A0" w:rsidP="007B565A">
      <w:pPr>
        <w:spacing w:line="360" w:lineRule="auto"/>
        <w:jc w:val="both"/>
        <w:rPr>
          <w:rFonts w:ascii="Arial" w:hAnsi="Arial" w:cs="Arial" w:hint="eastAsia"/>
          <w:sz w:val="24"/>
          <w:lang w:val="en-US"/>
        </w:rPr>
      </w:pPr>
      <w:r w:rsidRPr="002645A0">
        <w:rPr>
          <w:rFonts w:ascii="Arial" w:hAnsi="Arial" w:cs="Arial"/>
          <w:sz w:val="24"/>
          <w:lang w:val="en-US"/>
        </w:rPr>
        <w:t>Politically, Audi is influenced by the international decarbonization agenda. For instance, China's mandatory electrification policy directly guides the product layout of this brand</w:t>
      </w:r>
      <w:r w:rsidR="00A52304">
        <w:rPr>
          <w:rFonts w:ascii="Arial" w:hAnsi="Arial" w:cs="Arial"/>
          <w:sz w:val="24"/>
          <w:lang w:val="en-US"/>
        </w:rPr>
        <w:fldChar w:fldCharType="begin"/>
      </w:r>
      <w:r w:rsidR="00AB772A">
        <w:rPr>
          <w:rFonts w:ascii="Arial" w:hAnsi="Arial" w:cs="Arial"/>
          <w:sz w:val="24"/>
          <w:lang w:val="en-US"/>
        </w:rPr>
        <w:instrText xml:space="preserve"> ADDIN ZOTERO_ITEM CSL_CITATION {"citationID":"0SPDGGsM","properties":{"formattedCitation":"({\\i{}China to overhaul electricity system for green growth, energy security}, no date)","plainCitation":"(China to overhaul electricity system for green growth, energy security, no date)","noteIndex":0},"citationItems":[{"id":379,"uris":["http://zotero.org/users/18628635/items/CYIXHW7Y"],"itemData":{"id":379,"type":"webpage","title":"China to overhaul electricity system for green growth, energy security","URL":"https://english.www.gov.cn/news/202408/06/content_WS66b20a8ec6d0868f4e8e9c1f.html","accessed":{"date-parts":[["2026",3,26]]}}}],"schema":"https://github.com/citation-style-language/schema/raw/master/csl-citation.json"} </w:instrText>
      </w:r>
      <w:r w:rsidR="00A52304">
        <w:rPr>
          <w:rFonts w:ascii="Arial" w:hAnsi="Arial" w:cs="Arial"/>
          <w:sz w:val="24"/>
          <w:lang w:val="en-US"/>
        </w:rPr>
        <w:fldChar w:fldCharType="separate"/>
      </w:r>
      <w:r w:rsidR="00AB772A" w:rsidRPr="00AB772A">
        <w:rPr>
          <w:rFonts w:ascii="Arial" w:hAnsi="Arial" w:cs="Arial"/>
          <w:kern w:val="0"/>
          <w:sz w:val="24"/>
          <w:lang w:val="en-US"/>
        </w:rPr>
        <w:t>(</w:t>
      </w:r>
      <w:r w:rsidR="00AB772A" w:rsidRPr="00AB772A">
        <w:rPr>
          <w:rFonts w:ascii="Arial" w:hAnsi="Arial" w:cs="Arial"/>
          <w:i/>
          <w:iCs/>
          <w:kern w:val="0"/>
          <w:sz w:val="24"/>
          <w:lang w:val="en-US"/>
        </w:rPr>
        <w:t>China to overhaul electricity system for green growth, energy security</w:t>
      </w:r>
      <w:r w:rsidR="00AB772A" w:rsidRPr="00AB772A">
        <w:rPr>
          <w:rFonts w:ascii="Arial" w:hAnsi="Arial" w:cs="Arial"/>
          <w:kern w:val="0"/>
          <w:sz w:val="24"/>
          <w:lang w:val="en-US"/>
        </w:rPr>
        <w:t>, no date)</w:t>
      </w:r>
      <w:r w:rsidR="00A52304">
        <w:rPr>
          <w:rFonts w:ascii="Arial" w:hAnsi="Arial" w:cs="Arial"/>
          <w:sz w:val="24"/>
          <w:lang w:val="en-US"/>
        </w:rPr>
        <w:fldChar w:fldCharType="end"/>
      </w:r>
      <w:r w:rsidRPr="002645A0">
        <w:rPr>
          <w:rFonts w:ascii="Arial" w:hAnsi="Arial" w:cs="Arial"/>
          <w:sz w:val="24"/>
          <w:lang w:val="en-US"/>
        </w:rPr>
        <w:t>. Moreover, trade policies such as the EU's carbon border adjustment mechanism have increased the costs of cross-border operations</w:t>
      </w:r>
      <w:r w:rsidR="0067498F">
        <w:rPr>
          <w:rFonts w:ascii="Arial" w:hAnsi="Arial" w:cs="Arial"/>
          <w:sz w:val="24"/>
          <w:lang w:val="en-US"/>
        </w:rPr>
        <w:fldChar w:fldCharType="begin"/>
      </w:r>
      <w:r w:rsidR="0067498F">
        <w:rPr>
          <w:rFonts w:ascii="Arial" w:hAnsi="Arial" w:cs="Arial"/>
          <w:sz w:val="24"/>
          <w:lang w:val="en-US"/>
        </w:rPr>
        <w:instrText xml:space="preserve"> ADDIN ZOTERO_ITEM CSL_CITATION {"citationID":"3nA1hmVK","properties":{"formattedCitation":"(Erdogdu, 2025)","plainCitation":"(Erdogdu, 2025)","noteIndex":0},"citationItems":[{"id":381,"uris":["http://zotero.org/users/18628635/items/2SAUMVEU"],"itemData":{"id":381,"type":"article-journal","abstract":"The European Union's Carbon Border Adjustment Mechanism (CBAM) represents a groundbreaking policy to address global climate change by mitigating carbon leakage and aligning international trade with environmental objectives. As the first initiative of its kind, CBAM imposes carbon pricing on imported goods, encouraging non-EU producers to meet stringent environmental standards. This mechanism not only supports the EU's ambitious Green Deal targets but also drives innovation, fostering a global transition to low-carbon technologies. This paper offers an analysis of CBAM's design, phased implementation, and possible impacts. While CBAM drives technological advancements and strengthens climate governance, it also poses challenges, including compliance burdens for developing nations and potential geopolitical tensions. CBAM also promotes sustainable economic transformation by encouraging exporters in carbon-intensive sectors to adopt green technologies, enhancing competitiveness and resilience. However, without financial and technical assistance, compliance costs risk deepening global inequalities. This study underscores CBAM's dual role as an environmental policy and a catalyst for equitable sustainability, linking economic, environmental, and technological dimensions. The findings highlight how trade policies can address global challenges, drive innovation, and reshape international climate governance, offering insights for policymakers navigating the complexities of sustainable development.","container-title":"WIREs Energy and Environment","DOI":"10.1002/wene.70000","ISSN":"2041-840X","issue":"1","language":"en","license":"© 2025 Wiley Periodicals LLC.","note":"_eprint: https://wires.onlinelibrary.wiley.com/doi/pdf/10.1002/wene.70000","page":"e70000","source":"Wiley Online Library","title":"The Carbon Border Adjustment Mechanism: Opportunities and Challenges for Non-EU Countries","title-short":"The Carbon Border Adjustment Mechanism","volume":"14","author":[{"family":"Erdogdu","given":"Erkan"}],"issued":{"date-parts":[["2025"]]}}}],"schema":"https://github.com/citation-style-language/schema/raw/master/csl-citation.json"} </w:instrText>
      </w:r>
      <w:r w:rsidR="0067498F">
        <w:rPr>
          <w:rFonts w:ascii="Arial" w:hAnsi="Arial" w:cs="Arial"/>
          <w:sz w:val="24"/>
          <w:lang w:val="en-US"/>
        </w:rPr>
        <w:fldChar w:fldCharType="separate"/>
      </w:r>
      <w:r w:rsidR="0067498F">
        <w:rPr>
          <w:rFonts w:ascii="Arial" w:hAnsi="Arial" w:cs="Arial"/>
          <w:noProof/>
          <w:sz w:val="24"/>
          <w:lang w:val="en-US"/>
        </w:rPr>
        <w:t>(</w:t>
      </w:r>
      <w:proofErr w:type="spellStart"/>
      <w:r w:rsidR="0067498F">
        <w:rPr>
          <w:rFonts w:ascii="Arial" w:hAnsi="Arial" w:cs="Arial"/>
          <w:noProof/>
          <w:sz w:val="24"/>
          <w:lang w:val="en-US"/>
        </w:rPr>
        <w:t>Erdogdu</w:t>
      </w:r>
      <w:proofErr w:type="spellEnd"/>
      <w:r w:rsidR="0067498F">
        <w:rPr>
          <w:rFonts w:ascii="Arial" w:hAnsi="Arial" w:cs="Arial"/>
          <w:noProof/>
          <w:sz w:val="24"/>
          <w:lang w:val="en-US"/>
        </w:rPr>
        <w:t>, 2025)</w:t>
      </w:r>
      <w:r w:rsidR="0067498F">
        <w:rPr>
          <w:rFonts w:ascii="Arial" w:hAnsi="Arial" w:cs="Arial"/>
          <w:sz w:val="24"/>
          <w:lang w:val="en-US"/>
        </w:rPr>
        <w:fldChar w:fldCharType="end"/>
      </w:r>
      <w:r w:rsidRPr="002645A0">
        <w:rPr>
          <w:rFonts w:ascii="Arial" w:hAnsi="Arial" w:cs="Arial"/>
          <w:sz w:val="24"/>
          <w:lang w:val="en-US"/>
        </w:rPr>
        <w:t>. All these have an impact on Audi's operations. In the economic aspect, due to post-pandemic inflation, consumers' demand for high-end non-essential products has decreased</w:t>
      </w:r>
      <w:r w:rsidR="00445178">
        <w:rPr>
          <w:rFonts w:ascii="Arial" w:hAnsi="Arial" w:cs="Arial"/>
          <w:sz w:val="24"/>
          <w:lang w:val="en-US"/>
        </w:rPr>
        <w:fldChar w:fldCharType="begin"/>
      </w:r>
      <w:r w:rsidR="00445178">
        <w:rPr>
          <w:rFonts w:ascii="Arial" w:hAnsi="Arial" w:cs="Arial"/>
          <w:sz w:val="24"/>
          <w:lang w:val="en-US"/>
        </w:rPr>
        <w:instrText xml:space="preserve"> ADDIN ZOTERO_ITEM CSL_CITATION {"citationID":"8ozcPRKM","properties":{"formattedCitation":"(Giannone and Primiceri, 2024)","plainCitation":"(Giannone and Primiceri, 2024)","noteIndex":0},"citationItems":[{"id":384,"uris":["http://zotero.org/users/18628635/items/HE33DUFC"],"itemData":{"id":384,"type":"article","abstract":"Post-covid inflation was predominantly driven by unexpectedly strong demand forces, not only in the United States, but also in the Euro Area. In comparison, the inflationary impact of adverse supply shocks was less pronounced, even though these shocks significantly constrained economic activity. With output already weakened by these unfavourable supply conditions, any attempt by the European Central Bank to further mitigate the demand-driven inflationary pressures—to maintain inflation near its 2-percent target—would have severely hampered an already anaemic recovery.","collection-title":"Working Paper Series","DOI":"10.3386/w32859","genre":"Working Paper","note":"DOI: 10.3386/w32859","number":"32859","publisher":"National Bureau of Economic Research","source":"National Bureau of Economic Research","title":"The Drivers of Post-Pandemic Inflation","URL":"https://www.nber.org/papers/w32859","author":[{"family":"Giannone","given":"Domenico"},{"family":"Primiceri","given":"Giorgio"}],"accessed":{"date-parts":[["2026",3,26]]},"issued":{"date-parts":[["2024",8]]}}}],"schema":"https://github.com/citation-style-language/schema/raw/master/csl-citation.json"} </w:instrText>
      </w:r>
      <w:r w:rsidR="00445178">
        <w:rPr>
          <w:rFonts w:ascii="Arial" w:hAnsi="Arial" w:cs="Arial"/>
          <w:sz w:val="24"/>
          <w:lang w:val="en-US"/>
        </w:rPr>
        <w:fldChar w:fldCharType="separate"/>
      </w:r>
      <w:r w:rsidR="00445178">
        <w:rPr>
          <w:rFonts w:ascii="Arial" w:hAnsi="Arial" w:cs="Arial"/>
          <w:noProof/>
          <w:sz w:val="24"/>
          <w:lang w:val="en-US"/>
        </w:rPr>
        <w:t>(Giannone and Primiceri, 2024)</w:t>
      </w:r>
      <w:r w:rsidR="00445178">
        <w:rPr>
          <w:rFonts w:ascii="Arial" w:hAnsi="Arial" w:cs="Arial"/>
          <w:sz w:val="24"/>
          <w:lang w:val="en-US"/>
        </w:rPr>
        <w:fldChar w:fldCharType="end"/>
      </w:r>
      <w:r w:rsidRPr="002645A0">
        <w:rPr>
          <w:rFonts w:ascii="Arial" w:hAnsi="Arial" w:cs="Arial"/>
          <w:sz w:val="24"/>
          <w:lang w:val="en-US"/>
        </w:rPr>
        <w:t xml:space="preserve">. Meanwhile, fluctuations in the prices of raw materials like batteries have pushed up the production costs of electric vehicles and compressed the profit margins, further affecting Audi's revenue </w:t>
      </w:r>
      <w:r w:rsidRPr="002645A0">
        <w:rPr>
          <w:rFonts w:ascii="Arial" w:hAnsi="Arial" w:cs="Arial"/>
          <w:sz w:val="24"/>
          <w:lang w:val="en-US"/>
        </w:rPr>
        <w:lastRenderedPageBreak/>
        <w:t>performance. At the social level, consumer preferences constantly influence the market. The younger generation values connectivity and autonomous driving functions rather than a single traditional internal combustion engine performance indicator. In terms of technology, the advancements in solid-state batteries and autonomous driving technologies require continuous research and development investment. Meanwhile, Chinese electric vehicle manufacturers have a faster technology commercialization cycle, and technology has become a core competitive factor that Audi needs to catch up with. In the environmental aspect, strict regulations such as the EU's Waste Electrical and Electronic Equipment Directive and China's Circular Economy Policy require Audi to design recyclable vehicles and reduce carbon emissions during the process</w:t>
      </w:r>
      <w:r w:rsidR="008D11F2">
        <w:rPr>
          <w:rFonts w:ascii="Arial" w:hAnsi="Arial" w:cs="Arial"/>
          <w:sz w:val="24"/>
          <w:lang w:val="en-US"/>
        </w:rPr>
        <w:fldChar w:fldCharType="begin"/>
      </w:r>
      <w:r w:rsidR="008D11F2">
        <w:rPr>
          <w:rFonts w:ascii="Arial" w:hAnsi="Arial" w:cs="Arial"/>
          <w:sz w:val="24"/>
          <w:lang w:val="en-US"/>
        </w:rPr>
        <w:instrText xml:space="preserve"> ADDIN ZOTERO_ITEM CSL_CITATION {"citationID":"qPr3zSu4","properties":{"formattedCitation":"(Habib {\\i{}et al.}, 2022)","plainCitation":"(Habib et al., 2022)","noteIndex":0},"citationItems":[{"id":386,"uris":["http://zotero.org/users/18628635/items/78RD38AT"],"itemData":{"id":386,"type":"article-journal","abstract":"Electrical and Electronic Equipment (EEE) is valued for its usability, generating an important waste stream, but overall information on their flows through society is generally not available. Data on End-of-Life (EoL) flows is scattered, unstructured, with varying classifications and formats, and uncertain levels of data quality and availability. This provides a big challenge of a structured mapping of the Waste Electrical and Electronic Equipment (WEEE) flows, both officially reported as collected and complementary flows (the term refers to all flows not documented at a national level via designated official compliance schemes). To address these issues, a model quantitatively describing the WEEE flows has been developed based on the Commission Implementing Regulation (EU) 2017/699 and WEEE Directive collection targets. Consequently, it evaluates the impacts of WEEE Directive policies that have been adopted in the past. The model is applied to the EU Member States, as well as Great Britain, Norway, and Switzerland, for the reference year of 2018. The results show that about 9.7 Mt of WEEE was generated, whereas roughly 5.0 Mt were collected. The analysis shows that a significant amount of waste (4.7 Mt) was not properly collected and recycled. Of the total amount of complementary flows, the majority, approx. 1.1 Mt was in complementary recycling (mixed metal scrap). Moreover, the obtained results provide an insight to improve collection targets through multidimensional drivers, i.e., economic policies, legal framework, and sustainability approach that are needed to be set in waste management.","container-title":"Resources, Conservation and Recycling","DOI":"10.1016/j.resconrec.2022.106222","ISSN":"0921-3449","journalAbbreviation":"Resources, Conservation and Recycling","page":"106222","source":"ScienceDirect","title":"What gets measured gets managed – does it? Uncovering the waste electrical and electronic equipment flows in the European Union","title-short":"What gets measured gets managed – does it?","volume":"181","author":[{"family":"Habib","given":"Hina"},{"family":"Wagner","given":"Michelle"},{"family":"Baldé","given":"Cornelis Peter"},{"family":"Martínez","given":"Lucía Herreras"},{"family":"Huisman","given":"Jaco"},{"family":"Dewulf","given":"Jo"}],"issued":{"date-parts":[["2022",6,1]]}}}],"schema":"https://github.com/citation-style-language/schema/raw/master/csl-citation.json"} </w:instrText>
      </w:r>
      <w:r w:rsidR="008D11F2">
        <w:rPr>
          <w:rFonts w:ascii="Arial" w:hAnsi="Arial" w:cs="Arial"/>
          <w:sz w:val="24"/>
          <w:lang w:val="en-US"/>
        </w:rPr>
        <w:fldChar w:fldCharType="separate"/>
      </w:r>
      <w:r w:rsidR="008D11F2" w:rsidRPr="008D11F2">
        <w:rPr>
          <w:rFonts w:ascii="Arial" w:hAnsi="Arial" w:cs="Arial"/>
          <w:kern w:val="0"/>
          <w:sz w:val="24"/>
          <w:lang w:val="en-US"/>
        </w:rPr>
        <w:t xml:space="preserve">(Habib </w:t>
      </w:r>
      <w:r w:rsidR="008D11F2" w:rsidRPr="008D11F2">
        <w:rPr>
          <w:rFonts w:ascii="Arial" w:hAnsi="Arial" w:cs="Arial"/>
          <w:i/>
          <w:iCs/>
          <w:kern w:val="0"/>
          <w:sz w:val="24"/>
          <w:lang w:val="en-US"/>
        </w:rPr>
        <w:t>et al.</w:t>
      </w:r>
      <w:r w:rsidR="008D11F2" w:rsidRPr="008D11F2">
        <w:rPr>
          <w:rFonts w:ascii="Arial" w:hAnsi="Arial" w:cs="Arial"/>
          <w:kern w:val="0"/>
          <w:sz w:val="24"/>
          <w:lang w:val="en-US"/>
        </w:rPr>
        <w:t>, 2022)</w:t>
      </w:r>
      <w:r w:rsidR="008D11F2">
        <w:rPr>
          <w:rFonts w:ascii="Arial" w:hAnsi="Arial" w:cs="Arial"/>
          <w:sz w:val="24"/>
          <w:lang w:val="en-US"/>
        </w:rPr>
        <w:fldChar w:fldCharType="end"/>
      </w:r>
      <w:r w:rsidRPr="002645A0">
        <w:rPr>
          <w:rFonts w:ascii="Arial" w:hAnsi="Arial" w:cs="Arial"/>
          <w:sz w:val="24"/>
          <w:lang w:val="en-US"/>
        </w:rPr>
        <w:t>. From a legal perspective, as an automotive company with a market presence in most countries around the world, Audi needs to strictly follow corresponding safety regulations, which further raises the requirements for business operations.</w:t>
      </w:r>
    </w:p>
    <w:p w14:paraId="4BA0F400" w14:textId="77777777" w:rsidR="004C007E" w:rsidRPr="0017482A" w:rsidRDefault="004C007E" w:rsidP="007B565A">
      <w:pPr>
        <w:spacing w:line="360" w:lineRule="auto"/>
        <w:jc w:val="both"/>
        <w:rPr>
          <w:rFonts w:ascii="Arial" w:hAnsi="Arial" w:cs="Arial"/>
          <w:sz w:val="24"/>
          <w:lang w:val="en-US"/>
        </w:rPr>
      </w:pPr>
    </w:p>
    <w:p w14:paraId="3B012B93" w14:textId="65DF893E"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2.2 Porter’s Five Forces Analysis</w:t>
      </w:r>
    </w:p>
    <w:p w14:paraId="5AEA87B8" w14:textId="69145279" w:rsidR="001A646B" w:rsidRPr="001A646B" w:rsidRDefault="001A646B" w:rsidP="001A646B">
      <w:pPr>
        <w:spacing w:line="360" w:lineRule="auto"/>
        <w:jc w:val="both"/>
        <w:rPr>
          <w:rFonts w:ascii="Arial" w:hAnsi="Arial" w:cs="Arial"/>
          <w:sz w:val="24"/>
          <w:lang w:val="en-US"/>
        </w:rPr>
      </w:pPr>
      <w:r w:rsidRPr="001A646B">
        <w:rPr>
          <w:rFonts w:ascii="Arial" w:hAnsi="Arial" w:cs="Arial"/>
          <w:sz w:val="24"/>
          <w:lang w:val="en-US"/>
        </w:rPr>
        <w:t>In the high-end automotive market, although Audi has high barriers in terms of brand and other aspects, the threat from new entrants remains significant. Electric vehicle brands such as Tesla have bypassed the barriers of traditional internal combustion engine technology, and in addition, the policy support from some national governments for the electric vehicle industry has significantly reduced the difficulty for new players to enter the market</w:t>
      </w:r>
      <w:r w:rsidR="002D09FC">
        <w:rPr>
          <w:rFonts w:ascii="Arial" w:hAnsi="Arial" w:cs="Arial"/>
          <w:sz w:val="24"/>
          <w:lang w:val="en-US"/>
        </w:rPr>
        <w:fldChar w:fldCharType="begin"/>
      </w:r>
      <w:r w:rsidR="002D09FC">
        <w:rPr>
          <w:rFonts w:ascii="Arial" w:hAnsi="Arial" w:cs="Arial"/>
          <w:sz w:val="24"/>
          <w:lang w:val="en-US"/>
        </w:rPr>
        <w:instrText xml:space="preserve"> ADDIN ZOTERO_ITEM CSL_CITATION {"citationID":"99xyml6H","properties":{"formattedCitation":"(Li {\\i{}et al.}, 2023)","plainCitation":"(Li et al., 2023)","noteIndex":0},"citationItems":[{"id":388,"uris":["http://zotero.org/users/18628635/items/HB4X5L8D"],"itemData":{"id":388,"type":"article-journal","abstract":"To ensure green and sustainable development, how to design effective subsidy schemes to promote the electric vehicle (EV) industry has become a critical problem faced by governments. In this paper, using a system dynamics (SD) model that incorporates the dynamic interactions between government, manufacturers, and consumers, we investigate the effects of different subsidy schemes (an acquisition subsidy vs a Research and Development (R&amp;D) subsidy, as well as dynamic vs static subsidies) on the EV industry and environmental protection. Using empirical evidence from China, we verify the proposed model and predict that both an acquisition subsidy and an R&amp;D subsidy can boost EV demand and reduce CO2 emissions. The acquisition subsidy helps to stimulate the sales of EVs more quickly and to a greater extent in the short term, but at great expense; for a given level of government expenditure, the R&amp;D subsidy is more effective in promoting EV penetration and mitigating CO2 emissions. Moreover, the dynamic R&amp;D subsidy scheme outperforms the static one in terms of subsidy efficiency. The study has implications for policy makers designing a subsidy scheme to promote the development of the EV industry.","container-title":"Transportation Research Part A: Policy and Practice","DOI":"10.1016/j.tra.2022.11.018","ISSN":"0965-8564","journalAbbreviation":"Transportation Research Part A: Policy and Practice","page":"103558","source":"ScienceDirect","title":"Designing government subsidy schemes to promote the electric vehicle industry: A system dynamics model perspective","title-short":"Designing government subsidy schemes to promote the electric vehicle industry","volume":"167","author":[{"family":"Li","given":"Yina"},{"family":"Liang","given":"Chenchen"},{"family":"Ye","given":"Fei"},{"family":"Zhao","given":"Xiande"}],"issued":{"date-parts":[["2023",1,1]]}}}],"schema":"https://github.com/citation-style-language/schema/raw/master/csl-citation.json"} </w:instrText>
      </w:r>
      <w:r w:rsidR="002D09FC">
        <w:rPr>
          <w:rFonts w:ascii="Arial" w:hAnsi="Arial" w:cs="Arial"/>
          <w:sz w:val="24"/>
          <w:lang w:val="en-US"/>
        </w:rPr>
        <w:fldChar w:fldCharType="separate"/>
      </w:r>
      <w:r w:rsidR="002D09FC" w:rsidRPr="002D09FC">
        <w:rPr>
          <w:rFonts w:ascii="Arial" w:hAnsi="Arial" w:cs="Arial"/>
          <w:kern w:val="0"/>
          <w:sz w:val="24"/>
          <w:lang w:val="en-US"/>
        </w:rPr>
        <w:t xml:space="preserve">(Li </w:t>
      </w:r>
      <w:r w:rsidR="002D09FC" w:rsidRPr="002D09FC">
        <w:rPr>
          <w:rFonts w:ascii="Arial" w:hAnsi="Arial" w:cs="Arial"/>
          <w:i/>
          <w:iCs/>
          <w:kern w:val="0"/>
          <w:sz w:val="24"/>
          <w:lang w:val="en-US"/>
        </w:rPr>
        <w:t>et al.</w:t>
      </w:r>
      <w:r w:rsidR="002D09FC" w:rsidRPr="002D09FC">
        <w:rPr>
          <w:rFonts w:ascii="Arial" w:hAnsi="Arial" w:cs="Arial"/>
          <w:kern w:val="0"/>
          <w:sz w:val="24"/>
          <w:lang w:val="en-US"/>
        </w:rPr>
        <w:t>, 2023)</w:t>
      </w:r>
      <w:r w:rsidR="002D09FC">
        <w:rPr>
          <w:rFonts w:ascii="Arial" w:hAnsi="Arial" w:cs="Arial"/>
          <w:sz w:val="24"/>
          <w:lang w:val="en-US"/>
        </w:rPr>
        <w:fldChar w:fldCharType="end"/>
      </w:r>
      <w:r w:rsidRPr="001A646B">
        <w:rPr>
          <w:rFonts w:ascii="Arial" w:hAnsi="Arial" w:cs="Arial"/>
          <w:sz w:val="24"/>
          <w:lang w:val="en-US"/>
        </w:rPr>
        <w:t>.</w:t>
      </w:r>
    </w:p>
    <w:p w14:paraId="72658AB6" w14:textId="33370CC9" w:rsidR="001A646B" w:rsidRPr="001A646B" w:rsidRDefault="001A646B" w:rsidP="001A646B">
      <w:pPr>
        <w:spacing w:line="360" w:lineRule="auto"/>
        <w:jc w:val="both"/>
        <w:rPr>
          <w:rFonts w:ascii="Arial" w:hAnsi="Arial" w:cs="Arial"/>
          <w:sz w:val="24"/>
          <w:lang w:val="en-US"/>
        </w:rPr>
      </w:pPr>
      <w:r w:rsidRPr="001A646B">
        <w:rPr>
          <w:rFonts w:ascii="Arial" w:hAnsi="Arial" w:cs="Arial"/>
          <w:sz w:val="24"/>
          <w:lang w:val="en-US"/>
        </w:rPr>
        <w:t>In terms of the supply chain, the core component suppliers of new energy vehicles have strong influence. Especially for key components such as batteries, due to the highly concentrated resources of leading suppliers like CATL, they hold the initiative in pricing and supply conditions. In contrast, the suppliers of traditional internal combustion engine components have relatively weaker bargaining power due to the relatively dispersed market</w:t>
      </w:r>
      <w:r w:rsidR="00BE2E52">
        <w:rPr>
          <w:rFonts w:ascii="Arial" w:hAnsi="Arial" w:cs="Arial"/>
          <w:sz w:val="24"/>
          <w:lang w:val="en-US"/>
        </w:rPr>
        <w:fldChar w:fldCharType="begin"/>
      </w:r>
      <w:r w:rsidR="00CA7838">
        <w:rPr>
          <w:rFonts w:ascii="Arial" w:hAnsi="Arial" w:cs="Arial"/>
          <w:sz w:val="24"/>
          <w:lang w:val="en-US"/>
        </w:rPr>
        <w:instrText xml:space="preserve"> ADDIN ZOTERO_ITEM CSL_CITATION {"citationID":"U31QTtzo","properties":{"formattedCitation":"(Khedr and S, 2024)","plainCitation":"(Khedr and S, 2024)","noteIndex":0},"citationItems":[{"id":390,"uris":["http://zotero.org/users/18628635/items/J43GLLGX"],"itemData":{"id":390,"type":"article-journal","abstract":"Supply chain management (SCM) is crucial in establishing long-term partnerships that are pivotal for achieving sustained business success. Effective SCM demands rigorous criteria and decision-making processes, which significantly impact the overall outcomes. Recent studies highlight cloud-based market analysis as a valuable tool for assessing supply chain dynamics, offering insights into the benefits and challenges of SCM. The integration of deep learning (DL) and machine learning (ML) approaches in SCM presents transformative potential, enabling more efficient management of the supply chain. This paper identifies the contributions of DL and ML techniques in various aspects of SCM, including supplier selection, production, inventory control, transportation, demand and sales estimation, and others. The extensive review presented in this work delivers an in-depth examination of the integration of DL and ML with SCM, highlighting strategies for enhancing operational efficiency, addressing current limitations, and identifying future research opportunities. A comprehensive literature table consolidates existing research on enhancing SCM with ML and DL techniques, offering a precise overview of objectives, findings, and areas for improvement, and providing rapid insights into the evolving landscape of SCM.","container-title":"Journal of Open Innovation: Technology, Market, and Complexity","DOI":"10.1016/j.joitmc.2024.100379","ISSN":"2199-8531","issue":"4","journalAbbreviation":"Journal of Open Innovation: Technology, Market, and Complexity","page":"100379","source":"ScienceDirect","title":"Enhancing supply chain management with deep learning and machine learning techniques: A review","title-short":"Enhancing supply chain management with deep learning and machine learning techniques","volume":"10","author":[{"family":"Khedr","given":"Ahmed M."},{"family":"S","given":"Sheeja Rani"}],"issued":{"date-parts":[["2024",12,1]]}}}],"schema":"https://github.com/citation-style-language/schema/raw/master/csl-citation.json"} </w:instrText>
      </w:r>
      <w:r w:rsidR="00BE2E52">
        <w:rPr>
          <w:rFonts w:ascii="Arial" w:hAnsi="Arial" w:cs="Arial"/>
          <w:sz w:val="24"/>
          <w:lang w:val="en-US"/>
        </w:rPr>
        <w:fldChar w:fldCharType="separate"/>
      </w:r>
      <w:r w:rsidR="00CA7838">
        <w:rPr>
          <w:rFonts w:ascii="Arial" w:hAnsi="Arial" w:cs="Arial"/>
          <w:noProof/>
          <w:sz w:val="24"/>
          <w:lang w:val="en-US"/>
        </w:rPr>
        <w:t>(Khedr and S, 2024)</w:t>
      </w:r>
      <w:r w:rsidR="00BE2E52">
        <w:rPr>
          <w:rFonts w:ascii="Arial" w:hAnsi="Arial" w:cs="Arial"/>
          <w:sz w:val="24"/>
          <w:lang w:val="en-US"/>
        </w:rPr>
        <w:fldChar w:fldCharType="end"/>
      </w:r>
      <w:r w:rsidRPr="001A646B">
        <w:rPr>
          <w:rFonts w:ascii="Arial" w:hAnsi="Arial" w:cs="Arial"/>
          <w:sz w:val="24"/>
          <w:lang w:val="en-US"/>
        </w:rPr>
        <w:t>.</w:t>
      </w:r>
    </w:p>
    <w:p w14:paraId="3C876566" w14:textId="78CBCA89" w:rsidR="001A646B" w:rsidRPr="001A646B" w:rsidRDefault="001A646B" w:rsidP="001A646B">
      <w:pPr>
        <w:spacing w:line="360" w:lineRule="auto"/>
        <w:jc w:val="both"/>
        <w:rPr>
          <w:rFonts w:ascii="Arial" w:hAnsi="Arial" w:cs="Arial"/>
          <w:sz w:val="24"/>
          <w:lang w:val="en-US"/>
        </w:rPr>
      </w:pPr>
      <w:r w:rsidRPr="001A646B">
        <w:rPr>
          <w:rFonts w:ascii="Arial" w:hAnsi="Arial" w:cs="Arial"/>
          <w:sz w:val="24"/>
          <w:lang w:val="en-US"/>
        </w:rPr>
        <w:t xml:space="preserve">Buyers are also powerful. In the high-end market, whether it is fuel vehicles or </w:t>
      </w:r>
      <w:r w:rsidRPr="001A646B">
        <w:rPr>
          <w:rFonts w:ascii="Arial" w:hAnsi="Arial" w:cs="Arial"/>
          <w:sz w:val="24"/>
          <w:lang w:val="en-US"/>
        </w:rPr>
        <w:lastRenderedPageBreak/>
        <w:t>electric vehicles, there are abundant substitutes, and the cost for consumers to switch brands is low. All these have weakened Audi's pricing power, and the growing second-hand high-end vehicle market also provides consumers with more affordable options</w:t>
      </w:r>
      <w:r w:rsidR="00A31CD0">
        <w:rPr>
          <w:rFonts w:ascii="Arial" w:hAnsi="Arial" w:cs="Arial"/>
          <w:sz w:val="24"/>
          <w:lang w:val="en-US"/>
        </w:rPr>
        <w:fldChar w:fldCharType="begin"/>
      </w:r>
      <w:r w:rsidR="00A31CD0">
        <w:rPr>
          <w:rFonts w:ascii="Arial" w:hAnsi="Arial" w:cs="Arial"/>
          <w:sz w:val="24"/>
          <w:lang w:val="en-US"/>
        </w:rPr>
        <w:instrText xml:space="preserve"> ADDIN ZOTERO_ITEM CSL_CITATION {"citationID":"ZurkuYdt","properties":{"formattedCitation":"(Chukreyev, 2023)","plainCitation":"(Chukreyev, 2023)","noteIndex":0},"citationItems":[{"id":392,"uris":["http://zotero.org/users/18628635/items/5AJN4TDF"],"itemData":{"id":392,"type":"article-journal","abstract":"In modern conditions of market relations in the electric power industry, a mechanism is needed by regulating power selling, which should not lead to the deterioration of EPS's reliability. The main component of such a mechanism was capacity selection procedure. The result of this selection, in addition to the technical and economic indicators of the equipment itself, the level of the regulatory reserve of power provided for by regulatory documents is also affected. In modern conditions, competition in international markets the cost of electricity has a huge impact on the ability of the state to produce a competitive product. The percentage of electricity costs in the goods produced in Russia 2-2.5 higher than European countries, which undoubtedly affect competitiveness, and therefore leads to a decrease in the growth rates of Russia's GDP. Therefore, work on the efficiency of the energy sector is very im- portant. The article discusses the mechanisms of energy markets, their features are given. The calculations influence of the selected mechanism on the formed tariff are presented, the author's vision is given for further actions in these issues.","container-title":"AIP Conference Proceedings","DOI":"10.1063/5.0111442","ISSN":"0094-243X","issue":"1","journalAbbreviation":"AIP Conf. Proc.","page":"040003","source":"Silverchair","title":"The influence of various factors on the power price","volume":"2552","author":[{"family":"Chukreyev","given":"Mikhail"}],"issued":{"date-parts":[["2023",1,5]]}}}],"schema":"https://github.com/citation-style-language/schema/raw/master/csl-citation.json"} </w:instrText>
      </w:r>
      <w:r w:rsidR="00A31CD0">
        <w:rPr>
          <w:rFonts w:ascii="Arial" w:hAnsi="Arial" w:cs="Arial"/>
          <w:sz w:val="24"/>
          <w:lang w:val="en-US"/>
        </w:rPr>
        <w:fldChar w:fldCharType="separate"/>
      </w:r>
      <w:r w:rsidR="00A31CD0">
        <w:rPr>
          <w:rFonts w:ascii="Arial" w:hAnsi="Arial" w:cs="Arial"/>
          <w:noProof/>
          <w:sz w:val="24"/>
          <w:lang w:val="en-US"/>
        </w:rPr>
        <w:t>(Chukreyev, 2023)</w:t>
      </w:r>
      <w:r w:rsidR="00A31CD0">
        <w:rPr>
          <w:rFonts w:ascii="Arial" w:hAnsi="Arial" w:cs="Arial"/>
          <w:sz w:val="24"/>
          <w:lang w:val="en-US"/>
        </w:rPr>
        <w:fldChar w:fldCharType="end"/>
      </w:r>
      <w:r w:rsidRPr="001A646B">
        <w:rPr>
          <w:rFonts w:ascii="Arial" w:hAnsi="Arial" w:cs="Arial"/>
          <w:sz w:val="24"/>
          <w:lang w:val="en-US"/>
        </w:rPr>
        <w:t>.</w:t>
      </w:r>
    </w:p>
    <w:p w14:paraId="3149C881" w14:textId="1D160B32" w:rsidR="001A646B" w:rsidRPr="001A646B" w:rsidRDefault="001A646B" w:rsidP="001A646B">
      <w:pPr>
        <w:spacing w:line="360" w:lineRule="auto"/>
        <w:jc w:val="both"/>
        <w:rPr>
          <w:rFonts w:ascii="Arial" w:hAnsi="Arial" w:cs="Arial"/>
          <w:sz w:val="24"/>
          <w:lang w:val="en-US"/>
        </w:rPr>
      </w:pPr>
      <w:r w:rsidRPr="001A646B">
        <w:rPr>
          <w:rFonts w:ascii="Arial" w:hAnsi="Arial" w:cs="Arial"/>
          <w:sz w:val="24"/>
          <w:lang w:val="en-US"/>
        </w:rPr>
        <w:t>The threat from substitutes is high. In urban travel scenarios, shared mobility services and public transportation are gradually becoming alternatives to private cars, which directly affects Audi's market. However, for long-distance travel, personal vehicles remain the main choice for high-end consumers, and the threat of substitution is relatively low</w:t>
      </w:r>
      <w:r w:rsidR="00CA1D2C">
        <w:rPr>
          <w:rFonts w:ascii="Arial" w:hAnsi="Arial" w:cs="Arial"/>
          <w:sz w:val="24"/>
          <w:lang w:val="en-US"/>
        </w:rPr>
        <w:fldChar w:fldCharType="begin"/>
      </w:r>
      <w:r w:rsidR="00CA1D2C">
        <w:rPr>
          <w:rFonts w:ascii="Arial" w:hAnsi="Arial" w:cs="Arial"/>
          <w:sz w:val="24"/>
          <w:lang w:val="en-US"/>
        </w:rPr>
        <w:instrText xml:space="preserve"> ADDIN ZOTERO_ITEM CSL_CITATION {"citationID":"R4UBHHrV","properties":{"formattedCitation":"(Olubukola and Oladipo, 2025)","plainCitation":"(Olubukola and Oladipo, 2025)","noteIndex":0},"citationItems":[{"id":394,"uris":["http://zotero.org/users/18628635/items/52WHTZMQ"],"itemData":{"id":394,"type":"article-journal","abstract":"Competition in Nigerian manufacturing industries, especially in the consumer goods sector, has intensified due to emerging technologies, short product lifespans, and rapidly changing customer preferences. Managers in the industries face the challenge of promoting customer loyalty amidst competing products. Still, little research has been done on the most effective approaches in this sector. With a focus on Nestle Nigeria Plc, Unilever Nigeria Plc, PZ Cussons Plc, and Cadbury Nigeria Plc, this study examines how differentiation strategies (DIS) and the threat of product replacements (TPS) affect market share (MSH) in Nigerian consumer products business. Confirmatory factor analysis and expert evaluations were used to validate the data that was gathered using structured questionnaires (CFA) for the analysis. The effect between TPS, DIS, and MSH were examined using structural equation modeling (SEM). The findings at the coefficient estimate of. (coefficient = 0.043, p &lt; .001), highlight the multifaceted factors influencing market shares, enabling organizations to tailor strategic initiatives to enhance competitiveness and maximize market share growth. The study recommends that Organizations should adopt holistic strategic approaches that consider the dynamic interplay between TPS and DIS.","page":"212-231","source":"ResearchGate","title":"EFFECT OF THREAT OF PRODUCT SUBSTITUTES AND DIFFERENTIATION STRATEGY ON MARKET SHARE EFFECT OF THREAT OF PRODUCT SUBSTITUTES AND DIFFERENTIATION STRATEGY ON MARKET SHARE IN THE NIGERIAN CONSUMER GOODS SECTOR","volume":"22","author":[{"family":"Olubukola","given":"Jacob"},{"family":"Oladipo","given":"Olubukola"}],"issued":{"date-parts":[["2025",6,2]]}}}],"schema":"https://github.com/citation-style-language/schema/raw/master/csl-citation.json"} </w:instrText>
      </w:r>
      <w:r w:rsidR="00CA1D2C">
        <w:rPr>
          <w:rFonts w:ascii="Arial" w:hAnsi="Arial" w:cs="Arial"/>
          <w:sz w:val="24"/>
          <w:lang w:val="en-US"/>
        </w:rPr>
        <w:fldChar w:fldCharType="separate"/>
      </w:r>
      <w:r w:rsidR="00CA1D2C">
        <w:rPr>
          <w:rFonts w:ascii="Arial" w:hAnsi="Arial" w:cs="Arial"/>
          <w:noProof/>
          <w:sz w:val="24"/>
          <w:lang w:val="en-US"/>
        </w:rPr>
        <w:t>(Olubukola and Oladipo, 2025)</w:t>
      </w:r>
      <w:r w:rsidR="00CA1D2C">
        <w:rPr>
          <w:rFonts w:ascii="Arial" w:hAnsi="Arial" w:cs="Arial"/>
          <w:sz w:val="24"/>
          <w:lang w:val="en-US"/>
        </w:rPr>
        <w:fldChar w:fldCharType="end"/>
      </w:r>
      <w:r w:rsidRPr="001A646B">
        <w:rPr>
          <w:rFonts w:ascii="Arial" w:hAnsi="Arial" w:cs="Arial"/>
          <w:sz w:val="24"/>
          <w:lang w:val="en-US"/>
        </w:rPr>
        <w:t>.</w:t>
      </w:r>
    </w:p>
    <w:p w14:paraId="5BF194E4" w14:textId="2A4867C1" w:rsidR="004C007E" w:rsidRPr="0017482A" w:rsidRDefault="001A646B" w:rsidP="007B565A">
      <w:pPr>
        <w:spacing w:line="360" w:lineRule="auto"/>
        <w:jc w:val="both"/>
        <w:rPr>
          <w:rFonts w:ascii="Arial" w:hAnsi="Arial" w:cs="Arial" w:hint="eastAsia"/>
          <w:sz w:val="24"/>
          <w:lang w:val="en-US"/>
        </w:rPr>
      </w:pPr>
      <w:r w:rsidRPr="001A646B">
        <w:rPr>
          <w:rFonts w:ascii="Arial" w:hAnsi="Arial" w:cs="Arial"/>
          <w:sz w:val="24"/>
          <w:lang w:val="en-US"/>
        </w:rPr>
        <w:t xml:space="preserve">The most intense pressure comes from competition from peers. Audi not only has to face traditional rivals like BMW and </w:t>
      </w:r>
      <w:proofErr w:type="gramStart"/>
      <w:r w:rsidRPr="001A646B">
        <w:rPr>
          <w:rFonts w:ascii="Arial" w:hAnsi="Arial" w:cs="Arial"/>
          <w:sz w:val="24"/>
          <w:lang w:val="en-US"/>
        </w:rPr>
        <w:t>Mercedes-Benz, but</w:t>
      </w:r>
      <w:proofErr w:type="gramEnd"/>
      <w:r w:rsidRPr="001A646B">
        <w:rPr>
          <w:rFonts w:ascii="Arial" w:hAnsi="Arial" w:cs="Arial"/>
          <w:sz w:val="24"/>
          <w:lang w:val="en-US"/>
        </w:rPr>
        <w:t xml:space="preserve"> also </w:t>
      </w:r>
      <w:proofErr w:type="gramStart"/>
      <w:r w:rsidRPr="001A646B">
        <w:rPr>
          <w:rFonts w:ascii="Arial" w:hAnsi="Arial" w:cs="Arial"/>
          <w:sz w:val="24"/>
          <w:lang w:val="en-US"/>
        </w:rPr>
        <w:t>has to</w:t>
      </w:r>
      <w:proofErr w:type="gramEnd"/>
      <w:r w:rsidRPr="001A646B">
        <w:rPr>
          <w:rFonts w:ascii="Arial" w:hAnsi="Arial" w:cs="Arial"/>
          <w:sz w:val="24"/>
          <w:lang w:val="en-US"/>
        </w:rPr>
        <w:t xml:space="preserve"> deal with new forces like Tesla that focus on technological innovation. The competition has spread to price wars, R&amp;D investment, and marketing resources, and the intensity is evident.</w:t>
      </w:r>
    </w:p>
    <w:p w14:paraId="6E454876" w14:textId="77777777" w:rsidR="004C007E" w:rsidRPr="0017482A" w:rsidRDefault="004C007E" w:rsidP="007B565A">
      <w:pPr>
        <w:spacing w:line="360" w:lineRule="auto"/>
        <w:jc w:val="both"/>
        <w:rPr>
          <w:rFonts w:ascii="Arial" w:hAnsi="Arial" w:cs="Arial"/>
          <w:sz w:val="24"/>
          <w:lang w:val="en-US"/>
        </w:rPr>
      </w:pPr>
    </w:p>
    <w:p w14:paraId="36F16A4A" w14:textId="5DE9D2B5"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2.3 Key Economic Trends Influencing Audi’s Business Strategy</w:t>
      </w:r>
    </w:p>
    <w:p w14:paraId="7366BA2F" w14:textId="42C4E81D" w:rsidR="004C007E" w:rsidRPr="0017482A" w:rsidRDefault="00EA47F7" w:rsidP="007B565A">
      <w:pPr>
        <w:spacing w:line="360" w:lineRule="auto"/>
        <w:jc w:val="both"/>
        <w:rPr>
          <w:rFonts w:ascii="Arial" w:hAnsi="Arial" w:cs="Arial"/>
          <w:sz w:val="24"/>
          <w:lang w:val="en-US"/>
        </w:rPr>
      </w:pPr>
      <w:r w:rsidRPr="00EA47F7">
        <w:rPr>
          <w:rFonts w:ascii="Arial" w:hAnsi="Arial" w:cs="Arial"/>
          <w:sz w:val="24"/>
          <w:lang w:val="en-US"/>
        </w:rPr>
        <w:t>Due to trade frictions and past supply chain disruptions, Audi had to adjust its supply chain to a regional layout. This means it needs to invest in building regional-level super factories in each major market. This will temporarily increase capital expenditures, but in the long run, it can reduce supply chain risks</w:t>
      </w:r>
      <w:r w:rsidR="00CA7838">
        <w:rPr>
          <w:rFonts w:ascii="Arial" w:hAnsi="Arial" w:cs="Arial"/>
          <w:sz w:val="24"/>
          <w:lang w:val="en-US"/>
        </w:rPr>
        <w:fldChar w:fldCharType="begin"/>
      </w:r>
      <w:r w:rsidR="00CA7838">
        <w:rPr>
          <w:rFonts w:ascii="Arial" w:hAnsi="Arial" w:cs="Arial"/>
          <w:sz w:val="24"/>
          <w:lang w:val="en-US"/>
        </w:rPr>
        <w:instrText xml:space="preserve"> ADDIN ZOTERO_ITEM CSL_CITATION {"citationID":"fzvn7Dzh","properties":{"formattedCitation":"(Yang {\\i{}et al.}, 2023)","plainCitation":"(Yang et al., 2023)","noteIndex":0},"citationItems":[{"id":398,"uris":["http://zotero.org/users/18628635/items/D5EAJFH6"],"itemData":{"id":398,"type":"article-journal","abstract":"Coronavirus disease 2019 (COVID-19) has placed tremendous pressure on supply chain risk management (SCRM) worldwide. Recent technological advances, especially machine learning (ML) technology, have shown the possibility to prevent supply chain risk (SCR) by decreasing the need for human labor, increasing response speed, and predicting risk. However, the literature lacks a comprehensive analysis of the relationship between ML and SCRM. This work conducts a comprehensive review of the relatively limited literature in this field. An analysis of 67 shortlisted articles from 9 databases shows that this area is still in the rapid development stage and that researchers have shown extraordinary interest in it. The main purpose of this study is to review the current research status so that researchers have a clear understanding of the research gaps in this area. Moreover, this study provides an opportunity for researchers and practitioners to pay attention to ML algorithms for SCRM during the COVID-19 pandemic.","container-title":"Computers &amp; Industrial Engineering","DOI":"10.1016/j.cie.2022.108859","ISSN":"0360-8352","journalAbbreviation":"Computers &amp; Industrial Engineering","page":"108859","source":"ScienceDirect","title":"Supply chain risk management with machine learning technology: A literature review and future research directions","title-short":"Supply chain risk management with machine learning technology","volume":"175","author":[{"family":"Yang","given":"Mei"},{"family":"Lim","given":"Ming K."},{"family":"Qu","given":"Yingchi"},{"family":"Ni","given":"Du"},{"family":"Xiao","given":"Zhi"}],"issued":{"date-parts":[["2023",1,1]]}}}],"schema":"https://github.com/citation-style-language/schema/raw/master/csl-citation.json"} </w:instrText>
      </w:r>
      <w:r w:rsidR="00CA7838">
        <w:rPr>
          <w:rFonts w:ascii="Arial" w:hAnsi="Arial" w:cs="Arial"/>
          <w:sz w:val="24"/>
          <w:lang w:val="en-US"/>
        </w:rPr>
        <w:fldChar w:fldCharType="separate"/>
      </w:r>
      <w:r w:rsidR="00CA7838" w:rsidRPr="00CA7838">
        <w:rPr>
          <w:rFonts w:ascii="Arial" w:hAnsi="Arial" w:cs="Arial"/>
          <w:kern w:val="0"/>
          <w:sz w:val="24"/>
          <w:lang w:val="en-US"/>
        </w:rPr>
        <w:t xml:space="preserve">(Yang </w:t>
      </w:r>
      <w:r w:rsidR="00CA7838" w:rsidRPr="00CA7838">
        <w:rPr>
          <w:rFonts w:ascii="Arial" w:hAnsi="Arial" w:cs="Arial"/>
          <w:i/>
          <w:iCs/>
          <w:kern w:val="0"/>
          <w:sz w:val="24"/>
          <w:lang w:val="en-US"/>
        </w:rPr>
        <w:t>et al.</w:t>
      </w:r>
      <w:r w:rsidR="00CA7838" w:rsidRPr="00CA7838">
        <w:rPr>
          <w:rFonts w:ascii="Arial" w:hAnsi="Arial" w:cs="Arial"/>
          <w:kern w:val="0"/>
          <w:sz w:val="24"/>
          <w:lang w:val="en-US"/>
        </w:rPr>
        <w:t>, 2023)</w:t>
      </w:r>
      <w:r w:rsidR="00CA7838">
        <w:rPr>
          <w:rFonts w:ascii="Arial" w:hAnsi="Arial" w:cs="Arial"/>
          <w:sz w:val="24"/>
          <w:lang w:val="en-US"/>
        </w:rPr>
        <w:fldChar w:fldCharType="end"/>
      </w:r>
      <w:r w:rsidRPr="00EA47F7">
        <w:rPr>
          <w:rFonts w:ascii="Arial" w:hAnsi="Arial" w:cs="Arial"/>
          <w:sz w:val="24"/>
          <w:lang w:val="en-US"/>
        </w:rPr>
        <w:t>. When Audi is advancing its large-scale electrification transformation, its financing costs have significantly increased. Audi needs to find a balance between long-term investment in electrification research and development and short-term profitability. At the same time, the economic development conditions in different regions around the world vary, and Audi needs to adopt differentiated regional strategies to adapt to local consumption capabilities and demands</w:t>
      </w:r>
      <w:r w:rsidR="00523168">
        <w:rPr>
          <w:rFonts w:ascii="Arial" w:hAnsi="Arial" w:cs="Arial"/>
          <w:sz w:val="24"/>
          <w:lang w:val="en-US"/>
        </w:rPr>
        <w:fldChar w:fldCharType="begin"/>
      </w:r>
      <w:r w:rsidR="00523168">
        <w:rPr>
          <w:rFonts w:ascii="Arial" w:hAnsi="Arial" w:cs="Arial"/>
          <w:sz w:val="24"/>
          <w:lang w:val="en-US"/>
        </w:rPr>
        <w:instrText xml:space="preserve"> ADDIN ZOTERO_ITEM CSL_CITATION {"citationID":"o4acY7GG","properties":{"formattedCitation":"(Pelaudeix, 2023)","plainCitation":"(Pelaudeix, 2023)","noteIndex":0},"citationItems":[{"id":402,"uris":["http://zotero.org/users/18628635/items/VCVIU8PN"],"itemData":{"id":402,"type":"book","collection-number":"8/23","collection-title":"ARENA Report","ISBN":"978-82-8362-063-4","language":"en","number-of-pages":"1","publisher":"ARENA Centre for European Studies","publisher-place":"Oslo","source":"K10plus ISBN","title":"Differentiated regionalism and China’s global agenda: How do resilience and strategic autonomy fit in? EU, ASEAN, Mercosur","title-short":"Differentiated regionalism and China’s global agenda","author":[{"family":"Pelaudeix","given":"Cécile"}],"issued":{"date-parts":[["2023"]]}}}],"schema":"https://github.com/citation-style-language/schema/raw/master/csl-citation.json"} </w:instrText>
      </w:r>
      <w:r w:rsidR="00523168">
        <w:rPr>
          <w:rFonts w:ascii="Arial" w:hAnsi="Arial" w:cs="Arial"/>
          <w:sz w:val="24"/>
          <w:lang w:val="en-US"/>
        </w:rPr>
        <w:fldChar w:fldCharType="separate"/>
      </w:r>
      <w:r w:rsidR="00523168">
        <w:rPr>
          <w:rFonts w:ascii="Arial" w:hAnsi="Arial" w:cs="Arial"/>
          <w:noProof/>
          <w:sz w:val="24"/>
          <w:lang w:val="en-US"/>
        </w:rPr>
        <w:t>(</w:t>
      </w:r>
      <w:proofErr w:type="spellStart"/>
      <w:r w:rsidR="00523168">
        <w:rPr>
          <w:rFonts w:ascii="Arial" w:hAnsi="Arial" w:cs="Arial"/>
          <w:noProof/>
          <w:sz w:val="24"/>
          <w:lang w:val="en-US"/>
        </w:rPr>
        <w:t>Pelaudeix</w:t>
      </w:r>
      <w:proofErr w:type="spellEnd"/>
      <w:r w:rsidR="00523168">
        <w:rPr>
          <w:rFonts w:ascii="Arial" w:hAnsi="Arial" w:cs="Arial"/>
          <w:noProof/>
          <w:sz w:val="24"/>
          <w:lang w:val="en-US"/>
        </w:rPr>
        <w:t>, 2023)</w:t>
      </w:r>
      <w:r w:rsidR="00523168">
        <w:rPr>
          <w:rFonts w:ascii="Arial" w:hAnsi="Arial" w:cs="Arial"/>
          <w:sz w:val="24"/>
          <w:lang w:val="en-US"/>
        </w:rPr>
        <w:fldChar w:fldCharType="end"/>
      </w:r>
      <w:r w:rsidRPr="00EA47F7">
        <w:rPr>
          <w:rFonts w:ascii="Arial" w:hAnsi="Arial" w:cs="Arial"/>
          <w:sz w:val="24"/>
          <w:lang w:val="en-US"/>
        </w:rPr>
        <w:t>.</w:t>
      </w:r>
    </w:p>
    <w:p w14:paraId="21329E9D" w14:textId="77777777" w:rsidR="004C007E" w:rsidRPr="0017482A" w:rsidRDefault="004C007E" w:rsidP="007B565A">
      <w:pPr>
        <w:spacing w:line="360" w:lineRule="auto"/>
        <w:jc w:val="both"/>
        <w:rPr>
          <w:rFonts w:ascii="Arial" w:hAnsi="Arial" w:cs="Arial"/>
          <w:sz w:val="24"/>
          <w:lang w:val="en-US"/>
        </w:rPr>
      </w:pPr>
    </w:p>
    <w:p w14:paraId="2DF27D98" w14:textId="77777777" w:rsidR="004C007E" w:rsidRPr="0017482A" w:rsidRDefault="004C007E" w:rsidP="007B565A">
      <w:pPr>
        <w:spacing w:line="360" w:lineRule="auto"/>
        <w:jc w:val="both"/>
        <w:rPr>
          <w:rFonts w:ascii="Arial" w:hAnsi="Arial" w:cs="Arial"/>
          <w:sz w:val="24"/>
          <w:lang w:val="en-US"/>
        </w:rPr>
      </w:pPr>
    </w:p>
    <w:p w14:paraId="66876216" w14:textId="2DFBBF9C" w:rsidR="004C007E" w:rsidRPr="002E469E" w:rsidRDefault="004C007E" w:rsidP="007B565A">
      <w:pPr>
        <w:spacing w:line="360" w:lineRule="auto"/>
        <w:jc w:val="both"/>
        <w:rPr>
          <w:rFonts w:ascii="Arial" w:hAnsi="Arial" w:cs="Arial"/>
          <w:b/>
          <w:bCs/>
          <w:sz w:val="30"/>
          <w:szCs w:val="30"/>
          <w:lang w:val="en-US"/>
        </w:rPr>
      </w:pPr>
      <w:r w:rsidRPr="002E469E">
        <w:rPr>
          <w:rFonts w:ascii="Arial" w:hAnsi="Arial" w:cs="Arial"/>
          <w:b/>
          <w:bCs/>
          <w:sz w:val="30"/>
          <w:szCs w:val="30"/>
          <w:lang w:val="en-US"/>
        </w:rPr>
        <w:lastRenderedPageBreak/>
        <w:t>3 Internal Analysis</w:t>
      </w:r>
    </w:p>
    <w:p w14:paraId="72CAD196" w14:textId="78572BCD"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3.1 Resource-Based View</w:t>
      </w:r>
    </w:p>
    <w:p w14:paraId="6FFF21F3" w14:textId="77DBE5FB" w:rsidR="004C007E" w:rsidRPr="0017482A" w:rsidRDefault="002D1A4B" w:rsidP="007B565A">
      <w:pPr>
        <w:spacing w:line="360" w:lineRule="auto"/>
        <w:jc w:val="both"/>
        <w:rPr>
          <w:rFonts w:ascii="Arial" w:hAnsi="Arial" w:cs="Arial" w:hint="eastAsia"/>
          <w:sz w:val="24"/>
          <w:lang w:val="en-US"/>
        </w:rPr>
      </w:pPr>
      <w:r w:rsidRPr="002D1A4B">
        <w:rPr>
          <w:rFonts w:ascii="Arial" w:hAnsi="Arial" w:cs="Arial"/>
          <w:sz w:val="24"/>
          <w:lang w:val="en-US"/>
        </w:rPr>
        <w:t>Audi has a 115-year heritage of German engineering technology, and has established a unique and difficult-to-replicate brand recognition in the global high-end market, becoming an impenetrable moat for new entrants and contributing to a sustainable competitive advantage</w:t>
      </w:r>
      <w:r w:rsidR="008C383D">
        <w:rPr>
          <w:rFonts w:ascii="Arial" w:hAnsi="Arial" w:cs="Arial"/>
          <w:sz w:val="24"/>
          <w:lang w:val="en-US"/>
        </w:rPr>
        <w:fldChar w:fldCharType="begin"/>
      </w:r>
      <w:r w:rsidR="008C383D">
        <w:rPr>
          <w:rFonts w:ascii="Arial" w:hAnsi="Arial" w:cs="Arial"/>
          <w:sz w:val="24"/>
          <w:lang w:val="en-US"/>
        </w:rPr>
        <w:instrText xml:space="preserve"> ADDIN ZOTERO_ITEM CSL_CITATION {"citationID":"t5VRTKMx","properties":{"formattedCitation":"(Renyaan and Nastiar, 2025)","plainCitation":"(Renyaan and Nastiar, 2025)","noteIndex":0},"citationItems":[{"id":403,"uris":["http://zotero.org/users/18628635/items/VL5NGXDT"],"itemData":{"id":403,"type":"article-journal","abstract":"This study aims to examine the importance of narrative consistency and brand identity across various digital channels, particularly websites, social media, email, and marketplaces, in building consumer trust and increasing brand recognition. Through a systematic literature review approach, this study analyses the relationship between brand communication consistency and two strategic elements, namely consumer trust and brand recognition. The results show that consistent narratives prevent message contradictions, strengthen perceptions of brand authenticity and credibility, and increase consumer loyalty. Meanwhile, consistent visual and verbal identities have been proven to accelerate brand recognition, build strong associations, and create sustainable differentiation in a competitive market. In practical terms, this study emphasises the importance of developing comprehensive brand guidelines and implementing integrated cross-channel communication strategies to deliver a harmonious brand experience. These findings not only enrich the academic literature on branding in the digital context but also have real implications for companies seeking to build sustainable competitive advantage in the digital age.","page":"2438-2447","source":"ResearchGate","title":"MAINTAINING NARRATIVE CONSISTENCY AND BRAND IDENTITY ON WEBSITES, SOCIAL MEDIA, EMAIL, AND MARKETPLACES: A SYSTEMATIC LITERATURE REVIEW FOR BUILDING TRUST AND BRAND RECOGNITION","title-short":"MAINTAINING NARRATIVE CONSISTENCY AND BRAND IDENTITY ON WEBSITES, SOCIAL MEDIA, EMAIL, AND MARKETPLACES","volume":"2","author":[{"family":"Renyaan","given":"Axelon"},{"family":"Nastiar","given":"Muh Fauzan"}],"issued":{"date-parts":[["2025",10,1]]}}}],"schema":"https://github.com/citation-style-language/schema/raw/master/csl-citation.json"} </w:instrText>
      </w:r>
      <w:r w:rsidR="008C383D">
        <w:rPr>
          <w:rFonts w:ascii="Arial" w:hAnsi="Arial" w:cs="Arial"/>
          <w:sz w:val="24"/>
          <w:lang w:val="en-US"/>
        </w:rPr>
        <w:fldChar w:fldCharType="separate"/>
      </w:r>
      <w:r w:rsidR="008C383D">
        <w:rPr>
          <w:rFonts w:ascii="Arial" w:hAnsi="Arial" w:cs="Arial"/>
          <w:noProof/>
          <w:sz w:val="24"/>
          <w:lang w:val="en-US"/>
        </w:rPr>
        <w:t>(</w:t>
      </w:r>
      <w:proofErr w:type="spellStart"/>
      <w:r w:rsidR="008C383D">
        <w:rPr>
          <w:rFonts w:ascii="Arial" w:hAnsi="Arial" w:cs="Arial"/>
          <w:noProof/>
          <w:sz w:val="24"/>
          <w:lang w:val="en-US"/>
        </w:rPr>
        <w:t>Renyaan</w:t>
      </w:r>
      <w:proofErr w:type="spellEnd"/>
      <w:r w:rsidR="008C383D">
        <w:rPr>
          <w:rFonts w:ascii="Arial" w:hAnsi="Arial" w:cs="Arial"/>
          <w:noProof/>
          <w:sz w:val="24"/>
          <w:lang w:val="en-US"/>
        </w:rPr>
        <w:t xml:space="preserve"> and Nastiar, 2025)</w:t>
      </w:r>
      <w:r w:rsidR="008C383D">
        <w:rPr>
          <w:rFonts w:ascii="Arial" w:hAnsi="Arial" w:cs="Arial"/>
          <w:sz w:val="24"/>
          <w:lang w:val="en-US"/>
        </w:rPr>
        <w:fldChar w:fldCharType="end"/>
      </w:r>
      <w:r w:rsidRPr="002D1A4B">
        <w:rPr>
          <w:rFonts w:ascii="Arial" w:hAnsi="Arial" w:cs="Arial"/>
          <w:sz w:val="24"/>
          <w:lang w:val="en-US"/>
        </w:rPr>
        <w:t>. In terms of R&amp;D capabilities, Audi indeed possesses world-class levels in areas such as internal combustion engine and electric vehicle power systems, design, and chassis development. This resource is valuable and has certain scarcity. In terms of global production and distribution networks, Audi has set up 14 factories and authorized dealerships in 100 countries, and this scale and geographical dispersion is truly difficult to imitate</w:t>
      </w:r>
      <w:r w:rsidR="00867198">
        <w:rPr>
          <w:rFonts w:ascii="Arial" w:hAnsi="Arial" w:cs="Arial"/>
          <w:sz w:val="24"/>
          <w:lang w:val="en-US"/>
        </w:rPr>
        <w:fldChar w:fldCharType="begin"/>
      </w:r>
      <w:r w:rsidR="00867198">
        <w:rPr>
          <w:rFonts w:ascii="Arial" w:hAnsi="Arial" w:cs="Arial"/>
          <w:sz w:val="24"/>
          <w:lang w:val="en-US"/>
        </w:rPr>
        <w:instrText xml:space="preserve"> ADDIN ZOTERO_ITEM CSL_CITATION {"citationID":"EQvGdefB","properties":{"formattedCitation":"(Tray, 2025)","plainCitation":"(Tray, 2025)","noteIndex":0},"citationItems":[{"id":409,"uris":["http://zotero.org/users/18628635/items/RCYAPCKS"],"itemData":{"id":409,"type":"webpage","abstract":"Audi is taking bold steps to innovate and enhance its supply chain and logistics strategy. Under the leadership of Dieter Braun, the company has adopted an integrated, end-to-end approach that aligns with its 360factory strategy.","container-title":"Business Management Curated","language":"en-US","title":"How Is Audi Revolutionizing Its Supply Chain and Logistics Strategy?","URL":"https://managementcurated.com/operations/how-is-audi-revolutionizing-its-supply-chain-and-logistics-strategy/","author":[{"family":"Tray","given":""}],"accessed":{"date-parts":[["2026",3,27]]},"issued":{"date-parts":[["2025",3,4]]}}}],"schema":"https://github.com/citation-style-language/schema/raw/master/csl-citation.json"} </w:instrText>
      </w:r>
      <w:r w:rsidR="00867198">
        <w:rPr>
          <w:rFonts w:ascii="Arial" w:hAnsi="Arial" w:cs="Arial"/>
          <w:sz w:val="24"/>
          <w:lang w:val="en-US"/>
        </w:rPr>
        <w:fldChar w:fldCharType="separate"/>
      </w:r>
      <w:r w:rsidR="00867198">
        <w:rPr>
          <w:rFonts w:ascii="Arial" w:hAnsi="Arial" w:cs="Arial"/>
          <w:noProof/>
          <w:sz w:val="24"/>
          <w:lang w:val="en-US"/>
        </w:rPr>
        <w:t>(Tray, 2025)</w:t>
      </w:r>
      <w:r w:rsidR="00867198">
        <w:rPr>
          <w:rFonts w:ascii="Arial" w:hAnsi="Arial" w:cs="Arial"/>
          <w:sz w:val="24"/>
          <w:lang w:val="en-US"/>
        </w:rPr>
        <w:fldChar w:fldCharType="end"/>
      </w:r>
      <w:r w:rsidRPr="002D1A4B">
        <w:rPr>
          <w:rFonts w:ascii="Arial" w:hAnsi="Arial" w:cs="Arial"/>
          <w:sz w:val="24"/>
          <w:lang w:val="en-US"/>
        </w:rPr>
        <w:t>. However, it is not scarce. Both BMW and Mercedes-Benz also have similar network layouts, so it brings more competition parity rather than a unique advantage.</w:t>
      </w:r>
    </w:p>
    <w:p w14:paraId="37D67563" w14:textId="77777777" w:rsidR="004C007E" w:rsidRPr="0017482A" w:rsidRDefault="004C007E" w:rsidP="007B565A">
      <w:pPr>
        <w:spacing w:line="360" w:lineRule="auto"/>
        <w:jc w:val="both"/>
        <w:rPr>
          <w:rFonts w:ascii="Arial" w:hAnsi="Arial" w:cs="Arial"/>
          <w:sz w:val="24"/>
          <w:lang w:val="en-US"/>
        </w:rPr>
      </w:pPr>
    </w:p>
    <w:p w14:paraId="69D76166" w14:textId="29C64F21"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3.2 Value Chain Analysis</w:t>
      </w:r>
    </w:p>
    <w:p w14:paraId="243A4D0D" w14:textId="470D5D8D" w:rsidR="00823B35" w:rsidRPr="00823B35" w:rsidRDefault="00823B35" w:rsidP="00823B35">
      <w:pPr>
        <w:spacing w:line="360" w:lineRule="auto"/>
        <w:jc w:val="both"/>
        <w:rPr>
          <w:rFonts w:ascii="Arial" w:hAnsi="Arial" w:cs="Arial"/>
          <w:sz w:val="24"/>
          <w:lang w:val="en-US"/>
        </w:rPr>
      </w:pPr>
      <w:r w:rsidRPr="00823B35">
        <w:rPr>
          <w:rFonts w:ascii="Arial" w:hAnsi="Arial" w:cs="Arial"/>
          <w:sz w:val="24"/>
          <w:lang w:val="en-US"/>
        </w:rPr>
        <w:t>Audi benefits from the scale economy advantage of the Volkswagen Group in terms of raw material and component supply, and has cost advantages</w:t>
      </w:r>
      <w:r w:rsidR="00DE4C9B">
        <w:rPr>
          <w:rFonts w:ascii="Arial" w:hAnsi="Arial" w:cs="Arial"/>
          <w:sz w:val="24"/>
          <w:lang w:val="en-US"/>
        </w:rPr>
        <w:fldChar w:fldCharType="begin"/>
      </w:r>
      <w:r w:rsidR="00DE4C9B">
        <w:rPr>
          <w:rFonts w:ascii="Arial" w:hAnsi="Arial" w:cs="Arial"/>
          <w:sz w:val="24"/>
          <w:lang w:val="en-US"/>
        </w:rPr>
        <w:instrText xml:space="preserve"> ADDIN ZOTERO_ITEM CSL_CITATION {"citationID":"qX8Gmrq4","properties":{"formattedCitation":"({\\i{}Economies of Scale\\uc0\\u8239{}: Meaning, Working, Types, Advantages and Disadvantages}, 12:12:17+00:00)","plainCitation":"(Economies of Scale : Meaning, Working, Types, Advantages and Disadvantages, 12:12:17+00:00)","noteIndex":0},"citationItems":[{"id":411,"uris":["http://zotero.org/users/18628635/items/62C4ISPX"],"itemData":{"id":411,"type":"webpage","abstract":"Your All-in-One Learning Portal: GeeksforGeeks is a comprehensive educational platform that empowers learners across domains-spanning computer science and programming, school education, upskilling, commerce, software tools, competitive exams, and more.","container-title":"GeeksforGeeks","language":"en","note":"section: Geeks Premier League","title":"Economies of Scale : Meaning, Working, Types, Advantages and Disadvantages","title-short":"Economies of Scale","URL":"https://www.geeksforgeeks.org/business-studies/economies-of-scale-meaning-working-types-advantages-and-disadvantages/","accessed":{"date-parts":[["2026",3,27]]},"issued":{"literal":"12:12:17+00:00"}}}],"schema":"https://github.com/citation-style-language/schema/raw/master/csl-citation.json"} </w:instrText>
      </w:r>
      <w:r w:rsidR="00DE4C9B">
        <w:rPr>
          <w:rFonts w:ascii="Arial" w:hAnsi="Arial" w:cs="Arial"/>
          <w:sz w:val="24"/>
          <w:lang w:val="en-US"/>
        </w:rPr>
        <w:fldChar w:fldCharType="separate"/>
      </w:r>
      <w:r w:rsidR="00DE4C9B" w:rsidRPr="00DE4C9B">
        <w:rPr>
          <w:rFonts w:ascii="Arial" w:hAnsi="Arial" w:cs="Arial"/>
          <w:kern w:val="0"/>
          <w:sz w:val="24"/>
          <w:lang w:val="en-US"/>
        </w:rPr>
        <w:t>(</w:t>
      </w:r>
      <w:r w:rsidR="00DE4C9B" w:rsidRPr="00DE4C9B">
        <w:rPr>
          <w:rFonts w:ascii="Arial" w:hAnsi="Arial" w:cs="Arial"/>
          <w:i/>
          <w:iCs/>
          <w:kern w:val="0"/>
          <w:sz w:val="24"/>
          <w:lang w:val="en-US"/>
        </w:rPr>
        <w:t>Economies of Scale : Meaning, Working, Types, Advantages and Disadvantages</w:t>
      </w:r>
      <w:r w:rsidR="00DE4C9B" w:rsidRPr="00DE4C9B">
        <w:rPr>
          <w:rFonts w:ascii="Arial" w:hAnsi="Arial" w:cs="Arial"/>
          <w:kern w:val="0"/>
          <w:sz w:val="24"/>
          <w:lang w:val="en-US"/>
        </w:rPr>
        <w:t>, 12:12:17+00:00)</w:t>
      </w:r>
      <w:r w:rsidR="00DE4C9B">
        <w:rPr>
          <w:rFonts w:ascii="Arial" w:hAnsi="Arial" w:cs="Arial"/>
          <w:sz w:val="24"/>
          <w:lang w:val="en-US"/>
        </w:rPr>
        <w:fldChar w:fldCharType="end"/>
      </w:r>
      <w:r w:rsidRPr="00823B35">
        <w:rPr>
          <w:rFonts w:ascii="Arial" w:hAnsi="Arial" w:cs="Arial"/>
          <w:sz w:val="24"/>
          <w:lang w:val="en-US"/>
        </w:rPr>
        <w:t xml:space="preserve">. The German lean manufacturing model ensures product reliability. The well-established global dealer network is a traditional advantage. However, the distribution expansion of electric vehicles in emerging markets is slower than that of emerging electric vehicle manufacturers. In terms of sales and marketing, the strong high-end brand assets support effective promotion, and the service guarantee is in place. </w:t>
      </w:r>
    </w:p>
    <w:p w14:paraId="64CF2548" w14:textId="41770088" w:rsidR="004C007E" w:rsidRPr="0017482A" w:rsidRDefault="00823B35" w:rsidP="007B565A">
      <w:pPr>
        <w:spacing w:line="360" w:lineRule="auto"/>
        <w:jc w:val="both"/>
        <w:rPr>
          <w:rFonts w:ascii="Arial" w:hAnsi="Arial" w:cs="Arial" w:hint="eastAsia"/>
          <w:sz w:val="24"/>
          <w:lang w:val="en-US"/>
        </w:rPr>
      </w:pPr>
      <w:r w:rsidRPr="00823B35">
        <w:rPr>
          <w:rFonts w:ascii="Arial" w:hAnsi="Arial" w:cs="Arial"/>
          <w:sz w:val="24"/>
          <w:lang w:val="en-US"/>
        </w:rPr>
        <w:t xml:space="preserve">From the perspective of support activities, the R&amp;D aspect benefited from the shared facilities of Volkswagen Group, reducing the development costs. In terms of human resources, the engineering team is strong, but there is a significant gap </w:t>
      </w:r>
      <w:r w:rsidRPr="00823B35">
        <w:rPr>
          <w:rFonts w:ascii="Arial" w:hAnsi="Arial" w:cs="Arial"/>
          <w:sz w:val="24"/>
          <w:lang w:val="en-US"/>
        </w:rPr>
        <w:lastRenderedPageBreak/>
        <w:t>compared to leading electric vehicle manufacturers in terms of software and artificial intelligence. The group's bulk purchasing ability has reduced the costs of traditional components, but the procurement of electric vehicle components lacks long-term fixed-price contracts, resulting in cost fluctuations</w:t>
      </w:r>
      <w:r w:rsidR="00726DC6">
        <w:rPr>
          <w:rFonts w:ascii="Arial" w:hAnsi="Arial" w:cs="Arial"/>
          <w:sz w:val="24"/>
          <w:lang w:val="en-US"/>
        </w:rPr>
        <w:fldChar w:fldCharType="begin"/>
      </w:r>
      <w:r w:rsidR="00726DC6">
        <w:rPr>
          <w:rFonts w:ascii="Arial" w:hAnsi="Arial" w:cs="Arial"/>
          <w:sz w:val="24"/>
          <w:lang w:val="en-US"/>
        </w:rPr>
        <w:instrText xml:space="preserve"> ADDIN ZOTERO_ITEM CSL_CITATION {"citationID":"zW0lgyyt","properties":{"formattedCitation":"({\\i{}What Is Price Fluctuation Management? (+ 4 Causes)}, no date)","plainCitation":"(What Is Price Fluctuation Management? (+ 4 Causes), no date)","noteIndex":0},"citationItems":[{"id":413,"uris":["http://zotero.org/users/18628635/items/KGFAA8AZ"],"itemData":{"id":413,"type":"webpage","abstract":"Understand how to manage price fluctuation in procurement and supply chains. Explore causes, forecasting tools, contract strategies, and how Spendflo helps reduce risk.","title":"What Is Price Fluctuation Management? (+ 4 Causes)","title-short":"What Is Price Fluctuation Management?","URL":"https://www.spendflo.com/blog/price-fluctuation","accessed":{"date-parts":[["2026",3,27]]}}}],"schema":"https://github.com/citation-style-language/schema/raw/master/csl-citation.json"} </w:instrText>
      </w:r>
      <w:r w:rsidR="00726DC6">
        <w:rPr>
          <w:rFonts w:ascii="Arial" w:hAnsi="Arial" w:cs="Arial"/>
          <w:sz w:val="24"/>
          <w:lang w:val="en-US"/>
        </w:rPr>
        <w:fldChar w:fldCharType="separate"/>
      </w:r>
      <w:r w:rsidR="00726DC6" w:rsidRPr="00726DC6">
        <w:rPr>
          <w:rFonts w:ascii="Arial" w:hAnsi="Arial" w:cs="Arial"/>
          <w:kern w:val="0"/>
          <w:sz w:val="24"/>
          <w:lang w:val="en-US"/>
        </w:rPr>
        <w:t>(</w:t>
      </w:r>
      <w:r w:rsidR="00726DC6" w:rsidRPr="00726DC6">
        <w:rPr>
          <w:rFonts w:ascii="Arial" w:hAnsi="Arial" w:cs="Arial"/>
          <w:i/>
          <w:iCs/>
          <w:kern w:val="0"/>
          <w:sz w:val="24"/>
          <w:lang w:val="en-US"/>
        </w:rPr>
        <w:t>What Is Price Fluctuation Management? (+ 4 Causes)</w:t>
      </w:r>
      <w:r w:rsidR="00726DC6" w:rsidRPr="00726DC6">
        <w:rPr>
          <w:rFonts w:ascii="Arial" w:hAnsi="Arial" w:cs="Arial"/>
          <w:kern w:val="0"/>
          <w:sz w:val="24"/>
          <w:lang w:val="en-US"/>
        </w:rPr>
        <w:t>, no date)</w:t>
      </w:r>
      <w:r w:rsidR="00726DC6">
        <w:rPr>
          <w:rFonts w:ascii="Arial" w:hAnsi="Arial" w:cs="Arial"/>
          <w:sz w:val="24"/>
          <w:lang w:val="en-US"/>
        </w:rPr>
        <w:fldChar w:fldCharType="end"/>
      </w:r>
      <w:r w:rsidRPr="00823B35">
        <w:rPr>
          <w:rFonts w:ascii="Arial" w:hAnsi="Arial" w:cs="Arial"/>
          <w:sz w:val="24"/>
          <w:lang w:val="en-US"/>
        </w:rPr>
        <w:t>.</w:t>
      </w:r>
    </w:p>
    <w:p w14:paraId="26BF177D" w14:textId="77777777" w:rsidR="004C007E" w:rsidRPr="0017482A" w:rsidRDefault="004C007E" w:rsidP="007B565A">
      <w:pPr>
        <w:spacing w:line="360" w:lineRule="auto"/>
        <w:jc w:val="both"/>
        <w:rPr>
          <w:rFonts w:ascii="Arial" w:hAnsi="Arial" w:cs="Arial"/>
          <w:sz w:val="24"/>
          <w:lang w:val="en-US"/>
        </w:rPr>
      </w:pPr>
    </w:p>
    <w:p w14:paraId="06C07447" w14:textId="79D6210E"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3.3 SWOT-TOWS Matrix: Linking Audi’s Internal and External Environment</w:t>
      </w:r>
    </w:p>
    <w:p w14:paraId="3D864382" w14:textId="77777777" w:rsidR="005A13DB" w:rsidRPr="005A13DB" w:rsidRDefault="005A13DB" w:rsidP="005A13DB">
      <w:pPr>
        <w:spacing w:line="360" w:lineRule="auto"/>
        <w:jc w:val="both"/>
        <w:rPr>
          <w:rFonts w:ascii="Arial" w:hAnsi="Arial" w:cs="Arial"/>
          <w:sz w:val="24"/>
          <w:lang w:val="en-US"/>
        </w:rPr>
      </w:pPr>
      <w:r w:rsidRPr="005A13DB">
        <w:rPr>
          <w:rFonts w:ascii="Arial" w:hAnsi="Arial" w:cs="Arial"/>
          <w:sz w:val="24"/>
          <w:lang w:val="en-US"/>
        </w:rPr>
        <w:t>The advantages of Audi include its high-end brand reputation, the synergy of the Volkswagen Group, world-class engineering and R&amp;D capabilities, and a well-established global production and distribution network. The disadvantages mainly lie in the lagging software development capabilities and excessive reliance on external battery suppliers.</w:t>
      </w:r>
    </w:p>
    <w:p w14:paraId="62D89DFA" w14:textId="77777777" w:rsidR="005A13DB" w:rsidRPr="005A13DB" w:rsidRDefault="005A13DB" w:rsidP="005A13DB">
      <w:pPr>
        <w:spacing w:line="360" w:lineRule="auto"/>
        <w:jc w:val="both"/>
        <w:rPr>
          <w:rFonts w:ascii="Arial" w:hAnsi="Arial" w:cs="Arial"/>
          <w:sz w:val="24"/>
          <w:lang w:val="en-US"/>
        </w:rPr>
      </w:pPr>
      <w:r w:rsidRPr="005A13DB">
        <w:rPr>
          <w:rFonts w:ascii="Arial" w:hAnsi="Arial" w:cs="Arial"/>
          <w:sz w:val="24"/>
          <w:lang w:val="en-US"/>
        </w:rPr>
        <w:t>The external opportunities include electric vehicle subsidies and policy incentives, as well as the rising demand for high-end transportation in emerging markets. The main threats include strict decarbonization regulations, intense competition from traditional rivals and new entrants, and fluctuations in battery raw material prices.</w:t>
      </w:r>
    </w:p>
    <w:p w14:paraId="6FE70D37" w14:textId="7B6AE36F" w:rsidR="004C007E" w:rsidRPr="0017482A" w:rsidRDefault="005A13DB" w:rsidP="007B565A">
      <w:pPr>
        <w:spacing w:line="360" w:lineRule="auto"/>
        <w:jc w:val="both"/>
        <w:rPr>
          <w:rFonts w:ascii="Arial" w:hAnsi="Arial" w:cs="Arial" w:hint="eastAsia"/>
          <w:sz w:val="24"/>
          <w:lang w:val="en-US"/>
        </w:rPr>
      </w:pPr>
      <w:r w:rsidRPr="005A13DB">
        <w:rPr>
          <w:rFonts w:ascii="Arial" w:hAnsi="Arial" w:cs="Arial"/>
          <w:sz w:val="24"/>
          <w:lang w:val="en-US"/>
        </w:rPr>
        <w:t>Based on the TOWS matrix, Audi can leverage the synergy of the Volkswagen Group to accelerate the research and development of solid-state batteries, invest in internal battery production to reduce dependence on external sources, utilize its engineering and R&amp;D advantages to develop cost-effective electric vehicles to counter price competition, and to counter the technological advantages of new entrants</w:t>
      </w:r>
      <w:r w:rsidR="00FE6CA6">
        <w:rPr>
          <w:rFonts w:ascii="Arial" w:hAnsi="Arial" w:cs="Arial"/>
          <w:sz w:val="24"/>
          <w:lang w:val="en-US"/>
        </w:rPr>
        <w:fldChar w:fldCharType="begin"/>
      </w:r>
      <w:r w:rsidR="00FE6CA6">
        <w:rPr>
          <w:rFonts w:ascii="Arial" w:hAnsi="Arial" w:cs="Arial"/>
          <w:sz w:val="24"/>
          <w:lang w:val="en-US"/>
        </w:rPr>
        <w:instrText xml:space="preserve"> ADDIN ZOTERO_ITEM CSL_CITATION {"citationID":"ByTKZgB6","properties":{"formattedCitation":"(Maity {\\i{}et al.}, 2023)","plainCitation":"(Maity et al., 2023)","noteIndex":0},"citationItems":[{"id":414,"uris":["http://zotero.org/users/18628635/items/BNK689NL"],"itemData":{"id":414,"type":"article-journal","abstract":"New strategies and market segments considering integrated approaches have emerged as critical components in the energy transition. Agrivoltaics is one...","container-title":"Energies","DOI":"10.3390/en16083313","ISSN":"1996-1073","issue":"8","language":"en","license":"http://creativecommons.org/licenses/by/3.0/","publisher":"Multidisciplinary Digital Publishing Institute","source":"www.mdpi.com","title":"Agrivoltaic: A Strategic Assessment Using SWOT and TOWS Matrix","title-short":"Agrivoltaic","URL":"https://www.mdpi.com/1996-1073/16/8/3313","volume":"16","author":[{"family":"Maity","given":"Rittick"},{"family":"Sudhakar","given":"Kumarasamy"},{"family":"Razak","given":"Amir Abdul"},{"family":"Karthick","given":"Alagar"},{"family":"Barbulescu","given":"Dan"}],"accessed":{"date-parts":[["2026",3,27]]},"issued":{"date-parts":[["2023",4,6]]}}}],"schema":"https://github.com/citation-style-language/schema/raw/master/csl-citation.json"} </w:instrText>
      </w:r>
      <w:r w:rsidR="00FE6CA6">
        <w:rPr>
          <w:rFonts w:ascii="Arial" w:hAnsi="Arial" w:cs="Arial"/>
          <w:sz w:val="24"/>
          <w:lang w:val="en-US"/>
        </w:rPr>
        <w:fldChar w:fldCharType="separate"/>
      </w:r>
      <w:r w:rsidR="00FE6CA6" w:rsidRPr="00FE6CA6">
        <w:rPr>
          <w:rFonts w:ascii="Arial" w:hAnsi="Arial" w:cs="Arial"/>
          <w:kern w:val="0"/>
          <w:sz w:val="24"/>
          <w:lang w:val="en-US"/>
        </w:rPr>
        <w:t xml:space="preserve">(Maity </w:t>
      </w:r>
      <w:r w:rsidR="00FE6CA6" w:rsidRPr="00FE6CA6">
        <w:rPr>
          <w:rFonts w:ascii="Arial" w:hAnsi="Arial" w:cs="Arial"/>
          <w:i/>
          <w:iCs/>
          <w:kern w:val="0"/>
          <w:sz w:val="24"/>
          <w:lang w:val="en-US"/>
        </w:rPr>
        <w:t>et al.</w:t>
      </w:r>
      <w:r w:rsidR="00FE6CA6" w:rsidRPr="00FE6CA6">
        <w:rPr>
          <w:rFonts w:ascii="Arial" w:hAnsi="Arial" w:cs="Arial"/>
          <w:kern w:val="0"/>
          <w:sz w:val="24"/>
          <w:lang w:val="en-US"/>
        </w:rPr>
        <w:t>, 2023)</w:t>
      </w:r>
      <w:r w:rsidR="00FE6CA6">
        <w:rPr>
          <w:rFonts w:ascii="Arial" w:hAnsi="Arial" w:cs="Arial"/>
          <w:sz w:val="24"/>
          <w:lang w:val="en-US"/>
        </w:rPr>
        <w:fldChar w:fldCharType="end"/>
      </w:r>
      <w:r w:rsidRPr="005A13DB">
        <w:rPr>
          <w:rFonts w:ascii="Arial" w:hAnsi="Arial" w:cs="Arial"/>
          <w:sz w:val="24"/>
          <w:lang w:val="en-US"/>
        </w:rPr>
        <w:t>.</w:t>
      </w:r>
    </w:p>
    <w:p w14:paraId="3CBC9AED" w14:textId="77777777" w:rsidR="004C007E" w:rsidRPr="0017482A" w:rsidRDefault="004C007E" w:rsidP="007B565A">
      <w:pPr>
        <w:spacing w:line="360" w:lineRule="auto"/>
        <w:jc w:val="both"/>
        <w:rPr>
          <w:rFonts w:ascii="Arial" w:hAnsi="Arial" w:cs="Arial"/>
          <w:sz w:val="24"/>
          <w:lang w:val="en-US"/>
        </w:rPr>
      </w:pPr>
    </w:p>
    <w:p w14:paraId="203982B0" w14:textId="0DF2F563" w:rsidR="004C007E" w:rsidRPr="002E469E" w:rsidRDefault="004C007E" w:rsidP="007B565A">
      <w:pPr>
        <w:spacing w:line="360" w:lineRule="auto"/>
        <w:jc w:val="both"/>
        <w:rPr>
          <w:rFonts w:ascii="Arial" w:hAnsi="Arial" w:cs="Arial"/>
          <w:b/>
          <w:bCs/>
          <w:sz w:val="30"/>
          <w:szCs w:val="30"/>
          <w:lang w:val="en-US"/>
        </w:rPr>
      </w:pPr>
      <w:r w:rsidRPr="002E469E">
        <w:rPr>
          <w:rFonts w:ascii="Arial" w:hAnsi="Arial" w:cs="Arial"/>
          <w:b/>
          <w:bCs/>
          <w:sz w:val="30"/>
          <w:szCs w:val="30"/>
          <w:lang w:val="en-US"/>
        </w:rPr>
        <w:t>4 Strategy Formulation &amp; Competitive Positioning</w:t>
      </w:r>
    </w:p>
    <w:p w14:paraId="59576AEF" w14:textId="7C9CBCDE"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4.1 Audi’s Current Strategic Positioning</w:t>
      </w:r>
    </w:p>
    <w:p w14:paraId="407FF71C" w14:textId="70B2B663" w:rsidR="004C007E" w:rsidRDefault="009C4B0C" w:rsidP="007B565A">
      <w:pPr>
        <w:spacing w:line="360" w:lineRule="auto"/>
        <w:jc w:val="both"/>
        <w:rPr>
          <w:rFonts w:ascii="Arial" w:hAnsi="Arial" w:cs="Arial"/>
          <w:sz w:val="24"/>
          <w:lang w:val="en-US"/>
        </w:rPr>
      </w:pPr>
      <w:r w:rsidRPr="009C4B0C">
        <w:rPr>
          <w:rFonts w:ascii="Arial" w:hAnsi="Arial" w:cs="Arial"/>
          <w:sz w:val="24"/>
          <w:lang w:val="en-US"/>
        </w:rPr>
        <w:t xml:space="preserve">Currently, Audi adopts a </w:t>
      </w:r>
      <w:bookmarkStart w:id="1" w:name="_Hlk225481524"/>
      <w:r w:rsidRPr="009C4B0C">
        <w:rPr>
          <w:rFonts w:ascii="Arial" w:hAnsi="Arial" w:cs="Arial"/>
          <w:sz w:val="24"/>
          <w:lang w:val="en-US"/>
        </w:rPr>
        <w:t>differentiated focus strategy</w:t>
      </w:r>
      <w:bookmarkEnd w:id="1"/>
      <w:r w:rsidRPr="009C4B0C">
        <w:rPr>
          <w:rFonts w:ascii="Arial" w:hAnsi="Arial" w:cs="Arial"/>
          <w:sz w:val="24"/>
          <w:lang w:val="en-US"/>
        </w:rPr>
        <w:t xml:space="preserve">, launching high-priced and </w:t>
      </w:r>
      <w:r w:rsidRPr="009C4B0C">
        <w:rPr>
          <w:rFonts w:ascii="Arial" w:hAnsi="Arial" w:cs="Arial"/>
          <w:sz w:val="24"/>
          <w:lang w:val="en-US"/>
        </w:rPr>
        <w:lastRenderedPageBreak/>
        <w:t>technologically advanced internal combustion engine and electric vehicles for high-income consumer groups, positioning itself at a premium price level to distinguish itself from competitors</w:t>
      </w:r>
      <w:r w:rsidR="004D4724">
        <w:rPr>
          <w:rFonts w:ascii="Arial" w:hAnsi="Arial" w:cs="Arial"/>
          <w:sz w:val="24"/>
          <w:lang w:val="en-US"/>
        </w:rPr>
        <w:fldChar w:fldCharType="begin"/>
      </w:r>
      <w:r w:rsidR="004D4724">
        <w:rPr>
          <w:rFonts w:ascii="Arial" w:hAnsi="Arial" w:cs="Arial"/>
          <w:sz w:val="24"/>
          <w:lang w:val="en-US"/>
        </w:rPr>
        <w:instrText xml:space="preserve"> ADDIN ZOTERO_ITEM CSL_CITATION {"citationID":"Aibr6Hfg","properties":{"formattedCitation":"(admin, 2024)","plainCitation":"(admin, 2024)","noteIndex":0},"citationItems":[{"id":416,"uris":["http://zotero.org/users/18628635/items/LSJVK3X6"],"itemData":{"id":416,"type":"post-weblog","abstract":"A focused differentiation strategy is a business approach where a company aims to differentiate itself from competitors by targeting a specific, narrow market (or niche) with unique products or services.","container-title":"The Strategy Story","language":"en-US","title":"Focused Differentiation Strategy: Meaning | Steps | Examples","title-short":"Focused Differentiation Strategy","URL":"https://thestrategystory.com/blog/focused-differentiation-strategy-meaning-steps-examples/","author":[{"family":"admin","given":""}],"accessed":{"date-parts":[["2026",3,27]]},"issued":{"date-parts":[["2024",1,23]]}}}],"schema":"https://github.com/citation-style-language/schema/raw/master/csl-citation.json"} </w:instrText>
      </w:r>
      <w:r w:rsidR="004D4724">
        <w:rPr>
          <w:rFonts w:ascii="Arial" w:hAnsi="Arial" w:cs="Arial"/>
          <w:sz w:val="24"/>
          <w:lang w:val="en-US"/>
        </w:rPr>
        <w:fldChar w:fldCharType="separate"/>
      </w:r>
      <w:r w:rsidR="004D4724">
        <w:rPr>
          <w:rFonts w:ascii="Arial" w:hAnsi="Arial" w:cs="Arial"/>
          <w:noProof/>
          <w:sz w:val="24"/>
          <w:lang w:val="en-US"/>
        </w:rPr>
        <w:t>(admin, 2024)</w:t>
      </w:r>
      <w:r w:rsidR="004D4724">
        <w:rPr>
          <w:rFonts w:ascii="Arial" w:hAnsi="Arial" w:cs="Arial"/>
          <w:sz w:val="24"/>
          <w:lang w:val="en-US"/>
        </w:rPr>
        <w:fldChar w:fldCharType="end"/>
      </w:r>
      <w:r w:rsidRPr="009C4B0C">
        <w:rPr>
          <w:rFonts w:ascii="Arial" w:hAnsi="Arial" w:cs="Arial"/>
          <w:sz w:val="24"/>
          <w:lang w:val="en-US"/>
        </w:rPr>
        <w:t>. However, in the current market environment, this strategic positioning is facing significant challenges. This is because competitors like Tesla offer more advanced intelligent functions at the same or lower price points, and the premium pricing strategy is increasingly being challenged by new entrants as well as lower-priced Chinese high-end electric vehicle brands.</w:t>
      </w:r>
    </w:p>
    <w:p w14:paraId="192C84DF" w14:textId="77777777" w:rsidR="009C4B0C" w:rsidRPr="0017482A" w:rsidRDefault="009C4B0C" w:rsidP="007B565A">
      <w:pPr>
        <w:spacing w:line="360" w:lineRule="auto"/>
        <w:jc w:val="both"/>
        <w:rPr>
          <w:rFonts w:ascii="Arial" w:hAnsi="Arial" w:cs="Arial" w:hint="eastAsia"/>
          <w:sz w:val="24"/>
          <w:lang w:val="en-US"/>
        </w:rPr>
      </w:pPr>
    </w:p>
    <w:p w14:paraId="09AE3A3B" w14:textId="24068756"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4.2 Potential Growth Strategies for Audi</w:t>
      </w:r>
    </w:p>
    <w:p w14:paraId="3D6C0617" w14:textId="4163BB60" w:rsidR="004C007E" w:rsidRPr="0017482A" w:rsidRDefault="00A769F2" w:rsidP="007B565A">
      <w:pPr>
        <w:spacing w:line="360" w:lineRule="auto"/>
        <w:jc w:val="both"/>
        <w:rPr>
          <w:rFonts w:ascii="Arial" w:hAnsi="Arial" w:cs="Arial" w:hint="eastAsia"/>
          <w:sz w:val="24"/>
          <w:lang w:val="en-US"/>
        </w:rPr>
      </w:pPr>
      <w:r w:rsidRPr="00A769F2">
        <w:rPr>
          <w:rFonts w:ascii="Arial" w:hAnsi="Arial" w:cs="Arial"/>
          <w:sz w:val="24"/>
          <w:lang w:val="en-US"/>
        </w:rPr>
        <w:t>Audi needs to adapt to market changes through potential growth strategies. For market penetration, Audi should focus on mature markets and launch targeted electric vehicle promotion activities. It should convert existing high-end internal combustion engine car buyers into electric vehicle model buyers and enhance after-sales services to increase customer loyalty and repeat purchase rates. In terms of products, Audi should fully utilize the PPE high-end electric vehicle platform of the Volkswagen Group and enhance product competitiveness through technological innovation</w:t>
      </w:r>
      <w:r w:rsidR="00677B60">
        <w:rPr>
          <w:rFonts w:ascii="Arial" w:hAnsi="Arial" w:cs="Arial"/>
          <w:sz w:val="24"/>
          <w:lang w:val="en-US"/>
        </w:rPr>
        <w:fldChar w:fldCharType="begin"/>
      </w:r>
      <w:r w:rsidR="00677B60">
        <w:rPr>
          <w:rFonts w:ascii="Arial" w:hAnsi="Arial" w:cs="Arial"/>
          <w:sz w:val="24"/>
          <w:lang w:val="en-US"/>
        </w:rPr>
        <w:instrText xml:space="preserve"> ADDIN ZOTERO_ITEM CSL_CITATION {"citationID":"VLulk3rv","properties":{"formattedCitation":"(Gupta {\\i{}et al.}, 2022)","plainCitation":"(Gupta et al., 2022)","noteIndex":0},"citationItems":[{"id":418,"uris":["http://zotero.org/users/18628635/items/Z3YGU2QL"],"itemData":{"id":418,"type":"article-journal","abstract":"Plastics have been an indispensable material of choice in automobiles with wide range of applications such as interior, exterior, under the hood, and lighting/wiring applications. The prime motive of inclusion of these materials is increase in fuel efficiency and reduction in carbon footprint by replacing the energy intensive metallic counterparts. The current decade i. e., the 2020s has seen a recent surge in the sales of electronic vehicles. Although these numbers are promising, the growth in the rest of the parts of the world is not encouraging. It is primarily due to the skepticism involving battery life and efficiency, profitability, and environmental footprint when compared to conventional and hybrid vehicles. Also, a more concerted effort is needed in the lagging areas in order to install the required infrastructure. The emergence of plastics in the development and acceptance of e-vehicles is going to be pivotal especially when the efficiency and profitability are considered as they give the required freedom to the engineers for the design and development of various parts and sizes by replacing the bulkier and more dense materials. Also, the research on bionanocomposites has received great interest from the research community due to their versatility in application along with their eco-friendly nature throughout the lifecycle starting from feedstock up to end-of-life treatment. This review paper will be one of its kind to present a critical review of the recent developments of polymers suitable for use in e-vehicles. Also, a comprehensive discussion comprising of newer research areas for polymers in their use for e-vehicles will be presented.","container-title":"The Chemical Record","DOI":"10.1002/tcr.202200186","ISSN":"1528-0691","issue":"11","language":"en","license":"© 2022 The Chemical Society of Japan &amp; Wiley-VCH GmbH","note":"_eprint: https://onlinelibrary.wiley.com/doi/pdf/10.1002/tcr.202200186","page":"e202200186","source":"Wiley Online Library","title":"Recent Developments and Research Avenues for Polymers in Electric Vehicles","volume":"22","author":[{"family":"Gupta","given":"Prashant"},{"family":"Toksha","given":"Bhagwan"},{"family":"Patel","given":"Bhargav"},{"family":"Rushiya","given":"Yash"},{"family":"Das","given":"Paramita"},{"family":"Rahaman","given":"Mostafizur"}],"issued":{"date-parts":[["2022"]]}}}],"schema":"https://github.com/citation-style-language/schema/raw/master/csl-citation.json"} </w:instrText>
      </w:r>
      <w:r w:rsidR="00677B60">
        <w:rPr>
          <w:rFonts w:ascii="Arial" w:hAnsi="Arial" w:cs="Arial"/>
          <w:sz w:val="24"/>
          <w:lang w:val="en-US"/>
        </w:rPr>
        <w:fldChar w:fldCharType="separate"/>
      </w:r>
      <w:r w:rsidR="00677B60" w:rsidRPr="00677B60">
        <w:rPr>
          <w:rFonts w:ascii="Arial" w:hAnsi="Arial" w:cs="Arial"/>
          <w:kern w:val="0"/>
          <w:sz w:val="24"/>
          <w:lang w:val="en-US"/>
        </w:rPr>
        <w:t xml:space="preserve">(Gupta </w:t>
      </w:r>
      <w:r w:rsidR="00677B60" w:rsidRPr="00677B60">
        <w:rPr>
          <w:rFonts w:ascii="Arial" w:hAnsi="Arial" w:cs="Arial"/>
          <w:i/>
          <w:iCs/>
          <w:kern w:val="0"/>
          <w:sz w:val="24"/>
          <w:lang w:val="en-US"/>
        </w:rPr>
        <w:t>et al.</w:t>
      </w:r>
      <w:r w:rsidR="00677B60" w:rsidRPr="00677B60">
        <w:rPr>
          <w:rFonts w:ascii="Arial" w:hAnsi="Arial" w:cs="Arial"/>
          <w:kern w:val="0"/>
          <w:sz w:val="24"/>
          <w:lang w:val="en-US"/>
        </w:rPr>
        <w:t>, 2022)</w:t>
      </w:r>
      <w:r w:rsidR="00677B60">
        <w:rPr>
          <w:rFonts w:ascii="Arial" w:hAnsi="Arial" w:cs="Arial"/>
          <w:sz w:val="24"/>
          <w:lang w:val="en-US"/>
        </w:rPr>
        <w:fldChar w:fldCharType="end"/>
      </w:r>
      <w:r w:rsidRPr="00A769F2">
        <w:rPr>
          <w:rFonts w:ascii="Arial" w:hAnsi="Arial" w:cs="Arial"/>
          <w:sz w:val="24"/>
          <w:lang w:val="en-US"/>
        </w:rPr>
        <w:t>.</w:t>
      </w:r>
    </w:p>
    <w:p w14:paraId="4C19E948" w14:textId="77777777" w:rsidR="004C007E" w:rsidRPr="0017482A" w:rsidRDefault="004C007E" w:rsidP="007B565A">
      <w:pPr>
        <w:spacing w:line="360" w:lineRule="auto"/>
        <w:jc w:val="both"/>
        <w:rPr>
          <w:rFonts w:ascii="Arial" w:hAnsi="Arial" w:cs="Arial"/>
          <w:sz w:val="24"/>
          <w:lang w:val="en-US"/>
        </w:rPr>
      </w:pPr>
    </w:p>
    <w:p w14:paraId="7BFC9005" w14:textId="2982BD4B" w:rsidR="004C007E" w:rsidRPr="002E469E" w:rsidRDefault="004C007E" w:rsidP="007B565A">
      <w:pPr>
        <w:spacing w:line="360" w:lineRule="auto"/>
        <w:jc w:val="both"/>
        <w:rPr>
          <w:rFonts w:ascii="Arial" w:hAnsi="Arial" w:cs="Arial"/>
          <w:b/>
          <w:bCs/>
          <w:sz w:val="28"/>
          <w:szCs w:val="28"/>
          <w:lang w:val="en-US"/>
        </w:rPr>
      </w:pPr>
      <w:r w:rsidRPr="002E469E">
        <w:rPr>
          <w:rFonts w:ascii="Arial" w:hAnsi="Arial" w:cs="Arial"/>
          <w:b/>
          <w:bCs/>
          <w:sz w:val="28"/>
          <w:szCs w:val="28"/>
          <w:lang w:val="en-US"/>
        </w:rPr>
        <w:t>4.3 Assessment of Audi’s Mergers &amp; Acquisitions Strategy</w:t>
      </w:r>
    </w:p>
    <w:p w14:paraId="03466709" w14:textId="14175B8E" w:rsidR="004C007E" w:rsidRPr="0017482A" w:rsidRDefault="006C0193" w:rsidP="007B565A">
      <w:pPr>
        <w:spacing w:line="360" w:lineRule="auto"/>
        <w:jc w:val="both"/>
        <w:rPr>
          <w:rFonts w:ascii="Arial" w:hAnsi="Arial" w:cs="Arial" w:hint="eastAsia"/>
          <w:sz w:val="24"/>
          <w:lang w:val="en-US"/>
        </w:rPr>
      </w:pPr>
      <w:r w:rsidRPr="006C0193">
        <w:rPr>
          <w:rFonts w:ascii="Arial" w:hAnsi="Arial" w:cs="Arial"/>
          <w:sz w:val="24"/>
          <w:lang w:val="en-US"/>
        </w:rPr>
        <w:t xml:space="preserve">Currently, Audi is mainly focusing on acquiring companies specializing in autonomous driving, aiming to fill the gap in its core capabilities in the high-tech sector at a lower acquisition cost. However, this small-scale, technology-oriented acquisition strategy has obvious limitations and deficiencies. It lacks the ability to build an autonomous integrated software ecosystem comparable to Tesla's internal development system. In the future, Audi should balance small-scale technology acquisitions with more strategic large-scale collaborations, strengthen cooperation with Europe, China and other key markets, such as in the cooperation with SAIC </w:t>
      </w:r>
      <w:r w:rsidRPr="006C0193">
        <w:rPr>
          <w:rFonts w:ascii="Arial" w:hAnsi="Arial" w:cs="Arial"/>
          <w:sz w:val="24"/>
          <w:lang w:val="en-US"/>
        </w:rPr>
        <w:lastRenderedPageBreak/>
        <w:t>and FAW in the Chinese market, in order to supplement its cutting-edge innovation capabilities</w:t>
      </w:r>
      <w:r w:rsidR="00B2325F">
        <w:rPr>
          <w:rFonts w:ascii="Arial" w:hAnsi="Arial" w:cs="Arial"/>
          <w:sz w:val="24"/>
          <w:lang w:val="en-US"/>
        </w:rPr>
        <w:fldChar w:fldCharType="begin"/>
      </w:r>
      <w:r w:rsidR="00B2325F">
        <w:rPr>
          <w:rFonts w:ascii="Arial" w:hAnsi="Arial" w:cs="Arial"/>
          <w:sz w:val="24"/>
          <w:lang w:val="en-US"/>
        </w:rPr>
        <w:instrText xml:space="preserve"> ADDIN ZOTERO_ITEM CSL_CITATION {"citationID":"leUIvbDD","properties":{"formattedCitation":"(Morgan, 1774346400)","plainCitation":"(Morgan, 1774346400)","noteIndex":0},"citationItems":[{"id":420,"uris":["http://zotero.org/users/18628635/items/UUNFTWRV"],"itemData":{"id":420,"type":"webpage","abstract":"[E7X / Courtesy of Audi] Audi is effectively stripping off its medals and handing them to SAIC. The E7X is a five-meter-long admission that German engineering can't keep pace without leaning on a local crutch. Dropping the four rings for a plain-text \"AUDI\" logo is more than just a branding shift; it is a full-scale retreat from global identity. Th...","language":"en-us","note":"section: autos","title":"Audi goes all-in on China’s EV future by dropping the four rings with the new E7X","URL":"https://www.msn.com/en-us/autos/other/audi-goes-all-in-on-china-s-ev-future-by-dropping-the-four-rings-with-the-new-e7x/ar-AA1Zi6oq?ocid=BingNewsSerp","author":[{"family":"Morgan","given":"Bryce"}],"accessed":{"date-parts":[["2026",3,27]]},"issued":{"literal":"1774346400"}}}],"schema":"https://github.com/citation-style-language/schema/raw/master/csl-citation.json"} </w:instrText>
      </w:r>
      <w:r w:rsidR="00B2325F">
        <w:rPr>
          <w:rFonts w:ascii="Arial" w:hAnsi="Arial" w:cs="Arial"/>
          <w:sz w:val="24"/>
          <w:lang w:val="en-US"/>
        </w:rPr>
        <w:fldChar w:fldCharType="separate"/>
      </w:r>
      <w:r w:rsidR="00B2325F">
        <w:rPr>
          <w:rFonts w:ascii="Arial" w:hAnsi="Arial" w:cs="Arial"/>
          <w:noProof/>
          <w:sz w:val="24"/>
          <w:lang w:val="en-US"/>
        </w:rPr>
        <w:t>(Morgan, 1774346400)</w:t>
      </w:r>
      <w:r w:rsidR="00B2325F">
        <w:rPr>
          <w:rFonts w:ascii="Arial" w:hAnsi="Arial" w:cs="Arial"/>
          <w:sz w:val="24"/>
          <w:lang w:val="en-US"/>
        </w:rPr>
        <w:fldChar w:fldCharType="end"/>
      </w:r>
      <w:r w:rsidRPr="006C0193">
        <w:rPr>
          <w:rFonts w:ascii="Arial" w:hAnsi="Arial" w:cs="Arial"/>
          <w:sz w:val="24"/>
          <w:lang w:val="en-US"/>
        </w:rPr>
        <w:t>.</w:t>
      </w:r>
    </w:p>
    <w:p w14:paraId="6B82DEDE" w14:textId="77777777" w:rsidR="004C007E" w:rsidRPr="0017482A" w:rsidRDefault="004C007E" w:rsidP="007B565A">
      <w:pPr>
        <w:spacing w:line="360" w:lineRule="auto"/>
        <w:jc w:val="both"/>
        <w:rPr>
          <w:rFonts w:ascii="Arial" w:hAnsi="Arial" w:cs="Arial"/>
          <w:sz w:val="24"/>
          <w:lang w:val="en-US"/>
        </w:rPr>
      </w:pPr>
    </w:p>
    <w:p w14:paraId="232DFE90" w14:textId="3EEB7F63" w:rsidR="004C007E" w:rsidRPr="002E469E" w:rsidRDefault="004C007E" w:rsidP="007B565A">
      <w:pPr>
        <w:spacing w:line="360" w:lineRule="auto"/>
        <w:jc w:val="both"/>
        <w:rPr>
          <w:rFonts w:ascii="Arial" w:hAnsi="Arial" w:cs="Arial"/>
          <w:b/>
          <w:bCs/>
          <w:sz w:val="30"/>
          <w:szCs w:val="30"/>
          <w:lang w:val="en-US"/>
        </w:rPr>
      </w:pPr>
      <w:r w:rsidRPr="002E469E">
        <w:rPr>
          <w:rFonts w:ascii="Arial" w:hAnsi="Arial" w:cs="Arial"/>
          <w:b/>
          <w:bCs/>
          <w:sz w:val="30"/>
          <w:szCs w:val="30"/>
          <w:lang w:val="en-US"/>
        </w:rPr>
        <w:t>5 Sustainability &amp; Strategic Recommendations</w:t>
      </w:r>
    </w:p>
    <w:p w14:paraId="238370FF" w14:textId="02B03B17" w:rsidR="000B4EB5" w:rsidRPr="000B4EB5" w:rsidRDefault="000B4EB5" w:rsidP="000B4EB5">
      <w:pPr>
        <w:spacing w:line="360" w:lineRule="auto"/>
        <w:jc w:val="both"/>
        <w:rPr>
          <w:rFonts w:ascii="Arial" w:hAnsi="Arial" w:cs="Arial"/>
          <w:sz w:val="24"/>
          <w:lang w:val="en-US"/>
        </w:rPr>
      </w:pPr>
      <w:r w:rsidRPr="000B4EB5">
        <w:rPr>
          <w:rFonts w:ascii="Arial" w:hAnsi="Arial" w:cs="Arial"/>
          <w:sz w:val="24"/>
          <w:lang w:val="en-US"/>
        </w:rPr>
        <w:t>Audi has launched sustainable development initiatives aimed at achieving carbon reduction, efficient resource utilization, and environmental protection. All of its global factories now use renewable energy and achieve carbon neutrality in production</w:t>
      </w:r>
      <w:r w:rsidR="000F2D71">
        <w:rPr>
          <w:rFonts w:ascii="Arial" w:hAnsi="Arial" w:cs="Arial"/>
          <w:sz w:val="24"/>
          <w:lang w:val="en-US"/>
        </w:rPr>
        <w:fldChar w:fldCharType="begin"/>
      </w:r>
      <w:r w:rsidR="000F2D71">
        <w:rPr>
          <w:rFonts w:ascii="Arial" w:hAnsi="Arial" w:cs="Arial"/>
          <w:sz w:val="24"/>
          <w:lang w:val="en-US"/>
        </w:rPr>
        <w:instrText xml:space="preserve"> ADDIN ZOTERO_ITEM CSL_CITATION {"citationID":"XSIZjgpK","properties":{"formattedCitation":"(Marshall, 2026)","plainCitation":"(Marshall, 2026)","noteIndex":0},"citationItems":[{"id":424,"uris":["http://zotero.org/users/18628635/items/IN6FTS23"],"itemData":{"id":424,"type":"post-weblog","abstract":"Explore Audi's plans for a 100% renewable energy transition by 2025 as part of their eco revolution. Learn about their sustainability goals.","container-title":"Audi Volt","language":"en-US","title":"Audi’s Eco Revolution: 100% Renewable by 2025","title-short":"Audi’s Eco Revolution","URL":"https://audivolt.com/sustainability/audis-eco-revolution-100-renewable-by-2025/","author":[{"family":"Marshall","given":"Ivy"}],"accessed":{"date-parts":[["2026",3,27]]},"issued":{"date-parts":[["2026",2,28]]}}}],"schema":"https://github.com/citation-style-language/schema/raw/master/csl-citation.json"} </w:instrText>
      </w:r>
      <w:r w:rsidR="000F2D71">
        <w:rPr>
          <w:rFonts w:ascii="Arial" w:hAnsi="Arial" w:cs="Arial"/>
          <w:sz w:val="24"/>
          <w:lang w:val="en-US"/>
        </w:rPr>
        <w:fldChar w:fldCharType="separate"/>
      </w:r>
      <w:r w:rsidR="000F2D71">
        <w:rPr>
          <w:rFonts w:ascii="Arial" w:hAnsi="Arial" w:cs="Arial"/>
          <w:noProof/>
          <w:sz w:val="24"/>
          <w:lang w:val="en-US"/>
        </w:rPr>
        <w:t>(Marshall, 2026)</w:t>
      </w:r>
      <w:r w:rsidR="000F2D71">
        <w:rPr>
          <w:rFonts w:ascii="Arial" w:hAnsi="Arial" w:cs="Arial"/>
          <w:sz w:val="24"/>
          <w:lang w:val="en-US"/>
        </w:rPr>
        <w:fldChar w:fldCharType="end"/>
      </w:r>
      <w:r w:rsidRPr="000B4EB5">
        <w:rPr>
          <w:rFonts w:ascii="Arial" w:hAnsi="Arial" w:cs="Arial"/>
          <w:sz w:val="24"/>
          <w:lang w:val="en-US"/>
        </w:rPr>
        <w:t xml:space="preserve">. These measures help the brand comply with strict EU and international green regulations, avoid related trade costs and penalties, and enhance its high-end brand image among </w:t>
      </w:r>
      <w:proofErr w:type="gramStart"/>
      <w:r w:rsidRPr="000B4EB5">
        <w:rPr>
          <w:rFonts w:ascii="Arial" w:hAnsi="Arial" w:cs="Arial"/>
          <w:sz w:val="24"/>
          <w:lang w:val="en-US"/>
        </w:rPr>
        <w:t>environmentally-conscious</w:t>
      </w:r>
      <w:proofErr w:type="gramEnd"/>
      <w:r w:rsidRPr="000B4EB5">
        <w:rPr>
          <w:rFonts w:ascii="Arial" w:hAnsi="Arial" w:cs="Arial"/>
          <w:sz w:val="24"/>
          <w:lang w:val="en-US"/>
        </w:rPr>
        <w:t xml:space="preserve"> consumers. However, these initiatives also have obvious strategic limitations. The brand's sustainable transformation speed </w:t>
      </w:r>
      <w:proofErr w:type="gramStart"/>
      <w:r w:rsidRPr="000B4EB5">
        <w:rPr>
          <w:rFonts w:ascii="Arial" w:hAnsi="Arial" w:cs="Arial"/>
          <w:sz w:val="24"/>
          <w:lang w:val="en-US"/>
        </w:rPr>
        <w:t>lags behind</w:t>
      </w:r>
      <w:proofErr w:type="gramEnd"/>
      <w:r w:rsidRPr="000B4EB5">
        <w:rPr>
          <w:rFonts w:ascii="Arial" w:hAnsi="Arial" w:cs="Arial"/>
          <w:sz w:val="24"/>
          <w:lang w:val="en-US"/>
        </w:rPr>
        <w:t xml:space="preserve"> market and policy requirements. It overly relies on external battery suppliers, and its sustainable development strategy has not fully integrated with the core business positioning, which means there is still short-term profit pressure </w:t>
      </w:r>
      <w:proofErr w:type="gramStart"/>
      <w:r w:rsidRPr="000B4EB5">
        <w:rPr>
          <w:rFonts w:ascii="Arial" w:hAnsi="Arial" w:cs="Arial"/>
          <w:sz w:val="24"/>
          <w:lang w:val="en-US"/>
        </w:rPr>
        <w:t>in the near future</w:t>
      </w:r>
      <w:proofErr w:type="gramEnd"/>
      <w:r w:rsidRPr="000B4EB5">
        <w:rPr>
          <w:rFonts w:ascii="Arial" w:hAnsi="Arial" w:cs="Arial"/>
          <w:sz w:val="24"/>
          <w:lang w:val="en-US"/>
        </w:rPr>
        <w:t>.</w:t>
      </w:r>
    </w:p>
    <w:p w14:paraId="395EEB89" w14:textId="495367E8" w:rsidR="004C007E" w:rsidRPr="0017482A" w:rsidRDefault="000B4EB5" w:rsidP="007B565A">
      <w:pPr>
        <w:spacing w:line="360" w:lineRule="auto"/>
        <w:jc w:val="both"/>
        <w:rPr>
          <w:rFonts w:ascii="Arial" w:hAnsi="Arial" w:cs="Arial" w:hint="eastAsia"/>
          <w:sz w:val="24"/>
          <w:lang w:val="en-US"/>
        </w:rPr>
      </w:pPr>
      <w:r w:rsidRPr="000B4EB5">
        <w:rPr>
          <w:rFonts w:ascii="Arial" w:hAnsi="Arial" w:cs="Arial"/>
          <w:sz w:val="24"/>
          <w:lang w:val="en-US"/>
        </w:rPr>
        <w:t xml:space="preserve">To improve its strategic positioning and meet the requirements of sustainable development, Audi needs to integrate sustainable development into every aspect of its global business, such as establishing green local factories in key markets like Europe, China, and North America to reduce cross-border carbon emissions and supply chain risks, and launching differentiated green electric vehicle series that meet local consumer needs and policies. Secondly, increase investment in battery research and establish internal battery production capacity to reduce reliance on external suppliers. Strategically, moderately adjust its high-end pricing strategy and launch more green electric models for the </w:t>
      </w:r>
      <w:proofErr w:type="gramStart"/>
      <w:r w:rsidRPr="000B4EB5">
        <w:rPr>
          <w:rFonts w:ascii="Arial" w:hAnsi="Arial" w:cs="Arial"/>
          <w:sz w:val="24"/>
          <w:lang w:val="en-US"/>
        </w:rPr>
        <w:t>general public</w:t>
      </w:r>
      <w:proofErr w:type="gramEnd"/>
      <w:r w:rsidRPr="000B4EB5">
        <w:rPr>
          <w:rFonts w:ascii="Arial" w:hAnsi="Arial" w:cs="Arial"/>
          <w:sz w:val="24"/>
          <w:lang w:val="en-US"/>
        </w:rPr>
        <w:t xml:space="preserve"> to expand market share, while balancing short-term profits and long-term sustainable investment.</w:t>
      </w:r>
    </w:p>
    <w:p w14:paraId="604DDFB8" w14:textId="77777777" w:rsidR="004C007E" w:rsidRPr="0017482A" w:rsidRDefault="004C007E" w:rsidP="007B565A">
      <w:pPr>
        <w:spacing w:line="360" w:lineRule="auto"/>
        <w:jc w:val="both"/>
        <w:rPr>
          <w:rFonts w:ascii="Arial" w:hAnsi="Arial" w:cs="Arial"/>
          <w:sz w:val="24"/>
          <w:lang w:val="en-US"/>
        </w:rPr>
      </w:pPr>
    </w:p>
    <w:p w14:paraId="368B9F9F" w14:textId="097ECB67" w:rsidR="004C007E" w:rsidRPr="002E469E" w:rsidRDefault="004C007E" w:rsidP="007B565A">
      <w:pPr>
        <w:spacing w:line="360" w:lineRule="auto"/>
        <w:jc w:val="both"/>
        <w:rPr>
          <w:rFonts w:ascii="Arial" w:hAnsi="Arial" w:cs="Arial"/>
          <w:b/>
          <w:bCs/>
          <w:sz w:val="30"/>
          <w:szCs w:val="30"/>
          <w:lang w:val="en-US"/>
        </w:rPr>
      </w:pPr>
      <w:r w:rsidRPr="002E469E">
        <w:rPr>
          <w:rFonts w:ascii="Arial" w:hAnsi="Arial" w:cs="Arial"/>
          <w:b/>
          <w:bCs/>
          <w:sz w:val="30"/>
          <w:szCs w:val="30"/>
          <w:lang w:val="en-US"/>
        </w:rPr>
        <w:t>6 Conclusion</w:t>
      </w:r>
    </w:p>
    <w:p w14:paraId="49B813D5" w14:textId="77777777" w:rsidR="00A1655F" w:rsidRPr="00A1655F" w:rsidRDefault="00A1655F" w:rsidP="00A1655F">
      <w:pPr>
        <w:spacing w:line="360" w:lineRule="auto"/>
        <w:jc w:val="both"/>
        <w:rPr>
          <w:rFonts w:ascii="Arial" w:hAnsi="Arial" w:cs="Arial"/>
          <w:sz w:val="24"/>
          <w:lang w:val="en-US"/>
        </w:rPr>
      </w:pPr>
      <w:r w:rsidRPr="00A1655F">
        <w:rPr>
          <w:rFonts w:ascii="Arial" w:hAnsi="Arial" w:cs="Arial"/>
          <w:sz w:val="24"/>
          <w:lang w:val="en-US"/>
        </w:rPr>
        <w:t xml:space="preserve">This report comprehensively analyzes Audi's external business environment, </w:t>
      </w:r>
      <w:r w:rsidRPr="00A1655F">
        <w:rPr>
          <w:rFonts w:ascii="Arial" w:hAnsi="Arial" w:cs="Arial"/>
          <w:sz w:val="24"/>
          <w:lang w:val="en-US"/>
        </w:rPr>
        <w:lastRenderedPageBreak/>
        <w:t>internal resources and capabilities, current strategic positioning, and sustainable development practices, clearly identifying the opportunities and challenges faced by the brand.</w:t>
      </w:r>
    </w:p>
    <w:p w14:paraId="77A1FBD8" w14:textId="35DDA600" w:rsidR="004C007E" w:rsidRPr="0017482A" w:rsidRDefault="00A1655F" w:rsidP="00A1655F">
      <w:pPr>
        <w:spacing w:line="360" w:lineRule="auto"/>
        <w:jc w:val="both"/>
        <w:rPr>
          <w:rFonts w:ascii="Arial" w:hAnsi="Arial" w:cs="Arial"/>
          <w:sz w:val="24"/>
          <w:lang w:val="en-US"/>
        </w:rPr>
      </w:pPr>
      <w:r w:rsidRPr="00A1655F">
        <w:rPr>
          <w:rFonts w:ascii="Arial" w:hAnsi="Arial" w:cs="Arial"/>
          <w:sz w:val="24"/>
          <w:lang w:val="en-US"/>
        </w:rPr>
        <w:t xml:space="preserve">Audi's existing sustainable development initiatives have laid the foundation for compliant operations and brand </w:t>
      </w:r>
      <w:proofErr w:type="gramStart"/>
      <w:r w:rsidRPr="00A1655F">
        <w:rPr>
          <w:rFonts w:ascii="Arial" w:hAnsi="Arial" w:cs="Arial"/>
          <w:sz w:val="24"/>
          <w:lang w:val="en-US"/>
        </w:rPr>
        <w:t>building, but</w:t>
      </w:r>
      <w:proofErr w:type="gramEnd"/>
      <w:r w:rsidRPr="00A1655F">
        <w:rPr>
          <w:rFonts w:ascii="Arial" w:hAnsi="Arial" w:cs="Arial"/>
          <w:sz w:val="24"/>
          <w:lang w:val="en-US"/>
        </w:rPr>
        <w:t xml:space="preserve"> have not yet fully integrated with its core business strategy, resulting in a disconnect between green investment and the enhancement of market competitiveness. To achieve sustainable development, Audi must abandon the single focus on high-end differentiation positioning and short-term profit targets, instead integrating environmental, social, and ethical sustainability into its global strategy, optimizing regional internationalization layout, addressing weak points in internal technology and supply chain, and balancing transformation investment and profitability. Only in this way can it achieve stable and sustainable development in the increasingly fierce global competition.</w:t>
      </w:r>
    </w:p>
    <w:p w14:paraId="7CB47807" w14:textId="77777777" w:rsidR="004C007E" w:rsidRPr="0017482A" w:rsidRDefault="004C007E" w:rsidP="007B565A">
      <w:pPr>
        <w:spacing w:line="360" w:lineRule="auto"/>
        <w:jc w:val="both"/>
        <w:rPr>
          <w:rFonts w:ascii="Arial" w:hAnsi="Arial" w:cs="Arial"/>
          <w:sz w:val="24"/>
          <w:lang w:val="en-US"/>
        </w:rPr>
      </w:pPr>
    </w:p>
    <w:p w14:paraId="2FDDCD06" w14:textId="77777777" w:rsidR="004C007E" w:rsidRPr="0017482A" w:rsidRDefault="004C007E" w:rsidP="007B565A">
      <w:pPr>
        <w:spacing w:line="360" w:lineRule="auto"/>
        <w:jc w:val="both"/>
        <w:rPr>
          <w:rFonts w:ascii="Arial" w:hAnsi="Arial" w:cs="Arial"/>
          <w:sz w:val="24"/>
          <w:lang w:val="en-US"/>
        </w:rPr>
      </w:pPr>
    </w:p>
    <w:p w14:paraId="191CD26D" w14:textId="77777777" w:rsidR="00A1655F" w:rsidRDefault="00A1655F" w:rsidP="007B565A">
      <w:pPr>
        <w:spacing w:line="360" w:lineRule="auto"/>
        <w:jc w:val="both"/>
        <w:rPr>
          <w:rFonts w:ascii="Arial" w:hAnsi="Arial" w:cs="Arial"/>
          <w:b/>
          <w:bCs/>
          <w:sz w:val="30"/>
          <w:szCs w:val="30"/>
          <w:lang w:val="en-US"/>
        </w:rPr>
      </w:pPr>
    </w:p>
    <w:p w14:paraId="72A23A4B" w14:textId="77777777" w:rsidR="00A1655F" w:rsidRDefault="00A1655F" w:rsidP="007B565A">
      <w:pPr>
        <w:spacing w:line="360" w:lineRule="auto"/>
        <w:jc w:val="both"/>
        <w:rPr>
          <w:rFonts w:ascii="Arial" w:hAnsi="Arial" w:cs="Arial"/>
          <w:b/>
          <w:bCs/>
          <w:sz w:val="30"/>
          <w:szCs w:val="30"/>
          <w:lang w:val="en-US"/>
        </w:rPr>
      </w:pPr>
    </w:p>
    <w:p w14:paraId="162C2E7A" w14:textId="77777777" w:rsidR="00A1655F" w:rsidRDefault="00A1655F" w:rsidP="007B565A">
      <w:pPr>
        <w:spacing w:line="360" w:lineRule="auto"/>
        <w:jc w:val="both"/>
        <w:rPr>
          <w:rFonts w:ascii="Arial" w:hAnsi="Arial" w:cs="Arial"/>
          <w:b/>
          <w:bCs/>
          <w:sz w:val="30"/>
          <w:szCs w:val="30"/>
          <w:lang w:val="en-US"/>
        </w:rPr>
      </w:pPr>
    </w:p>
    <w:p w14:paraId="6699D92F" w14:textId="77777777" w:rsidR="00A1655F" w:rsidRDefault="00A1655F" w:rsidP="007B565A">
      <w:pPr>
        <w:spacing w:line="360" w:lineRule="auto"/>
        <w:jc w:val="both"/>
        <w:rPr>
          <w:rFonts w:ascii="Arial" w:hAnsi="Arial" w:cs="Arial"/>
          <w:b/>
          <w:bCs/>
          <w:sz w:val="30"/>
          <w:szCs w:val="30"/>
          <w:lang w:val="en-US"/>
        </w:rPr>
      </w:pPr>
    </w:p>
    <w:p w14:paraId="75D6B767" w14:textId="77777777" w:rsidR="00A1655F" w:rsidRDefault="00A1655F" w:rsidP="007B565A">
      <w:pPr>
        <w:spacing w:line="360" w:lineRule="auto"/>
        <w:jc w:val="both"/>
        <w:rPr>
          <w:rFonts w:ascii="Arial" w:hAnsi="Arial" w:cs="Arial"/>
          <w:b/>
          <w:bCs/>
          <w:sz w:val="30"/>
          <w:szCs w:val="30"/>
          <w:lang w:val="en-US"/>
        </w:rPr>
      </w:pPr>
    </w:p>
    <w:p w14:paraId="3E5661F2" w14:textId="77777777" w:rsidR="00A1655F" w:rsidRDefault="00A1655F" w:rsidP="007B565A">
      <w:pPr>
        <w:spacing w:line="360" w:lineRule="auto"/>
        <w:jc w:val="both"/>
        <w:rPr>
          <w:rFonts w:ascii="Arial" w:hAnsi="Arial" w:cs="Arial"/>
          <w:b/>
          <w:bCs/>
          <w:sz w:val="30"/>
          <w:szCs w:val="30"/>
          <w:lang w:val="en-US"/>
        </w:rPr>
      </w:pPr>
    </w:p>
    <w:p w14:paraId="5CCCCF23" w14:textId="77777777" w:rsidR="00A1655F" w:rsidRDefault="00A1655F" w:rsidP="007B565A">
      <w:pPr>
        <w:spacing w:line="360" w:lineRule="auto"/>
        <w:jc w:val="both"/>
        <w:rPr>
          <w:rFonts w:ascii="Arial" w:hAnsi="Arial" w:cs="Arial"/>
          <w:b/>
          <w:bCs/>
          <w:sz w:val="30"/>
          <w:szCs w:val="30"/>
          <w:lang w:val="en-US"/>
        </w:rPr>
      </w:pPr>
    </w:p>
    <w:p w14:paraId="257E5A63" w14:textId="77777777" w:rsidR="00A1655F" w:rsidRDefault="00A1655F" w:rsidP="007B565A">
      <w:pPr>
        <w:spacing w:line="360" w:lineRule="auto"/>
        <w:jc w:val="both"/>
        <w:rPr>
          <w:rFonts w:ascii="Arial" w:hAnsi="Arial" w:cs="Arial"/>
          <w:b/>
          <w:bCs/>
          <w:sz w:val="30"/>
          <w:szCs w:val="30"/>
          <w:lang w:val="en-US"/>
        </w:rPr>
      </w:pPr>
    </w:p>
    <w:p w14:paraId="6A1B0436" w14:textId="77777777" w:rsidR="00A1655F" w:rsidRDefault="00A1655F" w:rsidP="007B565A">
      <w:pPr>
        <w:spacing w:line="360" w:lineRule="auto"/>
        <w:jc w:val="both"/>
        <w:rPr>
          <w:rFonts w:ascii="Arial" w:hAnsi="Arial" w:cs="Arial"/>
          <w:b/>
          <w:bCs/>
          <w:sz w:val="30"/>
          <w:szCs w:val="30"/>
          <w:lang w:val="en-US"/>
        </w:rPr>
      </w:pPr>
    </w:p>
    <w:p w14:paraId="41E960C6" w14:textId="7A1F75CD" w:rsidR="00CC0152" w:rsidRPr="00CC0152" w:rsidRDefault="004C007E" w:rsidP="00CC0152">
      <w:pPr>
        <w:spacing w:line="360" w:lineRule="auto"/>
        <w:jc w:val="both"/>
        <w:rPr>
          <w:rFonts w:ascii="Arial" w:hAnsi="Arial" w:cs="Arial" w:hint="eastAsia"/>
          <w:b/>
          <w:bCs/>
          <w:sz w:val="30"/>
          <w:szCs w:val="30"/>
          <w:lang w:val="en-US"/>
        </w:rPr>
      </w:pPr>
      <w:r w:rsidRPr="002E469E">
        <w:rPr>
          <w:rFonts w:ascii="Arial" w:hAnsi="Arial" w:cs="Arial"/>
          <w:b/>
          <w:bCs/>
          <w:sz w:val="30"/>
          <w:szCs w:val="30"/>
          <w:lang w:val="en-US"/>
        </w:rPr>
        <w:lastRenderedPageBreak/>
        <w:t>References</w:t>
      </w:r>
    </w:p>
    <w:p w14:paraId="07EE5352" w14:textId="62FA9314" w:rsidR="000F2D71" w:rsidRPr="000F2D71" w:rsidRDefault="00A25A27" w:rsidP="000F2D71">
      <w:pPr>
        <w:pStyle w:val="af1"/>
        <w:rPr>
          <w:rFonts w:ascii="Arial" w:hAnsi="Arial" w:cs="Arial"/>
          <w:sz w:val="24"/>
          <w:lang w:val="en-US"/>
        </w:rPr>
      </w:pPr>
      <w:r>
        <w:rPr>
          <w:rFonts w:ascii="Arial" w:hAnsi="Arial" w:cs="Arial"/>
          <w:lang w:val="en-US"/>
        </w:rPr>
        <w:fldChar w:fldCharType="begin"/>
      </w:r>
      <w:r>
        <w:rPr>
          <w:rFonts w:ascii="Arial" w:hAnsi="Arial" w:cs="Arial"/>
          <w:lang w:val="en-US"/>
        </w:rPr>
        <w:instrText xml:space="preserve"> ADDIN ZOTERO_BIBL {"uncited":[],"omitted":[],"custom":[]} CSL_BIBLIOGRAPHY </w:instrText>
      </w:r>
      <w:r>
        <w:rPr>
          <w:rFonts w:ascii="Arial" w:hAnsi="Arial" w:cs="Arial"/>
          <w:lang w:val="en-US"/>
        </w:rPr>
        <w:fldChar w:fldCharType="separate"/>
      </w:r>
      <w:r w:rsidR="000F2D71" w:rsidRPr="000F2D71">
        <w:rPr>
          <w:rFonts w:ascii="Arial" w:hAnsi="Arial" w:cs="Arial"/>
          <w:sz w:val="24"/>
          <w:lang w:val="en-US"/>
        </w:rPr>
        <w:t xml:space="preserve">admin (2024) ‘Focused Differentiation Strategy: Meaning | Steps | Examples’, </w:t>
      </w:r>
      <w:r w:rsidR="000F2D71" w:rsidRPr="000F2D71">
        <w:rPr>
          <w:rFonts w:ascii="Arial" w:hAnsi="Arial" w:cs="Arial"/>
          <w:i/>
          <w:iCs/>
          <w:sz w:val="24"/>
          <w:lang w:val="en-US"/>
        </w:rPr>
        <w:t>The Strategy Story</w:t>
      </w:r>
      <w:r w:rsidR="000F2D71" w:rsidRPr="000F2D71">
        <w:rPr>
          <w:rFonts w:ascii="Arial" w:hAnsi="Arial" w:cs="Arial"/>
          <w:sz w:val="24"/>
          <w:lang w:val="en-US"/>
        </w:rPr>
        <w:t>, 23 January. Available at: https://thestrategystory.com/blog/focused-differentiation-strategy-meaning-steps-examples/ (Accessed: 2</w:t>
      </w:r>
      <w:r w:rsidR="00120B4B">
        <w:rPr>
          <w:rFonts w:ascii="Arial" w:hAnsi="Arial" w:cs="Arial" w:hint="eastAsia"/>
          <w:sz w:val="24"/>
          <w:lang w:val="en-US"/>
        </w:rPr>
        <w:t>3</w:t>
      </w:r>
      <w:r w:rsidR="000F2D71" w:rsidRPr="000F2D71">
        <w:rPr>
          <w:rFonts w:ascii="Arial" w:hAnsi="Arial" w:cs="Arial"/>
          <w:sz w:val="24"/>
          <w:lang w:val="en-US"/>
        </w:rPr>
        <w:t xml:space="preserve"> March 2026).</w:t>
      </w:r>
    </w:p>
    <w:p w14:paraId="5CFF3546" w14:textId="62D6610B" w:rsidR="000F2D71" w:rsidRPr="000F2D71" w:rsidRDefault="000F2D71" w:rsidP="000F2D71">
      <w:pPr>
        <w:pStyle w:val="af1"/>
        <w:rPr>
          <w:rFonts w:ascii="Arial" w:hAnsi="Arial" w:cs="Arial"/>
          <w:sz w:val="24"/>
          <w:lang w:val="en-US"/>
        </w:rPr>
      </w:pPr>
      <w:r w:rsidRPr="000F2D71">
        <w:rPr>
          <w:rFonts w:ascii="Arial" w:hAnsi="Arial" w:cs="Arial"/>
          <w:i/>
          <w:iCs/>
          <w:sz w:val="24"/>
          <w:lang w:val="en-US"/>
        </w:rPr>
        <w:t>China to overhaul electricity system for green growth, energy security</w:t>
      </w:r>
      <w:r w:rsidRPr="000F2D71">
        <w:rPr>
          <w:rFonts w:ascii="Arial" w:hAnsi="Arial" w:cs="Arial"/>
          <w:sz w:val="24"/>
          <w:lang w:val="en-US"/>
        </w:rPr>
        <w:t xml:space="preserve"> (no date). Available at: https://english.www.gov.cn/news/202408/06/content_WS66b20a8ec6d0868f4e8e9c1f.html (Accessed: 2</w:t>
      </w:r>
      <w:r w:rsidR="00120B4B">
        <w:rPr>
          <w:rFonts w:ascii="Arial" w:hAnsi="Arial" w:cs="Arial" w:hint="eastAsia"/>
          <w:sz w:val="24"/>
          <w:lang w:val="en-US"/>
        </w:rPr>
        <w:t>3</w:t>
      </w:r>
      <w:r w:rsidRPr="000F2D71">
        <w:rPr>
          <w:rFonts w:ascii="Arial" w:hAnsi="Arial" w:cs="Arial"/>
          <w:sz w:val="24"/>
          <w:lang w:val="en-US"/>
        </w:rPr>
        <w:t xml:space="preserve"> March 2026).</w:t>
      </w:r>
    </w:p>
    <w:p w14:paraId="45AB9905"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Chukreyev, M. (2023) ‘The influence of various factors on the power price’, </w:t>
      </w:r>
      <w:r w:rsidRPr="000F2D71">
        <w:rPr>
          <w:rFonts w:ascii="Arial" w:hAnsi="Arial" w:cs="Arial"/>
          <w:i/>
          <w:iCs/>
          <w:sz w:val="24"/>
          <w:lang w:val="en-US"/>
        </w:rPr>
        <w:t>AIP Conference Proceedings</w:t>
      </w:r>
      <w:r w:rsidRPr="000F2D71">
        <w:rPr>
          <w:rFonts w:ascii="Arial" w:hAnsi="Arial" w:cs="Arial"/>
          <w:sz w:val="24"/>
          <w:lang w:val="en-US"/>
        </w:rPr>
        <w:t>, 2552(1), p. 040003. Available at: https://doi.org/10.1063/5.0111442.</w:t>
      </w:r>
    </w:p>
    <w:p w14:paraId="631A1F71" w14:textId="592E01E4" w:rsidR="000F2D71" w:rsidRPr="000F2D71" w:rsidRDefault="000F2D71" w:rsidP="000F2D71">
      <w:pPr>
        <w:pStyle w:val="af1"/>
        <w:rPr>
          <w:rFonts w:ascii="Arial" w:hAnsi="Arial" w:cs="Arial"/>
          <w:sz w:val="24"/>
          <w:lang w:val="en-US"/>
        </w:rPr>
      </w:pPr>
      <w:r w:rsidRPr="000F2D71">
        <w:rPr>
          <w:rFonts w:ascii="Arial" w:hAnsi="Arial" w:cs="Arial"/>
          <w:i/>
          <w:iCs/>
          <w:sz w:val="24"/>
          <w:lang w:val="en-US"/>
        </w:rPr>
        <w:t>Company | audi.com</w:t>
      </w:r>
      <w:r w:rsidRPr="000F2D71">
        <w:rPr>
          <w:rFonts w:ascii="Arial" w:hAnsi="Arial" w:cs="Arial"/>
          <w:sz w:val="24"/>
          <w:lang w:val="en-US"/>
        </w:rPr>
        <w:t xml:space="preserve"> (no date). Available at: https://www.audi.com/en/company/ (Accessed: 2</w:t>
      </w:r>
      <w:r w:rsidR="00120B4B">
        <w:rPr>
          <w:rFonts w:ascii="Arial" w:hAnsi="Arial" w:cs="Arial" w:hint="eastAsia"/>
          <w:sz w:val="24"/>
          <w:lang w:val="en-US"/>
        </w:rPr>
        <w:t>3</w:t>
      </w:r>
      <w:r w:rsidRPr="000F2D71">
        <w:rPr>
          <w:rFonts w:ascii="Arial" w:hAnsi="Arial" w:cs="Arial"/>
          <w:sz w:val="24"/>
          <w:lang w:val="en-US"/>
        </w:rPr>
        <w:t xml:space="preserve"> March 2026).</w:t>
      </w:r>
    </w:p>
    <w:p w14:paraId="7C352EF4" w14:textId="31B16328" w:rsidR="000F2D71" w:rsidRPr="000F2D71" w:rsidRDefault="000F2D71" w:rsidP="000F2D71">
      <w:pPr>
        <w:pStyle w:val="af1"/>
        <w:rPr>
          <w:rFonts w:ascii="Arial" w:hAnsi="Arial" w:cs="Arial"/>
          <w:sz w:val="24"/>
          <w:lang w:val="en-US"/>
        </w:rPr>
      </w:pPr>
      <w:r w:rsidRPr="000F2D71">
        <w:rPr>
          <w:rFonts w:ascii="Arial" w:hAnsi="Arial" w:cs="Arial"/>
          <w:i/>
          <w:iCs/>
          <w:sz w:val="24"/>
          <w:lang w:val="en-US"/>
        </w:rPr>
        <w:t xml:space="preserve">Economies of </w:t>
      </w:r>
      <w:proofErr w:type="gramStart"/>
      <w:r w:rsidRPr="000F2D71">
        <w:rPr>
          <w:rFonts w:ascii="Arial" w:hAnsi="Arial" w:cs="Arial"/>
          <w:i/>
          <w:iCs/>
          <w:sz w:val="24"/>
          <w:lang w:val="en-US"/>
        </w:rPr>
        <w:t>Scale :</w:t>
      </w:r>
      <w:proofErr w:type="gramEnd"/>
      <w:r w:rsidRPr="000F2D71">
        <w:rPr>
          <w:rFonts w:ascii="Arial" w:hAnsi="Arial" w:cs="Arial"/>
          <w:i/>
          <w:iCs/>
          <w:sz w:val="24"/>
          <w:lang w:val="en-US"/>
        </w:rPr>
        <w:t xml:space="preserve"> Meaning, Working, Types, Advantages and Disadvantages</w:t>
      </w:r>
      <w:r w:rsidRPr="000F2D71">
        <w:rPr>
          <w:rFonts w:ascii="Arial" w:hAnsi="Arial" w:cs="Arial"/>
          <w:sz w:val="24"/>
          <w:lang w:val="en-US"/>
        </w:rPr>
        <w:t xml:space="preserve"> (12:12:17+00:00) </w:t>
      </w:r>
      <w:proofErr w:type="spellStart"/>
      <w:r w:rsidRPr="000F2D71">
        <w:rPr>
          <w:rFonts w:ascii="Arial" w:hAnsi="Arial" w:cs="Arial"/>
          <w:i/>
          <w:iCs/>
          <w:sz w:val="24"/>
          <w:lang w:val="en-US"/>
        </w:rPr>
        <w:t>GeeksforGeeks</w:t>
      </w:r>
      <w:proofErr w:type="spellEnd"/>
      <w:r w:rsidRPr="000F2D71">
        <w:rPr>
          <w:rFonts w:ascii="Arial" w:hAnsi="Arial" w:cs="Arial"/>
          <w:sz w:val="24"/>
          <w:lang w:val="en-US"/>
        </w:rPr>
        <w:t>. Available at: https://www.geeksforgeeks.org/business-studies/economies-of-scale-meaning-working-types-advantages-and-disadvantages/ (Accessed: 2</w:t>
      </w:r>
      <w:r w:rsidR="00120B4B">
        <w:rPr>
          <w:rFonts w:ascii="Arial" w:hAnsi="Arial" w:cs="Arial" w:hint="eastAsia"/>
          <w:sz w:val="24"/>
          <w:lang w:val="en-US"/>
        </w:rPr>
        <w:t>3</w:t>
      </w:r>
      <w:r w:rsidRPr="000F2D71">
        <w:rPr>
          <w:rFonts w:ascii="Arial" w:hAnsi="Arial" w:cs="Arial"/>
          <w:sz w:val="24"/>
          <w:lang w:val="en-US"/>
        </w:rPr>
        <w:t xml:space="preserve"> March 2026).</w:t>
      </w:r>
    </w:p>
    <w:p w14:paraId="1F573EFA" w14:textId="77777777" w:rsidR="000F2D71" w:rsidRPr="000F2D71" w:rsidRDefault="000F2D71" w:rsidP="000F2D71">
      <w:pPr>
        <w:pStyle w:val="af1"/>
        <w:rPr>
          <w:rFonts w:ascii="Arial" w:hAnsi="Arial" w:cs="Arial"/>
          <w:sz w:val="24"/>
          <w:lang w:val="en-US"/>
        </w:rPr>
      </w:pPr>
      <w:proofErr w:type="spellStart"/>
      <w:r w:rsidRPr="000F2D71">
        <w:rPr>
          <w:rFonts w:ascii="Arial" w:hAnsi="Arial" w:cs="Arial"/>
          <w:sz w:val="24"/>
          <w:lang w:val="en-US"/>
        </w:rPr>
        <w:t>Erdogdu</w:t>
      </w:r>
      <w:proofErr w:type="spellEnd"/>
      <w:r w:rsidRPr="000F2D71">
        <w:rPr>
          <w:rFonts w:ascii="Arial" w:hAnsi="Arial" w:cs="Arial"/>
          <w:sz w:val="24"/>
          <w:lang w:val="en-US"/>
        </w:rPr>
        <w:t xml:space="preserve">, E. (2025) ‘The Carbon Border Adjustment Mechanism: Opportunities and Challenges for Non-EU Countries’, </w:t>
      </w:r>
      <w:r w:rsidRPr="000F2D71">
        <w:rPr>
          <w:rFonts w:ascii="Arial" w:hAnsi="Arial" w:cs="Arial"/>
          <w:i/>
          <w:iCs/>
          <w:sz w:val="24"/>
          <w:lang w:val="en-US"/>
        </w:rPr>
        <w:t>WIREs Energy and Environment</w:t>
      </w:r>
      <w:r w:rsidRPr="000F2D71">
        <w:rPr>
          <w:rFonts w:ascii="Arial" w:hAnsi="Arial" w:cs="Arial"/>
          <w:sz w:val="24"/>
          <w:lang w:val="en-US"/>
        </w:rPr>
        <w:t>, 14(1), p. e70000. Available at: https://doi.org/10.1002/wene.70000.</w:t>
      </w:r>
    </w:p>
    <w:p w14:paraId="7117CBB8"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Giannone, D. and </w:t>
      </w:r>
      <w:proofErr w:type="spellStart"/>
      <w:r w:rsidRPr="000F2D71">
        <w:rPr>
          <w:rFonts w:ascii="Arial" w:hAnsi="Arial" w:cs="Arial"/>
          <w:sz w:val="24"/>
          <w:lang w:val="en-US"/>
        </w:rPr>
        <w:t>Primiceri</w:t>
      </w:r>
      <w:proofErr w:type="spellEnd"/>
      <w:r w:rsidRPr="000F2D71">
        <w:rPr>
          <w:rFonts w:ascii="Arial" w:hAnsi="Arial" w:cs="Arial"/>
          <w:sz w:val="24"/>
          <w:lang w:val="en-US"/>
        </w:rPr>
        <w:t>, G. (2024) ‘The Drivers of Post-Pandemic Inflation’. National Bureau of Economic Research (Working Paper Series). Available at: https://doi.org/10.3386/w32859.</w:t>
      </w:r>
    </w:p>
    <w:p w14:paraId="38EF35F3"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Gupta, P. </w:t>
      </w:r>
      <w:r w:rsidRPr="000F2D71">
        <w:rPr>
          <w:rFonts w:ascii="Arial" w:hAnsi="Arial" w:cs="Arial"/>
          <w:i/>
          <w:iCs/>
          <w:sz w:val="24"/>
          <w:lang w:val="en-US"/>
        </w:rPr>
        <w:t>et al.</w:t>
      </w:r>
      <w:r w:rsidRPr="000F2D71">
        <w:rPr>
          <w:rFonts w:ascii="Arial" w:hAnsi="Arial" w:cs="Arial"/>
          <w:sz w:val="24"/>
          <w:lang w:val="en-US"/>
        </w:rPr>
        <w:t xml:space="preserve"> (2022) ‘Recent Developments and Research Avenues for Polymers in Electric Vehicles’, </w:t>
      </w:r>
      <w:r w:rsidRPr="000F2D71">
        <w:rPr>
          <w:rFonts w:ascii="Arial" w:hAnsi="Arial" w:cs="Arial"/>
          <w:i/>
          <w:iCs/>
          <w:sz w:val="24"/>
          <w:lang w:val="en-US"/>
        </w:rPr>
        <w:t>The Chemical Record</w:t>
      </w:r>
      <w:r w:rsidRPr="000F2D71">
        <w:rPr>
          <w:rFonts w:ascii="Arial" w:hAnsi="Arial" w:cs="Arial"/>
          <w:sz w:val="24"/>
          <w:lang w:val="en-US"/>
        </w:rPr>
        <w:t>, 22(11), p. e202200186. Available at: https://doi.org/10.1002/tcr.202200186.</w:t>
      </w:r>
    </w:p>
    <w:p w14:paraId="4BF57887"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Habib, H. </w:t>
      </w:r>
      <w:r w:rsidRPr="000F2D71">
        <w:rPr>
          <w:rFonts w:ascii="Arial" w:hAnsi="Arial" w:cs="Arial"/>
          <w:i/>
          <w:iCs/>
          <w:sz w:val="24"/>
          <w:lang w:val="en-US"/>
        </w:rPr>
        <w:t>et al.</w:t>
      </w:r>
      <w:r w:rsidRPr="000F2D71">
        <w:rPr>
          <w:rFonts w:ascii="Arial" w:hAnsi="Arial" w:cs="Arial"/>
          <w:sz w:val="24"/>
          <w:lang w:val="en-US"/>
        </w:rPr>
        <w:t xml:space="preserve"> (2022) ‘What gets measured gets managed – does it? Uncovering the waste electrical and electronic equipment flows in the European Union’, </w:t>
      </w:r>
      <w:r w:rsidRPr="000F2D71">
        <w:rPr>
          <w:rFonts w:ascii="Arial" w:hAnsi="Arial" w:cs="Arial"/>
          <w:i/>
          <w:iCs/>
          <w:sz w:val="24"/>
          <w:lang w:val="en-US"/>
        </w:rPr>
        <w:t>Resources, Conservation and Recycling</w:t>
      </w:r>
      <w:r w:rsidRPr="000F2D71">
        <w:rPr>
          <w:rFonts w:ascii="Arial" w:hAnsi="Arial" w:cs="Arial"/>
          <w:sz w:val="24"/>
          <w:lang w:val="en-US"/>
        </w:rPr>
        <w:t>, 181, p. 106222. Available at: https://doi.org/10.1016/j.resconrec.2022.106222.</w:t>
      </w:r>
    </w:p>
    <w:p w14:paraId="231DB74D"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Khedr, A.M. and S, S.R. (2024) ‘Enhancing supply chain management with deep learning and machine learning techniques: A review’, </w:t>
      </w:r>
      <w:r w:rsidRPr="000F2D71">
        <w:rPr>
          <w:rFonts w:ascii="Arial" w:hAnsi="Arial" w:cs="Arial"/>
          <w:i/>
          <w:iCs/>
          <w:sz w:val="24"/>
          <w:lang w:val="en-US"/>
        </w:rPr>
        <w:t>Journal of Open Innovation: Technology, Market, and Complexity</w:t>
      </w:r>
      <w:r w:rsidRPr="000F2D71">
        <w:rPr>
          <w:rFonts w:ascii="Arial" w:hAnsi="Arial" w:cs="Arial"/>
          <w:sz w:val="24"/>
          <w:lang w:val="en-US"/>
        </w:rPr>
        <w:t>, 10(4), p. 100379. Available at: https://doi.org/10.1016/j.joitmc.2024.100379.</w:t>
      </w:r>
    </w:p>
    <w:p w14:paraId="460DB9CC"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Li, Y. </w:t>
      </w:r>
      <w:r w:rsidRPr="000F2D71">
        <w:rPr>
          <w:rFonts w:ascii="Arial" w:hAnsi="Arial" w:cs="Arial"/>
          <w:i/>
          <w:iCs/>
          <w:sz w:val="24"/>
          <w:lang w:val="en-US"/>
        </w:rPr>
        <w:t>et al.</w:t>
      </w:r>
      <w:r w:rsidRPr="000F2D71">
        <w:rPr>
          <w:rFonts w:ascii="Arial" w:hAnsi="Arial" w:cs="Arial"/>
          <w:sz w:val="24"/>
          <w:lang w:val="en-US"/>
        </w:rPr>
        <w:t xml:space="preserve"> (2023) ‘Designing government subsidy schemes to promote the </w:t>
      </w:r>
      <w:r w:rsidRPr="000F2D71">
        <w:rPr>
          <w:rFonts w:ascii="Arial" w:hAnsi="Arial" w:cs="Arial"/>
          <w:sz w:val="24"/>
          <w:lang w:val="en-US"/>
        </w:rPr>
        <w:lastRenderedPageBreak/>
        <w:t xml:space="preserve">electric vehicle industry: A system dynamics model perspective’, </w:t>
      </w:r>
      <w:r w:rsidRPr="000F2D71">
        <w:rPr>
          <w:rFonts w:ascii="Arial" w:hAnsi="Arial" w:cs="Arial"/>
          <w:i/>
          <w:iCs/>
          <w:sz w:val="24"/>
          <w:lang w:val="en-US"/>
        </w:rPr>
        <w:t>Transportation Research Part A: Policy and Practice</w:t>
      </w:r>
      <w:r w:rsidRPr="000F2D71">
        <w:rPr>
          <w:rFonts w:ascii="Arial" w:hAnsi="Arial" w:cs="Arial"/>
          <w:sz w:val="24"/>
          <w:lang w:val="en-US"/>
        </w:rPr>
        <w:t>, 167, p. 103558. Available at: https://doi.org/10.1016/j.tra.2022.11.018.</w:t>
      </w:r>
    </w:p>
    <w:p w14:paraId="179DA320"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Maity, R. </w:t>
      </w:r>
      <w:r w:rsidRPr="000F2D71">
        <w:rPr>
          <w:rFonts w:ascii="Arial" w:hAnsi="Arial" w:cs="Arial"/>
          <w:i/>
          <w:iCs/>
          <w:sz w:val="24"/>
          <w:lang w:val="en-US"/>
        </w:rPr>
        <w:t>et al.</w:t>
      </w:r>
      <w:r w:rsidRPr="000F2D71">
        <w:rPr>
          <w:rFonts w:ascii="Arial" w:hAnsi="Arial" w:cs="Arial"/>
          <w:sz w:val="24"/>
          <w:lang w:val="en-US"/>
        </w:rPr>
        <w:t xml:space="preserve"> (2023) ‘</w:t>
      </w:r>
      <w:proofErr w:type="spellStart"/>
      <w:r w:rsidRPr="000F2D71">
        <w:rPr>
          <w:rFonts w:ascii="Arial" w:hAnsi="Arial" w:cs="Arial"/>
          <w:sz w:val="24"/>
          <w:lang w:val="en-US"/>
        </w:rPr>
        <w:t>Agrivoltaic</w:t>
      </w:r>
      <w:proofErr w:type="spellEnd"/>
      <w:r w:rsidRPr="000F2D71">
        <w:rPr>
          <w:rFonts w:ascii="Arial" w:hAnsi="Arial" w:cs="Arial"/>
          <w:sz w:val="24"/>
          <w:lang w:val="en-US"/>
        </w:rPr>
        <w:t xml:space="preserve">: A Strategic Assessment Using SWOT and TOWS Matrix’, </w:t>
      </w:r>
      <w:r w:rsidRPr="000F2D71">
        <w:rPr>
          <w:rFonts w:ascii="Arial" w:hAnsi="Arial" w:cs="Arial"/>
          <w:i/>
          <w:iCs/>
          <w:sz w:val="24"/>
          <w:lang w:val="en-US"/>
        </w:rPr>
        <w:t>Energies</w:t>
      </w:r>
      <w:r w:rsidRPr="000F2D71">
        <w:rPr>
          <w:rFonts w:ascii="Arial" w:hAnsi="Arial" w:cs="Arial"/>
          <w:sz w:val="24"/>
          <w:lang w:val="en-US"/>
        </w:rPr>
        <w:t>, 16(8). Available at: https://doi.org/10.3390/en16083313.</w:t>
      </w:r>
    </w:p>
    <w:p w14:paraId="1587B834" w14:textId="29E1AD3D"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Marshall, I. (2026) ‘Audi’s Eco Revolution: 100% Renewable by 2025’, </w:t>
      </w:r>
      <w:r w:rsidRPr="000F2D71">
        <w:rPr>
          <w:rFonts w:ascii="Arial" w:hAnsi="Arial" w:cs="Arial"/>
          <w:i/>
          <w:iCs/>
          <w:sz w:val="24"/>
          <w:lang w:val="en-US"/>
        </w:rPr>
        <w:t>Audi Volt</w:t>
      </w:r>
      <w:r w:rsidRPr="000F2D71">
        <w:rPr>
          <w:rFonts w:ascii="Arial" w:hAnsi="Arial" w:cs="Arial"/>
          <w:sz w:val="24"/>
          <w:lang w:val="en-US"/>
        </w:rPr>
        <w:t>, 28 February. Available at: https://audivolt.com/sustainability/audis-eco-revolution-100-renewable-by-2025/ (Accessed: 2</w:t>
      </w:r>
      <w:r w:rsidR="008856A5">
        <w:rPr>
          <w:rFonts w:ascii="Arial" w:hAnsi="Arial" w:cs="Arial" w:hint="eastAsia"/>
          <w:sz w:val="24"/>
          <w:lang w:val="en-US"/>
        </w:rPr>
        <w:t>4</w:t>
      </w:r>
      <w:r w:rsidRPr="000F2D71">
        <w:rPr>
          <w:rFonts w:ascii="Arial" w:hAnsi="Arial" w:cs="Arial"/>
          <w:sz w:val="24"/>
          <w:lang w:val="en-US"/>
        </w:rPr>
        <w:t xml:space="preserve"> March 2026).</w:t>
      </w:r>
    </w:p>
    <w:p w14:paraId="12B25180"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Morgan, B. (1774346400) </w:t>
      </w:r>
      <w:r w:rsidRPr="000F2D71">
        <w:rPr>
          <w:rFonts w:ascii="Arial" w:hAnsi="Arial" w:cs="Arial"/>
          <w:i/>
          <w:iCs/>
          <w:sz w:val="24"/>
          <w:lang w:val="en-US"/>
        </w:rPr>
        <w:t>Audi goes all-in on China’s EV future by dropping the four rings with the new E7X</w:t>
      </w:r>
      <w:r w:rsidRPr="000F2D71">
        <w:rPr>
          <w:rFonts w:ascii="Arial" w:hAnsi="Arial" w:cs="Arial"/>
          <w:sz w:val="24"/>
          <w:lang w:val="en-US"/>
        </w:rPr>
        <w:t>. Available at: https://www.msn.com/en-us/autos/other/audi-goes-all-in-on-china-s-ev-future-by-dropping-the-four-rings-with-the-new-e7x/ar-AA1Zi6oq?ocid=BingNewsSerp (Accessed: 27 March 2026).</w:t>
      </w:r>
    </w:p>
    <w:p w14:paraId="5DED4E3A"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Olubukola, J. and Oladipo, O. (2025) ‘EFFECT OF THREAT OF PRODUCT SUBSTITUTES AND DIFFERENTIATION STRATEGY ON MARKET SHARE EFFECT OF THREAT OF PRODUCT SUBSTITUTES AND DIFFERENTIATION STRATEGY ON MARKET SHARE IN THE NIGERIAN CONSUMER GOODS SECTOR’, 22, pp. 212–231.</w:t>
      </w:r>
    </w:p>
    <w:p w14:paraId="73DEDFC8" w14:textId="77777777" w:rsidR="000F2D71" w:rsidRPr="000F2D71" w:rsidRDefault="000F2D71" w:rsidP="000F2D71">
      <w:pPr>
        <w:pStyle w:val="af1"/>
        <w:rPr>
          <w:rFonts w:ascii="Arial" w:hAnsi="Arial" w:cs="Arial"/>
          <w:sz w:val="24"/>
          <w:lang w:val="en-US"/>
        </w:rPr>
      </w:pPr>
      <w:proofErr w:type="spellStart"/>
      <w:r w:rsidRPr="000F2D71">
        <w:rPr>
          <w:rFonts w:ascii="Arial" w:hAnsi="Arial" w:cs="Arial"/>
          <w:sz w:val="24"/>
          <w:lang w:val="en-US"/>
        </w:rPr>
        <w:t>Pelaudeix</w:t>
      </w:r>
      <w:proofErr w:type="spellEnd"/>
      <w:r w:rsidRPr="000F2D71">
        <w:rPr>
          <w:rFonts w:ascii="Arial" w:hAnsi="Arial" w:cs="Arial"/>
          <w:sz w:val="24"/>
          <w:lang w:val="en-US"/>
        </w:rPr>
        <w:t xml:space="preserve">, C. (2023) </w:t>
      </w:r>
      <w:r w:rsidRPr="000F2D71">
        <w:rPr>
          <w:rFonts w:ascii="Arial" w:hAnsi="Arial" w:cs="Arial"/>
          <w:i/>
          <w:iCs/>
          <w:sz w:val="24"/>
          <w:lang w:val="en-US"/>
        </w:rPr>
        <w:t>Differentiated regionalism and China’s global agenda: How do resilience and strategic autonomy fit in? EU, ASEAN, Mercosur</w:t>
      </w:r>
      <w:r w:rsidRPr="000F2D71">
        <w:rPr>
          <w:rFonts w:ascii="Arial" w:hAnsi="Arial" w:cs="Arial"/>
          <w:sz w:val="24"/>
          <w:lang w:val="en-US"/>
        </w:rPr>
        <w:t>. Oslo: ARENA Centre for European Studies (ARENA Report, 8/23).</w:t>
      </w:r>
    </w:p>
    <w:p w14:paraId="483BFE42" w14:textId="77777777" w:rsidR="000F2D71" w:rsidRPr="000F2D71" w:rsidRDefault="000F2D71" w:rsidP="000F2D71">
      <w:pPr>
        <w:pStyle w:val="af1"/>
        <w:rPr>
          <w:rFonts w:ascii="Arial" w:hAnsi="Arial" w:cs="Arial"/>
          <w:sz w:val="24"/>
          <w:lang w:val="en-US"/>
        </w:rPr>
      </w:pPr>
      <w:proofErr w:type="spellStart"/>
      <w:r w:rsidRPr="000F2D71">
        <w:rPr>
          <w:rFonts w:ascii="Arial" w:hAnsi="Arial" w:cs="Arial"/>
          <w:sz w:val="24"/>
          <w:lang w:val="en-US"/>
        </w:rPr>
        <w:t>Renyaan</w:t>
      </w:r>
      <w:proofErr w:type="spellEnd"/>
      <w:r w:rsidRPr="000F2D71">
        <w:rPr>
          <w:rFonts w:ascii="Arial" w:hAnsi="Arial" w:cs="Arial"/>
          <w:sz w:val="24"/>
          <w:lang w:val="en-US"/>
        </w:rPr>
        <w:t xml:space="preserve">, A. and </w:t>
      </w:r>
      <w:proofErr w:type="spellStart"/>
      <w:r w:rsidRPr="000F2D71">
        <w:rPr>
          <w:rFonts w:ascii="Arial" w:hAnsi="Arial" w:cs="Arial"/>
          <w:sz w:val="24"/>
          <w:lang w:val="en-US"/>
        </w:rPr>
        <w:t>Nastiar</w:t>
      </w:r>
      <w:proofErr w:type="spellEnd"/>
      <w:r w:rsidRPr="000F2D71">
        <w:rPr>
          <w:rFonts w:ascii="Arial" w:hAnsi="Arial" w:cs="Arial"/>
          <w:sz w:val="24"/>
          <w:lang w:val="en-US"/>
        </w:rPr>
        <w:t>, M.F. (2025) ‘MAINTAINING NARRATIVE CONSISTENCY AND BRAND IDENTITY ON WEBSITES, SOCIAL MEDIA, EMAIL, AND MARKETPLACES: A SYSTEMATIC LITERATURE REVIEW FOR BUILDING TRUST AND BRAND RECOGNITION’, 2, pp. 2438–2447.</w:t>
      </w:r>
    </w:p>
    <w:p w14:paraId="4095F488" w14:textId="468E3958"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Tray (2025) </w:t>
      </w:r>
      <w:r w:rsidRPr="000F2D71">
        <w:rPr>
          <w:rFonts w:ascii="Arial" w:hAnsi="Arial" w:cs="Arial"/>
          <w:i/>
          <w:iCs/>
          <w:sz w:val="24"/>
          <w:lang w:val="en-US"/>
        </w:rPr>
        <w:t xml:space="preserve">How Is Audi Revolutionizing Its Supply Chain and Logistics </w:t>
      </w:r>
      <w:proofErr w:type="gramStart"/>
      <w:r w:rsidRPr="000F2D71">
        <w:rPr>
          <w:rFonts w:ascii="Arial" w:hAnsi="Arial" w:cs="Arial"/>
          <w:i/>
          <w:iCs/>
          <w:sz w:val="24"/>
          <w:lang w:val="en-US"/>
        </w:rPr>
        <w:t>Strategy?</w:t>
      </w:r>
      <w:r w:rsidRPr="000F2D71">
        <w:rPr>
          <w:rFonts w:ascii="Arial" w:hAnsi="Arial" w:cs="Arial"/>
          <w:sz w:val="24"/>
          <w:lang w:val="en-US"/>
        </w:rPr>
        <w:t>,</w:t>
      </w:r>
      <w:proofErr w:type="gramEnd"/>
      <w:r w:rsidRPr="000F2D71">
        <w:rPr>
          <w:rFonts w:ascii="Arial" w:hAnsi="Arial" w:cs="Arial"/>
          <w:sz w:val="24"/>
          <w:lang w:val="en-US"/>
        </w:rPr>
        <w:t xml:space="preserve"> </w:t>
      </w:r>
      <w:r w:rsidRPr="000F2D71">
        <w:rPr>
          <w:rFonts w:ascii="Arial" w:hAnsi="Arial" w:cs="Arial"/>
          <w:i/>
          <w:iCs/>
          <w:sz w:val="24"/>
          <w:lang w:val="en-US"/>
        </w:rPr>
        <w:t>Business Management Curated</w:t>
      </w:r>
      <w:r w:rsidRPr="000F2D71">
        <w:rPr>
          <w:rFonts w:ascii="Arial" w:hAnsi="Arial" w:cs="Arial"/>
          <w:sz w:val="24"/>
          <w:lang w:val="en-US"/>
        </w:rPr>
        <w:t>. Available at: https://managementcurated.com/operations/how-is-audi-revolutionizing-its-supply-chain-and-logistics-strategy/ (Accessed: 2</w:t>
      </w:r>
      <w:r w:rsidR="008856A5">
        <w:rPr>
          <w:rFonts w:ascii="Arial" w:hAnsi="Arial" w:cs="Arial" w:hint="eastAsia"/>
          <w:sz w:val="24"/>
          <w:lang w:val="en-US"/>
        </w:rPr>
        <w:t>4</w:t>
      </w:r>
      <w:r w:rsidRPr="000F2D71">
        <w:rPr>
          <w:rFonts w:ascii="Arial" w:hAnsi="Arial" w:cs="Arial"/>
          <w:sz w:val="24"/>
          <w:lang w:val="en-US"/>
        </w:rPr>
        <w:t xml:space="preserve"> March 2026).</w:t>
      </w:r>
    </w:p>
    <w:p w14:paraId="53D2D4FB" w14:textId="40ADBABB" w:rsidR="000F2D71" w:rsidRPr="000F2D71" w:rsidRDefault="000F2D71" w:rsidP="000F2D71">
      <w:pPr>
        <w:pStyle w:val="af1"/>
        <w:rPr>
          <w:rFonts w:ascii="Arial" w:hAnsi="Arial" w:cs="Arial"/>
          <w:sz w:val="24"/>
          <w:lang w:val="en-US"/>
        </w:rPr>
      </w:pPr>
      <w:r w:rsidRPr="000F2D71">
        <w:rPr>
          <w:rFonts w:ascii="Arial" w:hAnsi="Arial" w:cs="Arial"/>
          <w:i/>
          <w:iCs/>
          <w:sz w:val="24"/>
          <w:lang w:val="en-US"/>
        </w:rPr>
        <w:t>What Is Price Fluctuation Management? (+ 4 Causes)</w:t>
      </w:r>
      <w:r w:rsidRPr="000F2D71">
        <w:rPr>
          <w:rFonts w:ascii="Arial" w:hAnsi="Arial" w:cs="Arial"/>
          <w:sz w:val="24"/>
          <w:lang w:val="en-US"/>
        </w:rPr>
        <w:t xml:space="preserve"> (no date). Available at: https://www.spendflo.com/blog/price-fluctuation (Accessed: 2</w:t>
      </w:r>
      <w:r w:rsidR="008856A5">
        <w:rPr>
          <w:rFonts w:ascii="Arial" w:hAnsi="Arial" w:cs="Arial" w:hint="eastAsia"/>
          <w:sz w:val="24"/>
          <w:lang w:val="en-US"/>
        </w:rPr>
        <w:t>4</w:t>
      </w:r>
      <w:r w:rsidRPr="000F2D71">
        <w:rPr>
          <w:rFonts w:ascii="Arial" w:hAnsi="Arial" w:cs="Arial"/>
          <w:sz w:val="24"/>
          <w:lang w:val="en-US"/>
        </w:rPr>
        <w:t xml:space="preserve"> March 2026).</w:t>
      </w:r>
    </w:p>
    <w:p w14:paraId="5A417746"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Yang, M. </w:t>
      </w:r>
      <w:r w:rsidRPr="000F2D71">
        <w:rPr>
          <w:rFonts w:ascii="Arial" w:hAnsi="Arial" w:cs="Arial"/>
          <w:i/>
          <w:iCs/>
          <w:sz w:val="24"/>
          <w:lang w:val="en-US"/>
        </w:rPr>
        <w:t>et al.</w:t>
      </w:r>
      <w:r w:rsidRPr="000F2D71">
        <w:rPr>
          <w:rFonts w:ascii="Arial" w:hAnsi="Arial" w:cs="Arial"/>
          <w:sz w:val="24"/>
          <w:lang w:val="en-US"/>
        </w:rPr>
        <w:t xml:space="preserve"> (2023) ‘Supply chain risk management with machine learning technology: A literature review and future research directions’, </w:t>
      </w:r>
      <w:r w:rsidRPr="000F2D71">
        <w:rPr>
          <w:rFonts w:ascii="Arial" w:hAnsi="Arial" w:cs="Arial"/>
          <w:i/>
          <w:iCs/>
          <w:sz w:val="24"/>
          <w:lang w:val="en-US"/>
        </w:rPr>
        <w:t>Computers &amp; Industrial Engineering</w:t>
      </w:r>
      <w:r w:rsidRPr="000F2D71">
        <w:rPr>
          <w:rFonts w:ascii="Arial" w:hAnsi="Arial" w:cs="Arial"/>
          <w:sz w:val="24"/>
          <w:lang w:val="en-US"/>
        </w:rPr>
        <w:t>, 175, p. 108859. Available at: https://doi.org/10.1016/j.cie.2022.108859.</w:t>
      </w:r>
    </w:p>
    <w:p w14:paraId="1C89AD52" w14:textId="77777777" w:rsidR="000F2D71" w:rsidRPr="000F2D71" w:rsidRDefault="000F2D71" w:rsidP="000F2D71">
      <w:pPr>
        <w:pStyle w:val="af1"/>
        <w:rPr>
          <w:rFonts w:ascii="Arial" w:hAnsi="Arial" w:cs="Arial"/>
          <w:sz w:val="24"/>
          <w:lang w:val="en-US"/>
        </w:rPr>
      </w:pPr>
      <w:r w:rsidRPr="000F2D71">
        <w:rPr>
          <w:rFonts w:ascii="Arial" w:hAnsi="Arial" w:cs="Arial"/>
          <w:sz w:val="24"/>
          <w:lang w:val="en-US"/>
        </w:rPr>
        <w:t xml:space="preserve">Zhang, </w:t>
      </w:r>
      <w:proofErr w:type="spellStart"/>
      <w:r w:rsidRPr="000F2D71">
        <w:rPr>
          <w:rFonts w:ascii="Arial" w:hAnsi="Arial" w:cs="Arial"/>
          <w:sz w:val="24"/>
          <w:lang w:val="en-US"/>
        </w:rPr>
        <w:t>Shihui</w:t>
      </w:r>
      <w:proofErr w:type="spellEnd"/>
      <w:r w:rsidRPr="000F2D71">
        <w:rPr>
          <w:rFonts w:ascii="Arial" w:hAnsi="Arial" w:cs="Arial"/>
          <w:sz w:val="24"/>
          <w:lang w:val="en-US"/>
        </w:rPr>
        <w:t xml:space="preserve"> </w:t>
      </w:r>
      <w:r w:rsidRPr="000F2D71">
        <w:rPr>
          <w:rFonts w:ascii="Arial" w:hAnsi="Arial" w:cs="Arial"/>
          <w:i/>
          <w:iCs/>
          <w:sz w:val="24"/>
          <w:lang w:val="en-US"/>
        </w:rPr>
        <w:t>et al.</w:t>
      </w:r>
      <w:r w:rsidRPr="000F2D71">
        <w:rPr>
          <w:rFonts w:ascii="Arial" w:hAnsi="Arial" w:cs="Arial"/>
          <w:sz w:val="24"/>
          <w:lang w:val="en-US"/>
        </w:rPr>
        <w:t xml:space="preserve"> (2025) ‘Global readiness for carbon neutrality: From targets to action’, </w:t>
      </w:r>
      <w:r w:rsidRPr="000F2D71">
        <w:rPr>
          <w:rFonts w:ascii="Arial" w:hAnsi="Arial" w:cs="Arial"/>
          <w:i/>
          <w:iCs/>
          <w:sz w:val="24"/>
          <w:lang w:val="en-US"/>
        </w:rPr>
        <w:t>Environmental Science and Ecotechnology</w:t>
      </w:r>
      <w:r w:rsidRPr="000F2D71">
        <w:rPr>
          <w:rFonts w:ascii="Arial" w:hAnsi="Arial" w:cs="Arial"/>
          <w:sz w:val="24"/>
          <w:lang w:val="en-US"/>
        </w:rPr>
        <w:t>, 25, p. 100546. Available at: https://doi.org/10.1016/j.ese.2025.100546.</w:t>
      </w:r>
    </w:p>
    <w:p w14:paraId="03BC09C2" w14:textId="68CAE40D" w:rsidR="000A03AD" w:rsidRPr="0017482A" w:rsidRDefault="00A25A27" w:rsidP="000F2D71">
      <w:pPr>
        <w:pStyle w:val="af1"/>
        <w:rPr>
          <w:rFonts w:ascii="Arial" w:hAnsi="Arial" w:cs="Arial" w:hint="eastAsia"/>
          <w:sz w:val="24"/>
          <w:lang w:val="en-US"/>
        </w:rPr>
      </w:pPr>
      <w:r>
        <w:rPr>
          <w:rFonts w:ascii="Arial" w:hAnsi="Arial" w:cs="Arial"/>
          <w:sz w:val="24"/>
          <w:lang w:val="en-US"/>
        </w:rPr>
        <w:lastRenderedPageBreak/>
        <w:fldChar w:fldCharType="end"/>
      </w:r>
    </w:p>
    <w:sectPr w:rsidR="000A03AD" w:rsidRPr="0017482A" w:rsidSect="00D02045">
      <w:footerReference w:type="even" r:id="rId8"/>
      <w:footerReference w:type="default" r:id="rId9"/>
      <w:pgSz w:w="12240" w:h="15840"/>
      <w:pgMar w:top="1440" w:right="1800" w:bottom="1440" w:left="180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7E203" w14:textId="77777777" w:rsidR="00B159A9" w:rsidRDefault="00B159A9" w:rsidP="00D02045">
      <w:pPr>
        <w:spacing w:after="0" w:line="240" w:lineRule="auto"/>
      </w:pPr>
      <w:r>
        <w:separator/>
      </w:r>
    </w:p>
  </w:endnote>
  <w:endnote w:type="continuationSeparator" w:id="0">
    <w:p w14:paraId="4FE7ED75" w14:textId="77777777" w:rsidR="00B159A9" w:rsidRDefault="00B159A9" w:rsidP="00D02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0"/>
      </w:rPr>
      <w:id w:val="890153813"/>
      <w:docPartObj>
        <w:docPartGallery w:val="Page Numbers (Bottom of Page)"/>
        <w:docPartUnique/>
      </w:docPartObj>
    </w:sdtPr>
    <w:sdtContent>
      <w:p w14:paraId="2821E9DA" w14:textId="1B51571B" w:rsidR="00D02045" w:rsidRDefault="00D02045" w:rsidP="001B2EB9">
        <w:pPr>
          <w:pStyle w:val="ae"/>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rPr>
          <w:fldChar w:fldCharType="end"/>
        </w:r>
      </w:p>
    </w:sdtContent>
  </w:sdt>
  <w:p w14:paraId="7110AF4C" w14:textId="77777777" w:rsidR="00D02045" w:rsidRDefault="00D02045">
    <w:pPr>
      <w:pStyle w:val="a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0"/>
      </w:rPr>
      <w:id w:val="2010636529"/>
      <w:docPartObj>
        <w:docPartGallery w:val="Page Numbers (Bottom of Page)"/>
        <w:docPartUnique/>
      </w:docPartObj>
    </w:sdtPr>
    <w:sdtContent>
      <w:p w14:paraId="1E4BC0C6" w14:textId="6EC3CB97" w:rsidR="00D02045" w:rsidRDefault="00D02045" w:rsidP="001B2EB9">
        <w:pPr>
          <w:pStyle w:val="ae"/>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noProof/>
          </w:rPr>
          <w:t>2</w:t>
        </w:r>
        <w:r>
          <w:rPr>
            <w:rStyle w:val="af0"/>
          </w:rPr>
          <w:fldChar w:fldCharType="end"/>
        </w:r>
      </w:p>
    </w:sdtContent>
  </w:sdt>
  <w:p w14:paraId="7CB747D5" w14:textId="77777777" w:rsidR="00D02045" w:rsidRDefault="00D02045">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43B5C" w14:textId="77777777" w:rsidR="00B159A9" w:rsidRDefault="00B159A9" w:rsidP="00D02045">
      <w:pPr>
        <w:spacing w:after="0" w:line="240" w:lineRule="auto"/>
      </w:pPr>
      <w:r>
        <w:separator/>
      </w:r>
    </w:p>
  </w:footnote>
  <w:footnote w:type="continuationSeparator" w:id="0">
    <w:p w14:paraId="4C1BC56C" w14:textId="77777777" w:rsidR="00B159A9" w:rsidRDefault="00B159A9" w:rsidP="00D020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EFA"/>
    <w:rsid w:val="000A03AD"/>
    <w:rsid w:val="000B4EB5"/>
    <w:rsid w:val="000F2D71"/>
    <w:rsid w:val="00120B4B"/>
    <w:rsid w:val="00124EDA"/>
    <w:rsid w:val="0017482A"/>
    <w:rsid w:val="001A646B"/>
    <w:rsid w:val="002231BB"/>
    <w:rsid w:val="002645A0"/>
    <w:rsid w:val="002A38FC"/>
    <w:rsid w:val="002D09FC"/>
    <w:rsid w:val="002D1A4B"/>
    <w:rsid w:val="002E469E"/>
    <w:rsid w:val="002F78BD"/>
    <w:rsid w:val="0030622A"/>
    <w:rsid w:val="003311BA"/>
    <w:rsid w:val="00340BFC"/>
    <w:rsid w:val="003C07A0"/>
    <w:rsid w:val="00445178"/>
    <w:rsid w:val="004C007E"/>
    <w:rsid w:val="004D4724"/>
    <w:rsid w:val="00510041"/>
    <w:rsid w:val="00521781"/>
    <w:rsid w:val="00523168"/>
    <w:rsid w:val="005355E6"/>
    <w:rsid w:val="005A13DB"/>
    <w:rsid w:val="005B2DF4"/>
    <w:rsid w:val="005C010C"/>
    <w:rsid w:val="005C23F1"/>
    <w:rsid w:val="00606CA7"/>
    <w:rsid w:val="0067498F"/>
    <w:rsid w:val="00677B60"/>
    <w:rsid w:val="00694D6D"/>
    <w:rsid w:val="006C0193"/>
    <w:rsid w:val="00703874"/>
    <w:rsid w:val="00726DC6"/>
    <w:rsid w:val="0076492C"/>
    <w:rsid w:val="007807DF"/>
    <w:rsid w:val="0079306F"/>
    <w:rsid w:val="007A0208"/>
    <w:rsid w:val="007B565A"/>
    <w:rsid w:val="008076AB"/>
    <w:rsid w:val="00823B35"/>
    <w:rsid w:val="00867198"/>
    <w:rsid w:val="008856A5"/>
    <w:rsid w:val="008C383D"/>
    <w:rsid w:val="008D0C5D"/>
    <w:rsid w:val="008D11F2"/>
    <w:rsid w:val="008E68C1"/>
    <w:rsid w:val="0093780E"/>
    <w:rsid w:val="00960382"/>
    <w:rsid w:val="009C4B0C"/>
    <w:rsid w:val="009D5EA8"/>
    <w:rsid w:val="00A1655F"/>
    <w:rsid w:val="00A25A27"/>
    <w:rsid w:val="00A31CD0"/>
    <w:rsid w:val="00A52304"/>
    <w:rsid w:val="00A720C0"/>
    <w:rsid w:val="00A769F2"/>
    <w:rsid w:val="00AB772A"/>
    <w:rsid w:val="00AF6705"/>
    <w:rsid w:val="00B159A9"/>
    <w:rsid w:val="00B2325F"/>
    <w:rsid w:val="00BA4AEB"/>
    <w:rsid w:val="00BB0692"/>
    <w:rsid w:val="00BD5FFE"/>
    <w:rsid w:val="00BE2E52"/>
    <w:rsid w:val="00C07CC2"/>
    <w:rsid w:val="00C91AE6"/>
    <w:rsid w:val="00C97C5F"/>
    <w:rsid w:val="00CA1D2C"/>
    <w:rsid w:val="00CA7838"/>
    <w:rsid w:val="00CC0152"/>
    <w:rsid w:val="00D02045"/>
    <w:rsid w:val="00D2087D"/>
    <w:rsid w:val="00D91EFA"/>
    <w:rsid w:val="00DE4C9B"/>
    <w:rsid w:val="00E51FFA"/>
    <w:rsid w:val="00E61206"/>
    <w:rsid w:val="00EA47F7"/>
    <w:rsid w:val="00EF2F03"/>
    <w:rsid w:val="00FE6C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0EACD0D"/>
  <w15:chartTrackingRefBased/>
  <w15:docId w15:val="{6CE4ECF8-8800-3046-8EE7-0BEEA4494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2325F"/>
    <w:pPr>
      <w:widowControl w:val="0"/>
    </w:pPr>
    <w:rPr>
      <w:lang w:val="en-GB"/>
    </w:rPr>
  </w:style>
  <w:style w:type="paragraph" w:styleId="1">
    <w:name w:val="heading 1"/>
    <w:basedOn w:val="a"/>
    <w:next w:val="a"/>
    <w:link w:val="10"/>
    <w:uiPriority w:val="9"/>
    <w:qFormat/>
    <w:rsid w:val="00D91EF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D91EF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D91EF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91EFA"/>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91EFA"/>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91EFA"/>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91EFA"/>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91EFA"/>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D91EFA"/>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91EFA"/>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D91EFA"/>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semiHidden/>
    <w:rsid w:val="00D91EFA"/>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D91EFA"/>
    <w:rPr>
      <w:rFonts w:cstheme="majorBidi"/>
      <w:color w:val="0F4761" w:themeColor="accent1" w:themeShade="BF"/>
      <w:sz w:val="28"/>
      <w:szCs w:val="28"/>
      <w:lang w:val="en-GB"/>
    </w:rPr>
  </w:style>
  <w:style w:type="character" w:customStyle="1" w:styleId="50">
    <w:name w:val="标题 5 字符"/>
    <w:basedOn w:val="a0"/>
    <w:link w:val="5"/>
    <w:uiPriority w:val="9"/>
    <w:semiHidden/>
    <w:rsid w:val="00D91EFA"/>
    <w:rPr>
      <w:rFonts w:cstheme="majorBidi"/>
      <w:color w:val="0F4761" w:themeColor="accent1" w:themeShade="BF"/>
      <w:sz w:val="24"/>
      <w:lang w:val="en-GB"/>
    </w:rPr>
  </w:style>
  <w:style w:type="character" w:customStyle="1" w:styleId="60">
    <w:name w:val="标题 6 字符"/>
    <w:basedOn w:val="a0"/>
    <w:link w:val="6"/>
    <w:uiPriority w:val="9"/>
    <w:semiHidden/>
    <w:rsid w:val="00D91EFA"/>
    <w:rPr>
      <w:rFonts w:cstheme="majorBidi"/>
      <w:b/>
      <w:bCs/>
      <w:color w:val="0F4761" w:themeColor="accent1" w:themeShade="BF"/>
      <w:lang w:val="en-GB"/>
    </w:rPr>
  </w:style>
  <w:style w:type="character" w:customStyle="1" w:styleId="70">
    <w:name w:val="标题 7 字符"/>
    <w:basedOn w:val="a0"/>
    <w:link w:val="7"/>
    <w:uiPriority w:val="9"/>
    <w:semiHidden/>
    <w:rsid w:val="00D91EFA"/>
    <w:rPr>
      <w:rFonts w:cstheme="majorBidi"/>
      <w:b/>
      <w:bCs/>
      <w:color w:val="595959" w:themeColor="text1" w:themeTint="A6"/>
      <w:lang w:val="en-GB"/>
    </w:rPr>
  </w:style>
  <w:style w:type="character" w:customStyle="1" w:styleId="80">
    <w:name w:val="标题 8 字符"/>
    <w:basedOn w:val="a0"/>
    <w:link w:val="8"/>
    <w:uiPriority w:val="9"/>
    <w:semiHidden/>
    <w:rsid w:val="00D91EFA"/>
    <w:rPr>
      <w:rFonts w:cstheme="majorBidi"/>
      <w:color w:val="595959" w:themeColor="text1" w:themeTint="A6"/>
      <w:lang w:val="en-GB"/>
    </w:rPr>
  </w:style>
  <w:style w:type="character" w:customStyle="1" w:styleId="90">
    <w:name w:val="标题 9 字符"/>
    <w:basedOn w:val="a0"/>
    <w:link w:val="9"/>
    <w:uiPriority w:val="9"/>
    <w:semiHidden/>
    <w:rsid w:val="00D91EFA"/>
    <w:rPr>
      <w:rFonts w:eastAsiaTheme="majorEastAsia" w:cstheme="majorBidi"/>
      <w:color w:val="595959" w:themeColor="text1" w:themeTint="A6"/>
      <w:lang w:val="en-GB"/>
    </w:rPr>
  </w:style>
  <w:style w:type="paragraph" w:styleId="a3">
    <w:name w:val="Title"/>
    <w:basedOn w:val="a"/>
    <w:next w:val="a"/>
    <w:link w:val="a4"/>
    <w:uiPriority w:val="10"/>
    <w:qFormat/>
    <w:rsid w:val="00D91EF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91EFA"/>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D91EF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91EFA"/>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D91EFA"/>
    <w:pPr>
      <w:spacing w:before="160"/>
      <w:jc w:val="center"/>
    </w:pPr>
    <w:rPr>
      <w:i/>
      <w:iCs/>
      <w:color w:val="404040" w:themeColor="text1" w:themeTint="BF"/>
    </w:rPr>
  </w:style>
  <w:style w:type="character" w:customStyle="1" w:styleId="a8">
    <w:name w:val="引用 字符"/>
    <w:basedOn w:val="a0"/>
    <w:link w:val="a7"/>
    <w:uiPriority w:val="29"/>
    <w:rsid w:val="00D91EFA"/>
    <w:rPr>
      <w:i/>
      <w:iCs/>
      <w:color w:val="404040" w:themeColor="text1" w:themeTint="BF"/>
      <w:lang w:val="en-GB"/>
    </w:rPr>
  </w:style>
  <w:style w:type="paragraph" w:styleId="a9">
    <w:name w:val="List Paragraph"/>
    <w:basedOn w:val="a"/>
    <w:uiPriority w:val="34"/>
    <w:qFormat/>
    <w:rsid w:val="00D91EFA"/>
    <w:pPr>
      <w:ind w:left="720"/>
      <w:contextualSpacing/>
    </w:pPr>
  </w:style>
  <w:style w:type="character" w:styleId="aa">
    <w:name w:val="Intense Emphasis"/>
    <w:basedOn w:val="a0"/>
    <w:uiPriority w:val="21"/>
    <w:qFormat/>
    <w:rsid w:val="00D91EFA"/>
    <w:rPr>
      <w:i/>
      <w:iCs/>
      <w:color w:val="0F4761" w:themeColor="accent1" w:themeShade="BF"/>
    </w:rPr>
  </w:style>
  <w:style w:type="paragraph" w:styleId="ab">
    <w:name w:val="Intense Quote"/>
    <w:basedOn w:val="a"/>
    <w:next w:val="a"/>
    <w:link w:val="ac"/>
    <w:uiPriority w:val="30"/>
    <w:qFormat/>
    <w:rsid w:val="00D91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91EFA"/>
    <w:rPr>
      <w:i/>
      <w:iCs/>
      <w:color w:val="0F4761" w:themeColor="accent1" w:themeShade="BF"/>
      <w:lang w:val="en-GB"/>
    </w:rPr>
  </w:style>
  <w:style w:type="character" w:styleId="ad">
    <w:name w:val="Intense Reference"/>
    <w:basedOn w:val="a0"/>
    <w:uiPriority w:val="32"/>
    <w:qFormat/>
    <w:rsid w:val="00D91EFA"/>
    <w:rPr>
      <w:b/>
      <w:bCs/>
      <w:smallCaps/>
      <w:color w:val="0F4761" w:themeColor="accent1" w:themeShade="BF"/>
      <w:spacing w:val="5"/>
    </w:rPr>
  </w:style>
  <w:style w:type="paragraph" w:styleId="ae">
    <w:name w:val="footer"/>
    <w:basedOn w:val="a"/>
    <w:link w:val="af"/>
    <w:uiPriority w:val="99"/>
    <w:unhideWhenUsed/>
    <w:rsid w:val="00D02045"/>
    <w:pPr>
      <w:tabs>
        <w:tab w:val="center" w:pos="4153"/>
        <w:tab w:val="right" w:pos="8306"/>
      </w:tabs>
      <w:snapToGrid w:val="0"/>
      <w:spacing w:line="240" w:lineRule="auto"/>
    </w:pPr>
    <w:rPr>
      <w:sz w:val="18"/>
      <w:szCs w:val="18"/>
    </w:rPr>
  </w:style>
  <w:style w:type="character" w:customStyle="1" w:styleId="af">
    <w:name w:val="页脚 字符"/>
    <w:basedOn w:val="a0"/>
    <w:link w:val="ae"/>
    <w:uiPriority w:val="99"/>
    <w:rsid w:val="00D02045"/>
    <w:rPr>
      <w:sz w:val="18"/>
      <w:szCs w:val="18"/>
      <w:lang w:val="en-GB"/>
    </w:rPr>
  </w:style>
  <w:style w:type="character" w:styleId="af0">
    <w:name w:val="page number"/>
    <w:basedOn w:val="a0"/>
    <w:uiPriority w:val="99"/>
    <w:semiHidden/>
    <w:unhideWhenUsed/>
    <w:rsid w:val="00D02045"/>
  </w:style>
  <w:style w:type="paragraph" w:styleId="af1">
    <w:name w:val="Bibliography"/>
    <w:basedOn w:val="a"/>
    <w:next w:val="a"/>
    <w:uiPriority w:val="37"/>
    <w:unhideWhenUsed/>
    <w:rsid w:val="00A25A27"/>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8590</Words>
  <Characters>48968</Characters>
  <Application>Microsoft Office Word</Application>
  <DocSecurity>0</DocSecurity>
  <Lines>408</Lines>
  <Paragraphs>114</Paragraphs>
  <ScaleCrop>false</ScaleCrop>
  <Company/>
  <LinksUpToDate>false</LinksUpToDate>
  <CharactersWithSpaces>57444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Jinqi Sha (2502887)</dc:creator>
  <cp:keywords/>
  <dc:description/>
  <cp:lastModifiedBy>Jinqi Sha (2502887)</cp:lastModifiedBy>
  <cp:revision>2</cp:revision>
  <dcterms:created xsi:type="dcterms:W3CDTF">2026-03-27T06:51:00Z</dcterms:created>
  <dcterms:modified xsi:type="dcterms:W3CDTF">2026-03-27T06:51:00Z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id="MCDMI1b3"/&gt;&lt;style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