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1.xml" ContentType="application/vnd.openxmlformats-officedocument.themeOverride+xml"/>
  <Override PartName="/word/charts/chartEx1.xml" ContentType="application/vnd.ms-office.chartex+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12DEB5" w14:textId="77777777" w:rsidR="003753CD" w:rsidRPr="006C3B26" w:rsidRDefault="003753CD">
      <w:pPr>
        <w:rPr>
          <w:rFonts w:asciiTheme="majorHAnsi" w:hAnsiTheme="majorHAnsi"/>
          <w:sz w:val="26"/>
          <w:szCs w:val="26"/>
        </w:rPr>
      </w:pPr>
      <w:r w:rsidRPr="006C3B26">
        <w:rPr>
          <w:rFonts w:asciiTheme="majorHAnsi" w:hAnsiTheme="majorHAnsi"/>
          <w:sz w:val="26"/>
          <w:szCs w:val="26"/>
        </w:rPr>
        <w:t>CIPD Level 5</w:t>
      </w:r>
    </w:p>
    <w:p w14:paraId="239D4604" w14:textId="09EF7973" w:rsidR="003753CD" w:rsidRPr="006C3B26" w:rsidRDefault="003753CD">
      <w:pPr>
        <w:rPr>
          <w:rFonts w:asciiTheme="majorHAnsi" w:hAnsiTheme="majorHAnsi"/>
          <w:sz w:val="26"/>
          <w:szCs w:val="26"/>
        </w:rPr>
      </w:pPr>
      <w:r w:rsidRPr="006C3B26">
        <w:rPr>
          <w:rFonts w:asciiTheme="majorHAnsi" w:hAnsiTheme="majorHAnsi"/>
          <w:sz w:val="26"/>
          <w:szCs w:val="26"/>
        </w:rPr>
        <w:t>Laura Luff</w:t>
      </w:r>
    </w:p>
    <w:p w14:paraId="7C41C9ED" w14:textId="0F83098C" w:rsidR="003753CD" w:rsidRPr="006C3B26" w:rsidRDefault="003753CD">
      <w:pPr>
        <w:rPr>
          <w:rFonts w:asciiTheme="majorHAnsi" w:hAnsiTheme="majorHAnsi"/>
          <w:sz w:val="26"/>
          <w:szCs w:val="26"/>
        </w:rPr>
      </w:pPr>
      <w:r w:rsidRPr="006C3B26">
        <w:rPr>
          <w:rFonts w:asciiTheme="majorHAnsi" w:hAnsiTheme="majorHAnsi"/>
          <w:sz w:val="26"/>
          <w:szCs w:val="26"/>
        </w:rPr>
        <w:t>Cohort 12</w:t>
      </w:r>
    </w:p>
    <w:p w14:paraId="7344148B" w14:textId="77777777" w:rsidR="00722F0E" w:rsidRPr="006C3B26" w:rsidRDefault="00722F0E">
      <w:pPr>
        <w:rPr>
          <w:rFonts w:asciiTheme="majorHAnsi" w:hAnsiTheme="majorHAnsi"/>
          <w:sz w:val="26"/>
          <w:szCs w:val="26"/>
        </w:rPr>
      </w:pPr>
    </w:p>
    <w:p w14:paraId="29A8CDA4" w14:textId="77777777" w:rsidR="00722F0E" w:rsidRPr="006C3B26" w:rsidRDefault="00722F0E">
      <w:pPr>
        <w:rPr>
          <w:rFonts w:asciiTheme="majorHAnsi" w:hAnsiTheme="majorHAnsi"/>
          <w:sz w:val="26"/>
          <w:szCs w:val="26"/>
        </w:rPr>
      </w:pPr>
    </w:p>
    <w:p w14:paraId="4E1E8489" w14:textId="77777777" w:rsidR="00722F0E" w:rsidRPr="006C3B26" w:rsidRDefault="00722F0E">
      <w:pPr>
        <w:rPr>
          <w:rFonts w:asciiTheme="majorHAnsi" w:hAnsiTheme="majorHAnsi"/>
          <w:sz w:val="26"/>
          <w:szCs w:val="26"/>
        </w:rPr>
      </w:pPr>
    </w:p>
    <w:p w14:paraId="421D09FA" w14:textId="77777777" w:rsidR="00722F0E" w:rsidRPr="006C3B26" w:rsidRDefault="00722F0E">
      <w:pPr>
        <w:rPr>
          <w:rFonts w:asciiTheme="majorHAnsi" w:hAnsiTheme="majorHAnsi"/>
          <w:sz w:val="26"/>
          <w:szCs w:val="26"/>
        </w:rPr>
      </w:pPr>
    </w:p>
    <w:p w14:paraId="0284F42B" w14:textId="77777777" w:rsidR="00722F0E" w:rsidRPr="006C3B26" w:rsidRDefault="00722F0E">
      <w:pPr>
        <w:rPr>
          <w:rFonts w:asciiTheme="majorHAnsi" w:hAnsiTheme="majorHAnsi"/>
          <w:sz w:val="26"/>
          <w:szCs w:val="26"/>
        </w:rPr>
      </w:pPr>
    </w:p>
    <w:p w14:paraId="754FE9AB" w14:textId="77777777" w:rsidR="00722F0E" w:rsidRPr="006C3B26" w:rsidRDefault="00722F0E">
      <w:pPr>
        <w:rPr>
          <w:rFonts w:asciiTheme="majorHAnsi" w:hAnsiTheme="majorHAnsi"/>
          <w:sz w:val="26"/>
          <w:szCs w:val="26"/>
        </w:rPr>
      </w:pPr>
    </w:p>
    <w:p w14:paraId="2664EA29" w14:textId="77777777" w:rsidR="00722F0E" w:rsidRPr="006C3B26" w:rsidRDefault="00722F0E">
      <w:pPr>
        <w:rPr>
          <w:rFonts w:asciiTheme="majorHAnsi" w:hAnsiTheme="majorHAnsi"/>
          <w:sz w:val="26"/>
          <w:szCs w:val="26"/>
        </w:rPr>
      </w:pPr>
    </w:p>
    <w:p w14:paraId="7D8D6BCE" w14:textId="77777777" w:rsidR="00722F0E" w:rsidRPr="006C3B26" w:rsidRDefault="00722F0E">
      <w:pPr>
        <w:rPr>
          <w:rFonts w:asciiTheme="majorHAnsi" w:hAnsiTheme="majorHAnsi"/>
          <w:sz w:val="26"/>
          <w:szCs w:val="26"/>
        </w:rPr>
      </w:pPr>
    </w:p>
    <w:p w14:paraId="4B269993" w14:textId="77777777" w:rsidR="00722F0E" w:rsidRPr="006C3B26" w:rsidRDefault="00722F0E">
      <w:pPr>
        <w:rPr>
          <w:rFonts w:asciiTheme="majorHAnsi" w:hAnsiTheme="majorHAnsi"/>
          <w:sz w:val="26"/>
          <w:szCs w:val="26"/>
        </w:rPr>
      </w:pPr>
    </w:p>
    <w:p w14:paraId="4E08BC10" w14:textId="77777777" w:rsidR="00722F0E" w:rsidRPr="006C3B26" w:rsidRDefault="00722F0E">
      <w:pPr>
        <w:rPr>
          <w:rFonts w:asciiTheme="majorHAnsi" w:hAnsiTheme="majorHAnsi"/>
          <w:sz w:val="26"/>
          <w:szCs w:val="26"/>
        </w:rPr>
      </w:pPr>
    </w:p>
    <w:p w14:paraId="2E74FA0F" w14:textId="77777777" w:rsidR="00722F0E" w:rsidRPr="006C3B26" w:rsidRDefault="00722F0E">
      <w:pPr>
        <w:rPr>
          <w:rFonts w:asciiTheme="majorHAnsi" w:hAnsiTheme="majorHAnsi"/>
          <w:sz w:val="26"/>
          <w:szCs w:val="26"/>
        </w:rPr>
      </w:pPr>
    </w:p>
    <w:p w14:paraId="055BD99C" w14:textId="77777777" w:rsidR="00722F0E" w:rsidRPr="006C3B26" w:rsidRDefault="00722F0E">
      <w:pPr>
        <w:rPr>
          <w:rFonts w:asciiTheme="majorHAnsi" w:hAnsiTheme="majorHAnsi"/>
          <w:sz w:val="26"/>
          <w:szCs w:val="26"/>
        </w:rPr>
      </w:pPr>
    </w:p>
    <w:p w14:paraId="3AF16593" w14:textId="77777777" w:rsidR="00722F0E" w:rsidRPr="006C3B26" w:rsidRDefault="00722F0E">
      <w:pPr>
        <w:rPr>
          <w:rFonts w:asciiTheme="majorHAnsi" w:hAnsiTheme="majorHAnsi"/>
          <w:sz w:val="26"/>
          <w:szCs w:val="26"/>
        </w:rPr>
      </w:pPr>
    </w:p>
    <w:p w14:paraId="7F29FBB7" w14:textId="77777777" w:rsidR="00722F0E" w:rsidRPr="006C3B26" w:rsidRDefault="00722F0E">
      <w:pPr>
        <w:rPr>
          <w:rFonts w:asciiTheme="majorHAnsi" w:hAnsiTheme="majorHAnsi"/>
          <w:sz w:val="26"/>
          <w:szCs w:val="26"/>
        </w:rPr>
      </w:pPr>
    </w:p>
    <w:p w14:paraId="15C9E73D" w14:textId="77777777" w:rsidR="00722F0E" w:rsidRPr="006C3B26" w:rsidRDefault="00722F0E">
      <w:pPr>
        <w:rPr>
          <w:rFonts w:asciiTheme="majorHAnsi" w:hAnsiTheme="majorHAnsi"/>
          <w:sz w:val="26"/>
          <w:szCs w:val="26"/>
        </w:rPr>
      </w:pPr>
    </w:p>
    <w:p w14:paraId="35320BD3" w14:textId="77777777" w:rsidR="00722F0E" w:rsidRPr="006C3B26" w:rsidRDefault="00722F0E">
      <w:pPr>
        <w:rPr>
          <w:rFonts w:asciiTheme="majorHAnsi" w:hAnsiTheme="majorHAnsi"/>
          <w:sz w:val="26"/>
          <w:szCs w:val="26"/>
        </w:rPr>
      </w:pPr>
    </w:p>
    <w:p w14:paraId="004FE523" w14:textId="77777777" w:rsidR="00722F0E" w:rsidRPr="006C3B26" w:rsidRDefault="00722F0E">
      <w:pPr>
        <w:rPr>
          <w:rFonts w:asciiTheme="majorHAnsi" w:hAnsiTheme="majorHAnsi"/>
          <w:sz w:val="26"/>
          <w:szCs w:val="26"/>
        </w:rPr>
      </w:pPr>
    </w:p>
    <w:p w14:paraId="31C68FAA" w14:textId="77777777" w:rsidR="00722F0E" w:rsidRPr="006C3B26" w:rsidRDefault="00722F0E">
      <w:pPr>
        <w:rPr>
          <w:rFonts w:asciiTheme="majorHAnsi" w:hAnsiTheme="majorHAnsi"/>
          <w:sz w:val="26"/>
          <w:szCs w:val="26"/>
        </w:rPr>
      </w:pPr>
    </w:p>
    <w:p w14:paraId="02651D24" w14:textId="77777777" w:rsidR="00722F0E" w:rsidRDefault="00722F0E">
      <w:pPr>
        <w:rPr>
          <w:rFonts w:asciiTheme="majorHAnsi" w:hAnsiTheme="majorHAnsi"/>
          <w:sz w:val="26"/>
          <w:szCs w:val="26"/>
        </w:rPr>
      </w:pPr>
    </w:p>
    <w:p w14:paraId="71C79463" w14:textId="77777777" w:rsidR="006C3B26" w:rsidRDefault="006C3B26">
      <w:pPr>
        <w:rPr>
          <w:rFonts w:asciiTheme="majorHAnsi" w:hAnsiTheme="majorHAnsi"/>
          <w:sz w:val="26"/>
          <w:szCs w:val="26"/>
        </w:rPr>
      </w:pPr>
    </w:p>
    <w:p w14:paraId="2F7DFA49" w14:textId="77777777" w:rsidR="006C3B26" w:rsidRDefault="006C3B26">
      <w:pPr>
        <w:rPr>
          <w:rFonts w:asciiTheme="majorHAnsi" w:hAnsiTheme="majorHAnsi"/>
          <w:sz w:val="26"/>
          <w:szCs w:val="26"/>
        </w:rPr>
      </w:pPr>
    </w:p>
    <w:p w14:paraId="47E958A0" w14:textId="77777777" w:rsidR="006C3B26" w:rsidRPr="006C3B26" w:rsidRDefault="006C3B26">
      <w:pPr>
        <w:rPr>
          <w:rFonts w:asciiTheme="majorHAnsi" w:hAnsiTheme="majorHAnsi"/>
          <w:sz w:val="26"/>
          <w:szCs w:val="26"/>
        </w:rPr>
      </w:pPr>
    </w:p>
    <w:p w14:paraId="64492590" w14:textId="77777777" w:rsidR="00722F0E" w:rsidRPr="006C3B26" w:rsidRDefault="00722F0E">
      <w:pPr>
        <w:rPr>
          <w:rFonts w:asciiTheme="majorHAnsi" w:hAnsiTheme="majorHAnsi"/>
          <w:sz w:val="26"/>
          <w:szCs w:val="26"/>
        </w:rPr>
      </w:pPr>
    </w:p>
    <w:p w14:paraId="6E53CE0F" w14:textId="3D5CB6F4" w:rsidR="00722F0E" w:rsidRPr="006C3B26" w:rsidRDefault="00722F0E">
      <w:pPr>
        <w:rPr>
          <w:rFonts w:asciiTheme="majorHAnsi" w:hAnsiTheme="majorHAnsi"/>
          <w:sz w:val="26"/>
          <w:szCs w:val="26"/>
        </w:rPr>
      </w:pPr>
      <w:r w:rsidRPr="006C3B26">
        <w:rPr>
          <w:rFonts w:asciiTheme="majorHAnsi" w:hAnsiTheme="majorHAnsi"/>
          <w:sz w:val="26"/>
          <w:szCs w:val="26"/>
        </w:rPr>
        <w:lastRenderedPageBreak/>
        <w:t xml:space="preserve">AC 1.1 </w:t>
      </w:r>
    </w:p>
    <w:p w14:paraId="3DE6121D" w14:textId="7BCF97B4" w:rsidR="00722F0E" w:rsidRPr="006C3B26" w:rsidRDefault="00722F0E">
      <w:pPr>
        <w:rPr>
          <w:rFonts w:asciiTheme="majorHAnsi" w:hAnsiTheme="majorHAnsi"/>
          <w:sz w:val="26"/>
          <w:szCs w:val="26"/>
        </w:rPr>
      </w:pPr>
      <w:r w:rsidRPr="006C3B26">
        <w:rPr>
          <w:rFonts w:asciiTheme="majorHAnsi" w:hAnsiTheme="majorHAnsi"/>
          <w:sz w:val="26"/>
          <w:szCs w:val="26"/>
        </w:rPr>
        <w:t>Evidence</w:t>
      </w:r>
      <w:r w:rsidR="00417B3A" w:rsidRPr="006C3B26">
        <w:rPr>
          <w:rFonts w:asciiTheme="majorHAnsi" w:hAnsiTheme="majorHAnsi"/>
          <w:sz w:val="26"/>
          <w:szCs w:val="26"/>
        </w:rPr>
        <w:t>-</w:t>
      </w:r>
      <w:r w:rsidRPr="006C3B26">
        <w:rPr>
          <w:rFonts w:asciiTheme="majorHAnsi" w:hAnsiTheme="majorHAnsi"/>
          <w:sz w:val="26"/>
          <w:szCs w:val="26"/>
        </w:rPr>
        <w:t>based practic</w:t>
      </w:r>
      <w:r w:rsidR="00417B3A" w:rsidRPr="006C3B26">
        <w:rPr>
          <w:rFonts w:asciiTheme="majorHAnsi" w:hAnsiTheme="majorHAnsi"/>
          <w:sz w:val="26"/>
          <w:szCs w:val="26"/>
        </w:rPr>
        <w:t xml:space="preserve">e (EBP) </w:t>
      </w:r>
      <w:r w:rsidRPr="006C3B26">
        <w:rPr>
          <w:rFonts w:asciiTheme="majorHAnsi" w:hAnsiTheme="majorHAnsi"/>
          <w:sz w:val="26"/>
          <w:szCs w:val="26"/>
        </w:rPr>
        <w:t>is the process of making decisions using the best available evidence rather than relying on</w:t>
      </w:r>
      <w:r w:rsidR="00417B3A" w:rsidRPr="006C3B26">
        <w:rPr>
          <w:rFonts w:asciiTheme="majorHAnsi" w:hAnsiTheme="majorHAnsi"/>
          <w:sz w:val="26"/>
          <w:szCs w:val="26"/>
        </w:rPr>
        <w:t xml:space="preserve"> intuition, tradition or personal opinion. In people practice, this involves integrating organisational data, professional judgement, academic research and stakeholder perspectives to inform decision-making (CIPD, 2023)</w:t>
      </w:r>
    </w:p>
    <w:p w14:paraId="08DDB45D" w14:textId="65C8206A" w:rsidR="00417B3A" w:rsidRPr="006C3B26" w:rsidRDefault="00417B3A">
      <w:pPr>
        <w:rPr>
          <w:rFonts w:asciiTheme="majorHAnsi" w:hAnsiTheme="majorHAnsi"/>
          <w:sz w:val="26"/>
          <w:szCs w:val="26"/>
        </w:rPr>
      </w:pPr>
      <w:r w:rsidRPr="006C3B26">
        <w:rPr>
          <w:rFonts w:asciiTheme="majorHAnsi" w:hAnsiTheme="majorHAnsi"/>
          <w:sz w:val="26"/>
          <w:szCs w:val="26"/>
        </w:rPr>
        <w:t>A key advantage of EBP is that it supports more objective, consistent and defensible people decisions. By drawing on reliable data and research organisations can better diagnose people-related issues, evaluate options and predict likely outcomes. This improves the credibility of the people function, reduces risk and supports fair and ethical decision making (Briner, Denyer and Rousseau, 2009)</w:t>
      </w:r>
    </w:p>
    <w:p w14:paraId="7C6A1250" w14:textId="4813DA23" w:rsidR="00417B3A" w:rsidRPr="006C3B26" w:rsidRDefault="00417B3A">
      <w:pPr>
        <w:rPr>
          <w:rFonts w:asciiTheme="majorHAnsi" w:hAnsiTheme="majorHAnsi"/>
          <w:sz w:val="26"/>
          <w:szCs w:val="26"/>
        </w:rPr>
      </w:pPr>
      <w:r w:rsidRPr="006C3B26">
        <w:rPr>
          <w:rFonts w:asciiTheme="majorHAnsi" w:hAnsiTheme="majorHAnsi"/>
          <w:sz w:val="26"/>
          <w:szCs w:val="26"/>
        </w:rPr>
        <w:t>However, EBP also has limitations. Organisational data may be incomplete or inaccurate, and academic research may not always be directly transferable to specific organisational contexts. In addition, time pressures and limited analytical capability can restrict the effective use of evidence. As a result EBP is most effective when evidence is balanced with professional expertise and an understanding of organisational context (Rousseau, 2012)</w:t>
      </w:r>
    </w:p>
    <w:p w14:paraId="04854A01" w14:textId="254A6E2E" w:rsidR="00417B3A" w:rsidRPr="006C3B26" w:rsidRDefault="001E12CC">
      <w:pPr>
        <w:rPr>
          <w:rFonts w:asciiTheme="majorHAnsi" w:hAnsiTheme="majorHAnsi"/>
          <w:sz w:val="26"/>
          <w:szCs w:val="26"/>
        </w:rPr>
      </w:pPr>
      <w:r w:rsidRPr="006C3B26">
        <w:rPr>
          <w:rFonts w:asciiTheme="majorHAnsi" w:hAnsiTheme="majorHAnsi"/>
          <w:sz w:val="26"/>
          <w:szCs w:val="26"/>
        </w:rPr>
        <w:t xml:space="preserve">Two Examples </w:t>
      </w:r>
      <w:proofErr w:type="spellStart"/>
      <w:r w:rsidRPr="006C3B26">
        <w:rPr>
          <w:rFonts w:asciiTheme="majorHAnsi" w:hAnsiTheme="majorHAnsi"/>
          <w:sz w:val="26"/>
          <w:szCs w:val="26"/>
        </w:rPr>
        <w:t>Technivara</w:t>
      </w:r>
      <w:proofErr w:type="spellEnd"/>
      <w:r w:rsidRPr="006C3B26">
        <w:rPr>
          <w:rFonts w:asciiTheme="majorHAnsi" w:hAnsiTheme="majorHAnsi"/>
          <w:sz w:val="26"/>
          <w:szCs w:val="26"/>
        </w:rPr>
        <w:t xml:space="preserve"> could use to ensure good decision-making in people practice:</w:t>
      </w:r>
    </w:p>
    <w:p w14:paraId="276B4D79" w14:textId="2EAD968A" w:rsidR="001E12CC" w:rsidRPr="005A7FC2" w:rsidRDefault="001E12CC" w:rsidP="005A7FC2">
      <w:pPr>
        <w:rPr>
          <w:rFonts w:asciiTheme="majorHAnsi" w:hAnsiTheme="majorHAnsi"/>
          <w:sz w:val="26"/>
          <w:szCs w:val="26"/>
        </w:rPr>
      </w:pPr>
      <w:r w:rsidRPr="005A7FC2">
        <w:rPr>
          <w:rFonts w:asciiTheme="majorHAnsi" w:hAnsiTheme="majorHAnsi"/>
          <w:b/>
          <w:bCs/>
          <w:sz w:val="26"/>
          <w:szCs w:val="26"/>
        </w:rPr>
        <w:t>Reducing employee turnover</w:t>
      </w:r>
      <w:r w:rsidRPr="005A7FC2">
        <w:rPr>
          <w:rFonts w:asciiTheme="majorHAnsi" w:hAnsiTheme="majorHAnsi"/>
          <w:sz w:val="26"/>
          <w:szCs w:val="26"/>
        </w:rPr>
        <w:br/>
      </w:r>
      <w:proofErr w:type="spellStart"/>
      <w:r w:rsidRPr="005A7FC2">
        <w:rPr>
          <w:rFonts w:asciiTheme="majorHAnsi" w:hAnsiTheme="majorHAnsi"/>
          <w:sz w:val="26"/>
          <w:szCs w:val="26"/>
        </w:rPr>
        <w:t>Technivara</w:t>
      </w:r>
      <w:proofErr w:type="spellEnd"/>
      <w:r w:rsidRPr="005A7FC2">
        <w:rPr>
          <w:rFonts w:asciiTheme="majorHAnsi" w:hAnsiTheme="majorHAnsi"/>
          <w:sz w:val="26"/>
          <w:szCs w:val="26"/>
        </w:rPr>
        <w:t xml:space="preserve"> could apply EBP by analysing internal data such as turnover rates, exit interview feedback, absence levels and length of service across different teams. This could be combined with employee survey results and external research on employee retention in the technology sector (CIPD, 2022). Using this evidence would allow </w:t>
      </w:r>
      <w:proofErr w:type="spellStart"/>
      <w:r w:rsidRPr="005A7FC2">
        <w:rPr>
          <w:rFonts w:asciiTheme="majorHAnsi" w:hAnsiTheme="majorHAnsi"/>
          <w:sz w:val="26"/>
          <w:szCs w:val="26"/>
        </w:rPr>
        <w:t>Technivara</w:t>
      </w:r>
      <w:proofErr w:type="spellEnd"/>
      <w:r w:rsidRPr="005A7FC2">
        <w:rPr>
          <w:rFonts w:asciiTheme="majorHAnsi" w:hAnsiTheme="majorHAnsi"/>
          <w:sz w:val="26"/>
          <w:szCs w:val="26"/>
        </w:rPr>
        <w:t xml:space="preserve"> to identify the main drivers of turnover and implement targeted retention strategies, rather than relying on assumptions or generic solutions.</w:t>
      </w:r>
    </w:p>
    <w:p w14:paraId="42026619" w14:textId="6B6CFDDC" w:rsidR="00B9647C" w:rsidRPr="005A7FC2" w:rsidRDefault="001E12CC" w:rsidP="005A7FC2">
      <w:pPr>
        <w:rPr>
          <w:rFonts w:asciiTheme="majorHAnsi" w:hAnsiTheme="majorHAnsi"/>
          <w:sz w:val="26"/>
          <w:szCs w:val="26"/>
        </w:rPr>
      </w:pPr>
      <w:r w:rsidRPr="005A7FC2">
        <w:rPr>
          <w:rFonts w:asciiTheme="majorHAnsi" w:hAnsiTheme="majorHAnsi"/>
          <w:b/>
          <w:bCs/>
          <w:sz w:val="26"/>
          <w:szCs w:val="26"/>
        </w:rPr>
        <w:t xml:space="preserve">Improving learning and development investment </w:t>
      </w:r>
      <w:r w:rsidRPr="005A7FC2">
        <w:rPr>
          <w:rFonts w:asciiTheme="majorHAnsi" w:hAnsiTheme="majorHAnsi"/>
          <w:sz w:val="26"/>
          <w:szCs w:val="26"/>
        </w:rPr>
        <w:br/>
      </w:r>
      <w:r w:rsidR="00EE64E7" w:rsidRPr="005A7FC2">
        <w:rPr>
          <w:rFonts w:asciiTheme="majorHAnsi" w:hAnsiTheme="majorHAnsi"/>
          <w:sz w:val="26"/>
          <w:szCs w:val="26"/>
        </w:rPr>
        <w:t xml:space="preserve">When making decisions about learning and development, </w:t>
      </w:r>
      <w:proofErr w:type="spellStart"/>
      <w:r w:rsidR="00EE64E7" w:rsidRPr="005A7FC2">
        <w:rPr>
          <w:rFonts w:asciiTheme="majorHAnsi" w:hAnsiTheme="majorHAnsi"/>
          <w:sz w:val="26"/>
          <w:szCs w:val="26"/>
        </w:rPr>
        <w:t>Technivara</w:t>
      </w:r>
      <w:proofErr w:type="spellEnd"/>
      <w:r w:rsidR="00EE64E7" w:rsidRPr="005A7FC2">
        <w:rPr>
          <w:rFonts w:asciiTheme="majorHAnsi" w:hAnsiTheme="majorHAnsi"/>
          <w:sz w:val="26"/>
          <w:szCs w:val="26"/>
        </w:rPr>
        <w:t xml:space="preserve"> could use skills audits, performance data and workforce planning information to identify current and future capability gaps. This internal evidence could be supported by academic research on effective learning methods and return on investment in training (Salas et al., 2012). Evaluating training outcomes using measurable indicators such as performance improvement or internal progression rates would help ensure that learning interventions are effective and aligned with business needs. </w:t>
      </w:r>
    </w:p>
    <w:p w14:paraId="0BD32121" w14:textId="77777777" w:rsidR="00B9647C" w:rsidRPr="006C3B26" w:rsidRDefault="00B9647C" w:rsidP="00B9647C">
      <w:pPr>
        <w:pStyle w:val="ListParagraph"/>
        <w:rPr>
          <w:rFonts w:asciiTheme="majorHAnsi" w:hAnsiTheme="majorHAnsi"/>
          <w:sz w:val="26"/>
          <w:szCs w:val="26"/>
        </w:rPr>
      </w:pPr>
    </w:p>
    <w:p w14:paraId="5BD169C2" w14:textId="27BF2B89" w:rsidR="00B9647C" w:rsidRPr="006C3B26" w:rsidRDefault="00B9647C" w:rsidP="00B9647C">
      <w:pPr>
        <w:rPr>
          <w:rFonts w:asciiTheme="majorHAnsi" w:hAnsiTheme="majorHAnsi"/>
          <w:sz w:val="26"/>
          <w:szCs w:val="26"/>
        </w:rPr>
      </w:pPr>
      <w:r w:rsidRPr="006C3B26">
        <w:rPr>
          <w:rFonts w:asciiTheme="majorHAnsi" w:hAnsiTheme="majorHAnsi"/>
          <w:sz w:val="26"/>
          <w:szCs w:val="26"/>
        </w:rPr>
        <w:lastRenderedPageBreak/>
        <w:t xml:space="preserve">AC 1.2 </w:t>
      </w:r>
    </w:p>
    <w:p w14:paraId="52CDC888" w14:textId="1BA02FFB" w:rsidR="00B9647C" w:rsidRPr="005A7FC2" w:rsidRDefault="00802A3D" w:rsidP="00B9647C">
      <w:pPr>
        <w:rPr>
          <w:rFonts w:asciiTheme="majorHAnsi" w:hAnsiTheme="majorHAnsi"/>
          <w:b/>
          <w:bCs/>
          <w:sz w:val="26"/>
          <w:szCs w:val="26"/>
        </w:rPr>
      </w:pPr>
      <w:r w:rsidRPr="006C3B26">
        <w:rPr>
          <w:rFonts w:asciiTheme="majorHAnsi" w:hAnsiTheme="majorHAnsi"/>
          <w:sz w:val="26"/>
          <w:szCs w:val="26"/>
        </w:rPr>
        <w:t xml:space="preserve">Analysis tool: </w:t>
      </w:r>
      <w:r w:rsidRPr="005A7FC2">
        <w:rPr>
          <w:rFonts w:asciiTheme="majorHAnsi" w:hAnsiTheme="majorHAnsi"/>
          <w:b/>
          <w:bCs/>
          <w:sz w:val="26"/>
          <w:szCs w:val="26"/>
        </w:rPr>
        <w:t xml:space="preserve">SWOT analysis </w:t>
      </w:r>
    </w:p>
    <w:p w14:paraId="162B504E" w14:textId="11830B77" w:rsidR="00802A3D" w:rsidRPr="006C3B26" w:rsidRDefault="00802A3D" w:rsidP="00B9647C">
      <w:pPr>
        <w:rPr>
          <w:rFonts w:asciiTheme="majorHAnsi" w:hAnsiTheme="majorHAnsi"/>
          <w:sz w:val="26"/>
          <w:szCs w:val="26"/>
        </w:rPr>
      </w:pPr>
      <w:r w:rsidRPr="006C3B26">
        <w:rPr>
          <w:rFonts w:asciiTheme="majorHAnsi" w:hAnsiTheme="majorHAnsi"/>
          <w:sz w:val="26"/>
          <w:szCs w:val="26"/>
        </w:rPr>
        <w:t xml:space="preserve">SWOT analysis is a widely used strategic tool that evaluates internal strengths and weaknesses alongside external opportunities and threats. In a people practice context, </w:t>
      </w:r>
      <w:proofErr w:type="spellStart"/>
      <w:r w:rsidRPr="006C3B26">
        <w:rPr>
          <w:rFonts w:asciiTheme="majorHAnsi" w:hAnsiTheme="majorHAnsi"/>
          <w:sz w:val="26"/>
          <w:szCs w:val="26"/>
        </w:rPr>
        <w:t>Technivara</w:t>
      </w:r>
      <w:proofErr w:type="spellEnd"/>
      <w:r w:rsidRPr="006C3B26">
        <w:rPr>
          <w:rFonts w:asciiTheme="majorHAnsi" w:hAnsiTheme="majorHAnsi"/>
          <w:sz w:val="26"/>
          <w:szCs w:val="26"/>
        </w:rPr>
        <w:t xml:space="preserve"> could use SWOT analysis to access workforce capability, employee engagement, leadership effectiveness and organisational culture, while also considering external factors such as labour market conditions, skills shortages and technological change (Johnson, Scholes and Whittington, 2017)</w:t>
      </w:r>
      <w:r w:rsidRPr="006C3B26">
        <w:rPr>
          <w:rFonts w:asciiTheme="majorHAnsi" w:hAnsiTheme="majorHAnsi"/>
          <w:sz w:val="26"/>
          <w:szCs w:val="26"/>
        </w:rPr>
        <w:br/>
        <w:t xml:space="preserve">A key advantage of SWOT analysis is its simplicity and ability to provide a clear overview of people-related risks and opportunities. It encourages strategic discussion and helps align people initiatives with business objectives. For example, </w:t>
      </w:r>
      <w:proofErr w:type="spellStart"/>
      <w:r w:rsidRPr="006C3B26">
        <w:rPr>
          <w:rFonts w:asciiTheme="majorHAnsi" w:hAnsiTheme="majorHAnsi"/>
          <w:sz w:val="26"/>
          <w:szCs w:val="26"/>
        </w:rPr>
        <w:t>Technivara</w:t>
      </w:r>
      <w:proofErr w:type="spellEnd"/>
      <w:r w:rsidRPr="006C3B26">
        <w:rPr>
          <w:rFonts w:asciiTheme="majorHAnsi" w:hAnsiTheme="majorHAnsi"/>
          <w:sz w:val="26"/>
          <w:szCs w:val="26"/>
        </w:rPr>
        <w:t xml:space="preserve"> could identify strong flexible working practices as a strength and use this to exploit opportunities to attract scarce digital talent. </w:t>
      </w:r>
      <w:r w:rsidRPr="006C3B26">
        <w:rPr>
          <w:rFonts w:asciiTheme="majorHAnsi" w:hAnsiTheme="majorHAnsi"/>
          <w:sz w:val="26"/>
          <w:szCs w:val="26"/>
        </w:rPr>
        <w:br/>
        <w:t xml:space="preserve">However, SWOT analysis can be subjective and descriptive if it’s not supported by evidence. It does not identify root causes and may oversimplify complex people issues. To address this, </w:t>
      </w:r>
      <w:proofErr w:type="spellStart"/>
      <w:r w:rsidRPr="006C3B26">
        <w:rPr>
          <w:rFonts w:asciiTheme="majorHAnsi" w:hAnsiTheme="majorHAnsi"/>
          <w:sz w:val="26"/>
          <w:szCs w:val="26"/>
        </w:rPr>
        <w:t>Technivara</w:t>
      </w:r>
      <w:proofErr w:type="spellEnd"/>
      <w:r w:rsidRPr="006C3B26">
        <w:rPr>
          <w:rFonts w:asciiTheme="majorHAnsi" w:hAnsiTheme="majorHAnsi"/>
          <w:sz w:val="26"/>
          <w:szCs w:val="26"/>
        </w:rPr>
        <w:t xml:space="preserve"> should support SWOT findings with quantitative and qualitative workforce data, such as turnover statistics, engagement survey results and skills audits, to improve the reliability of conclusions (CIPD, 2022) </w:t>
      </w:r>
    </w:p>
    <w:p w14:paraId="28243230" w14:textId="7001A1CB" w:rsidR="00802A3D" w:rsidRPr="006C3B26" w:rsidRDefault="00802A3D" w:rsidP="00B9647C">
      <w:pPr>
        <w:rPr>
          <w:rFonts w:asciiTheme="majorHAnsi" w:hAnsiTheme="majorHAnsi"/>
          <w:sz w:val="26"/>
          <w:szCs w:val="26"/>
        </w:rPr>
      </w:pPr>
      <w:r w:rsidRPr="006C3B26">
        <w:rPr>
          <w:rFonts w:asciiTheme="majorHAnsi" w:hAnsiTheme="majorHAnsi"/>
          <w:sz w:val="26"/>
          <w:szCs w:val="26"/>
        </w:rPr>
        <w:t>Analysis method</w:t>
      </w:r>
      <w:r w:rsidR="00B15923" w:rsidRPr="006C3B26">
        <w:rPr>
          <w:rFonts w:asciiTheme="majorHAnsi" w:hAnsiTheme="majorHAnsi"/>
          <w:sz w:val="26"/>
          <w:szCs w:val="26"/>
        </w:rPr>
        <w:t xml:space="preserve">: </w:t>
      </w:r>
      <w:r w:rsidR="00B15923" w:rsidRPr="005A7FC2">
        <w:rPr>
          <w:rFonts w:asciiTheme="majorHAnsi" w:hAnsiTheme="majorHAnsi"/>
          <w:b/>
          <w:bCs/>
          <w:sz w:val="26"/>
          <w:szCs w:val="26"/>
        </w:rPr>
        <w:t>Root cause analysis</w:t>
      </w:r>
    </w:p>
    <w:p w14:paraId="1C7B0743" w14:textId="2F734313" w:rsidR="00B15923" w:rsidRPr="006C3B26" w:rsidRDefault="00B15923" w:rsidP="00B9647C">
      <w:pPr>
        <w:rPr>
          <w:rFonts w:asciiTheme="majorHAnsi" w:hAnsiTheme="majorHAnsi"/>
          <w:sz w:val="26"/>
          <w:szCs w:val="26"/>
        </w:rPr>
      </w:pPr>
      <w:r w:rsidRPr="006C3B26">
        <w:rPr>
          <w:rFonts w:asciiTheme="majorHAnsi" w:hAnsiTheme="majorHAnsi"/>
          <w:sz w:val="26"/>
          <w:szCs w:val="26"/>
        </w:rPr>
        <w:t xml:space="preserve">Root cause analysis (RCA) is a systematic method used to identify the underlying causes of organisational problems rather than addressing surface level symptoms. </w:t>
      </w:r>
      <w:proofErr w:type="spellStart"/>
      <w:r w:rsidRPr="006C3B26">
        <w:rPr>
          <w:rFonts w:asciiTheme="majorHAnsi" w:hAnsiTheme="majorHAnsi"/>
          <w:sz w:val="26"/>
          <w:szCs w:val="26"/>
        </w:rPr>
        <w:t>Technivara</w:t>
      </w:r>
      <w:proofErr w:type="spellEnd"/>
      <w:r w:rsidRPr="006C3B26">
        <w:rPr>
          <w:rFonts w:asciiTheme="majorHAnsi" w:hAnsiTheme="majorHAnsi"/>
          <w:sz w:val="26"/>
          <w:szCs w:val="26"/>
        </w:rPr>
        <w:t xml:space="preserve"> could apply RCA to people issues such as high employee turnover or low engagement by analysing contributory factors including management capability, workload, reward, development opportunities and organisational culture (Rooney and Heuvel, 2024). </w:t>
      </w:r>
      <w:r w:rsidRPr="006C3B26">
        <w:rPr>
          <w:rFonts w:asciiTheme="majorHAnsi" w:hAnsiTheme="majorHAnsi"/>
          <w:sz w:val="26"/>
          <w:szCs w:val="26"/>
        </w:rPr>
        <w:br/>
        <w:t xml:space="preserve">The main strength of root cause analysis is that it supports deeper understanding and leads to more sustainable solutions. Techniques such as “five whys” enable </w:t>
      </w:r>
      <w:proofErr w:type="spellStart"/>
      <w:r w:rsidRPr="006C3B26">
        <w:rPr>
          <w:rFonts w:asciiTheme="majorHAnsi" w:hAnsiTheme="majorHAnsi"/>
          <w:sz w:val="26"/>
          <w:szCs w:val="26"/>
        </w:rPr>
        <w:t>Technivara</w:t>
      </w:r>
      <w:proofErr w:type="spellEnd"/>
      <w:r w:rsidRPr="006C3B26">
        <w:rPr>
          <w:rFonts w:asciiTheme="majorHAnsi" w:hAnsiTheme="majorHAnsi"/>
          <w:sz w:val="26"/>
          <w:szCs w:val="26"/>
        </w:rPr>
        <w:t xml:space="preserve"> to challenge assumptions and design targeted interventions that address the real drivers of issues, improving long term outcomes and decision quality (CIPD, 2023)</w:t>
      </w:r>
    </w:p>
    <w:p w14:paraId="1842F219" w14:textId="012FC23D" w:rsidR="00B15923" w:rsidRPr="006C3B26" w:rsidRDefault="00B15923" w:rsidP="00B9647C">
      <w:pPr>
        <w:rPr>
          <w:rFonts w:asciiTheme="majorHAnsi" w:hAnsiTheme="majorHAnsi"/>
          <w:sz w:val="26"/>
          <w:szCs w:val="26"/>
        </w:rPr>
      </w:pPr>
      <w:r w:rsidRPr="006C3B26">
        <w:rPr>
          <w:rFonts w:asciiTheme="majorHAnsi" w:hAnsiTheme="majorHAnsi"/>
          <w:sz w:val="26"/>
          <w:szCs w:val="26"/>
        </w:rPr>
        <w:t xml:space="preserve">A limitation of RCA is that it can be time consuming and depends heavily on the availability and accuracy of data. It also requires open and honest input from employees, which may be limited if trust is low. As a result, </w:t>
      </w:r>
      <w:proofErr w:type="spellStart"/>
      <w:r w:rsidRPr="006C3B26">
        <w:rPr>
          <w:rFonts w:asciiTheme="majorHAnsi" w:hAnsiTheme="majorHAnsi"/>
          <w:sz w:val="26"/>
          <w:szCs w:val="26"/>
        </w:rPr>
        <w:t>Technivara</w:t>
      </w:r>
      <w:proofErr w:type="spellEnd"/>
      <w:r w:rsidRPr="006C3B26">
        <w:rPr>
          <w:rFonts w:asciiTheme="majorHAnsi" w:hAnsiTheme="majorHAnsi"/>
          <w:sz w:val="26"/>
          <w:szCs w:val="26"/>
        </w:rPr>
        <w:t xml:space="preserve"> should use multiple data sources, such as surveys, interviews and performance metrics, to strengthen the validity of analysis. (Rousseau, 2012).</w:t>
      </w:r>
    </w:p>
    <w:p w14:paraId="211673EB" w14:textId="77777777" w:rsidR="004A47FB" w:rsidRPr="006C3B26" w:rsidRDefault="004A47FB" w:rsidP="00B9647C">
      <w:pPr>
        <w:rPr>
          <w:rFonts w:asciiTheme="majorHAnsi" w:hAnsiTheme="majorHAnsi"/>
          <w:sz w:val="26"/>
          <w:szCs w:val="26"/>
        </w:rPr>
      </w:pPr>
    </w:p>
    <w:p w14:paraId="727CA7A4" w14:textId="46E2D3BD" w:rsidR="004A47FB" w:rsidRPr="006C3B26" w:rsidRDefault="004A47FB" w:rsidP="00B9647C">
      <w:pPr>
        <w:rPr>
          <w:rFonts w:asciiTheme="majorHAnsi" w:hAnsiTheme="majorHAnsi"/>
          <w:sz w:val="26"/>
          <w:szCs w:val="26"/>
        </w:rPr>
      </w:pPr>
      <w:r w:rsidRPr="006C3B26">
        <w:rPr>
          <w:rFonts w:asciiTheme="majorHAnsi" w:hAnsiTheme="majorHAnsi"/>
          <w:sz w:val="26"/>
          <w:szCs w:val="26"/>
        </w:rPr>
        <w:lastRenderedPageBreak/>
        <w:t>AC 1.3</w:t>
      </w:r>
      <w:r w:rsidR="00EB161A" w:rsidRPr="006C3B26">
        <w:rPr>
          <w:rFonts w:asciiTheme="majorHAnsi" w:hAnsiTheme="majorHAnsi"/>
          <w:sz w:val="26"/>
          <w:szCs w:val="26"/>
        </w:rPr>
        <w:br/>
        <w:t>Critical thinking involves analysing information objectively, questioning assumptions and using evidence to reach rational conclusions. In people practice, it supports fair, consistent and evidence-based decision making while reducing bias and poor judgement (CIPD, 2023)</w:t>
      </w:r>
    </w:p>
    <w:p w14:paraId="1EACDBFF" w14:textId="7676DE91" w:rsidR="00EB161A" w:rsidRPr="006C3B26" w:rsidRDefault="00EB161A" w:rsidP="00B9647C">
      <w:pPr>
        <w:rPr>
          <w:rFonts w:asciiTheme="majorHAnsi" w:hAnsiTheme="majorHAnsi"/>
          <w:sz w:val="26"/>
          <w:szCs w:val="26"/>
        </w:rPr>
      </w:pPr>
      <w:r w:rsidRPr="006C3B26">
        <w:rPr>
          <w:rFonts w:asciiTheme="majorHAnsi" w:hAnsiTheme="majorHAnsi"/>
          <w:sz w:val="26"/>
          <w:szCs w:val="26"/>
        </w:rPr>
        <w:t xml:space="preserve">A key principle of critical thinking is questioning assumptions. </w:t>
      </w:r>
      <w:r w:rsidR="00141B4E">
        <w:rPr>
          <w:rFonts w:asciiTheme="majorHAnsi" w:hAnsiTheme="majorHAnsi"/>
          <w:sz w:val="26"/>
          <w:szCs w:val="26"/>
        </w:rPr>
        <w:t xml:space="preserve">This involves identifying and challenging beliefs to determine whether they are supported by evidence. At </w:t>
      </w:r>
      <w:proofErr w:type="spellStart"/>
      <w:r w:rsidR="00141B4E">
        <w:rPr>
          <w:rFonts w:asciiTheme="majorHAnsi" w:hAnsiTheme="majorHAnsi"/>
          <w:sz w:val="26"/>
          <w:szCs w:val="26"/>
        </w:rPr>
        <w:t>Technivara</w:t>
      </w:r>
      <w:proofErr w:type="spellEnd"/>
      <w:r w:rsidR="00141B4E">
        <w:rPr>
          <w:rFonts w:asciiTheme="majorHAnsi" w:hAnsiTheme="majorHAnsi"/>
          <w:sz w:val="26"/>
          <w:szCs w:val="26"/>
        </w:rPr>
        <w:t xml:space="preserve">, this may include questioning assumptions such as “employees leave mainly because of pay” or “remote working reduces productivity”. Applying this principle to both one’s own ideas and those of others helps ensure decisions are based on facts rather than habit, personal experience or organisational myths (Rousseau,2012). </w:t>
      </w:r>
    </w:p>
    <w:p w14:paraId="13E84678" w14:textId="1655A8D3" w:rsidR="00C720F5" w:rsidRPr="006C3B26" w:rsidRDefault="00C720F5" w:rsidP="00B9647C">
      <w:pPr>
        <w:rPr>
          <w:rFonts w:asciiTheme="majorHAnsi" w:hAnsiTheme="majorHAnsi"/>
          <w:sz w:val="26"/>
          <w:szCs w:val="26"/>
        </w:rPr>
      </w:pPr>
      <w:r w:rsidRPr="006C3B26">
        <w:rPr>
          <w:rFonts w:asciiTheme="majorHAnsi" w:hAnsiTheme="majorHAnsi"/>
          <w:sz w:val="26"/>
          <w:szCs w:val="26"/>
        </w:rPr>
        <w:t xml:space="preserve">Another </w:t>
      </w:r>
      <w:r w:rsidR="00141B4E">
        <w:rPr>
          <w:rFonts w:asciiTheme="majorHAnsi" w:hAnsiTheme="majorHAnsi"/>
          <w:sz w:val="26"/>
          <w:szCs w:val="26"/>
        </w:rPr>
        <w:t xml:space="preserve">important </w:t>
      </w:r>
      <w:r w:rsidRPr="006C3B26">
        <w:rPr>
          <w:rFonts w:asciiTheme="majorHAnsi" w:hAnsiTheme="majorHAnsi"/>
          <w:sz w:val="26"/>
          <w:szCs w:val="26"/>
        </w:rPr>
        <w:t xml:space="preserve">principle is using evidence from multiple sources. Critical thinking requires ideas to be evaluated using a range of evidence, including organisational data, professional expertise and academic research. At </w:t>
      </w:r>
      <w:proofErr w:type="spellStart"/>
      <w:r w:rsidRPr="006C3B26">
        <w:rPr>
          <w:rFonts w:asciiTheme="majorHAnsi" w:hAnsiTheme="majorHAnsi"/>
          <w:sz w:val="26"/>
          <w:szCs w:val="26"/>
        </w:rPr>
        <w:t>Technivara</w:t>
      </w:r>
      <w:proofErr w:type="spellEnd"/>
      <w:r w:rsidR="00141B4E">
        <w:rPr>
          <w:rFonts w:asciiTheme="majorHAnsi" w:hAnsiTheme="majorHAnsi"/>
          <w:sz w:val="26"/>
          <w:szCs w:val="26"/>
        </w:rPr>
        <w:t xml:space="preserve">, this could involve using workforce metrics, engagement survey data and external research to assess proposals such as changes to performance management or learning and development. This approach encourages objective debate by shifting discussions away from opinion, hierarchy or confidence and towards the quality of evidence presented (Briner, Denyer and Rousseau, 2009). </w:t>
      </w:r>
    </w:p>
    <w:p w14:paraId="7B77022E" w14:textId="7BA1041B" w:rsidR="00C720F5" w:rsidRPr="006C3B26" w:rsidRDefault="00C720F5" w:rsidP="00B9647C">
      <w:pPr>
        <w:rPr>
          <w:rFonts w:asciiTheme="majorHAnsi" w:hAnsiTheme="majorHAnsi"/>
          <w:sz w:val="26"/>
          <w:szCs w:val="26"/>
        </w:rPr>
      </w:pPr>
      <w:r w:rsidRPr="006C3B26">
        <w:rPr>
          <w:rFonts w:asciiTheme="majorHAnsi" w:hAnsiTheme="majorHAnsi"/>
          <w:sz w:val="26"/>
          <w:szCs w:val="26"/>
        </w:rPr>
        <w:t xml:space="preserve">Recognising bias is also essential. Personal and organisational biases can influence how ideas are judged. </w:t>
      </w:r>
      <w:r w:rsidR="00141B4E">
        <w:rPr>
          <w:rFonts w:asciiTheme="majorHAnsi" w:hAnsiTheme="majorHAnsi"/>
          <w:sz w:val="26"/>
          <w:szCs w:val="26"/>
        </w:rPr>
        <w:t xml:space="preserve"> Individuals may be influenced by cognitive biases, such as confirmation bias, </w:t>
      </w:r>
      <w:r w:rsidR="00094000">
        <w:rPr>
          <w:rFonts w:asciiTheme="majorHAnsi" w:hAnsiTheme="majorHAnsi"/>
          <w:sz w:val="26"/>
          <w:szCs w:val="26"/>
        </w:rPr>
        <w:t xml:space="preserve">where information that supports exiting views is favoured over contradictory evidence. </w:t>
      </w:r>
      <w:proofErr w:type="spellStart"/>
      <w:r w:rsidR="00094000">
        <w:rPr>
          <w:rFonts w:asciiTheme="majorHAnsi" w:hAnsiTheme="majorHAnsi"/>
          <w:sz w:val="26"/>
          <w:szCs w:val="26"/>
        </w:rPr>
        <w:t>Technivara</w:t>
      </w:r>
      <w:proofErr w:type="spellEnd"/>
      <w:r w:rsidR="00094000">
        <w:rPr>
          <w:rFonts w:asciiTheme="majorHAnsi" w:hAnsiTheme="majorHAnsi"/>
          <w:sz w:val="26"/>
          <w:szCs w:val="26"/>
        </w:rPr>
        <w:t xml:space="preserve">, being aware of personal and organisational bias allows people professionals and managers to reflect </w:t>
      </w:r>
      <w:proofErr w:type="spellStart"/>
      <w:r w:rsidR="00094000">
        <w:rPr>
          <w:rFonts w:asciiTheme="majorHAnsi" w:hAnsiTheme="majorHAnsi"/>
          <w:sz w:val="26"/>
          <w:szCs w:val="26"/>
        </w:rPr>
        <w:t>ont</w:t>
      </w:r>
      <w:proofErr w:type="spellEnd"/>
      <w:r w:rsidR="00094000">
        <w:rPr>
          <w:rFonts w:asciiTheme="majorHAnsi" w:hAnsiTheme="majorHAnsi"/>
          <w:sz w:val="26"/>
          <w:szCs w:val="26"/>
        </w:rPr>
        <w:t xml:space="preserve"> heir own ideas and evaluate others’ contributions more fairly, improving the quality and balance of debate</w:t>
      </w:r>
      <w:r w:rsidR="008B0E6F" w:rsidRPr="006C3B26">
        <w:rPr>
          <w:rFonts w:asciiTheme="majorHAnsi" w:hAnsiTheme="majorHAnsi"/>
          <w:sz w:val="26"/>
          <w:szCs w:val="26"/>
        </w:rPr>
        <w:t xml:space="preserve"> (Kahneman, 2011)</w:t>
      </w:r>
    </w:p>
    <w:p w14:paraId="69C3D28A" w14:textId="11E472EA" w:rsidR="00EB161A" w:rsidRPr="006C3B26" w:rsidRDefault="008B0E6F" w:rsidP="00B9647C">
      <w:pPr>
        <w:rPr>
          <w:rFonts w:asciiTheme="majorHAnsi" w:hAnsiTheme="majorHAnsi"/>
          <w:sz w:val="26"/>
          <w:szCs w:val="26"/>
        </w:rPr>
      </w:pPr>
      <w:r w:rsidRPr="006C3B26">
        <w:rPr>
          <w:rFonts w:asciiTheme="majorHAnsi" w:hAnsiTheme="majorHAnsi"/>
          <w:sz w:val="26"/>
          <w:szCs w:val="26"/>
        </w:rPr>
        <w:t xml:space="preserve">Finally, critical thinking involves evaluating the quality of arguments rather than accepting ideas based on hierarchy or confidence. Assessing the logic and evidence behind proposals helps ensure </w:t>
      </w:r>
      <w:r w:rsidR="00A70D5A" w:rsidRPr="006C3B26">
        <w:rPr>
          <w:rFonts w:asciiTheme="majorHAnsi" w:hAnsiTheme="majorHAnsi"/>
          <w:sz w:val="26"/>
          <w:szCs w:val="26"/>
        </w:rPr>
        <w:t xml:space="preserve">that decisions at </w:t>
      </w:r>
      <w:proofErr w:type="spellStart"/>
      <w:r w:rsidR="00A70D5A" w:rsidRPr="006C3B26">
        <w:rPr>
          <w:rFonts w:asciiTheme="majorHAnsi" w:hAnsiTheme="majorHAnsi"/>
          <w:sz w:val="26"/>
          <w:szCs w:val="26"/>
        </w:rPr>
        <w:t>Technivara</w:t>
      </w:r>
      <w:proofErr w:type="spellEnd"/>
      <w:r w:rsidR="00A70D5A" w:rsidRPr="006C3B26">
        <w:rPr>
          <w:rFonts w:asciiTheme="majorHAnsi" w:hAnsiTheme="majorHAnsi"/>
          <w:sz w:val="26"/>
          <w:szCs w:val="26"/>
        </w:rPr>
        <w:t xml:space="preserve"> are based on merit and support sound people practice (Rousseau, 2012) </w:t>
      </w:r>
    </w:p>
    <w:p w14:paraId="555B39BE" w14:textId="77777777" w:rsidR="00A70D5A" w:rsidRPr="006C3B26" w:rsidRDefault="00A70D5A" w:rsidP="00B9647C">
      <w:pPr>
        <w:rPr>
          <w:rFonts w:asciiTheme="majorHAnsi" w:hAnsiTheme="majorHAnsi"/>
          <w:sz w:val="26"/>
          <w:szCs w:val="26"/>
        </w:rPr>
      </w:pPr>
    </w:p>
    <w:p w14:paraId="1C041486" w14:textId="445C6206" w:rsidR="004A47FB" w:rsidRPr="006C3B26" w:rsidRDefault="004A47FB" w:rsidP="00B9647C">
      <w:pPr>
        <w:rPr>
          <w:rFonts w:asciiTheme="majorHAnsi" w:hAnsiTheme="majorHAnsi"/>
          <w:sz w:val="26"/>
          <w:szCs w:val="26"/>
        </w:rPr>
      </w:pPr>
      <w:r w:rsidRPr="006C3B26">
        <w:rPr>
          <w:rFonts w:asciiTheme="majorHAnsi" w:hAnsiTheme="majorHAnsi"/>
          <w:sz w:val="26"/>
          <w:szCs w:val="26"/>
        </w:rPr>
        <w:t>AC 1.4</w:t>
      </w:r>
      <w:r w:rsidR="00A70D5A" w:rsidRPr="006C3B26">
        <w:rPr>
          <w:rFonts w:asciiTheme="majorHAnsi" w:hAnsiTheme="majorHAnsi"/>
          <w:sz w:val="26"/>
          <w:szCs w:val="26"/>
        </w:rPr>
        <w:br/>
      </w:r>
      <w:r w:rsidR="006B2059" w:rsidRPr="006C3B26">
        <w:rPr>
          <w:rFonts w:asciiTheme="majorHAnsi" w:hAnsiTheme="majorHAnsi"/>
          <w:sz w:val="26"/>
          <w:szCs w:val="26"/>
        </w:rPr>
        <w:t xml:space="preserve">To ensure effective outcomes, </w:t>
      </w:r>
      <w:proofErr w:type="spellStart"/>
      <w:r w:rsidR="006B2059" w:rsidRPr="006C3B26">
        <w:rPr>
          <w:rFonts w:asciiTheme="majorHAnsi" w:hAnsiTheme="majorHAnsi"/>
          <w:sz w:val="26"/>
          <w:szCs w:val="26"/>
        </w:rPr>
        <w:t>Technivara</w:t>
      </w:r>
      <w:proofErr w:type="spellEnd"/>
      <w:r w:rsidR="006B2059" w:rsidRPr="006C3B26">
        <w:rPr>
          <w:rFonts w:asciiTheme="majorHAnsi" w:hAnsiTheme="majorHAnsi"/>
          <w:sz w:val="26"/>
          <w:szCs w:val="26"/>
        </w:rPr>
        <w:t xml:space="preserve"> can apply structured decision-making processes that promote consistency, transparency and evidence-based people </w:t>
      </w:r>
      <w:r w:rsidR="006B2059" w:rsidRPr="006C3B26">
        <w:rPr>
          <w:rFonts w:asciiTheme="majorHAnsi" w:hAnsiTheme="majorHAnsi"/>
          <w:sz w:val="26"/>
          <w:szCs w:val="26"/>
        </w:rPr>
        <w:lastRenderedPageBreak/>
        <w:t xml:space="preserve">practice. </w:t>
      </w:r>
      <w:r w:rsidR="00B85C2C">
        <w:rPr>
          <w:rFonts w:asciiTheme="majorHAnsi" w:hAnsiTheme="majorHAnsi"/>
          <w:sz w:val="26"/>
          <w:szCs w:val="26"/>
        </w:rPr>
        <w:t>Two appropriate processes are evidence-based decision making and participative decision making.</w:t>
      </w:r>
    </w:p>
    <w:p w14:paraId="281E78DA" w14:textId="77777777" w:rsidR="00115E0D" w:rsidRPr="00115E0D" w:rsidRDefault="00115E0D" w:rsidP="00B9647C">
      <w:pPr>
        <w:rPr>
          <w:rFonts w:asciiTheme="majorHAnsi" w:hAnsiTheme="majorHAnsi"/>
          <w:b/>
          <w:bCs/>
          <w:sz w:val="26"/>
          <w:szCs w:val="26"/>
        </w:rPr>
      </w:pPr>
      <w:r w:rsidRPr="00115E0D">
        <w:rPr>
          <w:rFonts w:asciiTheme="majorHAnsi" w:hAnsiTheme="majorHAnsi"/>
          <w:b/>
          <w:bCs/>
          <w:sz w:val="26"/>
          <w:szCs w:val="26"/>
        </w:rPr>
        <w:t>Evidence -based decision making</w:t>
      </w:r>
    </w:p>
    <w:p w14:paraId="5C986DDE" w14:textId="79EA2F1E" w:rsidR="00F66D10" w:rsidRPr="006C3B26" w:rsidRDefault="00F66D10" w:rsidP="00B9647C">
      <w:pPr>
        <w:rPr>
          <w:rFonts w:asciiTheme="majorHAnsi" w:hAnsiTheme="majorHAnsi"/>
          <w:sz w:val="26"/>
          <w:szCs w:val="26"/>
        </w:rPr>
      </w:pPr>
      <w:r w:rsidRPr="006C3B26">
        <w:rPr>
          <w:rFonts w:asciiTheme="majorHAnsi" w:hAnsiTheme="majorHAnsi"/>
          <w:sz w:val="26"/>
          <w:szCs w:val="26"/>
        </w:rPr>
        <w:t xml:space="preserve">Evidence based decision making involves integrating organisational data, professional expertise, academic research and stakeholder views to inform decisions, rather than relying on intuition or opinion (Briner, Denyer and Rousseau, 2009). At </w:t>
      </w:r>
      <w:proofErr w:type="spellStart"/>
      <w:r w:rsidRPr="006C3B26">
        <w:rPr>
          <w:rFonts w:asciiTheme="majorHAnsi" w:hAnsiTheme="majorHAnsi"/>
          <w:sz w:val="26"/>
          <w:szCs w:val="26"/>
        </w:rPr>
        <w:t>Technivara</w:t>
      </w:r>
      <w:proofErr w:type="spellEnd"/>
      <w:r w:rsidRPr="006C3B26">
        <w:rPr>
          <w:rFonts w:asciiTheme="majorHAnsi" w:hAnsiTheme="majorHAnsi"/>
          <w:sz w:val="26"/>
          <w:szCs w:val="26"/>
        </w:rPr>
        <w:t xml:space="preserve">, this could include analysing workforce data such as turnover rates, engagement survey results and performance metrics when addressing people-related challenges. </w:t>
      </w:r>
    </w:p>
    <w:p w14:paraId="47953AF4" w14:textId="7A6F3644" w:rsidR="00B85C2C" w:rsidRDefault="00B85C2C" w:rsidP="00B9647C">
      <w:pPr>
        <w:rPr>
          <w:rFonts w:asciiTheme="majorHAnsi" w:hAnsiTheme="majorHAnsi"/>
          <w:sz w:val="26"/>
          <w:szCs w:val="26"/>
        </w:rPr>
      </w:pPr>
      <w:r>
        <w:rPr>
          <w:rFonts w:asciiTheme="majorHAnsi" w:hAnsiTheme="majorHAnsi"/>
          <w:sz w:val="26"/>
          <w:szCs w:val="26"/>
        </w:rPr>
        <w:t xml:space="preserve">At </w:t>
      </w:r>
      <w:proofErr w:type="spellStart"/>
      <w:r>
        <w:rPr>
          <w:rFonts w:asciiTheme="majorHAnsi" w:hAnsiTheme="majorHAnsi"/>
          <w:sz w:val="26"/>
          <w:szCs w:val="26"/>
        </w:rPr>
        <w:t>Techinivara</w:t>
      </w:r>
      <w:proofErr w:type="spellEnd"/>
      <w:r>
        <w:rPr>
          <w:rFonts w:asciiTheme="majorHAnsi" w:hAnsiTheme="majorHAnsi"/>
          <w:sz w:val="26"/>
          <w:szCs w:val="26"/>
        </w:rPr>
        <w:t xml:space="preserve">, this process could be applied when addressing workforce challenges such as high employee turnover or skills shortages. For example, before introducing retention initiative, </w:t>
      </w:r>
      <w:proofErr w:type="spellStart"/>
      <w:r>
        <w:rPr>
          <w:rFonts w:asciiTheme="majorHAnsi" w:hAnsiTheme="majorHAnsi"/>
          <w:sz w:val="26"/>
          <w:szCs w:val="26"/>
        </w:rPr>
        <w:t>Technivara</w:t>
      </w:r>
      <w:proofErr w:type="spellEnd"/>
      <w:r>
        <w:rPr>
          <w:rFonts w:asciiTheme="majorHAnsi" w:hAnsiTheme="majorHAnsi"/>
          <w:sz w:val="26"/>
          <w:szCs w:val="26"/>
        </w:rPr>
        <w:t xml:space="preserve"> could analyse turnover data, exit interview feedback, absence trends and </w:t>
      </w:r>
      <w:r w:rsidR="00115E0D">
        <w:rPr>
          <w:rFonts w:asciiTheme="majorHAnsi" w:hAnsiTheme="majorHAnsi"/>
          <w:sz w:val="26"/>
          <w:szCs w:val="26"/>
        </w:rPr>
        <w:t>engagement</w:t>
      </w:r>
      <w:r>
        <w:rPr>
          <w:rFonts w:asciiTheme="majorHAnsi" w:hAnsiTheme="majorHAnsi"/>
          <w:sz w:val="26"/>
          <w:szCs w:val="26"/>
        </w:rPr>
        <w:t xml:space="preserve"> survey results. This evidence can then be compared with external research on retention drivers within the technology sector. Using evidence enables </w:t>
      </w:r>
      <w:proofErr w:type="spellStart"/>
      <w:r>
        <w:rPr>
          <w:rFonts w:asciiTheme="majorHAnsi" w:hAnsiTheme="majorHAnsi"/>
          <w:sz w:val="26"/>
          <w:szCs w:val="26"/>
        </w:rPr>
        <w:t>Technivara</w:t>
      </w:r>
      <w:proofErr w:type="spellEnd"/>
      <w:r>
        <w:rPr>
          <w:rFonts w:asciiTheme="majorHAnsi" w:hAnsiTheme="majorHAnsi"/>
          <w:sz w:val="26"/>
          <w:szCs w:val="26"/>
        </w:rPr>
        <w:t xml:space="preserve"> to identify the root causes of issues and implement targeted interventions, increasing the likelihood of effective and sustainable outcomes.</w:t>
      </w:r>
    </w:p>
    <w:p w14:paraId="4350C2A5" w14:textId="540F1E82" w:rsidR="00F66D10" w:rsidRPr="006C3B26" w:rsidRDefault="00115E0D" w:rsidP="00B9647C">
      <w:pPr>
        <w:rPr>
          <w:rFonts w:asciiTheme="majorHAnsi" w:hAnsiTheme="majorHAnsi"/>
          <w:sz w:val="26"/>
          <w:szCs w:val="26"/>
        </w:rPr>
      </w:pPr>
      <w:r>
        <w:rPr>
          <w:rFonts w:asciiTheme="majorHAnsi" w:hAnsiTheme="majorHAnsi"/>
          <w:sz w:val="26"/>
          <w:szCs w:val="26"/>
        </w:rPr>
        <w:t xml:space="preserve">The benefit of this approach is that decision is more objective, defensible and aligned with organisational goals. However, evidence-based decision making requires time, data quality and analytical capability. To be effective, </w:t>
      </w:r>
      <w:proofErr w:type="spellStart"/>
      <w:r>
        <w:rPr>
          <w:rFonts w:asciiTheme="majorHAnsi" w:hAnsiTheme="majorHAnsi"/>
          <w:sz w:val="26"/>
          <w:szCs w:val="26"/>
        </w:rPr>
        <w:t>Technivara</w:t>
      </w:r>
      <w:proofErr w:type="spellEnd"/>
      <w:r>
        <w:rPr>
          <w:rFonts w:asciiTheme="majorHAnsi" w:hAnsiTheme="majorHAnsi"/>
          <w:sz w:val="26"/>
          <w:szCs w:val="26"/>
        </w:rPr>
        <w:t xml:space="preserve"> must ensure that data is reliable and that evidence is interpreted alongside professional judgement and organisational context (CIPD, 2023). </w:t>
      </w:r>
    </w:p>
    <w:p w14:paraId="70B0564B" w14:textId="6E083ED2" w:rsidR="00F66D10" w:rsidRPr="00115E0D" w:rsidRDefault="00115E0D" w:rsidP="00B9647C">
      <w:pPr>
        <w:rPr>
          <w:rFonts w:asciiTheme="majorHAnsi" w:hAnsiTheme="majorHAnsi"/>
          <w:b/>
          <w:bCs/>
          <w:sz w:val="26"/>
          <w:szCs w:val="26"/>
        </w:rPr>
      </w:pPr>
      <w:r w:rsidRPr="00115E0D">
        <w:rPr>
          <w:rFonts w:asciiTheme="majorHAnsi" w:hAnsiTheme="majorHAnsi"/>
          <w:b/>
          <w:bCs/>
          <w:sz w:val="26"/>
          <w:szCs w:val="26"/>
        </w:rPr>
        <w:t xml:space="preserve">Participative decision-making </w:t>
      </w:r>
    </w:p>
    <w:p w14:paraId="5BFDA9C9" w14:textId="390BA816" w:rsidR="00F66D10" w:rsidRPr="006C3B26" w:rsidRDefault="00F66D10" w:rsidP="00B9647C">
      <w:pPr>
        <w:rPr>
          <w:rFonts w:asciiTheme="majorHAnsi" w:hAnsiTheme="majorHAnsi"/>
          <w:sz w:val="26"/>
          <w:szCs w:val="26"/>
        </w:rPr>
      </w:pPr>
      <w:r w:rsidRPr="006C3B26">
        <w:rPr>
          <w:rFonts w:asciiTheme="majorHAnsi" w:hAnsiTheme="majorHAnsi"/>
          <w:sz w:val="26"/>
          <w:szCs w:val="26"/>
        </w:rPr>
        <w:t xml:space="preserve">Participative decision making involves actively engaging employees and key stakeholders in the decision-making process to gather diverse perspectives and insights (Armstrong and Taylor, 2023). At </w:t>
      </w:r>
      <w:proofErr w:type="spellStart"/>
      <w:r w:rsidRPr="006C3B26">
        <w:rPr>
          <w:rFonts w:asciiTheme="majorHAnsi" w:hAnsiTheme="majorHAnsi"/>
          <w:sz w:val="26"/>
          <w:szCs w:val="26"/>
        </w:rPr>
        <w:t>Technivara</w:t>
      </w:r>
      <w:proofErr w:type="spellEnd"/>
      <w:r w:rsidRPr="006C3B26">
        <w:rPr>
          <w:rFonts w:asciiTheme="majorHAnsi" w:hAnsiTheme="majorHAnsi"/>
          <w:sz w:val="26"/>
          <w:szCs w:val="26"/>
        </w:rPr>
        <w:t xml:space="preserve">, this may include consultations, focus groups or team discussions when considering changes to people policies or working practices. </w:t>
      </w:r>
    </w:p>
    <w:p w14:paraId="787EF89C" w14:textId="39A31212" w:rsidR="00900375" w:rsidRDefault="00115E0D" w:rsidP="00B9647C">
      <w:pPr>
        <w:rPr>
          <w:rFonts w:asciiTheme="majorHAnsi" w:hAnsiTheme="majorHAnsi"/>
          <w:sz w:val="26"/>
          <w:szCs w:val="26"/>
        </w:rPr>
      </w:pPr>
      <w:r>
        <w:rPr>
          <w:rFonts w:asciiTheme="majorHAnsi" w:hAnsiTheme="majorHAnsi"/>
          <w:sz w:val="26"/>
          <w:szCs w:val="26"/>
        </w:rPr>
        <w:t xml:space="preserve">At </w:t>
      </w:r>
      <w:proofErr w:type="spellStart"/>
      <w:r>
        <w:rPr>
          <w:rFonts w:asciiTheme="majorHAnsi" w:hAnsiTheme="majorHAnsi"/>
          <w:sz w:val="26"/>
          <w:szCs w:val="26"/>
        </w:rPr>
        <w:t>Technivara</w:t>
      </w:r>
      <w:proofErr w:type="spellEnd"/>
      <w:r>
        <w:rPr>
          <w:rFonts w:asciiTheme="majorHAnsi" w:hAnsiTheme="majorHAnsi"/>
          <w:sz w:val="26"/>
          <w:szCs w:val="26"/>
        </w:rPr>
        <w:t xml:space="preserve">, participative decision making could be used when introducing changes to working arrangements or new performance management systems. Involving employees allows the organisation to identify potential challenges, assess feasibility and understand employee concerns before decisions are finalised. This improves decision quality and increases employee commitment to implementation. </w:t>
      </w:r>
    </w:p>
    <w:p w14:paraId="774B70AD" w14:textId="7D351322" w:rsidR="00115E0D" w:rsidRDefault="00115E0D" w:rsidP="00B9647C">
      <w:pPr>
        <w:rPr>
          <w:rFonts w:asciiTheme="majorHAnsi" w:hAnsiTheme="majorHAnsi"/>
          <w:sz w:val="26"/>
          <w:szCs w:val="26"/>
        </w:rPr>
      </w:pPr>
      <w:r>
        <w:rPr>
          <w:rFonts w:asciiTheme="majorHAnsi" w:hAnsiTheme="majorHAnsi"/>
          <w:sz w:val="26"/>
          <w:szCs w:val="26"/>
        </w:rPr>
        <w:t xml:space="preserve">The main advantage of participative decision-making is that it builds trust, improves engagement and reduces resistance to change. However, it can be time consuming and may slow decision making if not managed well. </w:t>
      </w:r>
      <w:proofErr w:type="spellStart"/>
      <w:r>
        <w:rPr>
          <w:rFonts w:asciiTheme="majorHAnsi" w:hAnsiTheme="majorHAnsi"/>
          <w:sz w:val="26"/>
          <w:szCs w:val="26"/>
        </w:rPr>
        <w:t>Technivara</w:t>
      </w:r>
      <w:proofErr w:type="spellEnd"/>
      <w:r>
        <w:rPr>
          <w:rFonts w:asciiTheme="majorHAnsi" w:hAnsiTheme="majorHAnsi"/>
          <w:sz w:val="26"/>
          <w:szCs w:val="26"/>
        </w:rPr>
        <w:t xml:space="preserve"> would need to ensure clear </w:t>
      </w:r>
      <w:r>
        <w:rPr>
          <w:rFonts w:asciiTheme="majorHAnsi" w:hAnsiTheme="majorHAnsi"/>
          <w:sz w:val="26"/>
          <w:szCs w:val="26"/>
        </w:rPr>
        <w:lastRenderedPageBreak/>
        <w:t xml:space="preserve">boundaries and accountability so that participation informs, rather than delays, effective outcomes. </w:t>
      </w:r>
    </w:p>
    <w:p w14:paraId="2C9E75CA" w14:textId="4500F7B6" w:rsidR="00345F48" w:rsidRDefault="00345F48" w:rsidP="00B9647C">
      <w:pPr>
        <w:rPr>
          <w:rFonts w:asciiTheme="majorHAnsi" w:hAnsiTheme="majorHAnsi"/>
          <w:sz w:val="26"/>
          <w:szCs w:val="26"/>
        </w:rPr>
      </w:pPr>
      <w:r>
        <w:rPr>
          <w:rFonts w:asciiTheme="majorHAnsi" w:hAnsiTheme="majorHAnsi"/>
          <w:sz w:val="26"/>
          <w:szCs w:val="26"/>
        </w:rPr>
        <w:t xml:space="preserve">By applying evidence-based and participative decision-making processes, </w:t>
      </w:r>
      <w:proofErr w:type="spellStart"/>
      <w:r>
        <w:rPr>
          <w:rFonts w:asciiTheme="majorHAnsi" w:hAnsiTheme="majorHAnsi"/>
          <w:sz w:val="26"/>
          <w:szCs w:val="26"/>
        </w:rPr>
        <w:t>Technivara</w:t>
      </w:r>
      <w:proofErr w:type="spellEnd"/>
      <w:r>
        <w:rPr>
          <w:rFonts w:asciiTheme="majorHAnsi" w:hAnsiTheme="majorHAnsi"/>
          <w:sz w:val="26"/>
          <w:szCs w:val="26"/>
        </w:rPr>
        <w:t xml:space="preserve"> can improve the quality and effectiveness of people related decisions. Evidence-based decision making ensures objectively and alignment with organisational goals, while participative decision making enhances buy-in and implementation success. Together, these processes support sustainable and effective people practice. </w:t>
      </w:r>
    </w:p>
    <w:p w14:paraId="4CC3A7A4" w14:textId="77777777" w:rsidR="00115E0D" w:rsidRPr="006C3B26" w:rsidRDefault="00115E0D" w:rsidP="00B9647C">
      <w:pPr>
        <w:rPr>
          <w:rFonts w:asciiTheme="majorHAnsi" w:hAnsiTheme="majorHAnsi"/>
          <w:sz w:val="26"/>
          <w:szCs w:val="26"/>
        </w:rPr>
      </w:pPr>
    </w:p>
    <w:p w14:paraId="319C1B75" w14:textId="41E49042" w:rsidR="004A47FB" w:rsidRPr="006C3B26" w:rsidRDefault="004A47FB" w:rsidP="00B9647C">
      <w:pPr>
        <w:rPr>
          <w:rFonts w:asciiTheme="majorHAnsi" w:hAnsiTheme="majorHAnsi"/>
          <w:sz w:val="26"/>
          <w:szCs w:val="26"/>
        </w:rPr>
      </w:pPr>
      <w:r w:rsidRPr="006C3B26">
        <w:rPr>
          <w:rFonts w:asciiTheme="majorHAnsi" w:hAnsiTheme="majorHAnsi"/>
          <w:sz w:val="26"/>
          <w:szCs w:val="26"/>
        </w:rPr>
        <w:t>AC 1.5</w:t>
      </w:r>
    </w:p>
    <w:p w14:paraId="22F9DDFA" w14:textId="3A03E216" w:rsidR="00FB676E" w:rsidRPr="006C3B26" w:rsidRDefault="00FB676E" w:rsidP="00B9647C">
      <w:pPr>
        <w:rPr>
          <w:rFonts w:asciiTheme="majorHAnsi" w:hAnsiTheme="majorHAnsi"/>
          <w:sz w:val="26"/>
          <w:szCs w:val="26"/>
        </w:rPr>
      </w:pPr>
      <w:r w:rsidRPr="006C3B26">
        <w:rPr>
          <w:rFonts w:asciiTheme="majorHAnsi" w:hAnsiTheme="majorHAnsi"/>
          <w:sz w:val="26"/>
          <w:szCs w:val="26"/>
        </w:rPr>
        <w:t>Ethical decision making in people practice requires consideration of how decisions affect employees, the organisation and wider society. Using ethical perspectives supports fair, responsible and consistent decision making aligned with professional standards and organisational values (CIPD, 2023)</w:t>
      </w:r>
    </w:p>
    <w:p w14:paraId="5E6BC02E" w14:textId="0E991A2C" w:rsidR="00FB676E" w:rsidRPr="00345F48" w:rsidRDefault="00345F48" w:rsidP="00B9647C">
      <w:pPr>
        <w:rPr>
          <w:rFonts w:asciiTheme="majorHAnsi" w:hAnsiTheme="majorHAnsi"/>
          <w:b/>
          <w:bCs/>
          <w:sz w:val="26"/>
          <w:szCs w:val="26"/>
        </w:rPr>
      </w:pPr>
      <w:r w:rsidRPr="00345F48">
        <w:rPr>
          <w:rFonts w:asciiTheme="majorHAnsi" w:hAnsiTheme="majorHAnsi"/>
          <w:b/>
          <w:bCs/>
          <w:sz w:val="26"/>
          <w:szCs w:val="26"/>
        </w:rPr>
        <w:t xml:space="preserve">Utilitarian Perspective </w:t>
      </w:r>
    </w:p>
    <w:p w14:paraId="64E110D7" w14:textId="52680C8A" w:rsidR="00FB676E" w:rsidRDefault="00FB676E" w:rsidP="00B9647C">
      <w:pPr>
        <w:rPr>
          <w:rFonts w:asciiTheme="majorHAnsi" w:hAnsiTheme="majorHAnsi"/>
          <w:sz w:val="26"/>
          <w:szCs w:val="26"/>
        </w:rPr>
      </w:pPr>
      <w:r w:rsidRPr="006C3B26">
        <w:rPr>
          <w:rFonts w:asciiTheme="majorHAnsi" w:hAnsiTheme="majorHAnsi"/>
          <w:sz w:val="26"/>
          <w:szCs w:val="26"/>
        </w:rPr>
        <w:t xml:space="preserve">The utilitarian perspective evaluates decisions based on their outcomes, </w:t>
      </w:r>
      <w:r w:rsidR="00312969" w:rsidRPr="006C3B26">
        <w:rPr>
          <w:rFonts w:asciiTheme="majorHAnsi" w:hAnsiTheme="majorHAnsi"/>
          <w:sz w:val="26"/>
          <w:szCs w:val="26"/>
        </w:rPr>
        <w:t>aiming to achieve</w:t>
      </w:r>
      <w:r w:rsidRPr="006C3B26">
        <w:rPr>
          <w:rFonts w:asciiTheme="majorHAnsi" w:hAnsiTheme="majorHAnsi"/>
          <w:sz w:val="26"/>
          <w:szCs w:val="26"/>
        </w:rPr>
        <w:t xml:space="preserve"> the greatest </w:t>
      </w:r>
      <w:r w:rsidR="004C1632">
        <w:rPr>
          <w:rFonts w:asciiTheme="majorHAnsi" w:hAnsiTheme="majorHAnsi"/>
          <w:sz w:val="26"/>
          <w:szCs w:val="26"/>
        </w:rPr>
        <w:t xml:space="preserve">overall </w:t>
      </w:r>
      <w:r w:rsidR="00312969" w:rsidRPr="006C3B26">
        <w:rPr>
          <w:rFonts w:asciiTheme="majorHAnsi" w:hAnsiTheme="majorHAnsi"/>
          <w:sz w:val="26"/>
          <w:szCs w:val="26"/>
        </w:rPr>
        <w:t xml:space="preserve">benefit </w:t>
      </w:r>
      <w:r w:rsidRPr="006C3B26">
        <w:rPr>
          <w:rFonts w:asciiTheme="majorHAnsi" w:hAnsiTheme="majorHAnsi"/>
          <w:sz w:val="26"/>
          <w:szCs w:val="26"/>
        </w:rPr>
        <w:t>for the greatest number</w:t>
      </w:r>
      <w:r w:rsidR="004C1632">
        <w:rPr>
          <w:rFonts w:asciiTheme="majorHAnsi" w:hAnsiTheme="majorHAnsi"/>
          <w:sz w:val="26"/>
          <w:szCs w:val="26"/>
        </w:rPr>
        <w:t xml:space="preserve"> of people</w:t>
      </w:r>
      <w:r w:rsidRPr="006C3B26">
        <w:rPr>
          <w:rFonts w:asciiTheme="majorHAnsi" w:hAnsiTheme="majorHAnsi"/>
          <w:sz w:val="26"/>
          <w:szCs w:val="26"/>
        </w:rPr>
        <w:t xml:space="preserve"> (</w:t>
      </w:r>
      <w:r w:rsidR="00312969" w:rsidRPr="006C3B26">
        <w:rPr>
          <w:rFonts w:asciiTheme="majorHAnsi" w:hAnsiTheme="majorHAnsi"/>
          <w:sz w:val="26"/>
          <w:szCs w:val="26"/>
        </w:rPr>
        <w:t>Sandel, 2013)</w:t>
      </w:r>
      <w:r w:rsidRPr="006C3B26">
        <w:rPr>
          <w:rFonts w:asciiTheme="majorHAnsi" w:hAnsiTheme="majorHAnsi"/>
          <w:sz w:val="26"/>
          <w:szCs w:val="26"/>
        </w:rPr>
        <w:t xml:space="preserve">. </w:t>
      </w:r>
      <w:r w:rsidR="004C1632">
        <w:rPr>
          <w:rFonts w:asciiTheme="majorHAnsi" w:hAnsiTheme="majorHAnsi"/>
          <w:sz w:val="26"/>
          <w:szCs w:val="26"/>
        </w:rPr>
        <w:t>Decisions are assessed by weighing the positive and negative impacts on stakeholders and selecting the option that maximises overall wellbeing.</w:t>
      </w:r>
    </w:p>
    <w:p w14:paraId="02039AFC" w14:textId="67D62EDE" w:rsidR="004C1632" w:rsidRDefault="004C1632" w:rsidP="00B9647C">
      <w:pPr>
        <w:rPr>
          <w:rFonts w:asciiTheme="majorHAnsi" w:hAnsiTheme="majorHAnsi"/>
          <w:sz w:val="26"/>
          <w:szCs w:val="26"/>
        </w:rPr>
      </w:pPr>
      <w:r>
        <w:rPr>
          <w:rFonts w:asciiTheme="majorHAnsi" w:hAnsiTheme="majorHAnsi"/>
          <w:sz w:val="26"/>
          <w:szCs w:val="26"/>
        </w:rPr>
        <w:t xml:space="preserve">At </w:t>
      </w:r>
      <w:proofErr w:type="spellStart"/>
      <w:r>
        <w:rPr>
          <w:rFonts w:asciiTheme="majorHAnsi" w:hAnsiTheme="majorHAnsi"/>
          <w:sz w:val="26"/>
          <w:szCs w:val="26"/>
        </w:rPr>
        <w:t>Technivara</w:t>
      </w:r>
      <w:proofErr w:type="spellEnd"/>
      <w:r>
        <w:rPr>
          <w:rFonts w:asciiTheme="majorHAnsi" w:hAnsiTheme="majorHAnsi"/>
          <w:sz w:val="26"/>
          <w:szCs w:val="26"/>
        </w:rPr>
        <w:t xml:space="preserve">, this perspective could be applied when making strategic people decisions such as restructuring, changes to wo working practices or cost saving measures. For example, if the organisation needs to reduce costs, a utilitarian approach would encourage leaders to explore alternatives such as redeployment, reduced overtime or flexible working arrangements before implementing redundancies. These options may reduce harm to employees while still supporting organisational sustainability. </w:t>
      </w:r>
    </w:p>
    <w:p w14:paraId="2D5CCAF5" w14:textId="69481581" w:rsidR="004C1632" w:rsidRPr="006C3B26" w:rsidRDefault="004C1632" w:rsidP="00B9647C">
      <w:pPr>
        <w:rPr>
          <w:rFonts w:asciiTheme="majorHAnsi" w:hAnsiTheme="majorHAnsi"/>
          <w:sz w:val="26"/>
          <w:szCs w:val="26"/>
        </w:rPr>
      </w:pPr>
      <w:r>
        <w:rPr>
          <w:rFonts w:asciiTheme="majorHAnsi" w:hAnsiTheme="majorHAnsi"/>
          <w:sz w:val="26"/>
          <w:szCs w:val="26"/>
        </w:rPr>
        <w:t xml:space="preserve">The strength of the utilitarian approach is that it promotes long-term thinking and encourages leaders to consider the wider impact of decisions on employees and the organisation. However, a key limitation is that it may disadvantage individuals or minority groups if their needs are outweighed by benefits to the majority. For this reason, </w:t>
      </w:r>
      <w:proofErr w:type="spellStart"/>
      <w:r>
        <w:rPr>
          <w:rFonts w:asciiTheme="majorHAnsi" w:hAnsiTheme="majorHAnsi"/>
          <w:sz w:val="26"/>
          <w:szCs w:val="26"/>
        </w:rPr>
        <w:t>Technivara</w:t>
      </w:r>
      <w:proofErr w:type="spellEnd"/>
      <w:r>
        <w:rPr>
          <w:rFonts w:asciiTheme="majorHAnsi" w:hAnsiTheme="majorHAnsi"/>
          <w:sz w:val="26"/>
          <w:szCs w:val="26"/>
        </w:rPr>
        <w:t xml:space="preserve"> should ensure that outcome-based decisions are balanced with fairness and employee protections. </w:t>
      </w:r>
    </w:p>
    <w:p w14:paraId="7C9B248B" w14:textId="4E23C15D" w:rsidR="00FB676E" w:rsidRPr="00345F48" w:rsidRDefault="00345F48" w:rsidP="00B9647C">
      <w:pPr>
        <w:rPr>
          <w:rFonts w:asciiTheme="majorHAnsi" w:hAnsiTheme="majorHAnsi"/>
          <w:b/>
          <w:bCs/>
          <w:sz w:val="26"/>
          <w:szCs w:val="26"/>
        </w:rPr>
      </w:pPr>
      <w:r w:rsidRPr="00345F48">
        <w:rPr>
          <w:rFonts w:asciiTheme="majorHAnsi" w:hAnsiTheme="majorHAnsi"/>
          <w:b/>
          <w:bCs/>
          <w:sz w:val="26"/>
          <w:szCs w:val="26"/>
        </w:rPr>
        <w:t>Deontological Perspective</w:t>
      </w:r>
    </w:p>
    <w:p w14:paraId="34B85787" w14:textId="4767AEAD" w:rsidR="004C1632" w:rsidRDefault="00FB676E" w:rsidP="00B9647C">
      <w:pPr>
        <w:rPr>
          <w:rFonts w:asciiTheme="majorHAnsi" w:hAnsiTheme="majorHAnsi"/>
          <w:sz w:val="26"/>
          <w:szCs w:val="26"/>
        </w:rPr>
      </w:pPr>
      <w:r w:rsidRPr="006C3B26">
        <w:rPr>
          <w:rFonts w:asciiTheme="majorHAnsi" w:hAnsiTheme="majorHAnsi"/>
          <w:sz w:val="26"/>
          <w:szCs w:val="26"/>
        </w:rPr>
        <w:lastRenderedPageBreak/>
        <w:t xml:space="preserve">The deontological perspective focuses on duties, </w:t>
      </w:r>
      <w:r w:rsidR="004C1632">
        <w:rPr>
          <w:rFonts w:asciiTheme="majorHAnsi" w:hAnsiTheme="majorHAnsi"/>
          <w:sz w:val="26"/>
          <w:szCs w:val="26"/>
        </w:rPr>
        <w:t xml:space="preserve">rules and moral </w:t>
      </w:r>
      <w:r w:rsidR="00312969" w:rsidRPr="006C3B26">
        <w:rPr>
          <w:rFonts w:asciiTheme="majorHAnsi" w:hAnsiTheme="majorHAnsi"/>
          <w:sz w:val="26"/>
          <w:szCs w:val="26"/>
        </w:rPr>
        <w:t xml:space="preserve">principles </w:t>
      </w:r>
      <w:r w:rsidR="004C1632">
        <w:rPr>
          <w:rFonts w:asciiTheme="majorHAnsi" w:hAnsiTheme="majorHAnsi"/>
          <w:sz w:val="26"/>
          <w:szCs w:val="26"/>
        </w:rPr>
        <w:t xml:space="preserve">rather than consequences. Decisions are considered ethical if they adhere to agreed standards, </w:t>
      </w:r>
      <w:r w:rsidR="004C1632" w:rsidRPr="006C3B26">
        <w:rPr>
          <w:rFonts w:asciiTheme="majorHAnsi" w:hAnsiTheme="majorHAnsi"/>
          <w:sz w:val="26"/>
          <w:szCs w:val="26"/>
        </w:rPr>
        <w:t>rights</w:t>
      </w:r>
      <w:r w:rsidR="004C1632">
        <w:rPr>
          <w:rFonts w:asciiTheme="majorHAnsi" w:hAnsiTheme="majorHAnsi"/>
          <w:sz w:val="26"/>
          <w:szCs w:val="26"/>
        </w:rPr>
        <w:t xml:space="preserve"> and obligations, regardless of outcomes</w:t>
      </w:r>
      <w:r w:rsidR="00312969" w:rsidRPr="006C3B26">
        <w:rPr>
          <w:rFonts w:asciiTheme="majorHAnsi" w:hAnsiTheme="majorHAnsi"/>
          <w:sz w:val="26"/>
          <w:szCs w:val="26"/>
        </w:rPr>
        <w:t xml:space="preserve"> (Velasquez et al., 2015</w:t>
      </w:r>
      <w:r w:rsidRPr="006C3B26">
        <w:rPr>
          <w:rFonts w:asciiTheme="majorHAnsi" w:hAnsiTheme="majorHAnsi"/>
          <w:sz w:val="26"/>
          <w:szCs w:val="26"/>
        </w:rPr>
        <w:t xml:space="preserve">). </w:t>
      </w:r>
    </w:p>
    <w:p w14:paraId="5808D93D" w14:textId="416CC0F8" w:rsidR="004C1632" w:rsidRDefault="00FB676E" w:rsidP="004C1632">
      <w:pPr>
        <w:rPr>
          <w:rFonts w:asciiTheme="majorHAnsi" w:hAnsiTheme="majorHAnsi"/>
          <w:sz w:val="26"/>
          <w:szCs w:val="26"/>
        </w:rPr>
      </w:pPr>
      <w:r w:rsidRPr="006C3B26">
        <w:rPr>
          <w:rFonts w:asciiTheme="majorHAnsi" w:hAnsiTheme="majorHAnsi"/>
          <w:sz w:val="26"/>
          <w:szCs w:val="26"/>
        </w:rPr>
        <w:t xml:space="preserve">At </w:t>
      </w:r>
      <w:proofErr w:type="spellStart"/>
      <w:r w:rsidRPr="006C3B26">
        <w:rPr>
          <w:rFonts w:asciiTheme="majorHAnsi" w:hAnsiTheme="majorHAnsi"/>
          <w:sz w:val="26"/>
          <w:szCs w:val="26"/>
        </w:rPr>
        <w:t>Technivara</w:t>
      </w:r>
      <w:proofErr w:type="spellEnd"/>
      <w:r w:rsidRPr="006C3B26">
        <w:rPr>
          <w:rFonts w:asciiTheme="majorHAnsi" w:hAnsiTheme="majorHAnsi"/>
          <w:sz w:val="26"/>
          <w:szCs w:val="26"/>
        </w:rPr>
        <w:t xml:space="preserve">, this perspective </w:t>
      </w:r>
      <w:r w:rsidR="004C1632">
        <w:rPr>
          <w:rFonts w:asciiTheme="majorHAnsi" w:hAnsiTheme="majorHAnsi"/>
          <w:sz w:val="26"/>
          <w:szCs w:val="26"/>
        </w:rPr>
        <w:t xml:space="preserve">could strongly influence decisions relating to recruitment, pay, performance management and employee relations. For example, using consistent selection criteria and transparent recruitment processes ensures fairness and equality, even if shortcuts might deliver quicker results. </w:t>
      </w:r>
      <w:r w:rsidR="00DC1CA7">
        <w:rPr>
          <w:rFonts w:asciiTheme="majorHAnsi" w:hAnsiTheme="majorHAnsi"/>
          <w:sz w:val="26"/>
          <w:szCs w:val="26"/>
        </w:rPr>
        <w:t>Similarly</w:t>
      </w:r>
      <w:r w:rsidR="004C1632">
        <w:rPr>
          <w:rFonts w:asciiTheme="majorHAnsi" w:hAnsiTheme="majorHAnsi"/>
          <w:sz w:val="26"/>
          <w:szCs w:val="26"/>
        </w:rPr>
        <w:t xml:space="preserve">, following established disciplinary </w:t>
      </w:r>
      <w:r w:rsidR="00DC1CA7">
        <w:rPr>
          <w:rFonts w:asciiTheme="majorHAnsi" w:hAnsiTheme="majorHAnsi"/>
          <w:sz w:val="26"/>
          <w:szCs w:val="26"/>
        </w:rPr>
        <w:t xml:space="preserve">and grievance procedures demonstrates respect for employee rights and supports procedural justice. </w:t>
      </w:r>
    </w:p>
    <w:p w14:paraId="4D5BF58E" w14:textId="50D37231" w:rsidR="00312969" w:rsidRPr="006C3B26" w:rsidRDefault="00DC1CA7" w:rsidP="00B9647C">
      <w:pPr>
        <w:rPr>
          <w:rFonts w:asciiTheme="majorHAnsi" w:hAnsiTheme="majorHAnsi"/>
          <w:sz w:val="26"/>
          <w:szCs w:val="26"/>
        </w:rPr>
      </w:pPr>
      <w:r>
        <w:rPr>
          <w:rFonts w:asciiTheme="majorHAnsi" w:hAnsiTheme="majorHAnsi"/>
          <w:sz w:val="26"/>
          <w:szCs w:val="26"/>
        </w:rPr>
        <w:t xml:space="preserve">The main advantage of the deontological approach is that it promotes consistency, trust and legal compliance, strengthening organisational credibility. However, it can be inflexible in complex situations where strict adherence to rules may limit practical solutions. As a result, </w:t>
      </w:r>
      <w:proofErr w:type="spellStart"/>
      <w:r>
        <w:rPr>
          <w:rFonts w:asciiTheme="majorHAnsi" w:hAnsiTheme="majorHAnsi"/>
          <w:sz w:val="26"/>
          <w:szCs w:val="26"/>
        </w:rPr>
        <w:t>Technivara</w:t>
      </w:r>
      <w:proofErr w:type="spellEnd"/>
      <w:r>
        <w:rPr>
          <w:rFonts w:asciiTheme="majorHAnsi" w:hAnsiTheme="majorHAnsi"/>
          <w:sz w:val="26"/>
          <w:szCs w:val="26"/>
        </w:rPr>
        <w:t xml:space="preserve"> should apply this perspective alongside outcome-based thinking. </w:t>
      </w:r>
    </w:p>
    <w:p w14:paraId="710AB185" w14:textId="77777777" w:rsidR="007323FD" w:rsidRDefault="00312969" w:rsidP="00EE64E7">
      <w:pPr>
        <w:rPr>
          <w:rFonts w:asciiTheme="majorHAnsi" w:hAnsiTheme="majorHAnsi"/>
          <w:sz w:val="26"/>
          <w:szCs w:val="26"/>
        </w:rPr>
      </w:pPr>
      <w:r w:rsidRPr="006C3B26">
        <w:rPr>
          <w:rFonts w:asciiTheme="majorHAnsi" w:hAnsiTheme="majorHAnsi"/>
          <w:sz w:val="26"/>
          <w:szCs w:val="26"/>
        </w:rPr>
        <w:t xml:space="preserve">By applying both utilitarian and deontological ethical perspectives, </w:t>
      </w:r>
      <w:proofErr w:type="spellStart"/>
      <w:r w:rsidRPr="006C3B26">
        <w:rPr>
          <w:rFonts w:asciiTheme="majorHAnsi" w:hAnsiTheme="majorHAnsi"/>
          <w:sz w:val="26"/>
          <w:szCs w:val="26"/>
        </w:rPr>
        <w:t>Technivara</w:t>
      </w:r>
      <w:proofErr w:type="spellEnd"/>
      <w:r w:rsidRPr="006C3B26">
        <w:rPr>
          <w:rFonts w:asciiTheme="majorHAnsi" w:hAnsiTheme="majorHAnsi"/>
          <w:sz w:val="26"/>
          <w:szCs w:val="26"/>
        </w:rPr>
        <w:t xml:space="preserve"> can make balanced and ethically sound decisions. The utilitarian approach supports evaluation of overall impact, while the deontological approach ensures respect for individual rights and consistent people practices. Together, they strengthen ethical decision making and organisational credibility.</w:t>
      </w:r>
    </w:p>
    <w:p w14:paraId="371B5141" w14:textId="522F061F" w:rsidR="00EE64E7" w:rsidRDefault="00C84057" w:rsidP="00EE64E7">
      <w:pPr>
        <w:rPr>
          <w:rFonts w:asciiTheme="majorHAnsi" w:hAnsiTheme="majorHAnsi"/>
          <w:sz w:val="26"/>
          <w:szCs w:val="26"/>
        </w:rPr>
      </w:pPr>
      <w:r w:rsidRPr="006C3B26">
        <w:rPr>
          <w:rFonts w:asciiTheme="majorHAnsi" w:hAnsiTheme="majorHAnsi"/>
          <w:sz w:val="26"/>
          <w:szCs w:val="26"/>
        </w:rPr>
        <w:t>AC 3.1</w:t>
      </w:r>
    </w:p>
    <w:p w14:paraId="58FA43DC" w14:textId="77777777" w:rsidR="007323FD" w:rsidRPr="007323FD" w:rsidRDefault="007323FD" w:rsidP="007323FD">
      <w:pPr>
        <w:pStyle w:val="NormalWeb"/>
        <w:spacing w:before="0" w:beforeAutospacing="0" w:after="180" w:afterAutospacing="0"/>
        <w:rPr>
          <w:rFonts w:asciiTheme="majorHAnsi" w:hAnsiTheme="majorHAnsi"/>
          <w:sz w:val="26"/>
          <w:szCs w:val="26"/>
        </w:rPr>
      </w:pPr>
      <w:r w:rsidRPr="007323FD">
        <w:rPr>
          <w:rFonts w:asciiTheme="majorHAnsi" w:hAnsiTheme="majorHAnsi" w:cs="Times New Roman"/>
          <w:sz w:val="26"/>
          <w:szCs w:val="26"/>
        </w:rPr>
        <w:t xml:space="preserve">To understand organisational effectiveness and support sound decision-making, </w:t>
      </w:r>
      <w:proofErr w:type="spellStart"/>
      <w:r w:rsidRPr="007323FD">
        <w:rPr>
          <w:rFonts w:asciiTheme="majorHAnsi" w:hAnsiTheme="majorHAnsi" w:cs="Times New Roman"/>
          <w:sz w:val="26"/>
          <w:szCs w:val="26"/>
        </w:rPr>
        <w:t>Technivara</w:t>
      </w:r>
      <w:proofErr w:type="spellEnd"/>
      <w:r w:rsidRPr="007323FD">
        <w:rPr>
          <w:rFonts w:asciiTheme="majorHAnsi" w:hAnsiTheme="majorHAnsi" w:cs="Times New Roman"/>
          <w:sz w:val="26"/>
          <w:szCs w:val="26"/>
        </w:rPr>
        <w:t xml:space="preserve"> should measure both financial and non-financial performance. Financial measures assess economic sustainability, while non-financial measures provide insight into employee experience, capability and long-term organisational health. Using both offers a more balanced and accurate picture of performance.</w:t>
      </w:r>
    </w:p>
    <w:p w14:paraId="488AFBB2" w14:textId="77777777" w:rsidR="007323FD" w:rsidRDefault="007323FD" w:rsidP="007323FD">
      <w:pPr>
        <w:pStyle w:val="NormalWeb"/>
        <w:spacing w:before="0" w:beforeAutospacing="0" w:after="210" w:afterAutospacing="0"/>
        <w:rPr>
          <w:rFonts w:asciiTheme="majorHAnsi" w:hAnsiTheme="majorHAnsi" w:cs="Times New Roman"/>
          <w:sz w:val="26"/>
          <w:szCs w:val="26"/>
        </w:rPr>
      </w:pPr>
      <w:r w:rsidRPr="007323FD">
        <w:rPr>
          <w:rFonts w:asciiTheme="majorHAnsi" w:hAnsiTheme="majorHAnsi" w:cs="Times New Roman"/>
          <w:b/>
          <w:bCs/>
          <w:sz w:val="26"/>
          <w:szCs w:val="26"/>
        </w:rPr>
        <w:t>Financial performance measure: Labour cost as a percentage of revenue</w:t>
      </w:r>
    </w:p>
    <w:p w14:paraId="71B77092" w14:textId="064963EC" w:rsidR="007323FD" w:rsidRPr="007323FD" w:rsidRDefault="007323FD" w:rsidP="007323FD">
      <w:pPr>
        <w:pStyle w:val="NormalWeb"/>
        <w:spacing w:before="0" w:beforeAutospacing="0" w:after="210" w:afterAutospacing="0"/>
        <w:rPr>
          <w:rFonts w:asciiTheme="majorHAnsi" w:hAnsiTheme="majorHAnsi" w:cs="Times New Roman"/>
          <w:sz w:val="26"/>
          <w:szCs w:val="26"/>
        </w:rPr>
      </w:pPr>
      <w:r w:rsidRPr="007323FD">
        <w:rPr>
          <w:rFonts w:asciiTheme="majorHAnsi" w:hAnsiTheme="majorHAnsi" w:cs="Times New Roman"/>
          <w:sz w:val="26"/>
          <w:szCs w:val="26"/>
        </w:rPr>
        <w:t xml:space="preserve">One way </w:t>
      </w:r>
      <w:proofErr w:type="spellStart"/>
      <w:r w:rsidRPr="007323FD">
        <w:rPr>
          <w:rFonts w:asciiTheme="majorHAnsi" w:hAnsiTheme="majorHAnsi" w:cs="Times New Roman"/>
          <w:sz w:val="26"/>
          <w:szCs w:val="26"/>
        </w:rPr>
        <w:t>Technivara</w:t>
      </w:r>
      <w:proofErr w:type="spellEnd"/>
      <w:r w:rsidRPr="007323FD">
        <w:rPr>
          <w:rFonts w:asciiTheme="majorHAnsi" w:hAnsiTheme="majorHAnsi" w:cs="Times New Roman"/>
          <w:sz w:val="26"/>
          <w:szCs w:val="26"/>
        </w:rPr>
        <w:t xml:space="preserve"> could measure financial performance is by analysing labour cost as a percentage of revenue. This measure compares total employee-related costs, including salaries, benefits and training, with organisational income. It helps leaders understand whether workforce investment is proportionate to business output and whether labour costs are being managed efficiently (Armstrong and Taylor, 2023).</w:t>
      </w:r>
    </w:p>
    <w:p w14:paraId="0B825847" w14:textId="0B890CD3" w:rsidR="007323FD" w:rsidRPr="007323FD" w:rsidRDefault="007323FD" w:rsidP="007323FD">
      <w:pPr>
        <w:pStyle w:val="NormalWeb"/>
        <w:spacing w:before="0" w:beforeAutospacing="0" w:after="180" w:afterAutospacing="0"/>
        <w:rPr>
          <w:rFonts w:asciiTheme="majorHAnsi" w:hAnsiTheme="majorHAnsi"/>
          <w:sz w:val="26"/>
          <w:szCs w:val="26"/>
        </w:rPr>
      </w:pPr>
      <w:r w:rsidRPr="007323FD">
        <w:rPr>
          <w:rFonts w:asciiTheme="majorHAnsi" w:hAnsiTheme="majorHAnsi" w:cs="Times New Roman"/>
          <w:sz w:val="26"/>
          <w:szCs w:val="26"/>
        </w:rPr>
        <w:t>Example:</w:t>
      </w:r>
      <w:r>
        <w:rPr>
          <w:rFonts w:asciiTheme="majorHAnsi" w:hAnsiTheme="majorHAnsi"/>
          <w:sz w:val="26"/>
          <w:szCs w:val="26"/>
        </w:rPr>
        <w:t xml:space="preserve"> </w:t>
      </w:r>
      <w:r w:rsidRPr="007323FD">
        <w:rPr>
          <w:rFonts w:asciiTheme="majorHAnsi" w:hAnsiTheme="majorHAnsi" w:cs="Times New Roman"/>
          <w:sz w:val="26"/>
          <w:szCs w:val="26"/>
        </w:rPr>
        <w:t xml:space="preserve">If </w:t>
      </w:r>
      <w:proofErr w:type="spellStart"/>
      <w:r w:rsidRPr="007323FD">
        <w:rPr>
          <w:rFonts w:asciiTheme="majorHAnsi" w:hAnsiTheme="majorHAnsi" w:cs="Times New Roman"/>
          <w:sz w:val="26"/>
          <w:szCs w:val="26"/>
        </w:rPr>
        <w:t>Technivara</w:t>
      </w:r>
      <w:proofErr w:type="spellEnd"/>
      <w:r w:rsidRPr="007323FD">
        <w:rPr>
          <w:rFonts w:asciiTheme="majorHAnsi" w:hAnsiTheme="majorHAnsi" w:cs="Times New Roman"/>
          <w:sz w:val="26"/>
          <w:szCs w:val="26"/>
        </w:rPr>
        <w:t xml:space="preserve"> implements a new reward or recruitment strategy to attract specialist talent, tracking labour costs as a percentage of revenue over time would show whether this investment is sustainable. An increase in labour costs without corresponding revenue growth may indicate reduced productivity or over-resourcing, whereas stable or improved ratios may suggest better workforce efficiency.</w:t>
      </w:r>
    </w:p>
    <w:p w14:paraId="480CDAE1" w14:textId="4F3A083E" w:rsidR="007323FD" w:rsidRPr="007323FD" w:rsidRDefault="007323FD" w:rsidP="007323FD">
      <w:pPr>
        <w:pStyle w:val="NormalWeb"/>
        <w:spacing w:before="0" w:beforeAutospacing="0" w:after="180" w:afterAutospacing="0"/>
        <w:rPr>
          <w:rFonts w:asciiTheme="majorHAnsi" w:hAnsiTheme="majorHAnsi"/>
          <w:sz w:val="26"/>
          <w:szCs w:val="26"/>
        </w:rPr>
      </w:pPr>
      <w:r w:rsidRPr="007323FD">
        <w:rPr>
          <w:rFonts w:asciiTheme="majorHAnsi" w:hAnsiTheme="majorHAnsi" w:cs="Times New Roman"/>
          <w:sz w:val="26"/>
          <w:szCs w:val="26"/>
        </w:rPr>
        <w:lastRenderedPageBreak/>
        <w:t>Appraisal:</w:t>
      </w:r>
      <w:r>
        <w:rPr>
          <w:rFonts w:asciiTheme="majorHAnsi" w:hAnsiTheme="majorHAnsi"/>
          <w:sz w:val="26"/>
          <w:szCs w:val="26"/>
        </w:rPr>
        <w:t xml:space="preserve"> </w:t>
      </w:r>
      <w:r w:rsidRPr="007323FD">
        <w:rPr>
          <w:rFonts w:asciiTheme="majorHAnsi" w:hAnsiTheme="majorHAnsi" w:cs="Times New Roman"/>
          <w:sz w:val="26"/>
          <w:szCs w:val="26"/>
        </w:rPr>
        <w:t>The main strength of this measure is that it provides clear, objective data that supports budgeting, forecasting and strategic workforce planning. It allows senior leaders to make informed financial decisions and assess return on investment in people practices. However, its limitation is that it focuses solely on cost and does not capture employee engagement, wellbeing or future capability. Over-reliance on this measure could encourage short-term cost-cutting decisions that harm morale, retention and long-term performance. As a result, it should be balanced with non-financial indicators.</w:t>
      </w:r>
    </w:p>
    <w:p w14:paraId="3035C0CE" w14:textId="77777777" w:rsidR="007323FD" w:rsidRPr="007323FD" w:rsidRDefault="007323FD" w:rsidP="007323FD">
      <w:pPr>
        <w:pStyle w:val="NormalWeb"/>
        <w:spacing w:before="0" w:beforeAutospacing="0" w:after="210" w:afterAutospacing="0"/>
        <w:rPr>
          <w:rFonts w:asciiTheme="majorHAnsi" w:hAnsiTheme="majorHAnsi" w:cs="Times New Roman"/>
          <w:sz w:val="26"/>
          <w:szCs w:val="26"/>
        </w:rPr>
      </w:pPr>
      <w:r w:rsidRPr="007323FD">
        <w:rPr>
          <w:rFonts w:asciiTheme="majorHAnsi" w:hAnsiTheme="majorHAnsi" w:cs="Times New Roman"/>
          <w:b/>
          <w:bCs/>
          <w:sz w:val="26"/>
          <w:szCs w:val="26"/>
        </w:rPr>
        <w:t>Non-financial performance measure: Employee engagement survey results</w:t>
      </w:r>
    </w:p>
    <w:p w14:paraId="5B3F3FC5" w14:textId="77777777" w:rsidR="007323FD" w:rsidRDefault="007323FD" w:rsidP="007323FD">
      <w:pPr>
        <w:pStyle w:val="NormalWeb"/>
        <w:spacing w:before="0" w:beforeAutospacing="0" w:after="180" w:afterAutospacing="0"/>
        <w:rPr>
          <w:rFonts w:asciiTheme="majorHAnsi" w:hAnsiTheme="majorHAnsi"/>
          <w:sz w:val="26"/>
          <w:szCs w:val="26"/>
        </w:rPr>
      </w:pPr>
      <w:r w:rsidRPr="007323FD">
        <w:rPr>
          <w:rFonts w:asciiTheme="majorHAnsi" w:hAnsiTheme="majorHAnsi" w:cs="Times New Roman"/>
          <w:sz w:val="26"/>
          <w:szCs w:val="26"/>
        </w:rPr>
        <w:t xml:space="preserve">A key non-financial way </w:t>
      </w:r>
      <w:proofErr w:type="spellStart"/>
      <w:r w:rsidRPr="007323FD">
        <w:rPr>
          <w:rFonts w:asciiTheme="majorHAnsi" w:hAnsiTheme="majorHAnsi" w:cs="Times New Roman"/>
          <w:sz w:val="26"/>
          <w:szCs w:val="26"/>
        </w:rPr>
        <w:t>Technivara</w:t>
      </w:r>
      <w:proofErr w:type="spellEnd"/>
      <w:r w:rsidRPr="007323FD">
        <w:rPr>
          <w:rFonts w:asciiTheme="majorHAnsi" w:hAnsiTheme="majorHAnsi" w:cs="Times New Roman"/>
          <w:sz w:val="26"/>
          <w:szCs w:val="26"/>
        </w:rPr>
        <w:t xml:space="preserve"> could measure performance is through employee engagement surveys. These surveys capture employee perceptions of leadership, workload, development opportunities, wellbeing and organisational culture, all of which are linked to performance and retention (CIPD, 2022).</w:t>
      </w:r>
    </w:p>
    <w:p w14:paraId="51E55BB9" w14:textId="5A5A7A8E" w:rsidR="007323FD" w:rsidRPr="007323FD" w:rsidRDefault="007323FD" w:rsidP="007323FD">
      <w:pPr>
        <w:pStyle w:val="NormalWeb"/>
        <w:spacing w:before="0" w:beforeAutospacing="0" w:after="180" w:afterAutospacing="0"/>
        <w:rPr>
          <w:rFonts w:asciiTheme="majorHAnsi" w:hAnsiTheme="majorHAnsi"/>
          <w:sz w:val="26"/>
          <w:szCs w:val="26"/>
        </w:rPr>
      </w:pPr>
      <w:r w:rsidRPr="007323FD">
        <w:rPr>
          <w:rFonts w:asciiTheme="majorHAnsi" w:hAnsiTheme="majorHAnsi" w:cs="Times New Roman"/>
          <w:sz w:val="26"/>
          <w:szCs w:val="26"/>
        </w:rPr>
        <w:t>Example:</w:t>
      </w:r>
      <w:r>
        <w:rPr>
          <w:rFonts w:asciiTheme="majorHAnsi" w:hAnsiTheme="majorHAnsi"/>
          <w:sz w:val="26"/>
          <w:szCs w:val="26"/>
        </w:rPr>
        <w:t xml:space="preserve"> </w:t>
      </w:r>
      <w:r w:rsidRPr="007323FD">
        <w:rPr>
          <w:rFonts w:asciiTheme="majorHAnsi" w:hAnsiTheme="majorHAnsi" w:cs="Times New Roman"/>
          <w:sz w:val="26"/>
          <w:szCs w:val="26"/>
        </w:rPr>
        <w:t xml:space="preserve">After introducing flexible working arrangements or leadership development programmes, </w:t>
      </w:r>
      <w:proofErr w:type="spellStart"/>
      <w:r w:rsidRPr="007323FD">
        <w:rPr>
          <w:rFonts w:asciiTheme="majorHAnsi" w:hAnsiTheme="majorHAnsi" w:cs="Times New Roman"/>
          <w:sz w:val="26"/>
          <w:szCs w:val="26"/>
        </w:rPr>
        <w:t>Technivara</w:t>
      </w:r>
      <w:proofErr w:type="spellEnd"/>
      <w:r w:rsidRPr="007323FD">
        <w:rPr>
          <w:rFonts w:asciiTheme="majorHAnsi" w:hAnsiTheme="majorHAnsi" w:cs="Times New Roman"/>
          <w:sz w:val="26"/>
          <w:szCs w:val="26"/>
        </w:rPr>
        <w:t xml:space="preserve"> could compare engagement survey results before and after implementation. Improvements in engagement scores would indicate positive impact on employee experience and organisational climate.</w:t>
      </w:r>
    </w:p>
    <w:p w14:paraId="7D8EB5D0" w14:textId="77777777" w:rsidR="007323FD" w:rsidRDefault="007323FD" w:rsidP="007323FD">
      <w:pPr>
        <w:pStyle w:val="NormalWeb"/>
        <w:spacing w:before="0" w:beforeAutospacing="0" w:after="180" w:afterAutospacing="0"/>
        <w:rPr>
          <w:rFonts w:asciiTheme="majorHAnsi" w:hAnsiTheme="majorHAnsi"/>
          <w:sz w:val="26"/>
          <w:szCs w:val="26"/>
        </w:rPr>
      </w:pPr>
      <w:r w:rsidRPr="007323FD">
        <w:rPr>
          <w:rFonts w:asciiTheme="majorHAnsi" w:hAnsiTheme="majorHAnsi" w:cs="Times New Roman"/>
          <w:sz w:val="26"/>
          <w:szCs w:val="26"/>
        </w:rPr>
        <w:t>Appraisal:</w:t>
      </w:r>
      <w:r>
        <w:rPr>
          <w:rFonts w:asciiTheme="majorHAnsi" w:hAnsiTheme="majorHAnsi"/>
          <w:sz w:val="26"/>
          <w:szCs w:val="26"/>
        </w:rPr>
        <w:t xml:space="preserve"> </w:t>
      </w:r>
      <w:r w:rsidRPr="007323FD">
        <w:rPr>
          <w:rFonts w:asciiTheme="majorHAnsi" w:hAnsiTheme="majorHAnsi" w:cs="Times New Roman"/>
          <w:sz w:val="26"/>
          <w:szCs w:val="26"/>
        </w:rPr>
        <w:t xml:space="preserve">The strength of engagement surveys is that they provide insight into how employees experience people practices, which financial measures alone cannot show. High engagement is often associated with improved productivity, lower turnover and reduced absence. However, survey data can be subjective and influenced by short-term factors, such as organisational change or external events. To maximise value, </w:t>
      </w:r>
      <w:proofErr w:type="spellStart"/>
      <w:r w:rsidRPr="007323FD">
        <w:rPr>
          <w:rFonts w:asciiTheme="majorHAnsi" w:hAnsiTheme="majorHAnsi" w:cs="Times New Roman"/>
          <w:sz w:val="26"/>
          <w:szCs w:val="26"/>
        </w:rPr>
        <w:t>Technivara</w:t>
      </w:r>
      <w:proofErr w:type="spellEnd"/>
      <w:r w:rsidRPr="007323FD">
        <w:rPr>
          <w:rFonts w:asciiTheme="majorHAnsi" w:hAnsiTheme="majorHAnsi" w:cs="Times New Roman"/>
          <w:sz w:val="26"/>
          <w:szCs w:val="26"/>
        </w:rPr>
        <w:t xml:space="preserve"> should combine engagement data with other workforce metrics, such as turnover and absence rates, and clearly communicate actions taken in response to feedback (Rousseau, 2012).</w:t>
      </w:r>
    </w:p>
    <w:p w14:paraId="4DF82913" w14:textId="0D9739BD" w:rsidR="007323FD" w:rsidRPr="007323FD" w:rsidRDefault="007323FD" w:rsidP="007323FD">
      <w:pPr>
        <w:pStyle w:val="NormalWeb"/>
        <w:spacing w:before="0" w:beforeAutospacing="0" w:after="180" w:afterAutospacing="0"/>
        <w:rPr>
          <w:rFonts w:asciiTheme="majorHAnsi" w:hAnsiTheme="majorHAnsi"/>
          <w:sz w:val="26"/>
          <w:szCs w:val="26"/>
        </w:rPr>
      </w:pPr>
      <w:r w:rsidRPr="007323FD">
        <w:rPr>
          <w:rFonts w:asciiTheme="majorHAnsi" w:hAnsiTheme="majorHAnsi" w:cs="Times New Roman"/>
          <w:sz w:val="26"/>
          <w:szCs w:val="26"/>
        </w:rPr>
        <w:t xml:space="preserve">By measuring labour costs as a percentage of revenue and employee engagement survey results, </w:t>
      </w:r>
      <w:proofErr w:type="spellStart"/>
      <w:r w:rsidRPr="007323FD">
        <w:rPr>
          <w:rFonts w:asciiTheme="majorHAnsi" w:hAnsiTheme="majorHAnsi" w:cs="Times New Roman"/>
          <w:sz w:val="26"/>
          <w:szCs w:val="26"/>
        </w:rPr>
        <w:t>Technivara</w:t>
      </w:r>
      <w:proofErr w:type="spellEnd"/>
      <w:r w:rsidRPr="007323FD">
        <w:rPr>
          <w:rFonts w:asciiTheme="majorHAnsi" w:hAnsiTheme="majorHAnsi" w:cs="Times New Roman"/>
          <w:sz w:val="26"/>
          <w:szCs w:val="26"/>
        </w:rPr>
        <w:t xml:space="preserve"> can assess both financial sustainability and employee experience. Combining these measures supports balanced, evidence-based decision-making and helps ensure people practices deliver long-term value.</w:t>
      </w:r>
    </w:p>
    <w:p w14:paraId="0CD0AAFD" w14:textId="6FA6AA40" w:rsidR="00C84057" w:rsidRDefault="007323FD" w:rsidP="00EE64E7">
      <w:pPr>
        <w:rPr>
          <w:rFonts w:asciiTheme="majorHAnsi" w:hAnsiTheme="majorHAnsi"/>
          <w:sz w:val="26"/>
          <w:szCs w:val="26"/>
        </w:rPr>
      </w:pPr>
      <w:r>
        <w:rPr>
          <w:rFonts w:eastAsia="Times New Roman"/>
        </w:rPr>
        <w:br/>
      </w:r>
      <w:r w:rsidR="00C84057" w:rsidRPr="006C3B26">
        <w:rPr>
          <w:rFonts w:asciiTheme="majorHAnsi" w:hAnsiTheme="majorHAnsi"/>
          <w:sz w:val="26"/>
          <w:szCs w:val="26"/>
        </w:rPr>
        <w:t>AC 3.2</w:t>
      </w:r>
    </w:p>
    <w:p w14:paraId="1117BB3B" w14:textId="77777777" w:rsidR="007323FD" w:rsidRDefault="007323FD" w:rsidP="007323FD">
      <w:pPr>
        <w:pStyle w:val="NormalWeb"/>
        <w:spacing w:before="0" w:beforeAutospacing="0" w:after="180" w:afterAutospacing="0"/>
        <w:rPr>
          <w:rFonts w:asciiTheme="majorHAnsi" w:hAnsiTheme="majorHAnsi"/>
          <w:sz w:val="26"/>
          <w:szCs w:val="26"/>
        </w:rPr>
      </w:pPr>
      <w:r w:rsidRPr="007323FD">
        <w:rPr>
          <w:rFonts w:asciiTheme="majorHAnsi" w:hAnsiTheme="majorHAnsi" w:cs="Times New Roman"/>
          <w:sz w:val="26"/>
          <w:szCs w:val="26"/>
        </w:rPr>
        <w:t xml:space="preserve">People practices add value by ensuring that employees are effectively recruited, developed, managed and retained in ways that support organisational goals. At </w:t>
      </w:r>
      <w:proofErr w:type="spellStart"/>
      <w:r w:rsidRPr="007323FD">
        <w:rPr>
          <w:rFonts w:asciiTheme="majorHAnsi" w:hAnsiTheme="majorHAnsi" w:cs="Times New Roman"/>
          <w:sz w:val="26"/>
          <w:szCs w:val="26"/>
        </w:rPr>
        <w:t>Technivara</w:t>
      </w:r>
      <w:proofErr w:type="spellEnd"/>
      <w:r w:rsidRPr="007323FD">
        <w:rPr>
          <w:rFonts w:asciiTheme="majorHAnsi" w:hAnsiTheme="majorHAnsi" w:cs="Times New Roman"/>
          <w:sz w:val="26"/>
          <w:szCs w:val="26"/>
        </w:rPr>
        <w:t>, well-designed people practices can improve productivity, employee engagement and organisational performance while reducing costs associated with turnover, absence and poor performance. When people practices are aligned with business strategy, they contribute directly to long-term sustainability and competitive advantage (Armstrong and Taylor, 2023).</w:t>
      </w:r>
    </w:p>
    <w:p w14:paraId="12147938" w14:textId="4B76368E" w:rsidR="007323FD" w:rsidRPr="007323FD" w:rsidRDefault="007323FD" w:rsidP="007323FD">
      <w:pPr>
        <w:pStyle w:val="NormalWeb"/>
        <w:spacing w:before="0" w:beforeAutospacing="0" w:after="180" w:afterAutospacing="0"/>
        <w:rPr>
          <w:rFonts w:asciiTheme="majorHAnsi" w:hAnsiTheme="majorHAnsi"/>
          <w:sz w:val="26"/>
          <w:szCs w:val="26"/>
        </w:rPr>
      </w:pPr>
      <w:r w:rsidRPr="007323FD">
        <w:rPr>
          <w:rFonts w:asciiTheme="majorHAnsi" w:hAnsiTheme="majorHAnsi" w:cs="Times New Roman"/>
          <w:sz w:val="26"/>
          <w:szCs w:val="26"/>
        </w:rPr>
        <w:lastRenderedPageBreak/>
        <w:t xml:space="preserve">For example, effective recruitment and selection practices ensure that </w:t>
      </w:r>
      <w:proofErr w:type="spellStart"/>
      <w:r w:rsidRPr="007323FD">
        <w:rPr>
          <w:rFonts w:asciiTheme="majorHAnsi" w:hAnsiTheme="majorHAnsi" w:cs="Times New Roman"/>
          <w:sz w:val="26"/>
          <w:szCs w:val="26"/>
        </w:rPr>
        <w:t>Technivara</w:t>
      </w:r>
      <w:proofErr w:type="spellEnd"/>
      <w:r w:rsidRPr="007323FD">
        <w:rPr>
          <w:rFonts w:asciiTheme="majorHAnsi" w:hAnsiTheme="majorHAnsi" w:cs="Times New Roman"/>
          <w:sz w:val="26"/>
          <w:szCs w:val="26"/>
        </w:rPr>
        <w:t xml:space="preserve"> attracts individuals with the right skills and values, reducing the likelihood of early turnover and underperformance. Learning and development initiatives can further add value by building internal capability, supporting innovation and enabling employees to adapt to changing organisational needs. Similarly, performance management and wellbeing practices help create a motivated and healthy workforce, which is linked to higher levels of discretionary effort and improved organisational outcomes (CIPD, 2023). Together, these people practices enhance both individual and organisational performance, reinforcing </w:t>
      </w:r>
      <w:proofErr w:type="spellStart"/>
      <w:r w:rsidRPr="007323FD">
        <w:rPr>
          <w:rFonts w:asciiTheme="majorHAnsi" w:hAnsiTheme="majorHAnsi" w:cs="Times New Roman"/>
          <w:sz w:val="26"/>
          <w:szCs w:val="26"/>
        </w:rPr>
        <w:t>Technivara’s</w:t>
      </w:r>
      <w:proofErr w:type="spellEnd"/>
      <w:r w:rsidRPr="007323FD">
        <w:rPr>
          <w:rFonts w:asciiTheme="majorHAnsi" w:hAnsiTheme="majorHAnsi" w:cs="Times New Roman"/>
          <w:sz w:val="26"/>
          <w:szCs w:val="26"/>
        </w:rPr>
        <w:t xml:space="preserve"> overall effectiveness.</w:t>
      </w:r>
    </w:p>
    <w:p w14:paraId="2CE5449C" w14:textId="77777777" w:rsidR="007323FD" w:rsidRDefault="007323FD" w:rsidP="007323FD">
      <w:pPr>
        <w:pStyle w:val="NormalWeb"/>
        <w:spacing w:before="0" w:beforeAutospacing="0" w:after="224" w:afterAutospacing="0"/>
        <w:rPr>
          <w:rFonts w:asciiTheme="majorHAnsi" w:hAnsiTheme="majorHAnsi" w:cs="Times New Roman"/>
          <w:sz w:val="26"/>
          <w:szCs w:val="26"/>
        </w:rPr>
      </w:pPr>
      <w:r w:rsidRPr="007323FD">
        <w:rPr>
          <w:rFonts w:asciiTheme="majorHAnsi" w:hAnsiTheme="majorHAnsi" w:cs="Times New Roman"/>
          <w:b/>
          <w:bCs/>
          <w:sz w:val="26"/>
          <w:szCs w:val="26"/>
        </w:rPr>
        <w:t>People analytics and workforce data</w:t>
      </w:r>
    </w:p>
    <w:p w14:paraId="73F4F5C3" w14:textId="77777777" w:rsidR="007323FD" w:rsidRDefault="007323FD" w:rsidP="007323FD">
      <w:pPr>
        <w:pStyle w:val="NormalWeb"/>
        <w:spacing w:before="0" w:beforeAutospacing="0" w:after="224" w:afterAutospacing="0"/>
        <w:rPr>
          <w:rFonts w:asciiTheme="majorHAnsi" w:hAnsiTheme="majorHAnsi" w:cs="Times New Roman"/>
          <w:sz w:val="26"/>
          <w:szCs w:val="26"/>
        </w:rPr>
      </w:pPr>
      <w:r w:rsidRPr="007323FD">
        <w:rPr>
          <w:rFonts w:asciiTheme="majorHAnsi" w:hAnsiTheme="majorHAnsi" w:cs="Times New Roman"/>
          <w:sz w:val="26"/>
          <w:szCs w:val="26"/>
        </w:rPr>
        <w:t xml:space="preserve">One method </w:t>
      </w:r>
      <w:proofErr w:type="spellStart"/>
      <w:r w:rsidRPr="007323FD">
        <w:rPr>
          <w:rFonts w:asciiTheme="majorHAnsi" w:hAnsiTheme="majorHAnsi" w:cs="Times New Roman"/>
          <w:sz w:val="26"/>
          <w:szCs w:val="26"/>
        </w:rPr>
        <w:t>Technivara</w:t>
      </w:r>
      <w:proofErr w:type="spellEnd"/>
      <w:r w:rsidRPr="007323FD">
        <w:rPr>
          <w:rFonts w:asciiTheme="majorHAnsi" w:hAnsiTheme="majorHAnsi" w:cs="Times New Roman"/>
          <w:sz w:val="26"/>
          <w:szCs w:val="26"/>
        </w:rPr>
        <w:t xml:space="preserve"> could use to measure the impact of people practices is people analytics. This involves analysing quantitative workforce data such as employee turnover rates, absence levels, productivity measures, performance ratings and internal promotion rates.</w:t>
      </w:r>
    </w:p>
    <w:p w14:paraId="6CB7BD15" w14:textId="6AFD90B6" w:rsidR="007323FD" w:rsidRPr="007323FD" w:rsidRDefault="007323FD" w:rsidP="007323FD">
      <w:pPr>
        <w:pStyle w:val="NormalWeb"/>
        <w:spacing w:before="0" w:beforeAutospacing="0" w:after="224" w:afterAutospacing="0"/>
        <w:rPr>
          <w:rFonts w:asciiTheme="majorHAnsi" w:hAnsiTheme="majorHAnsi" w:cs="Times New Roman"/>
          <w:sz w:val="26"/>
          <w:szCs w:val="26"/>
        </w:rPr>
      </w:pPr>
      <w:r w:rsidRPr="007323FD">
        <w:rPr>
          <w:rFonts w:asciiTheme="majorHAnsi" w:hAnsiTheme="majorHAnsi" w:cs="Times New Roman"/>
          <w:sz w:val="26"/>
          <w:szCs w:val="26"/>
        </w:rPr>
        <w:t>Example:</w:t>
      </w:r>
      <w:r>
        <w:rPr>
          <w:rFonts w:asciiTheme="majorHAnsi" w:hAnsiTheme="majorHAnsi" w:cs="Times New Roman"/>
          <w:sz w:val="26"/>
          <w:szCs w:val="26"/>
        </w:rPr>
        <w:t xml:space="preserve"> </w:t>
      </w:r>
      <w:r w:rsidRPr="007323FD">
        <w:rPr>
          <w:rFonts w:asciiTheme="majorHAnsi" w:hAnsiTheme="majorHAnsi" w:cs="Times New Roman"/>
          <w:sz w:val="26"/>
          <w:szCs w:val="26"/>
        </w:rPr>
        <w:t xml:space="preserve">If </w:t>
      </w:r>
      <w:proofErr w:type="spellStart"/>
      <w:r w:rsidRPr="007323FD">
        <w:rPr>
          <w:rFonts w:asciiTheme="majorHAnsi" w:hAnsiTheme="majorHAnsi" w:cs="Times New Roman"/>
          <w:sz w:val="26"/>
          <w:szCs w:val="26"/>
        </w:rPr>
        <w:t>Technivara</w:t>
      </w:r>
      <w:proofErr w:type="spellEnd"/>
      <w:r w:rsidRPr="007323FD">
        <w:rPr>
          <w:rFonts w:asciiTheme="majorHAnsi" w:hAnsiTheme="majorHAnsi" w:cs="Times New Roman"/>
          <w:sz w:val="26"/>
          <w:szCs w:val="26"/>
        </w:rPr>
        <w:t xml:space="preserve"> introduces a new learning and development programme, changes in productivity levels, performance outcomes or promotion rates can be tracked to assess whether the initiative has improved capability and performance.</w:t>
      </w:r>
    </w:p>
    <w:p w14:paraId="5D6E4C55" w14:textId="77777777" w:rsidR="007323FD" w:rsidRDefault="007323FD" w:rsidP="007323FD">
      <w:pPr>
        <w:pStyle w:val="NormalWeb"/>
        <w:spacing w:before="0" w:beforeAutospacing="0" w:after="180" w:afterAutospacing="0"/>
        <w:rPr>
          <w:rFonts w:asciiTheme="majorHAnsi" w:hAnsiTheme="majorHAnsi"/>
          <w:sz w:val="26"/>
          <w:szCs w:val="26"/>
        </w:rPr>
      </w:pPr>
      <w:r w:rsidRPr="007323FD">
        <w:rPr>
          <w:rFonts w:asciiTheme="majorHAnsi" w:hAnsiTheme="majorHAnsi" w:cs="Times New Roman"/>
          <w:sz w:val="26"/>
          <w:szCs w:val="26"/>
        </w:rPr>
        <w:t>The key strength of people analytics is that it provides objective and measurable evidence to support evidence-based decision-making. However, workforce data alone may not fully explain employee behaviour or experiences. For this reason, people analytics should be used alongside qualitative measures to provide a more complete picture (Rousseau, 2012).</w:t>
      </w:r>
    </w:p>
    <w:p w14:paraId="73DEEFFC" w14:textId="6A83CD77" w:rsidR="007323FD" w:rsidRPr="007323FD" w:rsidRDefault="007323FD" w:rsidP="007323FD">
      <w:pPr>
        <w:pStyle w:val="NormalWeb"/>
        <w:spacing w:before="0" w:beforeAutospacing="0" w:after="180" w:afterAutospacing="0"/>
        <w:rPr>
          <w:rFonts w:asciiTheme="majorHAnsi" w:hAnsiTheme="majorHAnsi"/>
          <w:sz w:val="26"/>
          <w:szCs w:val="26"/>
        </w:rPr>
      </w:pPr>
      <w:r w:rsidRPr="007323FD">
        <w:rPr>
          <w:rFonts w:asciiTheme="majorHAnsi" w:hAnsiTheme="majorHAnsi" w:cs="Times New Roman"/>
          <w:b/>
          <w:bCs/>
          <w:sz w:val="26"/>
          <w:szCs w:val="26"/>
        </w:rPr>
        <w:t>Employee engagement and feedback tools</w:t>
      </w:r>
    </w:p>
    <w:p w14:paraId="0BF09C1F" w14:textId="77777777" w:rsidR="007323FD" w:rsidRPr="007323FD" w:rsidRDefault="007323FD" w:rsidP="007323FD">
      <w:pPr>
        <w:pStyle w:val="NormalWeb"/>
        <w:spacing w:before="0" w:beforeAutospacing="0" w:after="180" w:afterAutospacing="0"/>
        <w:rPr>
          <w:rFonts w:asciiTheme="majorHAnsi" w:hAnsiTheme="majorHAnsi"/>
          <w:sz w:val="26"/>
          <w:szCs w:val="26"/>
        </w:rPr>
      </w:pPr>
      <w:r w:rsidRPr="007323FD">
        <w:rPr>
          <w:rFonts w:asciiTheme="majorHAnsi" w:hAnsiTheme="majorHAnsi" w:cs="Times New Roman"/>
          <w:sz w:val="26"/>
          <w:szCs w:val="26"/>
        </w:rPr>
        <w:t>Another method for measuring impact is collecting employee feedback through engagement surveys, pulse surveys or focus groups. These tools assess employee perceptions of leadership, development opportunities, workload, wellbeing and organisational culture.</w:t>
      </w:r>
    </w:p>
    <w:p w14:paraId="28A21260" w14:textId="77777777" w:rsidR="007323FD" w:rsidRPr="007323FD" w:rsidRDefault="007323FD" w:rsidP="007323FD">
      <w:pPr>
        <w:pStyle w:val="NormalWeb"/>
        <w:spacing w:before="0" w:beforeAutospacing="0" w:after="180" w:afterAutospacing="0"/>
        <w:rPr>
          <w:rFonts w:asciiTheme="majorHAnsi" w:hAnsiTheme="majorHAnsi" w:cs="Times New Roman"/>
          <w:sz w:val="26"/>
          <w:szCs w:val="26"/>
        </w:rPr>
      </w:pPr>
    </w:p>
    <w:p w14:paraId="7A9C165E" w14:textId="6D91964E" w:rsidR="007323FD" w:rsidRPr="007323FD" w:rsidRDefault="007323FD" w:rsidP="007323FD">
      <w:pPr>
        <w:pStyle w:val="NormalWeb"/>
        <w:spacing w:before="0" w:beforeAutospacing="0" w:after="180" w:afterAutospacing="0"/>
        <w:rPr>
          <w:rFonts w:asciiTheme="majorHAnsi" w:hAnsiTheme="majorHAnsi"/>
          <w:sz w:val="26"/>
          <w:szCs w:val="26"/>
        </w:rPr>
      </w:pPr>
      <w:r w:rsidRPr="007323FD">
        <w:rPr>
          <w:rFonts w:asciiTheme="majorHAnsi" w:hAnsiTheme="majorHAnsi" w:cs="Times New Roman"/>
          <w:sz w:val="26"/>
          <w:szCs w:val="26"/>
        </w:rPr>
        <w:t>Example:</w:t>
      </w:r>
      <w:r>
        <w:rPr>
          <w:rFonts w:asciiTheme="majorHAnsi" w:hAnsiTheme="majorHAnsi"/>
          <w:sz w:val="26"/>
          <w:szCs w:val="26"/>
        </w:rPr>
        <w:t xml:space="preserve"> </w:t>
      </w:r>
      <w:r w:rsidRPr="007323FD">
        <w:rPr>
          <w:rFonts w:asciiTheme="majorHAnsi" w:hAnsiTheme="majorHAnsi" w:cs="Times New Roman"/>
          <w:sz w:val="26"/>
          <w:szCs w:val="26"/>
        </w:rPr>
        <w:t xml:space="preserve">Following the introduction of flexible working or wellbeing initiatives, </w:t>
      </w:r>
      <w:proofErr w:type="spellStart"/>
      <w:r w:rsidRPr="007323FD">
        <w:rPr>
          <w:rFonts w:asciiTheme="majorHAnsi" w:hAnsiTheme="majorHAnsi" w:cs="Times New Roman"/>
          <w:sz w:val="26"/>
          <w:szCs w:val="26"/>
        </w:rPr>
        <w:t>Technivara</w:t>
      </w:r>
      <w:proofErr w:type="spellEnd"/>
      <w:r w:rsidRPr="007323FD">
        <w:rPr>
          <w:rFonts w:asciiTheme="majorHAnsi" w:hAnsiTheme="majorHAnsi" w:cs="Times New Roman"/>
          <w:sz w:val="26"/>
          <w:szCs w:val="26"/>
        </w:rPr>
        <w:t xml:space="preserve"> could compare engagement survey results before and after implementation to evaluate changes in morale, commitment and job satisfaction.</w:t>
      </w:r>
    </w:p>
    <w:p w14:paraId="51130045" w14:textId="77777777" w:rsidR="007323FD" w:rsidRPr="007323FD" w:rsidRDefault="007323FD" w:rsidP="007323FD">
      <w:pPr>
        <w:pStyle w:val="NormalWeb"/>
        <w:spacing w:before="0" w:beforeAutospacing="0" w:after="180" w:afterAutospacing="0"/>
        <w:rPr>
          <w:rFonts w:asciiTheme="majorHAnsi" w:hAnsiTheme="majorHAnsi" w:cs="Times New Roman"/>
          <w:sz w:val="26"/>
          <w:szCs w:val="26"/>
        </w:rPr>
      </w:pPr>
    </w:p>
    <w:p w14:paraId="26024DA5" w14:textId="4D56AD6C" w:rsidR="00345F48" w:rsidRPr="007323FD" w:rsidRDefault="007323FD" w:rsidP="007323FD">
      <w:pPr>
        <w:pStyle w:val="NormalWeb"/>
        <w:spacing w:before="0" w:beforeAutospacing="0" w:after="180" w:afterAutospacing="0"/>
        <w:rPr>
          <w:rFonts w:asciiTheme="majorHAnsi" w:hAnsiTheme="majorHAnsi"/>
          <w:sz w:val="26"/>
          <w:szCs w:val="26"/>
        </w:rPr>
      </w:pPr>
      <w:r w:rsidRPr="007323FD">
        <w:rPr>
          <w:rFonts w:asciiTheme="majorHAnsi" w:hAnsiTheme="majorHAnsi" w:cs="Times New Roman"/>
          <w:sz w:val="26"/>
          <w:szCs w:val="26"/>
        </w:rPr>
        <w:t xml:space="preserve">Employee feedback provides valuable insight into how people practices are experienced by staff and highlights areas for improvement. However, survey responses can be subjective and influenced by short-term factors. To maximise effectiveness, </w:t>
      </w:r>
      <w:proofErr w:type="spellStart"/>
      <w:r w:rsidRPr="007323FD">
        <w:rPr>
          <w:rFonts w:asciiTheme="majorHAnsi" w:hAnsiTheme="majorHAnsi" w:cs="Times New Roman"/>
          <w:sz w:val="26"/>
          <w:szCs w:val="26"/>
        </w:rPr>
        <w:t>Technivara</w:t>
      </w:r>
      <w:proofErr w:type="spellEnd"/>
      <w:r w:rsidRPr="007323FD">
        <w:rPr>
          <w:rFonts w:asciiTheme="majorHAnsi" w:hAnsiTheme="majorHAnsi" w:cs="Times New Roman"/>
          <w:sz w:val="26"/>
          <w:szCs w:val="26"/>
        </w:rPr>
        <w:t xml:space="preserve"> should communicate outcomes clearly and demonstrate how feedback informs action (CIPD, 2022).</w:t>
      </w:r>
    </w:p>
    <w:p w14:paraId="6D6B2B3C" w14:textId="1AA271C3" w:rsidR="00B87A4E" w:rsidRPr="006C3B26" w:rsidRDefault="00B87A4E" w:rsidP="00EE64E7">
      <w:pPr>
        <w:rPr>
          <w:rFonts w:asciiTheme="majorHAnsi" w:hAnsiTheme="majorHAnsi"/>
          <w:sz w:val="26"/>
          <w:szCs w:val="26"/>
        </w:rPr>
      </w:pPr>
      <w:r w:rsidRPr="006C3B26">
        <w:rPr>
          <w:rFonts w:asciiTheme="majorHAnsi" w:hAnsiTheme="majorHAnsi"/>
          <w:sz w:val="26"/>
          <w:szCs w:val="26"/>
        </w:rPr>
        <w:lastRenderedPageBreak/>
        <w:t xml:space="preserve">AC2.1 </w:t>
      </w:r>
    </w:p>
    <w:p w14:paraId="579E523E" w14:textId="02A60E57" w:rsidR="00B87A4E" w:rsidRDefault="00B87A4E" w:rsidP="00EE64E7">
      <w:pPr>
        <w:rPr>
          <w:sz w:val="32"/>
          <w:szCs w:val="32"/>
        </w:rPr>
      </w:pPr>
      <w:r w:rsidRPr="00B87A4E">
        <w:rPr>
          <w:noProof/>
          <w:sz w:val="32"/>
          <w:szCs w:val="32"/>
        </w:rPr>
        <w:drawing>
          <wp:inline distT="0" distB="0" distL="0" distR="0" wp14:anchorId="3780E31E" wp14:editId="52D6581A">
            <wp:extent cx="6243988" cy="4038600"/>
            <wp:effectExtent l="0" t="0" r="4445" b="0"/>
            <wp:docPr id="1128674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867497" name=""/>
                    <pic:cNvPicPr/>
                  </pic:nvPicPr>
                  <pic:blipFill>
                    <a:blip r:embed="rId8"/>
                    <a:stretch>
                      <a:fillRect/>
                    </a:stretch>
                  </pic:blipFill>
                  <pic:spPr>
                    <a:xfrm>
                      <a:off x="0" y="0"/>
                      <a:ext cx="6255098" cy="4045786"/>
                    </a:xfrm>
                    <a:prstGeom prst="rect">
                      <a:avLst/>
                    </a:prstGeom>
                  </pic:spPr>
                </pic:pic>
              </a:graphicData>
            </a:graphic>
          </wp:inline>
        </w:drawing>
      </w:r>
    </w:p>
    <w:p w14:paraId="792A1529" w14:textId="77777777" w:rsidR="00DC58EA" w:rsidRDefault="00DC58EA" w:rsidP="00EE64E7">
      <w:pPr>
        <w:rPr>
          <w:sz w:val="32"/>
          <w:szCs w:val="32"/>
        </w:rPr>
      </w:pPr>
    </w:p>
    <w:p w14:paraId="263128B7" w14:textId="3F6557F0" w:rsidR="00DC58EA" w:rsidRPr="006C3B26" w:rsidRDefault="00B87A4E" w:rsidP="00EE64E7">
      <w:pPr>
        <w:rPr>
          <w:rFonts w:asciiTheme="majorHAnsi" w:hAnsiTheme="majorHAnsi"/>
          <w:sz w:val="26"/>
          <w:szCs w:val="26"/>
        </w:rPr>
      </w:pPr>
      <w:r w:rsidRPr="006C3B26">
        <w:rPr>
          <w:rFonts w:asciiTheme="majorHAnsi" w:hAnsiTheme="majorHAnsi"/>
          <w:sz w:val="26"/>
          <w:szCs w:val="26"/>
        </w:rPr>
        <w:t>AC 2.2</w:t>
      </w:r>
    </w:p>
    <w:p w14:paraId="3A46099B" w14:textId="343B4DB1" w:rsidR="00B87A4E" w:rsidRDefault="00F16C4E" w:rsidP="00EE64E7">
      <w:pPr>
        <w:rPr>
          <w:sz w:val="32"/>
          <w:szCs w:val="32"/>
        </w:rPr>
      </w:pPr>
      <w:r>
        <w:rPr>
          <w:noProof/>
        </w:rPr>
        <w:drawing>
          <wp:inline distT="0" distB="0" distL="0" distR="0" wp14:anchorId="62204967" wp14:editId="2E61159A">
            <wp:extent cx="5731510" cy="3141980"/>
            <wp:effectExtent l="0" t="0" r="2540" b="1270"/>
            <wp:docPr id="340605120" name="Chart 1">
              <a:extLst xmlns:a="http://schemas.openxmlformats.org/drawingml/2006/main">
                <a:ext uri="{FF2B5EF4-FFF2-40B4-BE49-F238E27FC236}">
                  <a16:creationId xmlns:a16="http://schemas.microsoft.com/office/drawing/2014/main" id="{C5FD1D55-ECE9-E75E-B64E-24601F97926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15C4959" w14:textId="19495959" w:rsidR="003D4CE9" w:rsidRDefault="00F16C4E" w:rsidP="00EE64E7">
      <w:pPr>
        <w:rPr>
          <w:sz w:val="32"/>
          <w:szCs w:val="32"/>
        </w:rPr>
      </w:pPr>
      <w:r>
        <w:rPr>
          <w:noProof/>
        </w:rPr>
        <w:lastRenderedPageBreak/>
        <w:drawing>
          <wp:anchor distT="0" distB="0" distL="114300" distR="114300" simplePos="0" relativeHeight="251658240" behindDoc="1" locked="0" layoutInCell="1" allowOverlap="1" wp14:anchorId="27E6963E" wp14:editId="15637C9F">
            <wp:simplePos x="0" y="0"/>
            <wp:positionH relativeFrom="column">
              <wp:posOffset>-647700</wp:posOffset>
            </wp:positionH>
            <wp:positionV relativeFrom="paragraph">
              <wp:posOffset>3488055</wp:posOffset>
            </wp:positionV>
            <wp:extent cx="6897370" cy="5356860"/>
            <wp:effectExtent l="0" t="0" r="17780" b="15240"/>
            <wp:wrapTight wrapText="bothSides">
              <wp:wrapPolygon edited="0">
                <wp:start x="0" y="0"/>
                <wp:lineTo x="0" y="21585"/>
                <wp:lineTo x="21596" y="21585"/>
                <wp:lineTo x="21596" y="0"/>
                <wp:lineTo x="0" y="0"/>
              </wp:wrapPolygon>
            </wp:wrapTight>
            <wp:docPr id="17858511" name="Chart 1">
              <a:extLst xmlns:a="http://schemas.openxmlformats.org/drawingml/2006/main">
                <a:ext uri="{FF2B5EF4-FFF2-40B4-BE49-F238E27FC236}">
                  <a16:creationId xmlns:a16="http://schemas.microsoft.com/office/drawing/2014/main" id="{4C196360-5140-9EB2-9BD5-DEB86BA003E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r>
        <w:rPr>
          <w:noProof/>
        </w:rPr>
        <mc:AlternateContent>
          <mc:Choice Requires="cx2">
            <w:drawing>
              <wp:inline distT="0" distB="0" distL="0" distR="0" wp14:anchorId="15529E8B" wp14:editId="11537156">
                <wp:extent cx="5731510" cy="3200400"/>
                <wp:effectExtent l="0" t="0" r="2540" b="0"/>
                <wp:docPr id="375289302" name="Chart 1">
                  <a:extLst xmlns:a="http://schemas.openxmlformats.org/drawingml/2006/main">
                    <a:ext uri="{FF2B5EF4-FFF2-40B4-BE49-F238E27FC236}">
                      <a16:creationId xmlns:a16="http://schemas.microsoft.com/office/drawing/2014/main" id="{CB5B4C45-730E-26E6-8A62-EBDCDE6BFEDA}"/>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1"/>
                  </a:graphicData>
                </a:graphic>
              </wp:inline>
            </w:drawing>
          </mc:Choice>
          <mc:Fallback>
            <w:drawing>
              <wp:inline distT="0" distB="0" distL="0" distR="0" wp14:anchorId="15529E8B" wp14:editId="11537156">
                <wp:extent cx="5731510" cy="3200400"/>
                <wp:effectExtent l="0" t="0" r="2540" b="0"/>
                <wp:docPr id="375289302" name="Chart 1">
                  <a:extLst xmlns:a="http://schemas.openxmlformats.org/drawingml/2006/main">
                    <a:ext uri="{FF2B5EF4-FFF2-40B4-BE49-F238E27FC236}">
                      <a16:creationId xmlns:a16="http://schemas.microsoft.com/office/drawing/2014/main" id="{CB5B4C45-730E-26E6-8A62-EBDCDE6BFEDA}"/>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375289302" name="Chart 1">
                          <a:extLst>
                            <a:ext uri="{FF2B5EF4-FFF2-40B4-BE49-F238E27FC236}">
                              <a16:creationId xmlns:a16="http://schemas.microsoft.com/office/drawing/2014/main" id="{CB5B4C45-730E-26E6-8A62-EBDCDE6BFEDA}"/>
                            </a:ext>
                          </a:extLst>
                        </pic:cNvPr>
                        <pic:cNvPicPr>
                          <a:picLocks noGrp="1" noRot="1" noChangeAspect="1" noMove="1" noResize="1" noEditPoints="1" noAdjustHandles="1" noChangeArrowheads="1" noChangeShapeType="1"/>
                        </pic:cNvPicPr>
                      </pic:nvPicPr>
                      <pic:blipFill>
                        <a:blip r:embed="rId12"/>
                        <a:stretch>
                          <a:fillRect/>
                        </a:stretch>
                      </pic:blipFill>
                      <pic:spPr>
                        <a:xfrm>
                          <a:off x="0" y="0"/>
                          <a:ext cx="5731510" cy="3200400"/>
                        </a:xfrm>
                        <a:prstGeom prst="rect">
                          <a:avLst/>
                        </a:prstGeom>
                      </pic:spPr>
                    </pic:pic>
                  </a:graphicData>
                </a:graphic>
              </wp:inline>
            </w:drawing>
          </mc:Fallback>
        </mc:AlternateContent>
      </w:r>
    </w:p>
    <w:p w14:paraId="07C08661" w14:textId="3BF8C621" w:rsidR="003D4CE9" w:rsidRPr="006C3B26" w:rsidRDefault="008E2EFF" w:rsidP="00EE64E7">
      <w:pPr>
        <w:rPr>
          <w:rFonts w:asciiTheme="majorHAnsi" w:hAnsiTheme="majorHAnsi"/>
          <w:sz w:val="26"/>
          <w:szCs w:val="26"/>
        </w:rPr>
      </w:pPr>
      <w:r w:rsidRPr="006C3B26">
        <w:rPr>
          <w:rFonts w:asciiTheme="majorHAnsi" w:hAnsiTheme="majorHAnsi"/>
          <w:sz w:val="26"/>
          <w:szCs w:val="26"/>
        </w:rPr>
        <w:lastRenderedPageBreak/>
        <w:t>AC 2.3</w:t>
      </w:r>
    </w:p>
    <w:p w14:paraId="1EDF6B96" w14:textId="149B5F3C" w:rsidR="00820C65" w:rsidRPr="00346C03" w:rsidRDefault="00820C65" w:rsidP="00820C65">
      <w:pPr>
        <w:pStyle w:val="NormalWeb"/>
        <w:spacing w:before="0" w:beforeAutospacing="0" w:after="180" w:afterAutospacing="0"/>
        <w:rPr>
          <w:rFonts w:asciiTheme="majorHAnsi" w:hAnsiTheme="majorHAnsi"/>
          <w:sz w:val="26"/>
          <w:szCs w:val="26"/>
        </w:rPr>
      </w:pPr>
      <w:r w:rsidRPr="00820C65">
        <w:rPr>
          <w:rFonts w:asciiTheme="majorHAnsi" w:hAnsiTheme="majorHAnsi" w:cs="Times New Roman"/>
          <w:sz w:val="26"/>
          <w:szCs w:val="26"/>
        </w:rPr>
        <w:t xml:space="preserve">Evaluation feedback collected from forty-two employees who attended the recent learning and development (L&amp;D) activity provides a strong evidence base for assessing its effectiveness and identifying areas for improvement. Overall, the data suggests that the session was competently delivered, with </w:t>
      </w:r>
      <w:r w:rsidR="004D368A" w:rsidRPr="00820C65">
        <w:rPr>
          <w:rFonts w:asciiTheme="majorHAnsi" w:hAnsiTheme="majorHAnsi" w:cs="Times New Roman"/>
          <w:sz w:val="26"/>
          <w:szCs w:val="26"/>
        </w:rPr>
        <w:t>strengths</w:t>
      </w:r>
      <w:r w:rsidRPr="00820C65">
        <w:rPr>
          <w:rFonts w:asciiTheme="majorHAnsi" w:hAnsiTheme="majorHAnsi" w:cs="Times New Roman"/>
          <w:sz w:val="26"/>
          <w:szCs w:val="26"/>
        </w:rPr>
        <w:t xml:space="preserve"> in facilitator </w:t>
      </w:r>
      <w:r w:rsidR="004D368A" w:rsidRPr="00820C65">
        <w:rPr>
          <w:rFonts w:asciiTheme="majorHAnsi" w:hAnsiTheme="majorHAnsi" w:cs="Times New Roman"/>
          <w:sz w:val="26"/>
          <w:szCs w:val="26"/>
        </w:rPr>
        <w:t>capability</w:t>
      </w:r>
      <w:r w:rsidR="004D368A">
        <w:rPr>
          <w:rFonts w:asciiTheme="majorHAnsi" w:hAnsiTheme="majorHAnsi" w:cs="Times New Roman"/>
          <w:sz w:val="26"/>
          <w:szCs w:val="26"/>
        </w:rPr>
        <w:t>, effectiveness</w:t>
      </w:r>
      <w:r w:rsidRPr="00820C65">
        <w:rPr>
          <w:rFonts w:asciiTheme="majorHAnsi" w:hAnsiTheme="majorHAnsi" w:cs="Times New Roman"/>
          <w:sz w:val="26"/>
          <w:szCs w:val="26"/>
        </w:rPr>
        <w:t xml:space="preserve"> and the quality of learning resources. However, the feedback also highlights significant weaknesses in learner engagement, personalisation</w:t>
      </w:r>
      <w:r w:rsidR="00476593">
        <w:rPr>
          <w:rFonts w:asciiTheme="majorHAnsi" w:hAnsiTheme="majorHAnsi" w:cs="Times New Roman"/>
          <w:sz w:val="26"/>
          <w:szCs w:val="26"/>
        </w:rPr>
        <w:t>, adaptability,</w:t>
      </w:r>
      <w:r w:rsidRPr="00820C65">
        <w:rPr>
          <w:rFonts w:asciiTheme="majorHAnsi" w:hAnsiTheme="majorHAnsi" w:cs="Times New Roman"/>
          <w:sz w:val="26"/>
          <w:szCs w:val="26"/>
        </w:rPr>
        <w:t xml:space="preserve"> and perceived relevance to workplace performance. These findings indicate the need for a structured action plan to enhance the effectiveness</w:t>
      </w:r>
      <w:r w:rsidR="00476593">
        <w:rPr>
          <w:rFonts w:asciiTheme="majorHAnsi" w:hAnsiTheme="majorHAnsi" w:cs="Times New Roman"/>
          <w:sz w:val="26"/>
          <w:szCs w:val="26"/>
        </w:rPr>
        <w:t>, consistency,</w:t>
      </w:r>
      <w:r w:rsidRPr="00820C65">
        <w:rPr>
          <w:rFonts w:asciiTheme="majorHAnsi" w:hAnsiTheme="majorHAnsi" w:cs="Times New Roman"/>
          <w:sz w:val="26"/>
          <w:szCs w:val="26"/>
        </w:rPr>
        <w:t xml:space="preserve"> and impact of future learning activities.</w:t>
      </w:r>
    </w:p>
    <w:p w14:paraId="35E302D1" w14:textId="0B4DFC6E" w:rsidR="00820C65" w:rsidRPr="00346C03" w:rsidRDefault="00820C65" w:rsidP="00820C65">
      <w:pPr>
        <w:pStyle w:val="NormalWeb"/>
        <w:spacing w:before="0" w:beforeAutospacing="0" w:after="180" w:afterAutospacing="0"/>
        <w:rPr>
          <w:rFonts w:asciiTheme="majorHAnsi" w:hAnsiTheme="majorHAnsi"/>
          <w:sz w:val="26"/>
          <w:szCs w:val="26"/>
        </w:rPr>
      </w:pPr>
      <w:r w:rsidRPr="00820C65">
        <w:rPr>
          <w:rFonts w:asciiTheme="majorHAnsi" w:hAnsiTheme="majorHAnsi" w:cs="Times New Roman"/>
          <w:sz w:val="26"/>
          <w:szCs w:val="26"/>
        </w:rPr>
        <w:t xml:space="preserve">One of the most positive aspects of the feedback relates to facilitator capability. Thirty-nine out of forty-two respondents (approximately </w:t>
      </w:r>
      <w:r w:rsidR="00DC1CA7">
        <w:rPr>
          <w:rFonts w:asciiTheme="majorHAnsi" w:hAnsiTheme="majorHAnsi" w:cs="Times New Roman"/>
          <w:sz w:val="26"/>
          <w:szCs w:val="26"/>
        </w:rPr>
        <w:t xml:space="preserve">ninety-three </w:t>
      </w:r>
      <w:r w:rsidR="00346C03">
        <w:rPr>
          <w:rFonts w:asciiTheme="majorHAnsi" w:hAnsiTheme="majorHAnsi" w:cs="Times New Roman"/>
          <w:sz w:val="26"/>
          <w:szCs w:val="26"/>
        </w:rPr>
        <w:t>percent</w:t>
      </w:r>
      <w:r w:rsidRPr="00820C65">
        <w:rPr>
          <w:rFonts w:asciiTheme="majorHAnsi" w:hAnsiTheme="majorHAnsi" w:cs="Times New Roman"/>
          <w:sz w:val="26"/>
          <w:szCs w:val="26"/>
        </w:rPr>
        <w:t xml:space="preserve">) agreed or strongly agreed that the facilitator was knowledgeable about the subject matter. In addition, around </w:t>
      </w:r>
      <w:r w:rsidR="00DC1CA7">
        <w:rPr>
          <w:rFonts w:asciiTheme="majorHAnsi" w:hAnsiTheme="majorHAnsi" w:cs="Times New Roman"/>
          <w:sz w:val="26"/>
          <w:szCs w:val="26"/>
        </w:rPr>
        <w:t>seventy-nine percent</w:t>
      </w:r>
      <w:r w:rsidRPr="00820C65">
        <w:rPr>
          <w:rFonts w:asciiTheme="majorHAnsi" w:hAnsiTheme="majorHAnsi" w:cs="Times New Roman"/>
          <w:sz w:val="26"/>
          <w:szCs w:val="26"/>
        </w:rPr>
        <w:t xml:space="preserve"> agreed that explanations were clear, while over </w:t>
      </w:r>
      <w:r w:rsidR="00DC1CA7">
        <w:rPr>
          <w:rFonts w:asciiTheme="majorHAnsi" w:hAnsiTheme="majorHAnsi" w:cs="Times New Roman"/>
          <w:sz w:val="26"/>
          <w:szCs w:val="26"/>
        </w:rPr>
        <w:t>ninety percent</w:t>
      </w:r>
      <w:r w:rsidRPr="00820C65">
        <w:rPr>
          <w:rFonts w:asciiTheme="majorHAnsi" w:hAnsiTheme="majorHAnsi" w:cs="Times New Roman"/>
          <w:sz w:val="26"/>
          <w:szCs w:val="26"/>
        </w:rPr>
        <w:t xml:space="preserve"> confirmed that expectations were clearly established at the start of the session. These findings align with CIPD (2023), which identifies facilitator credibility </w:t>
      </w:r>
      <w:r w:rsidR="00476593">
        <w:rPr>
          <w:rFonts w:asciiTheme="majorHAnsi" w:hAnsiTheme="majorHAnsi" w:cs="Times New Roman"/>
          <w:sz w:val="26"/>
          <w:szCs w:val="26"/>
        </w:rPr>
        <w:t xml:space="preserve">coherence, </w:t>
      </w:r>
      <w:r w:rsidRPr="00820C65">
        <w:rPr>
          <w:rFonts w:asciiTheme="majorHAnsi" w:hAnsiTheme="majorHAnsi" w:cs="Times New Roman"/>
          <w:sz w:val="26"/>
          <w:szCs w:val="26"/>
        </w:rPr>
        <w:t>and clarity as critical enablers of effective adult learning. As part of the action plan, this strength should be retained by continuing to use facilitators with strong subject knowledge, while supporting them to further develop skills in learner engagement</w:t>
      </w:r>
      <w:r w:rsidR="00476593">
        <w:rPr>
          <w:rFonts w:asciiTheme="majorHAnsi" w:hAnsiTheme="majorHAnsi" w:cs="Times New Roman"/>
          <w:sz w:val="26"/>
          <w:szCs w:val="26"/>
        </w:rPr>
        <w:t>, integration,</w:t>
      </w:r>
      <w:r w:rsidRPr="00820C65">
        <w:rPr>
          <w:rFonts w:asciiTheme="majorHAnsi" w:hAnsiTheme="majorHAnsi" w:cs="Times New Roman"/>
          <w:sz w:val="26"/>
          <w:szCs w:val="26"/>
        </w:rPr>
        <w:t xml:space="preserve"> and applied delivery.</w:t>
      </w:r>
    </w:p>
    <w:p w14:paraId="60EFD5E1" w14:textId="1EFDF9FA" w:rsidR="00820C65" w:rsidRPr="00820C65" w:rsidRDefault="00820C65" w:rsidP="00820C65">
      <w:pPr>
        <w:pStyle w:val="NormalWeb"/>
        <w:spacing w:before="0" w:beforeAutospacing="0" w:after="180" w:afterAutospacing="0"/>
        <w:rPr>
          <w:rFonts w:asciiTheme="majorHAnsi" w:hAnsiTheme="majorHAnsi"/>
          <w:sz w:val="26"/>
          <w:szCs w:val="26"/>
        </w:rPr>
      </w:pPr>
      <w:r w:rsidRPr="00820C65">
        <w:rPr>
          <w:rFonts w:asciiTheme="majorHAnsi" w:hAnsiTheme="majorHAnsi" w:cs="Times New Roman"/>
          <w:sz w:val="26"/>
          <w:szCs w:val="26"/>
        </w:rPr>
        <w:t xml:space="preserve">Feedback relating to session structure and learning resources was generally positive but more mixed. Fifty-five per cent of participants agreed that the session was appropriately structured, while </w:t>
      </w:r>
      <w:r w:rsidR="00DC1CA7">
        <w:rPr>
          <w:rFonts w:asciiTheme="majorHAnsi" w:hAnsiTheme="majorHAnsi" w:cs="Times New Roman"/>
          <w:sz w:val="26"/>
          <w:szCs w:val="26"/>
        </w:rPr>
        <w:t>twenty-six percent</w:t>
      </w:r>
      <w:r w:rsidRPr="00820C65">
        <w:rPr>
          <w:rFonts w:asciiTheme="majorHAnsi" w:hAnsiTheme="majorHAnsi" w:cs="Times New Roman"/>
          <w:sz w:val="26"/>
          <w:szCs w:val="26"/>
        </w:rPr>
        <w:t xml:space="preserve"> selected a neutral response. Although this suggests that the structure was not viewed negatively, the relatively high proportion of neutral responses indicates that the structure may not have been sufficiently explicit. In contrast, perceptions of resource quality were particularly strong, with </w:t>
      </w:r>
      <w:r w:rsidR="00DC1CA7">
        <w:rPr>
          <w:rFonts w:asciiTheme="majorHAnsi" w:hAnsiTheme="majorHAnsi" w:cs="Times New Roman"/>
          <w:sz w:val="26"/>
          <w:szCs w:val="26"/>
        </w:rPr>
        <w:t>eighty-six percent</w:t>
      </w:r>
      <w:r w:rsidRPr="00820C65">
        <w:rPr>
          <w:rFonts w:asciiTheme="majorHAnsi" w:hAnsiTheme="majorHAnsi" w:cs="Times New Roman"/>
          <w:sz w:val="26"/>
          <w:szCs w:val="26"/>
        </w:rPr>
        <w:t xml:space="preserve"> of respondents agreeing that resources were of good quality. According to Knowles et al. (2015), adult learners benefit from understanding how learning content is organised</w:t>
      </w:r>
      <w:r w:rsidR="00476593">
        <w:rPr>
          <w:rFonts w:asciiTheme="majorHAnsi" w:hAnsiTheme="majorHAnsi" w:cs="Times New Roman"/>
          <w:sz w:val="26"/>
          <w:szCs w:val="26"/>
        </w:rPr>
        <w:t xml:space="preserve">, scalable, </w:t>
      </w:r>
      <w:r w:rsidRPr="00820C65">
        <w:rPr>
          <w:rFonts w:asciiTheme="majorHAnsi" w:hAnsiTheme="majorHAnsi" w:cs="Times New Roman"/>
          <w:sz w:val="26"/>
          <w:szCs w:val="26"/>
        </w:rPr>
        <w:t>and how it contributes to their development. The action plan should therefore focus on maintaining current resource standards while improving signposting</w:t>
      </w:r>
      <w:r w:rsidR="00476593">
        <w:rPr>
          <w:rFonts w:asciiTheme="majorHAnsi" w:hAnsiTheme="majorHAnsi" w:cs="Times New Roman"/>
          <w:sz w:val="26"/>
          <w:szCs w:val="26"/>
        </w:rPr>
        <w:t xml:space="preserve"> and benchmarking </w:t>
      </w:r>
      <w:r w:rsidRPr="00820C65">
        <w:rPr>
          <w:rFonts w:asciiTheme="majorHAnsi" w:hAnsiTheme="majorHAnsi" w:cs="Times New Roman"/>
          <w:sz w:val="26"/>
          <w:szCs w:val="26"/>
        </w:rPr>
        <w:t>within sessions to clearly explain how activities link to learning objectives.</w:t>
      </w:r>
    </w:p>
    <w:p w14:paraId="7DBDF6F1" w14:textId="6C4E4231" w:rsidR="00820C65" w:rsidRPr="00820C65" w:rsidRDefault="00820C65" w:rsidP="00820C65">
      <w:pPr>
        <w:pStyle w:val="NormalWeb"/>
        <w:spacing w:before="0" w:beforeAutospacing="0" w:after="180" w:afterAutospacing="0"/>
        <w:rPr>
          <w:rFonts w:asciiTheme="majorHAnsi" w:hAnsiTheme="majorHAnsi"/>
          <w:sz w:val="26"/>
          <w:szCs w:val="26"/>
        </w:rPr>
      </w:pPr>
      <w:r w:rsidRPr="00820C65">
        <w:rPr>
          <w:rFonts w:asciiTheme="majorHAnsi" w:hAnsiTheme="majorHAnsi" w:cs="Times New Roman"/>
          <w:sz w:val="26"/>
          <w:szCs w:val="26"/>
        </w:rPr>
        <w:t xml:space="preserve">Despite these strengths, the feedback identifies several key areas for improvement. One of the weakest-performing statements related to whether individual learning preferences were considered prior to the activity. Only </w:t>
      </w:r>
      <w:r w:rsidR="00DC1CA7">
        <w:rPr>
          <w:rFonts w:asciiTheme="majorHAnsi" w:hAnsiTheme="majorHAnsi" w:cs="Times New Roman"/>
          <w:sz w:val="26"/>
          <w:szCs w:val="26"/>
        </w:rPr>
        <w:t xml:space="preserve">twenty-four percent </w:t>
      </w:r>
      <w:r w:rsidRPr="00820C65">
        <w:rPr>
          <w:rFonts w:asciiTheme="majorHAnsi" w:hAnsiTheme="majorHAnsi" w:cs="Times New Roman"/>
          <w:sz w:val="26"/>
          <w:szCs w:val="26"/>
        </w:rPr>
        <w:t xml:space="preserve">of respondents fully agreed with this statement, while </w:t>
      </w:r>
      <w:proofErr w:type="spellStart"/>
      <w:r w:rsidR="00DC1CA7">
        <w:rPr>
          <w:rFonts w:asciiTheme="majorHAnsi" w:hAnsiTheme="majorHAnsi" w:cs="Times New Roman"/>
          <w:sz w:val="26"/>
          <w:szCs w:val="26"/>
        </w:rPr>
        <w:t>fourty</w:t>
      </w:r>
      <w:proofErr w:type="spellEnd"/>
      <w:r w:rsidR="00DC1CA7">
        <w:rPr>
          <w:rFonts w:asciiTheme="majorHAnsi" w:hAnsiTheme="majorHAnsi" w:cs="Times New Roman"/>
          <w:sz w:val="26"/>
          <w:szCs w:val="26"/>
        </w:rPr>
        <w:t>-three percent</w:t>
      </w:r>
      <w:r w:rsidRPr="00820C65">
        <w:rPr>
          <w:rFonts w:asciiTheme="majorHAnsi" w:hAnsiTheme="majorHAnsi" w:cs="Times New Roman"/>
          <w:sz w:val="26"/>
          <w:szCs w:val="26"/>
        </w:rPr>
        <w:t xml:space="preserve"> were unsure and </w:t>
      </w:r>
      <w:r w:rsidR="00DC1CA7">
        <w:rPr>
          <w:rFonts w:asciiTheme="majorHAnsi" w:hAnsiTheme="majorHAnsi" w:cs="Times New Roman"/>
          <w:sz w:val="26"/>
          <w:szCs w:val="26"/>
        </w:rPr>
        <w:t>thirty-three percent</w:t>
      </w:r>
      <w:r w:rsidRPr="00820C65">
        <w:rPr>
          <w:rFonts w:asciiTheme="majorHAnsi" w:hAnsiTheme="majorHAnsi" w:cs="Times New Roman"/>
          <w:sz w:val="26"/>
          <w:szCs w:val="26"/>
        </w:rPr>
        <w:t xml:space="preserve"> disagreed. This suggests that most participants either did not experience personalisation or were unaware that it had taken place. CIPD (2022) emphasises the importance of learning needs analysis in ensuring that L&amp;D interventions are relevant</w:t>
      </w:r>
      <w:r w:rsidR="00476593">
        <w:rPr>
          <w:rFonts w:asciiTheme="majorHAnsi" w:hAnsiTheme="majorHAnsi" w:cs="Times New Roman"/>
          <w:sz w:val="26"/>
          <w:szCs w:val="26"/>
        </w:rPr>
        <w:t xml:space="preserve">, sustainable </w:t>
      </w:r>
      <w:r w:rsidRPr="00820C65">
        <w:rPr>
          <w:rFonts w:asciiTheme="majorHAnsi" w:hAnsiTheme="majorHAnsi" w:cs="Times New Roman"/>
          <w:sz w:val="26"/>
          <w:szCs w:val="26"/>
        </w:rPr>
        <w:t xml:space="preserve">and </w:t>
      </w:r>
      <w:r w:rsidR="005A7FC2" w:rsidRPr="00820C65">
        <w:rPr>
          <w:rFonts w:asciiTheme="majorHAnsi" w:hAnsiTheme="majorHAnsi" w:cs="Times New Roman"/>
          <w:sz w:val="26"/>
          <w:szCs w:val="26"/>
        </w:rPr>
        <w:t>learner centred</w:t>
      </w:r>
      <w:r w:rsidRPr="00820C65">
        <w:rPr>
          <w:rFonts w:asciiTheme="majorHAnsi" w:hAnsiTheme="majorHAnsi" w:cs="Times New Roman"/>
          <w:sz w:val="26"/>
          <w:szCs w:val="26"/>
        </w:rPr>
        <w:t xml:space="preserve">. Introducing structured pre-learning activities, such as short surveys or skills assessments, should therefore be </w:t>
      </w:r>
      <w:r w:rsidRPr="00820C65">
        <w:rPr>
          <w:rFonts w:asciiTheme="majorHAnsi" w:hAnsiTheme="majorHAnsi" w:cs="Times New Roman"/>
          <w:sz w:val="26"/>
          <w:szCs w:val="26"/>
        </w:rPr>
        <w:lastRenderedPageBreak/>
        <w:t>prioritised.</w:t>
      </w:r>
      <w:r w:rsidR="00346C03">
        <w:rPr>
          <w:rFonts w:asciiTheme="majorHAnsi" w:hAnsiTheme="majorHAnsi" w:cs="Times New Roman"/>
          <w:sz w:val="26"/>
          <w:szCs w:val="26"/>
        </w:rPr>
        <w:t xml:space="preserve"> </w:t>
      </w:r>
      <w:r w:rsidRPr="00820C65">
        <w:rPr>
          <w:rFonts w:asciiTheme="majorHAnsi" w:hAnsiTheme="majorHAnsi" w:cs="Times New Roman"/>
          <w:sz w:val="26"/>
          <w:szCs w:val="26"/>
        </w:rPr>
        <w:t xml:space="preserve">Facilitators should also explicitly reference this information during </w:t>
      </w:r>
      <w:r w:rsidR="00476593" w:rsidRPr="00820C65">
        <w:rPr>
          <w:rFonts w:asciiTheme="majorHAnsi" w:hAnsiTheme="majorHAnsi" w:cs="Times New Roman"/>
          <w:sz w:val="26"/>
          <w:szCs w:val="26"/>
        </w:rPr>
        <w:t>delivery,</w:t>
      </w:r>
      <w:r w:rsidRPr="00820C65">
        <w:rPr>
          <w:rFonts w:asciiTheme="majorHAnsi" w:hAnsiTheme="majorHAnsi" w:cs="Times New Roman"/>
          <w:sz w:val="26"/>
          <w:szCs w:val="26"/>
        </w:rPr>
        <w:t xml:space="preserve"> so learners recognise that their input has informed the session design</w:t>
      </w:r>
      <w:r w:rsidR="00476593">
        <w:rPr>
          <w:rFonts w:asciiTheme="majorHAnsi" w:hAnsiTheme="majorHAnsi" w:cs="Times New Roman"/>
          <w:sz w:val="26"/>
          <w:szCs w:val="26"/>
        </w:rPr>
        <w:t>, reinforcing ownership, maturity and accountability</w:t>
      </w:r>
      <w:r w:rsidRPr="00820C65">
        <w:rPr>
          <w:rFonts w:asciiTheme="majorHAnsi" w:hAnsiTheme="majorHAnsi" w:cs="Times New Roman"/>
          <w:sz w:val="26"/>
          <w:szCs w:val="26"/>
        </w:rPr>
        <w:t>.</w:t>
      </w:r>
    </w:p>
    <w:p w14:paraId="46F1456F" w14:textId="001DE84F" w:rsidR="00820C65" w:rsidRPr="00820C65" w:rsidRDefault="00820C65" w:rsidP="00820C65">
      <w:pPr>
        <w:pStyle w:val="NormalWeb"/>
        <w:spacing w:before="0" w:beforeAutospacing="0" w:after="180" w:afterAutospacing="0"/>
        <w:rPr>
          <w:rFonts w:asciiTheme="majorHAnsi" w:hAnsiTheme="majorHAnsi"/>
          <w:sz w:val="26"/>
          <w:szCs w:val="26"/>
        </w:rPr>
      </w:pPr>
      <w:r w:rsidRPr="00820C65">
        <w:rPr>
          <w:rFonts w:asciiTheme="majorHAnsi" w:hAnsiTheme="majorHAnsi" w:cs="Times New Roman"/>
          <w:sz w:val="26"/>
          <w:szCs w:val="26"/>
        </w:rPr>
        <w:t xml:space="preserve">Learner engagement during the session represents another significant area of concern. Only </w:t>
      </w:r>
      <w:r w:rsidR="00DC1CA7">
        <w:rPr>
          <w:rFonts w:asciiTheme="majorHAnsi" w:hAnsiTheme="majorHAnsi" w:cs="Times New Roman"/>
          <w:sz w:val="26"/>
          <w:szCs w:val="26"/>
        </w:rPr>
        <w:t>twenty-four percent</w:t>
      </w:r>
      <w:r w:rsidRPr="00820C65">
        <w:rPr>
          <w:rFonts w:asciiTheme="majorHAnsi" w:hAnsiTheme="majorHAnsi" w:cs="Times New Roman"/>
          <w:sz w:val="26"/>
          <w:szCs w:val="26"/>
        </w:rPr>
        <w:t xml:space="preserve"> of respondents agreed that meaningful questioning took place, while </w:t>
      </w:r>
      <w:r w:rsidR="00DC1CA7">
        <w:rPr>
          <w:rFonts w:asciiTheme="majorHAnsi" w:hAnsiTheme="majorHAnsi" w:cs="Times New Roman"/>
          <w:sz w:val="26"/>
          <w:szCs w:val="26"/>
        </w:rPr>
        <w:t>seventy-six percent</w:t>
      </w:r>
      <w:r w:rsidRPr="00820C65">
        <w:rPr>
          <w:rFonts w:asciiTheme="majorHAnsi" w:hAnsiTheme="majorHAnsi" w:cs="Times New Roman"/>
          <w:sz w:val="26"/>
          <w:szCs w:val="26"/>
        </w:rPr>
        <w:t xml:space="preserve"> disagreed or strongly disagreed. This indicates that the session was perceived as largely passive, limiting opportunities for discussion and interaction. Research suggests that active learning methods, such as questioning, discussion and problem-solving, are more effective in supporting knowledge retention</w:t>
      </w:r>
      <w:r w:rsidR="00476593">
        <w:rPr>
          <w:rFonts w:asciiTheme="majorHAnsi" w:hAnsiTheme="majorHAnsi" w:cs="Times New Roman"/>
          <w:sz w:val="26"/>
          <w:szCs w:val="26"/>
        </w:rPr>
        <w:t>, capability</w:t>
      </w:r>
      <w:r w:rsidRPr="00820C65">
        <w:rPr>
          <w:rFonts w:asciiTheme="majorHAnsi" w:hAnsiTheme="majorHAnsi" w:cs="Times New Roman"/>
          <w:sz w:val="26"/>
          <w:szCs w:val="26"/>
        </w:rPr>
        <w:t xml:space="preserve"> and engagement (Kolb, 2015). Future sessions should therefore be redesigned to include structured opportunities for participation throughout delivery, supported by facilitator development in interactive learning techniques</w:t>
      </w:r>
      <w:r w:rsidR="00476593">
        <w:rPr>
          <w:rFonts w:asciiTheme="majorHAnsi" w:hAnsiTheme="majorHAnsi" w:cs="Times New Roman"/>
          <w:sz w:val="26"/>
          <w:szCs w:val="26"/>
        </w:rPr>
        <w:t xml:space="preserve">, governance, alignment and adaptability </w:t>
      </w:r>
    </w:p>
    <w:p w14:paraId="212A319C" w14:textId="160EF219" w:rsidR="00820C65" w:rsidRPr="00820C65" w:rsidRDefault="00820C65" w:rsidP="00820C65">
      <w:pPr>
        <w:pStyle w:val="NormalWeb"/>
        <w:spacing w:before="0" w:beforeAutospacing="0" w:after="180" w:afterAutospacing="0"/>
        <w:rPr>
          <w:rFonts w:asciiTheme="majorHAnsi" w:hAnsiTheme="majorHAnsi"/>
          <w:sz w:val="26"/>
          <w:szCs w:val="26"/>
        </w:rPr>
      </w:pPr>
      <w:r w:rsidRPr="00820C65">
        <w:rPr>
          <w:rFonts w:asciiTheme="majorHAnsi" w:hAnsiTheme="majorHAnsi" w:cs="Times New Roman"/>
          <w:sz w:val="26"/>
          <w:szCs w:val="26"/>
        </w:rPr>
        <w:t xml:space="preserve">The most concerning trend within the feedback relates to the perceived impact of the learning on workplace performance. Only </w:t>
      </w:r>
      <w:r w:rsidR="00DC1CA7">
        <w:rPr>
          <w:rFonts w:asciiTheme="majorHAnsi" w:hAnsiTheme="majorHAnsi" w:cs="Times New Roman"/>
          <w:sz w:val="26"/>
          <w:szCs w:val="26"/>
        </w:rPr>
        <w:t>twelve percent</w:t>
      </w:r>
      <w:r w:rsidRPr="00820C65">
        <w:rPr>
          <w:rFonts w:asciiTheme="majorHAnsi" w:hAnsiTheme="majorHAnsi" w:cs="Times New Roman"/>
          <w:sz w:val="26"/>
          <w:szCs w:val="26"/>
        </w:rPr>
        <w:t xml:space="preserve"> of respondents agreed that the learning outcomes were met, while nearly </w:t>
      </w:r>
      <w:r w:rsidR="00DC1CA7">
        <w:rPr>
          <w:rFonts w:asciiTheme="majorHAnsi" w:hAnsiTheme="majorHAnsi" w:cs="Times New Roman"/>
          <w:sz w:val="26"/>
          <w:szCs w:val="26"/>
        </w:rPr>
        <w:t>seventy-nine percent</w:t>
      </w:r>
      <w:r w:rsidRPr="00820C65">
        <w:rPr>
          <w:rFonts w:asciiTheme="majorHAnsi" w:hAnsiTheme="majorHAnsi" w:cs="Times New Roman"/>
          <w:sz w:val="26"/>
          <w:szCs w:val="26"/>
        </w:rPr>
        <w:t xml:space="preserve"> disagreed or strongly disagreed. Similarly, just </w:t>
      </w:r>
      <w:r w:rsidR="00DC1CA7">
        <w:rPr>
          <w:rFonts w:asciiTheme="majorHAnsi" w:hAnsiTheme="majorHAnsi" w:cs="Times New Roman"/>
          <w:sz w:val="26"/>
          <w:szCs w:val="26"/>
        </w:rPr>
        <w:t>fourteen percent</w:t>
      </w:r>
      <w:r w:rsidRPr="00820C65">
        <w:rPr>
          <w:rFonts w:asciiTheme="majorHAnsi" w:hAnsiTheme="majorHAnsi" w:cs="Times New Roman"/>
          <w:sz w:val="26"/>
          <w:szCs w:val="26"/>
        </w:rPr>
        <w:t xml:space="preserve"> of participants felt that the learning linked to their performance targets. These findings suggest a significant disconnect between the learning content and participants’ understanding of how it supports their role or organisational objectives. From an evaluation perspective, this indicates weak outcomes at Kirkpatrick’s Levels 3 and 4, which focus on behavioural change and organisational results (Kirkpatrick and Kirkpatrick, 2006).</w:t>
      </w:r>
    </w:p>
    <w:p w14:paraId="1150C208" w14:textId="40DA2398" w:rsidR="00820C65" w:rsidRPr="00820C65" w:rsidRDefault="00820C65" w:rsidP="00820C65">
      <w:pPr>
        <w:pStyle w:val="NormalWeb"/>
        <w:spacing w:before="0" w:beforeAutospacing="0" w:after="180" w:afterAutospacing="0"/>
        <w:rPr>
          <w:rFonts w:asciiTheme="majorHAnsi" w:hAnsiTheme="majorHAnsi"/>
          <w:sz w:val="26"/>
          <w:szCs w:val="26"/>
        </w:rPr>
      </w:pPr>
      <w:r w:rsidRPr="00820C65">
        <w:rPr>
          <w:rFonts w:asciiTheme="majorHAnsi" w:hAnsiTheme="majorHAnsi" w:cs="Times New Roman"/>
          <w:sz w:val="26"/>
          <w:szCs w:val="26"/>
        </w:rPr>
        <w:t>To address this, learning outcomes should be clearly articulated at the start of each session and revisited throughout delivery and at its conclusion. Facilitators should explicitly demonstrate how learning outcomes relate to specific job roles, using relevant workplace examples wherever possible. In addition, learners should be given dedicated time to reflect on how the learning applies to their role and to identify specific actions they will take following the session. Reflective practice is widely recognised as a key mechanism for supporting the transfer of learning into the workplace</w:t>
      </w:r>
      <w:r w:rsidR="00476593">
        <w:rPr>
          <w:rFonts w:asciiTheme="majorHAnsi" w:hAnsiTheme="majorHAnsi" w:cs="Times New Roman"/>
          <w:sz w:val="26"/>
          <w:szCs w:val="26"/>
        </w:rPr>
        <w:t>, optimising learning culture, resilience and transparency</w:t>
      </w:r>
      <w:r w:rsidRPr="00820C65">
        <w:rPr>
          <w:rFonts w:asciiTheme="majorHAnsi" w:hAnsiTheme="majorHAnsi" w:cs="Times New Roman"/>
          <w:sz w:val="26"/>
          <w:szCs w:val="26"/>
        </w:rPr>
        <w:t xml:space="preserve"> (CIPD, 2023).</w:t>
      </w:r>
    </w:p>
    <w:p w14:paraId="76868EE8" w14:textId="0C5A13E8" w:rsidR="00820C65" w:rsidRPr="00820C65" w:rsidRDefault="00820C65" w:rsidP="00820C65">
      <w:pPr>
        <w:pStyle w:val="NormalWeb"/>
        <w:spacing w:before="0" w:beforeAutospacing="0" w:after="180" w:afterAutospacing="0"/>
        <w:rPr>
          <w:rFonts w:asciiTheme="majorHAnsi" w:hAnsiTheme="majorHAnsi"/>
          <w:sz w:val="26"/>
          <w:szCs w:val="26"/>
        </w:rPr>
      </w:pPr>
      <w:r w:rsidRPr="00820C65">
        <w:rPr>
          <w:rFonts w:asciiTheme="majorHAnsi" w:hAnsiTheme="majorHAnsi" w:cs="Times New Roman"/>
          <w:sz w:val="26"/>
          <w:szCs w:val="26"/>
        </w:rPr>
        <w:t xml:space="preserve">Feedback relating to the ability to apply learning in practice further reinforces the need for this focus. Only </w:t>
      </w:r>
      <w:r w:rsidR="00DC1CA7">
        <w:rPr>
          <w:rFonts w:asciiTheme="majorHAnsi" w:hAnsiTheme="majorHAnsi" w:cs="Times New Roman"/>
          <w:sz w:val="26"/>
          <w:szCs w:val="26"/>
        </w:rPr>
        <w:t>fourteen percent</w:t>
      </w:r>
      <w:r w:rsidRPr="00820C65">
        <w:rPr>
          <w:rFonts w:asciiTheme="majorHAnsi" w:hAnsiTheme="majorHAnsi" w:cs="Times New Roman"/>
          <w:sz w:val="26"/>
          <w:szCs w:val="26"/>
        </w:rPr>
        <w:t xml:space="preserve"> of respondents agreed that they were able to apply the knowledge and skills gained, while the majority disagreed. This highlights the importance of extending the action plan beyond the learning event itself. Post-session follow-up should therefore be introduced, such as reinforcement materials, line manager discussions or short follow-up activities. These measures would help support accountability and increase the likelihood that learning is translated into sustained behavioural change.</w:t>
      </w:r>
    </w:p>
    <w:p w14:paraId="69862A61" w14:textId="77777777" w:rsidR="00820C65" w:rsidRPr="00820C65" w:rsidRDefault="00820C65" w:rsidP="00820C65">
      <w:pPr>
        <w:pStyle w:val="NormalWeb"/>
        <w:spacing w:before="0" w:beforeAutospacing="0" w:after="180" w:afterAutospacing="0"/>
        <w:rPr>
          <w:rFonts w:asciiTheme="majorHAnsi" w:hAnsiTheme="majorHAnsi"/>
          <w:sz w:val="26"/>
          <w:szCs w:val="26"/>
        </w:rPr>
      </w:pPr>
      <w:r w:rsidRPr="00820C65">
        <w:rPr>
          <w:rFonts w:asciiTheme="majorHAnsi" w:hAnsiTheme="majorHAnsi" w:cs="Times New Roman"/>
          <w:sz w:val="26"/>
          <w:szCs w:val="26"/>
        </w:rPr>
        <w:t xml:space="preserve">In conclusion, the evaluation feedback demonstrates that while the learning activity benefited from strong facilitation and high-quality resources, its overall effectiveness was limited by insufficient engagement, personalisation and alignment with workplace </w:t>
      </w:r>
      <w:r w:rsidRPr="00820C65">
        <w:rPr>
          <w:rFonts w:asciiTheme="majorHAnsi" w:hAnsiTheme="majorHAnsi" w:cs="Times New Roman"/>
          <w:sz w:val="26"/>
          <w:szCs w:val="26"/>
        </w:rPr>
        <w:lastRenderedPageBreak/>
        <w:t>performance. By developing a structured action plan that focuses on pre-learning needs analysis, interactive delivery and clear links to performance outcomes, the organisation can significantly enhance the impact of future learning initiatives and better support employee capability and organisational performance.</w:t>
      </w:r>
    </w:p>
    <w:p w14:paraId="6ACDCAF0" w14:textId="49E5A9B5" w:rsidR="00820C65" w:rsidRDefault="00820C65" w:rsidP="006C3B26">
      <w:pPr>
        <w:rPr>
          <w:rFonts w:eastAsia="Times New Roman"/>
        </w:rPr>
      </w:pPr>
      <w:r>
        <w:rPr>
          <w:rFonts w:eastAsia="Times New Roman"/>
        </w:rPr>
        <w:br/>
      </w:r>
    </w:p>
    <w:p w14:paraId="03A88E0A" w14:textId="77777777" w:rsidR="00FE4DBE" w:rsidRDefault="00FE4DBE" w:rsidP="006C3B26">
      <w:pPr>
        <w:rPr>
          <w:rFonts w:eastAsia="Times New Roman"/>
        </w:rPr>
      </w:pPr>
    </w:p>
    <w:p w14:paraId="4ED63360" w14:textId="77777777" w:rsidR="00FE4DBE" w:rsidRDefault="00FE4DBE" w:rsidP="006C3B26">
      <w:pPr>
        <w:rPr>
          <w:rFonts w:eastAsia="Times New Roman"/>
        </w:rPr>
      </w:pPr>
    </w:p>
    <w:p w14:paraId="16B00ACF" w14:textId="77777777" w:rsidR="00FE4DBE" w:rsidRDefault="00FE4DBE" w:rsidP="006C3B26">
      <w:pPr>
        <w:rPr>
          <w:rFonts w:eastAsia="Times New Roman"/>
        </w:rPr>
      </w:pPr>
    </w:p>
    <w:p w14:paraId="37371666" w14:textId="77777777" w:rsidR="00FE4DBE" w:rsidRDefault="00FE4DBE" w:rsidP="006C3B26">
      <w:pPr>
        <w:rPr>
          <w:rFonts w:eastAsia="Times New Roman"/>
        </w:rPr>
      </w:pPr>
    </w:p>
    <w:p w14:paraId="0CDB71F1" w14:textId="77777777" w:rsidR="00FE4DBE" w:rsidRDefault="00FE4DBE" w:rsidP="006C3B26">
      <w:pPr>
        <w:rPr>
          <w:rFonts w:eastAsia="Times New Roman"/>
        </w:rPr>
      </w:pPr>
    </w:p>
    <w:p w14:paraId="250CBE45" w14:textId="77777777" w:rsidR="00FE4DBE" w:rsidRDefault="00FE4DBE" w:rsidP="006C3B26">
      <w:pPr>
        <w:rPr>
          <w:rFonts w:eastAsia="Times New Roman"/>
        </w:rPr>
      </w:pPr>
    </w:p>
    <w:p w14:paraId="1F887311" w14:textId="77777777" w:rsidR="00FE4DBE" w:rsidRDefault="00FE4DBE" w:rsidP="006C3B26">
      <w:pPr>
        <w:rPr>
          <w:rFonts w:eastAsia="Times New Roman"/>
        </w:rPr>
      </w:pPr>
    </w:p>
    <w:p w14:paraId="01746AED" w14:textId="77777777" w:rsidR="00FE4DBE" w:rsidRDefault="00FE4DBE" w:rsidP="006C3B26">
      <w:pPr>
        <w:rPr>
          <w:rFonts w:eastAsia="Times New Roman"/>
        </w:rPr>
      </w:pPr>
    </w:p>
    <w:p w14:paraId="51B63FD9" w14:textId="77777777" w:rsidR="00FE4DBE" w:rsidRDefault="00FE4DBE" w:rsidP="006C3B26">
      <w:pPr>
        <w:rPr>
          <w:rFonts w:eastAsia="Times New Roman"/>
        </w:rPr>
      </w:pPr>
    </w:p>
    <w:p w14:paraId="6EE4F5FC" w14:textId="77777777" w:rsidR="00FE4DBE" w:rsidRDefault="00FE4DBE" w:rsidP="006C3B26">
      <w:pPr>
        <w:rPr>
          <w:rFonts w:eastAsia="Times New Roman"/>
        </w:rPr>
      </w:pPr>
    </w:p>
    <w:p w14:paraId="6BC464F9" w14:textId="77777777" w:rsidR="00FE4DBE" w:rsidRDefault="00FE4DBE" w:rsidP="006C3B26">
      <w:pPr>
        <w:rPr>
          <w:rFonts w:eastAsia="Times New Roman"/>
        </w:rPr>
      </w:pPr>
    </w:p>
    <w:p w14:paraId="2A98E1A0" w14:textId="77777777" w:rsidR="00FE4DBE" w:rsidRDefault="00FE4DBE" w:rsidP="006C3B26">
      <w:pPr>
        <w:rPr>
          <w:rFonts w:eastAsia="Times New Roman"/>
        </w:rPr>
      </w:pPr>
    </w:p>
    <w:p w14:paraId="1A35F181" w14:textId="77777777" w:rsidR="00FE4DBE" w:rsidRDefault="00FE4DBE" w:rsidP="006C3B26">
      <w:pPr>
        <w:rPr>
          <w:rFonts w:eastAsia="Times New Roman"/>
        </w:rPr>
      </w:pPr>
    </w:p>
    <w:p w14:paraId="70C33347" w14:textId="77777777" w:rsidR="00FE4DBE" w:rsidRDefault="00FE4DBE" w:rsidP="006C3B26">
      <w:pPr>
        <w:rPr>
          <w:rFonts w:eastAsia="Times New Roman"/>
        </w:rPr>
      </w:pPr>
    </w:p>
    <w:p w14:paraId="27866EBA" w14:textId="77777777" w:rsidR="00FE4DBE" w:rsidRDefault="00FE4DBE" w:rsidP="006C3B26">
      <w:pPr>
        <w:rPr>
          <w:rFonts w:eastAsia="Times New Roman"/>
        </w:rPr>
      </w:pPr>
    </w:p>
    <w:p w14:paraId="5D87C7AB" w14:textId="77777777" w:rsidR="00FE4DBE" w:rsidRDefault="00FE4DBE" w:rsidP="006C3B26">
      <w:pPr>
        <w:rPr>
          <w:rFonts w:eastAsia="Times New Roman"/>
        </w:rPr>
      </w:pPr>
    </w:p>
    <w:p w14:paraId="5895F5C6" w14:textId="77777777" w:rsidR="00FE4DBE" w:rsidRDefault="00FE4DBE" w:rsidP="006C3B26">
      <w:pPr>
        <w:rPr>
          <w:rFonts w:eastAsia="Times New Roman"/>
        </w:rPr>
      </w:pPr>
    </w:p>
    <w:p w14:paraId="5A37EB5F" w14:textId="77777777" w:rsidR="00FE4DBE" w:rsidRDefault="00FE4DBE" w:rsidP="006C3B26">
      <w:pPr>
        <w:rPr>
          <w:rFonts w:eastAsia="Times New Roman"/>
        </w:rPr>
      </w:pPr>
    </w:p>
    <w:p w14:paraId="6F816E00" w14:textId="77777777" w:rsidR="00FE4DBE" w:rsidRDefault="00FE4DBE" w:rsidP="006C3B26">
      <w:pPr>
        <w:rPr>
          <w:rFonts w:eastAsia="Times New Roman"/>
        </w:rPr>
      </w:pPr>
    </w:p>
    <w:p w14:paraId="39AB1F06" w14:textId="77777777" w:rsidR="00FE4DBE" w:rsidRDefault="00FE4DBE" w:rsidP="006C3B26">
      <w:pPr>
        <w:rPr>
          <w:rFonts w:eastAsia="Times New Roman"/>
        </w:rPr>
      </w:pPr>
    </w:p>
    <w:p w14:paraId="0E017AB5" w14:textId="77777777" w:rsidR="00FE4DBE" w:rsidRDefault="00FE4DBE" w:rsidP="006C3B26">
      <w:pPr>
        <w:rPr>
          <w:rFonts w:eastAsia="Times New Roman"/>
        </w:rPr>
      </w:pPr>
    </w:p>
    <w:p w14:paraId="24BA7D45" w14:textId="77777777" w:rsidR="00820C65" w:rsidRPr="00820C65" w:rsidRDefault="00820C65" w:rsidP="006C3B26">
      <w:pPr>
        <w:rPr>
          <w:rFonts w:eastAsia="Times New Roman"/>
        </w:rPr>
      </w:pPr>
    </w:p>
    <w:p w14:paraId="3B8259E9" w14:textId="77777777" w:rsidR="00820C65" w:rsidRDefault="00820C65" w:rsidP="006C3B26">
      <w:pPr>
        <w:rPr>
          <w:rFonts w:asciiTheme="majorHAnsi" w:hAnsiTheme="majorHAnsi"/>
          <w:sz w:val="26"/>
          <w:szCs w:val="26"/>
        </w:rPr>
      </w:pPr>
    </w:p>
    <w:p w14:paraId="00DCD3BD" w14:textId="7FF3D66F" w:rsidR="006C3B26" w:rsidRPr="006C3B26" w:rsidRDefault="006C3B26" w:rsidP="006C3B26">
      <w:pPr>
        <w:rPr>
          <w:rFonts w:asciiTheme="majorHAnsi" w:hAnsiTheme="majorHAnsi"/>
          <w:b/>
          <w:bCs/>
          <w:sz w:val="26"/>
          <w:szCs w:val="26"/>
          <w:u w:val="single"/>
        </w:rPr>
      </w:pPr>
      <w:r w:rsidRPr="006C3B26">
        <w:rPr>
          <w:rFonts w:asciiTheme="majorHAnsi" w:hAnsiTheme="majorHAnsi"/>
          <w:b/>
          <w:bCs/>
          <w:sz w:val="26"/>
          <w:szCs w:val="26"/>
          <w:u w:val="single"/>
        </w:rPr>
        <w:lastRenderedPageBreak/>
        <w:t>References</w:t>
      </w:r>
    </w:p>
    <w:p w14:paraId="66BE1435" w14:textId="77777777" w:rsidR="00FE4DBE" w:rsidRPr="006C3B26" w:rsidRDefault="00FE4DBE" w:rsidP="00FE4DBE">
      <w:pPr>
        <w:rPr>
          <w:rFonts w:asciiTheme="majorHAnsi" w:hAnsiTheme="majorHAnsi"/>
          <w:sz w:val="26"/>
          <w:szCs w:val="26"/>
        </w:rPr>
      </w:pPr>
      <w:r w:rsidRPr="006C3B26">
        <w:rPr>
          <w:rFonts w:asciiTheme="majorHAnsi" w:hAnsiTheme="majorHAnsi"/>
          <w:sz w:val="26"/>
          <w:szCs w:val="26"/>
        </w:rPr>
        <w:t>Armstrong, M. and Taylor, S. (2023) Armstrongs handbook of human resource management practise. 15</w:t>
      </w:r>
      <w:r w:rsidRPr="006C3B26">
        <w:rPr>
          <w:rFonts w:asciiTheme="majorHAnsi" w:hAnsiTheme="majorHAnsi"/>
          <w:sz w:val="26"/>
          <w:szCs w:val="26"/>
          <w:vertAlign w:val="superscript"/>
        </w:rPr>
        <w:t>th</w:t>
      </w:r>
      <w:r w:rsidRPr="006C3B26">
        <w:rPr>
          <w:rFonts w:asciiTheme="majorHAnsi" w:hAnsiTheme="majorHAnsi"/>
          <w:sz w:val="26"/>
          <w:szCs w:val="26"/>
        </w:rPr>
        <w:t xml:space="preserve"> </w:t>
      </w:r>
      <w:proofErr w:type="spellStart"/>
      <w:r w:rsidRPr="006C3B26">
        <w:rPr>
          <w:rFonts w:asciiTheme="majorHAnsi" w:hAnsiTheme="majorHAnsi"/>
          <w:sz w:val="26"/>
          <w:szCs w:val="26"/>
        </w:rPr>
        <w:t>edn</w:t>
      </w:r>
      <w:proofErr w:type="spellEnd"/>
      <w:r w:rsidRPr="006C3B26">
        <w:rPr>
          <w:rFonts w:asciiTheme="majorHAnsi" w:hAnsiTheme="majorHAnsi"/>
          <w:sz w:val="26"/>
          <w:szCs w:val="26"/>
        </w:rPr>
        <w:t>. London: Kogan Page.</w:t>
      </w:r>
    </w:p>
    <w:p w14:paraId="251A3442" w14:textId="77777777" w:rsidR="00FE4DBE" w:rsidRPr="006C3B26" w:rsidRDefault="00FE4DBE" w:rsidP="00FE4DBE">
      <w:pPr>
        <w:rPr>
          <w:rFonts w:asciiTheme="majorHAnsi" w:hAnsiTheme="majorHAnsi"/>
          <w:sz w:val="26"/>
          <w:szCs w:val="26"/>
        </w:rPr>
      </w:pPr>
      <w:r w:rsidRPr="006C3B26">
        <w:rPr>
          <w:rFonts w:asciiTheme="majorHAnsi" w:hAnsiTheme="majorHAnsi"/>
          <w:sz w:val="26"/>
          <w:szCs w:val="26"/>
        </w:rPr>
        <w:t>Briner, R.B., Denyer, D. and Rousseau, D.M. (2009) Evidence-based management: Concept cleanup time? Academy of Management Perspectives, 23(4),pp. 19-32.</w:t>
      </w:r>
    </w:p>
    <w:p w14:paraId="79539D3E" w14:textId="77777777" w:rsidR="00FE4DBE" w:rsidRPr="006C3B26" w:rsidRDefault="00FE4DBE" w:rsidP="00FE4DBE">
      <w:pPr>
        <w:rPr>
          <w:rFonts w:asciiTheme="majorHAnsi" w:hAnsiTheme="majorHAnsi"/>
          <w:sz w:val="26"/>
          <w:szCs w:val="26"/>
        </w:rPr>
      </w:pPr>
      <w:r w:rsidRPr="006C3B26">
        <w:rPr>
          <w:rFonts w:asciiTheme="majorHAnsi" w:hAnsiTheme="majorHAnsi"/>
          <w:sz w:val="26"/>
          <w:szCs w:val="26"/>
        </w:rPr>
        <w:t xml:space="preserve">Briner, R.B., Denyer, D. and Rousseau, D.M. (2009) Evidence-based management: Concept cleanup time? Academy of management Perspectives, 23(4), pp. 19-32. </w:t>
      </w:r>
    </w:p>
    <w:p w14:paraId="17C4487D" w14:textId="77777777" w:rsidR="00FE4DBE" w:rsidRPr="006C3B26" w:rsidRDefault="00FE4DBE" w:rsidP="00FE4DBE">
      <w:pPr>
        <w:rPr>
          <w:rFonts w:asciiTheme="majorHAnsi" w:hAnsiTheme="majorHAnsi"/>
          <w:sz w:val="26"/>
          <w:szCs w:val="26"/>
        </w:rPr>
      </w:pPr>
      <w:r>
        <w:rPr>
          <w:rFonts w:asciiTheme="majorHAnsi" w:hAnsiTheme="majorHAnsi"/>
          <w:sz w:val="26"/>
          <w:szCs w:val="26"/>
        </w:rPr>
        <w:t xml:space="preserve">CIPD (2022) Employee engagement factsheet. London: Chartered Institute of Personnel and Development </w:t>
      </w:r>
    </w:p>
    <w:p w14:paraId="601DABB7" w14:textId="77777777" w:rsidR="00FE4DBE" w:rsidRDefault="00FE4DBE" w:rsidP="00FE4DBE">
      <w:pPr>
        <w:rPr>
          <w:rFonts w:asciiTheme="majorHAnsi" w:hAnsiTheme="majorHAnsi"/>
          <w:sz w:val="26"/>
          <w:szCs w:val="26"/>
        </w:rPr>
      </w:pPr>
      <w:r w:rsidRPr="006C3B26">
        <w:rPr>
          <w:rFonts w:asciiTheme="majorHAnsi" w:hAnsiTheme="majorHAnsi"/>
          <w:sz w:val="26"/>
          <w:szCs w:val="26"/>
        </w:rPr>
        <w:t xml:space="preserve">CIPD (2022) Employee turnover and retention factsheet. London: Chartered Institute of Personnel and Development </w:t>
      </w:r>
    </w:p>
    <w:p w14:paraId="6D51702F" w14:textId="77777777" w:rsidR="00FE4DBE" w:rsidRPr="006C3B26" w:rsidRDefault="00FE4DBE" w:rsidP="00FE4DBE">
      <w:pPr>
        <w:rPr>
          <w:rFonts w:asciiTheme="majorHAnsi" w:hAnsiTheme="majorHAnsi"/>
          <w:sz w:val="26"/>
          <w:szCs w:val="26"/>
        </w:rPr>
      </w:pPr>
      <w:r w:rsidRPr="006C3B26">
        <w:rPr>
          <w:rFonts w:asciiTheme="majorHAnsi" w:hAnsiTheme="majorHAnsi"/>
          <w:sz w:val="26"/>
          <w:szCs w:val="26"/>
        </w:rPr>
        <w:t>CIPD (2022) Employee voice factsheet. London: Chartered Institute of Personnel and Development.</w:t>
      </w:r>
    </w:p>
    <w:p w14:paraId="684999B5" w14:textId="77777777" w:rsidR="00FE4DBE" w:rsidRPr="006C3B26" w:rsidRDefault="00FE4DBE" w:rsidP="00FE4DBE">
      <w:pPr>
        <w:rPr>
          <w:rFonts w:asciiTheme="majorHAnsi" w:hAnsiTheme="majorHAnsi"/>
          <w:sz w:val="26"/>
          <w:szCs w:val="26"/>
        </w:rPr>
      </w:pPr>
      <w:r>
        <w:rPr>
          <w:rFonts w:asciiTheme="majorHAnsi" w:hAnsiTheme="majorHAnsi"/>
          <w:sz w:val="26"/>
          <w:szCs w:val="26"/>
        </w:rPr>
        <w:t xml:space="preserve">CIPD (2022) Learning needs analysis factsheet. London: Chartered Institute of Personnel and Development </w:t>
      </w:r>
    </w:p>
    <w:p w14:paraId="6A9A9E7A" w14:textId="77777777" w:rsidR="00FE4DBE" w:rsidRDefault="00FE4DBE" w:rsidP="00FE4DBE">
      <w:pPr>
        <w:rPr>
          <w:rFonts w:asciiTheme="majorHAnsi" w:hAnsiTheme="majorHAnsi"/>
          <w:sz w:val="26"/>
          <w:szCs w:val="26"/>
        </w:rPr>
      </w:pPr>
      <w:r w:rsidRPr="006C3B26">
        <w:rPr>
          <w:rFonts w:asciiTheme="majorHAnsi" w:hAnsiTheme="majorHAnsi"/>
          <w:sz w:val="26"/>
          <w:szCs w:val="26"/>
        </w:rPr>
        <w:t>CIPD (2022) People analytics factsheet. London: Chartered Institute of Personnel and Development.</w:t>
      </w:r>
    </w:p>
    <w:p w14:paraId="48BE9379" w14:textId="77777777" w:rsidR="00FE4DBE" w:rsidRPr="006C3B26" w:rsidRDefault="00FE4DBE" w:rsidP="00FE4DBE">
      <w:pPr>
        <w:rPr>
          <w:rFonts w:asciiTheme="majorHAnsi" w:hAnsiTheme="majorHAnsi"/>
          <w:sz w:val="26"/>
          <w:szCs w:val="26"/>
        </w:rPr>
      </w:pPr>
      <w:r w:rsidRPr="006C3B26">
        <w:rPr>
          <w:rFonts w:asciiTheme="majorHAnsi" w:hAnsiTheme="majorHAnsi"/>
          <w:sz w:val="26"/>
          <w:szCs w:val="26"/>
        </w:rPr>
        <w:t>CIPD (2023) Code of Professional Conduct. London: Chartered Institute of Personnel and Development.</w:t>
      </w:r>
    </w:p>
    <w:p w14:paraId="522C6B0A" w14:textId="77777777" w:rsidR="00FE4DBE" w:rsidRDefault="00FE4DBE" w:rsidP="00FE4DBE">
      <w:pPr>
        <w:rPr>
          <w:rFonts w:asciiTheme="majorHAnsi" w:hAnsiTheme="majorHAnsi"/>
          <w:sz w:val="26"/>
          <w:szCs w:val="26"/>
        </w:rPr>
      </w:pPr>
      <w:r w:rsidRPr="006C3B26">
        <w:rPr>
          <w:rFonts w:asciiTheme="majorHAnsi" w:hAnsiTheme="majorHAnsi"/>
          <w:sz w:val="26"/>
          <w:szCs w:val="26"/>
        </w:rPr>
        <w:t>CIPD (2023) Evidence-based practice for HR. London: Chartered Institute of Personnel and Development.</w:t>
      </w:r>
    </w:p>
    <w:p w14:paraId="0D132F8F" w14:textId="77777777" w:rsidR="00FE4DBE" w:rsidRDefault="00FE4DBE" w:rsidP="00FE4DBE">
      <w:pPr>
        <w:rPr>
          <w:rFonts w:asciiTheme="majorHAnsi" w:hAnsiTheme="majorHAnsi"/>
          <w:sz w:val="26"/>
          <w:szCs w:val="26"/>
        </w:rPr>
      </w:pPr>
      <w:r>
        <w:rPr>
          <w:rFonts w:asciiTheme="majorHAnsi" w:hAnsiTheme="majorHAnsi"/>
          <w:sz w:val="26"/>
          <w:szCs w:val="26"/>
        </w:rPr>
        <w:t>CIPD (2023) Learning and Development practice. London: Chartered Institute of Personnel and Development.</w:t>
      </w:r>
    </w:p>
    <w:p w14:paraId="34143B05" w14:textId="77777777" w:rsidR="00FE4DBE" w:rsidRPr="006C3B26" w:rsidRDefault="00FE4DBE" w:rsidP="00FE4DBE">
      <w:pPr>
        <w:rPr>
          <w:rFonts w:asciiTheme="majorHAnsi" w:hAnsiTheme="majorHAnsi"/>
          <w:sz w:val="26"/>
          <w:szCs w:val="26"/>
        </w:rPr>
      </w:pPr>
      <w:r w:rsidRPr="006C3B26">
        <w:rPr>
          <w:rFonts w:asciiTheme="majorHAnsi" w:hAnsiTheme="majorHAnsi"/>
          <w:sz w:val="26"/>
          <w:szCs w:val="26"/>
        </w:rPr>
        <w:t xml:space="preserve">Johnson, G., </w:t>
      </w:r>
      <w:proofErr w:type="spellStart"/>
      <w:r w:rsidRPr="006C3B26">
        <w:rPr>
          <w:rFonts w:asciiTheme="majorHAnsi" w:hAnsiTheme="majorHAnsi"/>
          <w:sz w:val="26"/>
          <w:szCs w:val="26"/>
        </w:rPr>
        <w:t>Scholes,K</w:t>
      </w:r>
      <w:proofErr w:type="spellEnd"/>
      <w:r w:rsidRPr="006C3B26">
        <w:rPr>
          <w:rFonts w:asciiTheme="majorHAnsi" w:hAnsiTheme="majorHAnsi"/>
          <w:sz w:val="26"/>
          <w:szCs w:val="26"/>
        </w:rPr>
        <w:t>. and Whittington, R. (2017) Exploring strategy. 11</w:t>
      </w:r>
      <w:r w:rsidRPr="006C3B26">
        <w:rPr>
          <w:rFonts w:asciiTheme="majorHAnsi" w:hAnsiTheme="majorHAnsi"/>
          <w:sz w:val="26"/>
          <w:szCs w:val="26"/>
          <w:vertAlign w:val="superscript"/>
        </w:rPr>
        <w:t>th</w:t>
      </w:r>
      <w:r w:rsidRPr="006C3B26">
        <w:rPr>
          <w:rFonts w:asciiTheme="majorHAnsi" w:hAnsiTheme="majorHAnsi"/>
          <w:sz w:val="26"/>
          <w:szCs w:val="26"/>
        </w:rPr>
        <w:t xml:space="preserve"> </w:t>
      </w:r>
      <w:proofErr w:type="spellStart"/>
      <w:r w:rsidRPr="006C3B26">
        <w:rPr>
          <w:rFonts w:asciiTheme="majorHAnsi" w:hAnsiTheme="majorHAnsi"/>
          <w:sz w:val="26"/>
          <w:szCs w:val="26"/>
        </w:rPr>
        <w:t>edn</w:t>
      </w:r>
      <w:proofErr w:type="spellEnd"/>
      <w:r w:rsidRPr="006C3B26">
        <w:rPr>
          <w:rFonts w:asciiTheme="majorHAnsi" w:hAnsiTheme="majorHAnsi"/>
          <w:sz w:val="26"/>
          <w:szCs w:val="26"/>
        </w:rPr>
        <w:t>. Harlow: Pearson</w:t>
      </w:r>
    </w:p>
    <w:p w14:paraId="0728FFE5" w14:textId="77777777" w:rsidR="00FE4DBE" w:rsidRPr="006C3B26" w:rsidRDefault="00FE4DBE" w:rsidP="00FE4DBE">
      <w:pPr>
        <w:rPr>
          <w:rFonts w:asciiTheme="majorHAnsi" w:hAnsiTheme="majorHAnsi"/>
          <w:sz w:val="26"/>
          <w:szCs w:val="26"/>
        </w:rPr>
      </w:pPr>
      <w:r w:rsidRPr="006C3B26">
        <w:rPr>
          <w:rFonts w:asciiTheme="majorHAnsi" w:hAnsiTheme="majorHAnsi"/>
          <w:sz w:val="26"/>
          <w:szCs w:val="26"/>
        </w:rPr>
        <w:t>Kahneman, D. (2011) Thinking, fast and slow. London: Penguin.</w:t>
      </w:r>
    </w:p>
    <w:p w14:paraId="4AED95D5" w14:textId="77777777" w:rsidR="00FE4DBE" w:rsidRDefault="00FE4DBE" w:rsidP="00FE4DBE">
      <w:pPr>
        <w:rPr>
          <w:rFonts w:asciiTheme="majorHAnsi" w:hAnsiTheme="majorHAnsi"/>
          <w:sz w:val="26"/>
          <w:szCs w:val="26"/>
        </w:rPr>
      </w:pPr>
      <w:r>
        <w:rPr>
          <w:rFonts w:asciiTheme="majorHAnsi" w:hAnsiTheme="majorHAnsi"/>
          <w:sz w:val="26"/>
          <w:szCs w:val="26"/>
        </w:rPr>
        <w:t>Kirkpatrick, D.L. and Kirkpatrick, J.D. (2006) Evaluating training programs: The four levels. 3</w:t>
      </w:r>
      <w:r w:rsidRPr="00D6151D">
        <w:rPr>
          <w:rFonts w:asciiTheme="majorHAnsi" w:hAnsiTheme="majorHAnsi"/>
          <w:sz w:val="26"/>
          <w:szCs w:val="26"/>
          <w:vertAlign w:val="superscript"/>
        </w:rPr>
        <w:t>rd</w:t>
      </w:r>
      <w:r>
        <w:rPr>
          <w:rFonts w:asciiTheme="majorHAnsi" w:hAnsiTheme="majorHAnsi"/>
          <w:sz w:val="26"/>
          <w:szCs w:val="26"/>
        </w:rPr>
        <w:t xml:space="preserve"> </w:t>
      </w:r>
      <w:proofErr w:type="spellStart"/>
      <w:r>
        <w:rPr>
          <w:rFonts w:asciiTheme="majorHAnsi" w:hAnsiTheme="majorHAnsi"/>
          <w:sz w:val="26"/>
          <w:szCs w:val="26"/>
        </w:rPr>
        <w:t>edn</w:t>
      </w:r>
      <w:proofErr w:type="spellEnd"/>
      <w:r>
        <w:rPr>
          <w:rFonts w:asciiTheme="majorHAnsi" w:hAnsiTheme="majorHAnsi"/>
          <w:sz w:val="26"/>
          <w:szCs w:val="26"/>
        </w:rPr>
        <w:t>. San Francisco: Berrett-Koehler.</w:t>
      </w:r>
    </w:p>
    <w:p w14:paraId="1799FB93" w14:textId="77777777" w:rsidR="00FE4DBE" w:rsidRDefault="00FE4DBE" w:rsidP="00FE4DBE">
      <w:pPr>
        <w:rPr>
          <w:rFonts w:asciiTheme="majorHAnsi" w:hAnsiTheme="majorHAnsi"/>
          <w:sz w:val="26"/>
          <w:szCs w:val="26"/>
        </w:rPr>
      </w:pPr>
      <w:r>
        <w:rPr>
          <w:rFonts w:asciiTheme="majorHAnsi" w:hAnsiTheme="majorHAnsi"/>
          <w:sz w:val="26"/>
          <w:szCs w:val="26"/>
        </w:rPr>
        <w:t>Knowles, M.S., Holton, E.F. and Swanson, R.A. (2025) The adult learner. 8</w:t>
      </w:r>
      <w:r w:rsidRPr="00D6151D">
        <w:rPr>
          <w:rFonts w:asciiTheme="majorHAnsi" w:hAnsiTheme="majorHAnsi"/>
          <w:sz w:val="26"/>
          <w:szCs w:val="26"/>
          <w:vertAlign w:val="superscript"/>
        </w:rPr>
        <w:t>th</w:t>
      </w:r>
      <w:r>
        <w:rPr>
          <w:rFonts w:asciiTheme="majorHAnsi" w:hAnsiTheme="majorHAnsi"/>
          <w:sz w:val="26"/>
          <w:szCs w:val="26"/>
        </w:rPr>
        <w:t xml:space="preserve"> </w:t>
      </w:r>
      <w:proofErr w:type="spellStart"/>
      <w:r>
        <w:rPr>
          <w:rFonts w:asciiTheme="majorHAnsi" w:hAnsiTheme="majorHAnsi"/>
          <w:sz w:val="26"/>
          <w:szCs w:val="26"/>
        </w:rPr>
        <w:t>edn</w:t>
      </w:r>
      <w:proofErr w:type="spellEnd"/>
      <w:r>
        <w:rPr>
          <w:rFonts w:asciiTheme="majorHAnsi" w:hAnsiTheme="majorHAnsi"/>
          <w:sz w:val="26"/>
          <w:szCs w:val="26"/>
        </w:rPr>
        <w:t>. London: Routledge.</w:t>
      </w:r>
    </w:p>
    <w:p w14:paraId="0954FF29" w14:textId="77777777" w:rsidR="00FE4DBE" w:rsidRPr="006C3B26" w:rsidRDefault="00FE4DBE" w:rsidP="00FE4DBE">
      <w:pPr>
        <w:rPr>
          <w:rFonts w:asciiTheme="majorHAnsi" w:hAnsiTheme="majorHAnsi"/>
          <w:sz w:val="26"/>
          <w:szCs w:val="26"/>
        </w:rPr>
      </w:pPr>
      <w:r>
        <w:rPr>
          <w:rFonts w:asciiTheme="majorHAnsi" w:hAnsiTheme="majorHAnsi"/>
          <w:sz w:val="26"/>
          <w:szCs w:val="26"/>
        </w:rPr>
        <w:lastRenderedPageBreak/>
        <w:t>Kolb, D.A. (2015) Experimental learning: Experience as the source of learning and development. 2</w:t>
      </w:r>
      <w:r w:rsidRPr="00D6151D">
        <w:rPr>
          <w:rFonts w:asciiTheme="majorHAnsi" w:hAnsiTheme="majorHAnsi"/>
          <w:sz w:val="26"/>
          <w:szCs w:val="26"/>
          <w:vertAlign w:val="superscript"/>
        </w:rPr>
        <w:t>nd</w:t>
      </w:r>
      <w:r>
        <w:rPr>
          <w:rFonts w:asciiTheme="majorHAnsi" w:hAnsiTheme="majorHAnsi"/>
          <w:sz w:val="26"/>
          <w:szCs w:val="26"/>
        </w:rPr>
        <w:t xml:space="preserve"> </w:t>
      </w:r>
      <w:proofErr w:type="spellStart"/>
      <w:r>
        <w:rPr>
          <w:rFonts w:asciiTheme="majorHAnsi" w:hAnsiTheme="majorHAnsi"/>
          <w:sz w:val="26"/>
          <w:szCs w:val="26"/>
        </w:rPr>
        <w:t>edn</w:t>
      </w:r>
      <w:proofErr w:type="spellEnd"/>
      <w:r>
        <w:rPr>
          <w:rFonts w:asciiTheme="majorHAnsi" w:hAnsiTheme="majorHAnsi"/>
          <w:sz w:val="26"/>
          <w:szCs w:val="26"/>
        </w:rPr>
        <w:t>. New Jersey: Pearson.</w:t>
      </w:r>
    </w:p>
    <w:p w14:paraId="1CCD89AF" w14:textId="77777777" w:rsidR="00FE4DBE" w:rsidRPr="006C3B26" w:rsidRDefault="00FE4DBE" w:rsidP="00FE4DBE">
      <w:pPr>
        <w:rPr>
          <w:rFonts w:asciiTheme="majorHAnsi" w:hAnsiTheme="majorHAnsi"/>
          <w:sz w:val="26"/>
          <w:szCs w:val="26"/>
        </w:rPr>
      </w:pPr>
      <w:r w:rsidRPr="006C3B26">
        <w:rPr>
          <w:rFonts w:asciiTheme="majorHAnsi" w:hAnsiTheme="majorHAnsi"/>
          <w:sz w:val="26"/>
          <w:szCs w:val="26"/>
        </w:rPr>
        <w:t>Rooney, J.J. and Heuvel, L.N. (2004) Root cause analysis for beginners. Quality Progress, 37(7),pp 45-53</w:t>
      </w:r>
    </w:p>
    <w:p w14:paraId="1427C47C" w14:textId="77777777" w:rsidR="00FE4DBE" w:rsidRPr="006C3B26" w:rsidRDefault="00FE4DBE" w:rsidP="00FE4DBE">
      <w:pPr>
        <w:rPr>
          <w:rFonts w:asciiTheme="majorHAnsi" w:hAnsiTheme="majorHAnsi"/>
          <w:sz w:val="26"/>
          <w:szCs w:val="26"/>
        </w:rPr>
      </w:pPr>
      <w:r w:rsidRPr="006C3B26">
        <w:rPr>
          <w:rFonts w:asciiTheme="majorHAnsi" w:hAnsiTheme="majorHAnsi"/>
          <w:sz w:val="26"/>
          <w:szCs w:val="26"/>
        </w:rPr>
        <w:t>Rousseau, D.M. (2012) Envisioning evidence-based management. Academy of Management Perspectives, 26(3),pp. 256-272</w:t>
      </w:r>
    </w:p>
    <w:p w14:paraId="54A98E94" w14:textId="77777777" w:rsidR="00FE4DBE" w:rsidRPr="006C3B26" w:rsidRDefault="00FE4DBE" w:rsidP="00FE4DBE">
      <w:pPr>
        <w:rPr>
          <w:rFonts w:asciiTheme="majorHAnsi" w:hAnsiTheme="majorHAnsi"/>
          <w:sz w:val="26"/>
          <w:szCs w:val="26"/>
        </w:rPr>
      </w:pPr>
      <w:r w:rsidRPr="006C3B26">
        <w:rPr>
          <w:rFonts w:asciiTheme="majorHAnsi" w:hAnsiTheme="majorHAnsi"/>
          <w:sz w:val="26"/>
          <w:szCs w:val="26"/>
        </w:rPr>
        <w:t xml:space="preserve">Salas, E., Tannenbaum, S.I., </w:t>
      </w:r>
      <w:proofErr w:type="spellStart"/>
      <w:r w:rsidRPr="006C3B26">
        <w:rPr>
          <w:rFonts w:asciiTheme="majorHAnsi" w:hAnsiTheme="majorHAnsi"/>
          <w:sz w:val="26"/>
          <w:szCs w:val="26"/>
        </w:rPr>
        <w:t>Kraiger</w:t>
      </w:r>
      <w:proofErr w:type="spellEnd"/>
      <w:r w:rsidRPr="006C3B26">
        <w:rPr>
          <w:rFonts w:asciiTheme="majorHAnsi" w:hAnsiTheme="majorHAnsi"/>
          <w:sz w:val="26"/>
          <w:szCs w:val="26"/>
        </w:rPr>
        <w:t>, K. and Smith-Jentsch, K.A. (2012) The science of training and development in organisations. Psychological Science in the Public Interest, 13(2),pp. 74-101.</w:t>
      </w:r>
    </w:p>
    <w:p w14:paraId="07CFB330" w14:textId="77777777" w:rsidR="00FE4DBE" w:rsidRPr="006C3B26" w:rsidRDefault="00FE4DBE" w:rsidP="00FE4DBE">
      <w:pPr>
        <w:rPr>
          <w:rFonts w:asciiTheme="majorHAnsi" w:hAnsiTheme="majorHAnsi"/>
          <w:sz w:val="26"/>
          <w:szCs w:val="26"/>
        </w:rPr>
      </w:pPr>
      <w:r w:rsidRPr="006C3B26">
        <w:rPr>
          <w:rFonts w:asciiTheme="majorHAnsi" w:hAnsiTheme="majorHAnsi"/>
          <w:sz w:val="26"/>
          <w:szCs w:val="26"/>
        </w:rPr>
        <w:t>Sandel, M.J. (2013) What money can’t buy: The moral limits of markets. London: Penguin Books.</w:t>
      </w:r>
    </w:p>
    <w:p w14:paraId="4619EFBC" w14:textId="77777777" w:rsidR="00FE4DBE" w:rsidRPr="006C3B26" w:rsidRDefault="00FE4DBE" w:rsidP="00FE4DBE">
      <w:pPr>
        <w:rPr>
          <w:rFonts w:asciiTheme="majorHAnsi" w:hAnsiTheme="majorHAnsi"/>
          <w:sz w:val="26"/>
          <w:szCs w:val="26"/>
        </w:rPr>
      </w:pPr>
      <w:r w:rsidRPr="006C3B26">
        <w:rPr>
          <w:rFonts w:asciiTheme="majorHAnsi" w:hAnsiTheme="majorHAnsi"/>
          <w:sz w:val="26"/>
          <w:szCs w:val="26"/>
        </w:rPr>
        <w:t>Velasquez M., Andre, C., Shanks, T. and Meyer, M.J. (2015) Thinking ethically: A framework for moral decision making. 4</w:t>
      </w:r>
      <w:r w:rsidRPr="006C3B26">
        <w:rPr>
          <w:rFonts w:asciiTheme="majorHAnsi" w:hAnsiTheme="majorHAnsi"/>
          <w:sz w:val="26"/>
          <w:szCs w:val="26"/>
          <w:vertAlign w:val="superscript"/>
        </w:rPr>
        <w:t>th</w:t>
      </w:r>
      <w:r w:rsidRPr="006C3B26">
        <w:rPr>
          <w:rFonts w:asciiTheme="majorHAnsi" w:hAnsiTheme="majorHAnsi"/>
          <w:sz w:val="26"/>
          <w:szCs w:val="26"/>
        </w:rPr>
        <w:t xml:space="preserve"> </w:t>
      </w:r>
      <w:proofErr w:type="spellStart"/>
      <w:r w:rsidRPr="006C3B26">
        <w:rPr>
          <w:rFonts w:asciiTheme="majorHAnsi" w:hAnsiTheme="majorHAnsi"/>
          <w:sz w:val="26"/>
          <w:szCs w:val="26"/>
        </w:rPr>
        <w:t>edn</w:t>
      </w:r>
      <w:proofErr w:type="spellEnd"/>
      <w:r w:rsidRPr="006C3B26">
        <w:rPr>
          <w:rFonts w:asciiTheme="majorHAnsi" w:hAnsiTheme="majorHAnsi"/>
          <w:sz w:val="26"/>
          <w:szCs w:val="26"/>
        </w:rPr>
        <w:t>. Santa Clara: Markkula Centre for Applied Ethics, Santa Clara University</w:t>
      </w:r>
    </w:p>
    <w:p w14:paraId="7081422D" w14:textId="77777777" w:rsidR="003753CD" w:rsidRPr="006C3B26" w:rsidRDefault="003753CD">
      <w:pPr>
        <w:rPr>
          <w:rFonts w:asciiTheme="majorHAnsi" w:hAnsiTheme="majorHAnsi"/>
          <w:sz w:val="26"/>
          <w:szCs w:val="26"/>
        </w:rPr>
      </w:pPr>
    </w:p>
    <w:p w14:paraId="60E3E8F4" w14:textId="77777777" w:rsidR="003753CD" w:rsidRPr="006C3B26" w:rsidRDefault="003753CD">
      <w:pPr>
        <w:rPr>
          <w:rFonts w:asciiTheme="majorHAnsi" w:hAnsiTheme="majorHAnsi"/>
          <w:sz w:val="26"/>
          <w:szCs w:val="26"/>
        </w:rPr>
      </w:pPr>
    </w:p>
    <w:p w14:paraId="2EC1F5D2" w14:textId="77777777" w:rsidR="003753CD" w:rsidRPr="006C3B26" w:rsidRDefault="003753CD">
      <w:pPr>
        <w:rPr>
          <w:rFonts w:asciiTheme="majorHAnsi" w:hAnsiTheme="majorHAnsi"/>
          <w:sz w:val="26"/>
          <w:szCs w:val="26"/>
        </w:rPr>
      </w:pPr>
    </w:p>
    <w:p w14:paraId="3F4024A8" w14:textId="77777777" w:rsidR="003753CD" w:rsidRDefault="003753CD">
      <w:pPr>
        <w:rPr>
          <w:rFonts w:asciiTheme="majorHAnsi" w:hAnsiTheme="majorHAnsi"/>
          <w:sz w:val="26"/>
          <w:szCs w:val="26"/>
        </w:rPr>
      </w:pPr>
    </w:p>
    <w:p w14:paraId="79C9C611" w14:textId="77777777" w:rsidR="006C3B26" w:rsidRPr="006C3B26" w:rsidRDefault="006C3B26">
      <w:pPr>
        <w:rPr>
          <w:rFonts w:asciiTheme="majorHAnsi" w:hAnsiTheme="majorHAnsi"/>
          <w:sz w:val="26"/>
          <w:szCs w:val="26"/>
        </w:rPr>
      </w:pPr>
    </w:p>
    <w:sectPr w:rsidR="006C3B26" w:rsidRPr="006C3B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3F59B8"/>
    <w:multiLevelType w:val="hybridMultilevel"/>
    <w:tmpl w:val="675007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002169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53CD"/>
    <w:rsid w:val="00011944"/>
    <w:rsid w:val="00094000"/>
    <w:rsid w:val="00115E0D"/>
    <w:rsid w:val="00126009"/>
    <w:rsid w:val="00141B4E"/>
    <w:rsid w:val="001E12CC"/>
    <w:rsid w:val="00226169"/>
    <w:rsid w:val="002B6BDA"/>
    <w:rsid w:val="00312969"/>
    <w:rsid w:val="00345F48"/>
    <w:rsid w:val="00346C03"/>
    <w:rsid w:val="00355DEF"/>
    <w:rsid w:val="003753CD"/>
    <w:rsid w:val="003D4CE9"/>
    <w:rsid w:val="00417B3A"/>
    <w:rsid w:val="00476593"/>
    <w:rsid w:val="004A47FB"/>
    <w:rsid w:val="004C1632"/>
    <w:rsid w:val="004D368A"/>
    <w:rsid w:val="004F1B77"/>
    <w:rsid w:val="00537ECE"/>
    <w:rsid w:val="005A7FC2"/>
    <w:rsid w:val="005D0289"/>
    <w:rsid w:val="006352B9"/>
    <w:rsid w:val="006B2059"/>
    <w:rsid w:val="006C3B26"/>
    <w:rsid w:val="006D4B97"/>
    <w:rsid w:val="00722F0E"/>
    <w:rsid w:val="007323FD"/>
    <w:rsid w:val="00802A3D"/>
    <w:rsid w:val="00820C65"/>
    <w:rsid w:val="008B0E6F"/>
    <w:rsid w:val="008E2EFF"/>
    <w:rsid w:val="00900375"/>
    <w:rsid w:val="00904221"/>
    <w:rsid w:val="00953DF5"/>
    <w:rsid w:val="009E79D3"/>
    <w:rsid w:val="009F1D95"/>
    <w:rsid w:val="009F6561"/>
    <w:rsid w:val="00A70D5A"/>
    <w:rsid w:val="00B15923"/>
    <w:rsid w:val="00B74DDB"/>
    <w:rsid w:val="00B85C2C"/>
    <w:rsid w:val="00B87A4E"/>
    <w:rsid w:val="00B9647C"/>
    <w:rsid w:val="00C720F5"/>
    <w:rsid w:val="00C84057"/>
    <w:rsid w:val="00D6151D"/>
    <w:rsid w:val="00D80EFC"/>
    <w:rsid w:val="00DC1CA7"/>
    <w:rsid w:val="00DC58EA"/>
    <w:rsid w:val="00EB161A"/>
    <w:rsid w:val="00EE64E7"/>
    <w:rsid w:val="00F16C4E"/>
    <w:rsid w:val="00F66D10"/>
    <w:rsid w:val="00FB676E"/>
    <w:rsid w:val="00FE4833"/>
    <w:rsid w:val="00FE4D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462699"/>
  <w15:chartTrackingRefBased/>
  <w15:docId w15:val="{E47893D1-A6C0-C444-ADE7-B2A8902659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53C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753C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753C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753C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753C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753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53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53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53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53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753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753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753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753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753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53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53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53CD"/>
    <w:rPr>
      <w:rFonts w:eastAsiaTheme="majorEastAsia" w:cstheme="majorBidi"/>
      <w:color w:val="272727" w:themeColor="text1" w:themeTint="D8"/>
    </w:rPr>
  </w:style>
  <w:style w:type="paragraph" w:styleId="Title">
    <w:name w:val="Title"/>
    <w:basedOn w:val="Normal"/>
    <w:next w:val="Normal"/>
    <w:link w:val="TitleChar"/>
    <w:uiPriority w:val="10"/>
    <w:qFormat/>
    <w:rsid w:val="003753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53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53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53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53CD"/>
    <w:pPr>
      <w:spacing w:before="160"/>
      <w:jc w:val="center"/>
    </w:pPr>
    <w:rPr>
      <w:i/>
      <w:iCs/>
      <w:color w:val="404040" w:themeColor="text1" w:themeTint="BF"/>
    </w:rPr>
  </w:style>
  <w:style w:type="character" w:customStyle="1" w:styleId="QuoteChar">
    <w:name w:val="Quote Char"/>
    <w:basedOn w:val="DefaultParagraphFont"/>
    <w:link w:val="Quote"/>
    <w:uiPriority w:val="29"/>
    <w:rsid w:val="003753CD"/>
    <w:rPr>
      <w:i/>
      <w:iCs/>
      <w:color w:val="404040" w:themeColor="text1" w:themeTint="BF"/>
    </w:rPr>
  </w:style>
  <w:style w:type="paragraph" w:styleId="ListParagraph">
    <w:name w:val="List Paragraph"/>
    <w:basedOn w:val="Normal"/>
    <w:uiPriority w:val="34"/>
    <w:qFormat/>
    <w:rsid w:val="003753CD"/>
    <w:pPr>
      <w:ind w:left="720"/>
      <w:contextualSpacing/>
    </w:pPr>
  </w:style>
  <w:style w:type="character" w:styleId="IntenseEmphasis">
    <w:name w:val="Intense Emphasis"/>
    <w:basedOn w:val="DefaultParagraphFont"/>
    <w:uiPriority w:val="21"/>
    <w:qFormat/>
    <w:rsid w:val="003753CD"/>
    <w:rPr>
      <w:i/>
      <w:iCs/>
      <w:color w:val="0F4761" w:themeColor="accent1" w:themeShade="BF"/>
    </w:rPr>
  </w:style>
  <w:style w:type="paragraph" w:styleId="IntenseQuote">
    <w:name w:val="Intense Quote"/>
    <w:basedOn w:val="Normal"/>
    <w:next w:val="Normal"/>
    <w:link w:val="IntenseQuoteChar"/>
    <w:uiPriority w:val="30"/>
    <w:qFormat/>
    <w:rsid w:val="003753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753CD"/>
    <w:rPr>
      <w:i/>
      <w:iCs/>
      <w:color w:val="0F4761" w:themeColor="accent1" w:themeShade="BF"/>
    </w:rPr>
  </w:style>
  <w:style w:type="character" w:styleId="IntenseReference">
    <w:name w:val="Intense Reference"/>
    <w:basedOn w:val="DefaultParagraphFont"/>
    <w:uiPriority w:val="32"/>
    <w:qFormat/>
    <w:rsid w:val="003753CD"/>
    <w:rPr>
      <w:b/>
      <w:bCs/>
      <w:smallCaps/>
      <w:color w:val="0F4761" w:themeColor="accent1" w:themeShade="BF"/>
      <w:spacing w:val="5"/>
    </w:rPr>
  </w:style>
  <w:style w:type="paragraph" w:styleId="NormalWeb">
    <w:name w:val="Normal (Web)"/>
    <w:basedOn w:val="Normal"/>
    <w:uiPriority w:val="99"/>
    <w:unhideWhenUsed/>
    <w:rsid w:val="00D80EFC"/>
    <w:pPr>
      <w:spacing w:before="100" w:beforeAutospacing="1" w:after="100" w:afterAutospacing="1" w:line="240" w:lineRule="auto"/>
    </w:pPr>
    <w:rPr>
      <w:rFonts w:ascii="Aptos" w:hAnsi="Aptos" w:cs="Aptos"/>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microsoft.com/office/2014/relationships/chartEx" Target="charts/chartEx1.xml"/><Relationship Id="rId5" Type="http://schemas.openxmlformats.org/officeDocument/2006/relationships/styles" Target="styles.xml"/><Relationship Id="rId10" Type="http://schemas.openxmlformats.org/officeDocument/2006/relationships/chart" Target="charts/chart2.xml"/><Relationship Id="rId4" Type="http://schemas.openxmlformats.org/officeDocument/2006/relationships/numbering" Target="numbering.xml"/><Relationship Id="rId9" Type="http://schemas.openxmlformats.org/officeDocument/2006/relationships/chart" Target="charts/chart1.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Ex1.xml.rels><?xml version="1.0" encoding="UTF-8" standalone="yes"?>
<Relationships xmlns="http://schemas.openxmlformats.org/package/2006/relationships"><Relationship Id="rId3" Type="http://schemas.microsoft.com/office/2011/relationships/chartColorStyle" Target="colors3.xml"/><Relationship Id="rId2" Type="http://schemas.microsoft.com/office/2011/relationships/chartStyle" Target="style3.xml"/><Relationship Id="rId1" Type="http://schemas.openxmlformats.org/officeDocument/2006/relationships/oleObject" Target="https://orbiseducationcare-my.sharepoint.com/personal/jemma_scharf_orbis-group_co_uk/Documents/Microsoft%20Copilot%20Chat%20Files/Worksheet%20in%20June%202025%20-%205CO02%20Evidence-based%20practice%202.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GB" sz="1600"/>
              <a:t>tURNOVER</a:t>
            </a:r>
            <a:r>
              <a:rPr lang="en-GB" sz="1600" baseline="0"/>
              <a:t> AND RECRUITMENT TAKE UP FOR TECHNIVARA 2024</a:t>
            </a:r>
            <a:endParaRPr lang="en-GB" sz="1600"/>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GB"/>
        </a:p>
      </c:txPr>
    </c:title>
    <c:autoTitleDeleted val="0"/>
    <c:plotArea>
      <c:layout/>
      <c:barChart>
        <c:barDir val="col"/>
        <c:grouping val="clustered"/>
        <c:varyColors val="0"/>
        <c:ser>
          <c:idx val="0"/>
          <c:order val="0"/>
          <c:tx>
            <c:strRef>
              <c:f>Sheet1!$K$4</c:f>
              <c:strCache>
                <c:ptCount val="1"/>
                <c:pt idx="0">
                  <c:v>Total in Department 2024</c:v>
                </c:pt>
              </c:strCache>
            </c:strRef>
          </c:tx>
          <c:spPr>
            <a:pattFill prst="narHorz">
              <a:fgClr>
                <a:schemeClr val="accent1"/>
              </a:fgClr>
              <a:bgClr>
                <a:schemeClr val="accent1">
                  <a:lumMod val="20000"/>
                  <a:lumOff val="80000"/>
                </a:schemeClr>
              </a:bgClr>
            </a:pattFill>
            <a:ln>
              <a:noFill/>
            </a:ln>
            <a:effectLst>
              <a:innerShdw blurRad="114300">
                <a:schemeClr val="accent1"/>
              </a:innerShdw>
            </a:effectLst>
          </c:spPr>
          <c:invertIfNegative val="0"/>
          <c:cat>
            <c:strRef>
              <c:f>Sheet1!$L$3:$U$3</c:f>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strRef>
          </c:cat>
          <c:val>
            <c:numRef>
              <c:f>Sheet1!$L$4:$U$4</c:f>
              <c:numCache>
                <c:formatCode>General</c:formatCode>
                <c:ptCount val="10"/>
                <c:pt idx="0">
                  <c:v>26</c:v>
                </c:pt>
                <c:pt idx="1">
                  <c:v>15</c:v>
                </c:pt>
                <c:pt idx="2">
                  <c:v>8</c:v>
                </c:pt>
                <c:pt idx="3">
                  <c:v>4</c:v>
                </c:pt>
                <c:pt idx="4">
                  <c:v>15</c:v>
                </c:pt>
                <c:pt idx="5">
                  <c:v>35</c:v>
                </c:pt>
                <c:pt idx="6">
                  <c:v>6</c:v>
                </c:pt>
                <c:pt idx="7">
                  <c:v>12</c:v>
                </c:pt>
                <c:pt idx="8">
                  <c:v>4</c:v>
                </c:pt>
                <c:pt idx="9">
                  <c:v>12</c:v>
                </c:pt>
              </c:numCache>
            </c:numRef>
          </c:val>
          <c:extLst>
            <c:ext xmlns:c16="http://schemas.microsoft.com/office/drawing/2014/chart" uri="{C3380CC4-5D6E-409C-BE32-E72D297353CC}">
              <c16:uniqueId val="{00000000-4ED8-45A3-889C-14082DE9F535}"/>
            </c:ext>
          </c:extLst>
        </c:ser>
        <c:ser>
          <c:idx val="1"/>
          <c:order val="1"/>
          <c:tx>
            <c:strRef>
              <c:f>Sheet1!$K$5</c:f>
              <c:strCache>
                <c:ptCount val="1"/>
                <c:pt idx="0">
                  <c:v>Leavers for 2024</c:v>
                </c:pt>
              </c:strCache>
            </c:strRef>
          </c:tx>
          <c:spPr>
            <a:pattFill prst="narHorz">
              <a:fgClr>
                <a:schemeClr val="accent2"/>
              </a:fgClr>
              <a:bgClr>
                <a:schemeClr val="accent2">
                  <a:lumMod val="20000"/>
                  <a:lumOff val="80000"/>
                </a:schemeClr>
              </a:bgClr>
            </a:pattFill>
            <a:ln>
              <a:noFill/>
            </a:ln>
            <a:effectLst>
              <a:innerShdw blurRad="114300">
                <a:schemeClr val="accent2"/>
              </a:innerShdw>
            </a:effectLst>
          </c:spPr>
          <c:invertIfNegative val="0"/>
          <c:cat>
            <c:strRef>
              <c:f>Sheet1!$L$3:$U$3</c:f>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strRef>
          </c:cat>
          <c:val>
            <c:numRef>
              <c:f>Sheet1!$L$5:$U$5</c:f>
              <c:numCache>
                <c:formatCode>General</c:formatCode>
                <c:ptCount val="10"/>
                <c:pt idx="0">
                  <c:v>6</c:v>
                </c:pt>
                <c:pt idx="1">
                  <c:v>4</c:v>
                </c:pt>
                <c:pt idx="2">
                  <c:v>1</c:v>
                </c:pt>
                <c:pt idx="3">
                  <c:v>2</c:v>
                </c:pt>
                <c:pt idx="4">
                  <c:v>4</c:v>
                </c:pt>
                <c:pt idx="5">
                  <c:v>8</c:v>
                </c:pt>
                <c:pt idx="6">
                  <c:v>3</c:v>
                </c:pt>
                <c:pt idx="7">
                  <c:v>4</c:v>
                </c:pt>
                <c:pt idx="8">
                  <c:v>1</c:v>
                </c:pt>
                <c:pt idx="9">
                  <c:v>3</c:v>
                </c:pt>
              </c:numCache>
            </c:numRef>
          </c:val>
          <c:extLst>
            <c:ext xmlns:c16="http://schemas.microsoft.com/office/drawing/2014/chart" uri="{C3380CC4-5D6E-409C-BE32-E72D297353CC}">
              <c16:uniqueId val="{00000001-4ED8-45A3-889C-14082DE9F535}"/>
            </c:ext>
          </c:extLst>
        </c:ser>
        <c:ser>
          <c:idx val="2"/>
          <c:order val="2"/>
          <c:tx>
            <c:strRef>
              <c:f>Sheet1!$K$6</c:f>
              <c:strCache>
                <c:ptCount val="1"/>
                <c:pt idx="0">
                  <c:v>Leavers as a % against total in each Department</c:v>
                </c:pt>
              </c:strCache>
            </c:strRef>
          </c:tx>
          <c:spPr>
            <a:pattFill prst="narHorz">
              <a:fgClr>
                <a:schemeClr val="accent3"/>
              </a:fgClr>
              <a:bgClr>
                <a:schemeClr val="accent3">
                  <a:lumMod val="20000"/>
                  <a:lumOff val="80000"/>
                </a:schemeClr>
              </a:bgClr>
            </a:pattFill>
            <a:ln>
              <a:noFill/>
            </a:ln>
            <a:effectLst>
              <a:innerShdw blurRad="114300">
                <a:schemeClr val="accent3"/>
              </a:innerShdw>
            </a:effectLst>
          </c:spPr>
          <c:invertIfNegative val="0"/>
          <c:cat>
            <c:strRef>
              <c:f>Sheet1!$L$3:$U$3</c:f>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strRef>
          </c:cat>
          <c:val>
            <c:numRef>
              <c:f>Sheet1!$L$6:$U$6</c:f>
              <c:numCache>
                <c:formatCode>0.0%</c:formatCode>
                <c:ptCount val="10"/>
                <c:pt idx="0">
                  <c:v>0.23069999999999999</c:v>
                </c:pt>
                <c:pt idx="1">
                  <c:v>0.26600000000000001</c:v>
                </c:pt>
                <c:pt idx="2">
                  <c:v>0.125</c:v>
                </c:pt>
                <c:pt idx="3">
                  <c:v>0.5</c:v>
                </c:pt>
                <c:pt idx="4">
                  <c:v>0.26600000000000001</c:v>
                </c:pt>
                <c:pt idx="5" formatCode="0.00%">
                  <c:v>0.22850000000000001</c:v>
                </c:pt>
                <c:pt idx="6">
                  <c:v>0.5</c:v>
                </c:pt>
                <c:pt idx="7">
                  <c:v>0.33300000000000002</c:v>
                </c:pt>
                <c:pt idx="8">
                  <c:v>0.25</c:v>
                </c:pt>
                <c:pt idx="9">
                  <c:v>0.25</c:v>
                </c:pt>
              </c:numCache>
            </c:numRef>
          </c:val>
          <c:extLst>
            <c:ext xmlns:c16="http://schemas.microsoft.com/office/drawing/2014/chart" uri="{C3380CC4-5D6E-409C-BE32-E72D297353CC}">
              <c16:uniqueId val="{00000002-4ED8-45A3-889C-14082DE9F535}"/>
            </c:ext>
          </c:extLst>
        </c:ser>
        <c:ser>
          <c:idx val="3"/>
          <c:order val="3"/>
          <c:tx>
            <c:strRef>
              <c:f>Sheet1!$K$7</c:f>
              <c:strCache>
                <c:ptCount val="1"/>
                <c:pt idx="0">
                  <c:v>Positions vacant </c:v>
                </c:pt>
              </c:strCache>
            </c:strRef>
          </c:tx>
          <c:spPr>
            <a:pattFill prst="narHorz">
              <a:fgClr>
                <a:schemeClr val="accent4"/>
              </a:fgClr>
              <a:bgClr>
                <a:schemeClr val="accent4">
                  <a:lumMod val="20000"/>
                  <a:lumOff val="80000"/>
                </a:schemeClr>
              </a:bgClr>
            </a:pattFill>
            <a:ln>
              <a:noFill/>
            </a:ln>
            <a:effectLst>
              <a:innerShdw blurRad="114300">
                <a:schemeClr val="accent4"/>
              </a:innerShdw>
            </a:effectLst>
          </c:spPr>
          <c:invertIfNegative val="0"/>
          <c:cat>
            <c:strRef>
              <c:f>Sheet1!$L$3:$U$3</c:f>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strRef>
          </c:cat>
          <c:val>
            <c:numRef>
              <c:f>Sheet1!$L$7:$U$7</c:f>
              <c:numCache>
                <c:formatCode>General</c:formatCode>
                <c:ptCount val="10"/>
                <c:pt idx="0">
                  <c:v>8</c:v>
                </c:pt>
                <c:pt idx="1">
                  <c:v>5</c:v>
                </c:pt>
                <c:pt idx="2">
                  <c:v>4</c:v>
                </c:pt>
                <c:pt idx="3">
                  <c:v>3</c:v>
                </c:pt>
                <c:pt idx="4">
                  <c:v>6</c:v>
                </c:pt>
                <c:pt idx="5">
                  <c:v>8</c:v>
                </c:pt>
                <c:pt idx="6">
                  <c:v>5</c:v>
                </c:pt>
                <c:pt idx="7">
                  <c:v>3</c:v>
                </c:pt>
                <c:pt idx="8">
                  <c:v>1</c:v>
                </c:pt>
                <c:pt idx="9">
                  <c:v>5</c:v>
                </c:pt>
              </c:numCache>
            </c:numRef>
          </c:val>
          <c:extLst>
            <c:ext xmlns:c16="http://schemas.microsoft.com/office/drawing/2014/chart" uri="{C3380CC4-5D6E-409C-BE32-E72D297353CC}">
              <c16:uniqueId val="{00000003-4ED8-45A3-889C-14082DE9F535}"/>
            </c:ext>
          </c:extLst>
        </c:ser>
        <c:ser>
          <c:idx val="4"/>
          <c:order val="4"/>
          <c:tx>
            <c:strRef>
              <c:f>Sheet1!$K$8</c:f>
              <c:strCache>
                <c:ptCount val="1"/>
                <c:pt idx="0">
                  <c:v>Vacancies as a % against total in each Department</c:v>
                </c:pt>
              </c:strCache>
            </c:strRef>
          </c:tx>
          <c:spPr>
            <a:pattFill prst="narHorz">
              <a:fgClr>
                <a:schemeClr val="accent5"/>
              </a:fgClr>
              <a:bgClr>
                <a:schemeClr val="accent5">
                  <a:lumMod val="20000"/>
                  <a:lumOff val="80000"/>
                </a:schemeClr>
              </a:bgClr>
            </a:pattFill>
            <a:ln>
              <a:noFill/>
            </a:ln>
            <a:effectLst>
              <a:innerShdw blurRad="114300">
                <a:schemeClr val="accent5"/>
              </a:innerShdw>
            </a:effectLst>
          </c:spPr>
          <c:invertIfNegative val="0"/>
          <c:cat>
            <c:strRef>
              <c:f>Sheet1!$L$3:$U$3</c:f>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strRef>
          </c:cat>
          <c:val>
            <c:numRef>
              <c:f>Sheet1!$L$8:$U$8</c:f>
              <c:numCache>
                <c:formatCode>0.00%</c:formatCode>
                <c:ptCount val="10"/>
                <c:pt idx="0">
                  <c:v>0.30759999999999998</c:v>
                </c:pt>
                <c:pt idx="1">
                  <c:v>0.33329999999999999</c:v>
                </c:pt>
                <c:pt idx="2">
                  <c:v>0.5</c:v>
                </c:pt>
                <c:pt idx="3">
                  <c:v>0.75</c:v>
                </c:pt>
                <c:pt idx="4">
                  <c:v>0.4</c:v>
                </c:pt>
                <c:pt idx="5">
                  <c:v>0.22850000000000001</c:v>
                </c:pt>
                <c:pt idx="6">
                  <c:v>0.83330000000000004</c:v>
                </c:pt>
                <c:pt idx="7">
                  <c:v>0.25</c:v>
                </c:pt>
                <c:pt idx="8">
                  <c:v>0.25</c:v>
                </c:pt>
                <c:pt idx="9">
                  <c:v>0.41660000000000003</c:v>
                </c:pt>
              </c:numCache>
            </c:numRef>
          </c:val>
          <c:extLst>
            <c:ext xmlns:c16="http://schemas.microsoft.com/office/drawing/2014/chart" uri="{C3380CC4-5D6E-409C-BE32-E72D297353CC}">
              <c16:uniqueId val="{00000004-4ED8-45A3-889C-14082DE9F535}"/>
            </c:ext>
          </c:extLst>
        </c:ser>
        <c:ser>
          <c:idx val="5"/>
          <c:order val="5"/>
          <c:tx>
            <c:strRef>
              <c:f>Sheet1!$K$9</c:f>
              <c:strCache>
                <c:ptCount val="1"/>
                <c:pt idx="0">
                  <c:v>Positions filled </c:v>
                </c:pt>
              </c:strCache>
            </c:strRef>
          </c:tx>
          <c:spPr>
            <a:pattFill prst="narHorz">
              <a:fgClr>
                <a:schemeClr val="accent6"/>
              </a:fgClr>
              <a:bgClr>
                <a:schemeClr val="accent6">
                  <a:lumMod val="20000"/>
                  <a:lumOff val="80000"/>
                </a:schemeClr>
              </a:bgClr>
            </a:pattFill>
            <a:ln>
              <a:noFill/>
            </a:ln>
            <a:effectLst>
              <a:innerShdw blurRad="114300">
                <a:schemeClr val="accent6"/>
              </a:innerShdw>
            </a:effectLst>
          </c:spPr>
          <c:invertIfNegative val="0"/>
          <c:cat>
            <c:strRef>
              <c:f>Sheet1!$L$3:$U$3</c:f>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strRef>
          </c:cat>
          <c:val>
            <c:numRef>
              <c:f>Sheet1!$L$9:$U$9</c:f>
              <c:numCache>
                <c:formatCode>General</c:formatCode>
                <c:ptCount val="10"/>
                <c:pt idx="0">
                  <c:v>9</c:v>
                </c:pt>
                <c:pt idx="1">
                  <c:v>5</c:v>
                </c:pt>
                <c:pt idx="2">
                  <c:v>4</c:v>
                </c:pt>
                <c:pt idx="3">
                  <c:v>3</c:v>
                </c:pt>
                <c:pt idx="4">
                  <c:v>6</c:v>
                </c:pt>
                <c:pt idx="5">
                  <c:v>3</c:v>
                </c:pt>
                <c:pt idx="6">
                  <c:v>2</c:v>
                </c:pt>
                <c:pt idx="7">
                  <c:v>3</c:v>
                </c:pt>
                <c:pt idx="8">
                  <c:v>1</c:v>
                </c:pt>
                <c:pt idx="9">
                  <c:v>2</c:v>
                </c:pt>
              </c:numCache>
            </c:numRef>
          </c:val>
          <c:extLst>
            <c:ext xmlns:c16="http://schemas.microsoft.com/office/drawing/2014/chart" uri="{C3380CC4-5D6E-409C-BE32-E72D297353CC}">
              <c16:uniqueId val="{00000005-4ED8-45A3-889C-14082DE9F535}"/>
            </c:ext>
          </c:extLst>
        </c:ser>
        <c:dLbls>
          <c:showLegendKey val="0"/>
          <c:showVal val="0"/>
          <c:showCatName val="0"/>
          <c:showSerName val="0"/>
          <c:showPercent val="0"/>
          <c:showBubbleSize val="0"/>
        </c:dLbls>
        <c:gapWidth val="247"/>
        <c:overlap val="-27"/>
        <c:axId val="1544740927"/>
        <c:axId val="1544739967"/>
      </c:barChart>
      <c:lineChart>
        <c:grouping val="standard"/>
        <c:varyColors val="0"/>
        <c:ser>
          <c:idx val="6"/>
          <c:order val="6"/>
          <c:tx>
            <c:strRef>
              <c:f>Sheet1!$K$10</c:f>
              <c:strCache>
                <c:ptCount val="1"/>
                <c:pt idx="0">
                  <c:v>Positions filled as a % of total in each Department</c:v>
                </c:pt>
              </c:strCache>
            </c:strRef>
          </c:tx>
          <c:spPr>
            <a:ln w="28575" cap="rnd">
              <a:solidFill>
                <a:schemeClr val="accent1">
                  <a:lumMod val="60000"/>
                </a:schemeClr>
              </a:solidFill>
              <a:round/>
            </a:ln>
            <a:effectLst/>
          </c:spPr>
          <c:marker>
            <c:symbol val="none"/>
          </c:marker>
          <c:cat>
            <c:strRef>
              <c:f>Sheet1!$L$3:$U$3</c:f>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strRef>
          </c:cat>
          <c:val>
            <c:numRef>
              <c:f>Sheet1!$L$10:$U$10</c:f>
              <c:numCache>
                <c:formatCode>0.00%</c:formatCode>
                <c:ptCount val="10"/>
                <c:pt idx="0">
                  <c:v>0.1153</c:v>
                </c:pt>
                <c:pt idx="1">
                  <c:v>0.33329999999999999</c:v>
                </c:pt>
                <c:pt idx="2">
                  <c:v>0.5</c:v>
                </c:pt>
                <c:pt idx="3">
                  <c:v>0.75</c:v>
                </c:pt>
                <c:pt idx="4">
                  <c:v>0.4</c:v>
                </c:pt>
                <c:pt idx="5">
                  <c:v>8.5099999999999995E-2</c:v>
                </c:pt>
                <c:pt idx="6">
                  <c:v>0.33329999999999999</c:v>
                </c:pt>
                <c:pt idx="7">
                  <c:v>0.25</c:v>
                </c:pt>
                <c:pt idx="8">
                  <c:v>0.25</c:v>
                </c:pt>
                <c:pt idx="9">
                  <c:v>0.1666</c:v>
                </c:pt>
              </c:numCache>
            </c:numRef>
          </c:val>
          <c:smooth val="0"/>
          <c:extLst>
            <c:ext xmlns:c16="http://schemas.microsoft.com/office/drawing/2014/chart" uri="{C3380CC4-5D6E-409C-BE32-E72D297353CC}">
              <c16:uniqueId val="{00000006-4ED8-45A3-889C-14082DE9F535}"/>
            </c:ext>
          </c:extLst>
        </c:ser>
        <c:dLbls>
          <c:showLegendKey val="0"/>
          <c:showVal val="0"/>
          <c:showCatName val="0"/>
          <c:showSerName val="0"/>
          <c:showPercent val="0"/>
          <c:showBubbleSize val="0"/>
        </c:dLbls>
        <c:marker val="1"/>
        <c:smooth val="0"/>
        <c:axId val="1544746687"/>
        <c:axId val="1544750047"/>
      </c:lineChart>
      <c:catAx>
        <c:axId val="1544740927"/>
        <c:scaling>
          <c:orientation val="minMax"/>
        </c:scaling>
        <c:delete val="0"/>
        <c:axPos val="b"/>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4739967"/>
        <c:crosses val="autoZero"/>
        <c:auto val="1"/>
        <c:lblAlgn val="ctr"/>
        <c:lblOffset val="100"/>
        <c:noMultiLvlLbl val="0"/>
      </c:catAx>
      <c:valAx>
        <c:axId val="1544739967"/>
        <c:scaling>
          <c:orientation val="minMax"/>
        </c:scaling>
        <c:delete val="0"/>
        <c:axPos val="l"/>
        <c:majorGridlines>
          <c:spPr>
            <a:ln>
              <a:solidFill>
                <a:schemeClr val="tx1">
                  <a:lumMod val="15000"/>
                  <a:lumOff val="85000"/>
                </a:schemeClr>
              </a:solidFill>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4740927"/>
        <c:crosses val="autoZero"/>
        <c:crossBetween val="between"/>
      </c:valAx>
      <c:valAx>
        <c:axId val="1544750047"/>
        <c:scaling>
          <c:orientation val="minMax"/>
        </c:scaling>
        <c:delete val="0"/>
        <c:axPos val="r"/>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4746687"/>
        <c:crosses val="max"/>
        <c:crossBetween val="between"/>
      </c:valAx>
      <c:catAx>
        <c:axId val="1544746687"/>
        <c:scaling>
          <c:orientation val="minMax"/>
        </c:scaling>
        <c:delete val="1"/>
        <c:axPos val="b"/>
        <c:numFmt formatCode="General" sourceLinked="1"/>
        <c:majorTickMark val="none"/>
        <c:minorTickMark val="none"/>
        <c:tickLblPos val="nextTo"/>
        <c:crossAx val="1544750047"/>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plotArea>
      <c:layout/>
      <c:pieChart>
        <c:varyColors val="1"/>
        <c:ser>
          <c:idx val="0"/>
          <c:order val="0"/>
          <c:tx>
            <c:strRef>
              <c:f>Sheet1!$L$2:$L$3</c:f>
              <c:strCache>
                <c:ptCount val="2"/>
                <c:pt idx="0">
                  <c:v>Turnover and recruitment take up for Technivara 2024</c:v>
                </c:pt>
                <c:pt idx="1">
                  <c:v>Audio technical Department</c:v>
                </c:pt>
              </c:strCache>
            </c:strRef>
          </c:tx>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01-F5F9-43E5-A47A-8B326FD5CEFA}"/>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03-F5F9-43E5-A47A-8B326FD5CEFA}"/>
              </c:ext>
            </c:extLst>
          </c:dPt>
          <c:dPt>
            <c:idx val="2"/>
            <c:bubble3D val="0"/>
            <c:spPr>
              <a:gradFill>
                <a:gsLst>
                  <a:gs pos="100000">
                    <a:schemeClr val="accent3">
                      <a:lumMod val="60000"/>
                      <a:lumOff val="40000"/>
                    </a:schemeClr>
                  </a:gs>
                  <a:gs pos="0">
                    <a:schemeClr val="accent3"/>
                  </a:gs>
                </a:gsLst>
                <a:lin ang="5400000" scaled="0"/>
              </a:gradFill>
              <a:ln w="19050">
                <a:solidFill>
                  <a:schemeClr val="lt1"/>
                </a:solidFill>
              </a:ln>
              <a:effectLst/>
            </c:spPr>
            <c:extLst>
              <c:ext xmlns:c16="http://schemas.microsoft.com/office/drawing/2014/chart" uri="{C3380CC4-5D6E-409C-BE32-E72D297353CC}">
                <c16:uniqueId val="{00000005-F5F9-43E5-A47A-8B326FD5CEFA}"/>
              </c:ext>
            </c:extLst>
          </c:dPt>
          <c:dPt>
            <c:idx val="3"/>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7-F5F9-43E5-A47A-8B326FD5CEFA}"/>
              </c:ext>
            </c:extLst>
          </c:dPt>
          <c:dPt>
            <c:idx val="4"/>
            <c:bubble3D val="0"/>
            <c:spPr>
              <a:gradFill>
                <a:gsLst>
                  <a:gs pos="100000">
                    <a:schemeClr val="accent5">
                      <a:lumMod val="60000"/>
                      <a:lumOff val="40000"/>
                    </a:schemeClr>
                  </a:gs>
                  <a:gs pos="0">
                    <a:schemeClr val="accent5"/>
                  </a:gs>
                </a:gsLst>
                <a:lin ang="5400000" scaled="0"/>
              </a:gradFill>
              <a:ln w="19050">
                <a:solidFill>
                  <a:schemeClr val="lt1"/>
                </a:solidFill>
              </a:ln>
              <a:effectLst/>
            </c:spPr>
            <c:extLst>
              <c:ext xmlns:c16="http://schemas.microsoft.com/office/drawing/2014/chart" uri="{C3380CC4-5D6E-409C-BE32-E72D297353CC}">
                <c16:uniqueId val="{00000009-F5F9-43E5-A47A-8B326FD5CEFA}"/>
              </c:ext>
            </c:extLst>
          </c:dPt>
          <c:dPt>
            <c:idx val="5"/>
            <c:bubble3D val="0"/>
            <c:spPr>
              <a:gradFill>
                <a:gsLst>
                  <a:gs pos="100000">
                    <a:schemeClr val="accent6">
                      <a:lumMod val="60000"/>
                      <a:lumOff val="40000"/>
                    </a:schemeClr>
                  </a:gs>
                  <a:gs pos="0">
                    <a:schemeClr val="accent6"/>
                  </a:gs>
                </a:gsLst>
                <a:lin ang="5400000" scaled="0"/>
              </a:gradFill>
              <a:ln w="19050">
                <a:solidFill>
                  <a:schemeClr val="lt1"/>
                </a:solidFill>
              </a:ln>
              <a:effectLst/>
            </c:spPr>
            <c:extLst>
              <c:ext xmlns:c16="http://schemas.microsoft.com/office/drawing/2014/chart" uri="{C3380CC4-5D6E-409C-BE32-E72D297353CC}">
                <c16:uniqueId val="{0000000B-F5F9-43E5-A47A-8B326FD5CEFA}"/>
              </c:ext>
            </c:extLst>
          </c:dPt>
          <c:dPt>
            <c:idx val="6"/>
            <c:bubble3D val="0"/>
            <c:spPr>
              <a:gradFill>
                <a:gsLst>
                  <a:gs pos="100000">
                    <a:schemeClr val="accent1">
                      <a:lumMod val="60000"/>
                      <a:lumMod val="60000"/>
                      <a:lumOff val="40000"/>
                    </a:schemeClr>
                  </a:gs>
                  <a:gs pos="0">
                    <a:schemeClr val="accent1">
                      <a:lumMod val="60000"/>
                    </a:schemeClr>
                  </a:gs>
                </a:gsLst>
                <a:lin ang="5400000" scaled="0"/>
              </a:gradFill>
              <a:ln w="19050">
                <a:solidFill>
                  <a:schemeClr val="lt1"/>
                </a:solidFill>
              </a:ln>
              <a:effectLst/>
            </c:spPr>
            <c:extLst>
              <c:ext xmlns:c16="http://schemas.microsoft.com/office/drawing/2014/chart" uri="{C3380CC4-5D6E-409C-BE32-E72D297353CC}">
                <c16:uniqueId val="{0000000D-F5F9-43E5-A47A-8B326FD5CEFA}"/>
              </c:ext>
            </c:extLst>
          </c:dPt>
          <c:dLbls>
            <c:dLbl>
              <c:idx val="0"/>
              <c:layout>
                <c:manualLayout>
                  <c:x val="-0.2271272963462885"/>
                  <c:y val="-4.244576113618799E-2"/>
                </c:manualLayout>
              </c:layout>
              <c:spPr>
                <a:noFill/>
                <a:ln>
                  <a:noFill/>
                </a:ln>
                <a:effectLst/>
              </c:spPr>
              <c:txPr>
                <a:bodyPr rot="0" spcFirstLastPara="1" vertOverflow="ellipsis" vert="horz" wrap="square" lIns="38100" tIns="19050" rIns="38100" bIns="19050" anchor="ctr" anchorCtr="1">
                  <a:noAutofit/>
                </a:bodyPr>
                <a:lstStyle/>
                <a:p>
                  <a:pPr>
                    <a:defRPr sz="900" b="1" i="0" u="none" strike="noStrike" kern="1200" baseline="0">
                      <a:solidFill>
                        <a:schemeClr val="dk1">
                          <a:lumMod val="75000"/>
                          <a:lumOff val="25000"/>
                        </a:schemeClr>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layout>
                    <c:manualLayout>
                      <c:w val="0.14354416181694674"/>
                      <c:h val="0.1844599331435362"/>
                    </c:manualLayout>
                  </c15:layout>
                </c:ext>
                <c:ext xmlns:c16="http://schemas.microsoft.com/office/drawing/2014/chart" uri="{C3380CC4-5D6E-409C-BE32-E72D297353CC}">
                  <c16:uniqueId val="{00000001-F5F9-43E5-A47A-8B326FD5CEFA}"/>
                </c:ext>
              </c:extLst>
            </c:dLbl>
            <c:dLbl>
              <c:idx val="1"/>
              <c:layout>
                <c:manualLayout>
                  <c:x val="0.11600073651261278"/>
                  <c:y val="-0.11616880037932661"/>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3-F5F9-43E5-A47A-8B326FD5CEFA}"/>
                </c:ext>
              </c:extLst>
            </c:dLbl>
            <c:dLbl>
              <c:idx val="2"/>
              <c:layout>
                <c:manualLayout>
                  <c:x val="0"/>
                  <c:y val="-3.3720687118946546E-2"/>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5-F5F9-43E5-A47A-8B326FD5CEFA}"/>
                </c:ext>
              </c:extLst>
            </c:dLbl>
            <c:dLbl>
              <c:idx val="3"/>
              <c:layout>
                <c:manualLayout>
                  <c:x val="8.1016387405634327E-2"/>
                  <c:y val="-1.6595542911332386E-2"/>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7-F5F9-43E5-A47A-8B326FD5CEFA}"/>
                </c:ext>
              </c:extLst>
            </c:dLbl>
            <c:dLbl>
              <c:idx val="4"/>
              <c:layout>
                <c:manualLayout>
                  <c:x val="0"/>
                  <c:y val="-2.3707918444760549E-2"/>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9-F5F9-43E5-A47A-8B326FD5CEFA}"/>
                </c:ext>
              </c:extLst>
            </c:dLbl>
            <c:dLbl>
              <c:idx val="5"/>
              <c:layout>
                <c:manualLayout>
                  <c:x val="0.15098508561959123"/>
                  <c:y val="7.3494547178757655E-2"/>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B-F5F9-43E5-A47A-8B326FD5CEFA}"/>
                </c:ext>
              </c:extLst>
            </c:dLbl>
            <c:dLbl>
              <c:idx val="6"/>
              <c:layout>
                <c:manualLayout>
                  <c:x val="0"/>
                  <c:y val="1.422475106685633E-2"/>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D-F5F9-43E5-A47A-8B326FD5CEFA}"/>
                </c:ext>
              </c:extLst>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dk1">
                        <a:lumMod val="75000"/>
                        <a:lumOff val="25000"/>
                      </a:schemeClr>
                    </a:solidFill>
                    <a:latin typeface="+mn-lt"/>
                    <a:ea typeface="+mn-ea"/>
                    <a:cs typeface="+mn-cs"/>
                  </a:defRPr>
                </a:pPr>
                <a:endParaRPr lang="en-US"/>
              </a:p>
            </c:txPr>
            <c:dLblPos val="outEnd"/>
            <c:showLegendKey val="0"/>
            <c:showVal val="0"/>
            <c:showCatName val="1"/>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Sheet1!$K$4:$K$10</c:f>
              <c:strCache>
                <c:ptCount val="7"/>
                <c:pt idx="0">
                  <c:v>Total in Department 2024</c:v>
                </c:pt>
                <c:pt idx="1">
                  <c:v>Leavers for 2024</c:v>
                </c:pt>
                <c:pt idx="2">
                  <c:v>Leavers as a % against total in each Department</c:v>
                </c:pt>
                <c:pt idx="3">
                  <c:v>Positions vacant </c:v>
                </c:pt>
                <c:pt idx="4">
                  <c:v>Vacancies as a % against total in each Department</c:v>
                </c:pt>
                <c:pt idx="5">
                  <c:v>Positions filled </c:v>
                </c:pt>
                <c:pt idx="6">
                  <c:v>Positions filled as a % of total in each Department</c:v>
                </c:pt>
              </c:strCache>
            </c:strRef>
          </c:cat>
          <c:val>
            <c:numRef>
              <c:f>Sheet1!$L$4:$L$10</c:f>
              <c:numCache>
                <c:formatCode>General</c:formatCode>
                <c:ptCount val="7"/>
                <c:pt idx="0">
                  <c:v>26</c:v>
                </c:pt>
                <c:pt idx="1">
                  <c:v>6</c:v>
                </c:pt>
                <c:pt idx="2" formatCode="0.0%">
                  <c:v>0.23069999999999999</c:v>
                </c:pt>
                <c:pt idx="3">
                  <c:v>8</c:v>
                </c:pt>
                <c:pt idx="4" formatCode="0.00%">
                  <c:v>0.30759999999999998</c:v>
                </c:pt>
                <c:pt idx="5">
                  <c:v>9</c:v>
                </c:pt>
                <c:pt idx="6" formatCode="0.00%">
                  <c:v>0.1153</c:v>
                </c:pt>
              </c:numCache>
            </c:numRef>
          </c:val>
          <c:extLst>
            <c:ext xmlns:c16="http://schemas.microsoft.com/office/drawing/2014/chart" uri="{C3380CC4-5D6E-409C-BE32-E72D297353CC}">
              <c16:uniqueId val="{0000000E-F5F9-43E5-A47A-8B326FD5CEFA}"/>
            </c:ext>
          </c:extLst>
        </c:ser>
        <c:ser>
          <c:idx val="1"/>
          <c:order val="1"/>
          <c:tx>
            <c:strRef>
              <c:f>Sheet1!$M$2:$M$3</c:f>
              <c:strCache>
                <c:ptCount val="2"/>
                <c:pt idx="0">
                  <c:v>Turnover and recruitment take up for Technivara 2024</c:v>
                </c:pt>
                <c:pt idx="1">
                  <c:v>Offices and Administration</c:v>
                </c:pt>
              </c:strCache>
            </c:strRef>
          </c:tx>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10-F5F9-43E5-A47A-8B326FD5CEFA}"/>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12-F5F9-43E5-A47A-8B326FD5CEFA}"/>
              </c:ext>
            </c:extLst>
          </c:dPt>
          <c:dPt>
            <c:idx val="2"/>
            <c:bubble3D val="0"/>
            <c:spPr>
              <a:gradFill>
                <a:gsLst>
                  <a:gs pos="100000">
                    <a:schemeClr val="accent3">
                      <a:lumMod val="60000"/>
                      <a:lumOff val="40000"/>
                    </a:schemeClr>
                  </a:gs>
                  <a:gs pos="0">
                    <a:schemeClr val="accent3"/>
                  </a:gs>
                </a:gsLst>
                <a:lin ang="5400000" scaled="0"/>
              </a:gradFill>
              <a:ln w="19050">
                <a:solidFill>
                  <a:schemeClr val="lt1"/>
                </a:solidFill>
              </a:ln>
              <a:effectLst/>
            </c:spPr>
            <c:extLst>
              <c:ext xmlns:c16="http://schemas.microsoft.com/office/drawing/2014/chart" uri="{C3380CC4-5D6E-409C-BE32-E72D297353CC}">
                <c16:uniqueId val="{00000014-F5F9-43E5-A47A-8B326FD5CEFA}"/>
              </c:ext>
            </c:extLst>
          </c:dPt>
          <c:dPt>
            <c:idx val="3"/>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16-F5F9-43E5-A47A-8B326FD5CEFA}"/>
              </c:ext>
            </c:extLst>
          </c:dPt>
          <c:dPt>
            <c:idx val="4"/>
            <c:bubble3D val="0"/>
            <c:spPr>
              <a:gradFill>
                <a:gsLst>
                  <a:gs pos="100000">
                    <a:schemeClr val="accent5">
                      <a:lumMod val="60000"/>
                      <a:lumOff val="40000"/>
                    </a:schemeClr>
                  </a:gs>
                  <a:gs pos="0">
                    <a:schemeClr val="accent5"/>
                  </a:gs>
                </a:gsLst>
                <a:lin ang="5400000" scaled="0"/>
              </a:gradFill>
              <a:ln w="19050">
                <a:solidFill>
                  <a:schemeClr val="lt1"/>
                </a:solidFill>
              </a:ln>
              <a:effectLst/>
            </c:spPr>
            <c:extLst>
              <c:ext xmlns:c16="http://schemas.microsoft.com/office/drawing/2014/chart" uri="{C3380CC4-5D6E-409C-BE32-E72D297353CC}">
                <c16:uniqueId val="{00000018-F5F9-43E5-A47A-8B326FD5CEFA}"/>
              </c:ext>
            </c:extLst>
          </c:dPt>
          <c:dPt>
            <c:idx val="5"/>
            <c:bubble3D val="0"/>
            <c:spPr>
              <a:gradFill>
                <a:gsLst>
                  <a:gs pos="100000">
                    <a:schemeClr val="accent6">
                      <a:lumMod val="60000"/>
                      <a:lumOff val="40000"/>
                    </a:schemeClr>
                  </a:gs>
                  <a:gs pos="0">
                    <a:schemeClr val="accent6"/>
                  </a:gs>
                </a:gsLst>
                <a:lin ang="5400000" scaled="0"/>
              </a:gradFill>
              <a:ln w="19050">
                <a:solidFill>
                  <a:schemeClr val="lt1"/>
                </a:solidFill>
              </a:ln>
              <a:effectLst/>
            </c:spPr>
            <c:extLst>
              <c:ext xmlns:c16="http://schemas.microsoft.com/office/drawing/2014/chart" uri="{C3380CC4-5D6E-409C-BE32-E72D297353CC}">
                <c16:uniqueId val="{0000001A-F5F9-43E5-A47A-8B326FD5CEFA}"/>
              </c:ext>
            </c:extLst>
          </c:dPt>
          <c:dPt>
            <c:idx val="6"/>
            <c:bubble3D val="0"/>
            <c:spPr>
              <a:gradFill>
                <a:gsLst>
                  <a:gs pos="100000">
                    <a:schemeClr val="accent1">
                      <a:lumMod val="60000"/>
                      <a:lumMod val="60000"/>
                      <a:lumOff val="40000"/>
                    </a:schemeClr>
                  </a:gs>
                  <a:gs pos="0">
                    <a:schemeClr val="accent1">
                      <a:lumMod val="60000"/>
                    </a:schemeClr>
                  </a:gs>
                </a:gsLst>
                <a:lin ang="5400000" scaled="0"/>
              </a:gradFill>
              <a:ln w="19050">
                <a:solidFill>
                  <a:schemeClr val="lt1"/>
                </a:solidFill>
              </a:ln>
              <a:effectLst/>
            </c:spPr>
            <c:extLst>
              <c:ext xmlns:c16="http://schemas.microsoft.com/office/drawing/2014/chart" uri="{C3380CC4-5D6E-409C-BE32-E72D297353CC}">
                <c16:uniqueId val="{0000001C-F5F9-43E5-A47A-8B326FD5CEF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0"/>
            <c:showCatName val="1"/>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Sheet1!$K$4:$K$10</c:f>
              <c:strCache>
                <c:ptCount val="7"/>
                <c:pt idx="0">
                  <c:v>Total in Department 2024</c:v>
                </c:pt>
                <c:pt idx="1">
                  <c:v>Leavers for 2024</c:v>
                </c:pt>
                <c:pt idx="2">
                  <c:v>Leavers as a % against total in each Department</c:v>
                </c:pt>
                <c:pt idx="3">
                  <c:v>Positions vacant </c:v>
                </c:pt>
                <c:pt idx="4">
                  <c:v>Vacancies as a % against total in each Department</c:v>
                </c:pt>
                <c:pt idx="5">
                  <c:v>Positions filled </c:v>
                </c:pt>
                <c:pt idx="6">
                  <c:v>Positions filled as a % of total in each Department</c:v>
                </c:pt>
              </c:strCache>
            </c:strRef>
          </c:cat>
          <c:val>
            <c:numRef>
              <c:f>Sheet1!$M$4:$M$10</c:f>
              <c:numCache>
                <c:formatCode>General</c:formatCode>
                <c:ptCount val="7"/>
                <c:pt idx="0">
                  <c:v>15</c:v>
                </c:pt>
                <c:pt idx="1">
                  <c:v>4</c:v>
                </c:pt>
                <c:pt idx="2" formatCode="0.0%">
                  <c:v>0.26600000000000001</c:v>
                </c:pt>
                <c:pt idx="3">
                  <c:v>5</c:v>
                </c:pt>
                <c:pt idx="4" formatCode="0.00%">
                  <c:v>0.33329999999999999</c:v>
                </c:pt>
                <c:pt idx="5">
                  <c:v>5</c:v>
                </c:pt>
                <c:pt idx="6" formatCode="0.00%">
                  <c:v>0.33329999999999999</c:v>
                </c:pt>
              </c:numCache>
            </c:numRef>
          </c:val>
          <c:extLst>
            <c:ext xmlns:c16="http://schemas.microsoft.com/office/drawing/2014/chart" uri="{C3380CC4-5D6E-409C-BE32-E72D297353CC}">
              <c16:uniqueId val="{0000001D-F5F9-43E5-A47A-8B326FD5CEFA}"/>
            </c:ext>
          </c:extLst>
        </c:ser>
        <c:ser>
          <c:idx val="2"/>
          <c:order val="2"/>
          <c:tx>
            <c:strRef>
              <c:f>Sheet1!$N$2:$N$3</c:f>
              <c:strCache>
                <c:ptCount val="2"/>
                <c:pt idx="0">
                  <c:v>Turnover and recruitment take up for Technivara 2024</c:v>
                </c:pt>
                <c:pt idx="1">
                  <c:v>Research and Development</c:v>
                </c:pt>
              </c:strCache>
            </c:strRef>
          </c:tx>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1F-F5F9-43E5-A47A-8B326FD5CEFA}"/>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21-F5F9-43E5-A47A-8B326FD5CEFA}"/>
              </c:ext>
            </c:extLst>
          </c:dPt>
          <c:dPt>
            <c:idx val="2"/>
            <c:bubble3D val="0"/>
            <c:spPr>
              <a:gradFill>
                <a:gsLst>
                  <a:gs pos="100000">
                    <a:schemeClr val="accent3">
                      <a:lumMod val="60000"/>
                      <a:lumOff val="40000"/>
                    </a:schemeClr>
                  </a:gs>
                  <a:gs pos="0">
                    <a:schemeClr val="accent3"/>
                  </a:gs>
                </a:gsLst>
                <a:lin ang="5400000" scaled="0"/>
              </a:gradFill>
              <a:ln w="19050">
                <a:solidFill>
                  <a:schemeClr val="lt1"/>
                </a:solidFill>
              </a:ln>
              <a:effectLst/>
            </c:spPr>
            <c:extLst>
              <c:ext xmlns:c16="http://schemas.microsoft.com/office/drawing/2014/chart" uri="{C3380CC4-5D6E-409C-BE32-E72D297353CC}">
                <c16:uniqueId val="{00000023-F5F9-43E5-A47A-8B326FD5CEFA}"/>
              </c:ext>
            </c:extLst>
          </c:dPt>
          <c:dPt>
            <c:idx val="3"/>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25-F5F9-43E5-A47A-8B326FD5CEFA}"/>
              </c:ext>
            </c:extLst>
          </c:dPt>
          <c:dPt>
            <c:idx val="4"/>
            <c:bubble3D val="0"/>
            <c:spPr>
              <a:gradFill>
                <a:gsLst>
                  <a:gs pos="100000">
                    <a:schemeClr val="accent5">
                      <a:lumMod val="60000"/>
                      <a:lumOff val="40000"/>
                    </a:schemeClr>
                  </a:gs>
                  <a:gs pos="0">
                    <a:schemeClr val="accent5"/>
                  </a:gs>
                </a:gsLst>
                <a:lin ang="5400000" scaled="0"/>
              </a:gradFill>
              <a:ln w="19050">
                <a:solidFill>
                  <a:schemeClr val="lt1"/>
                </a:solidFill>
              </a:ln>
              <a:effectLst/>
            </c:spPr>
            <c:extLst>
              <c:ext xmlns:c16="http://schemas.microsoft.com/office/drawing/2014/chart" uri="{C3380CC4-5D6E-409C-BE32-E72D297353CC}">
                <c16:uniqueId val="{00000027-F5F9-43E5-A47A-8B326FD5CEFA}"/>
              </c:ext>
            </c:extLst>
          </c:dPt>
          <c:dPt>
            <c:idx val="5"/>
            <c:bubble3D val="0"/>
            <c:spPr>
              <a:gradFill>
                <a:gsLst>
                  <a:gs pos="100000">
                    <a:schemeClr val="accent6">
                      <a:lumMod val="60000"/>
                      <a:lumOff val="40000"/>
                    </a:schemeClr>
                  </a:gs>
                  <a:gs pos="0">
                    <a:schemeClr val="accent6"/>
                  </a:gs>
                </a:gsLst>
                <a:lin ang="5400000" scaled="0"/>
              </a:gradFill>
              <a:ln w="19050">
                <a:solidFill>
                  <a:schemeClr val="lt1"/>
                </a:solidFill>
              </a:ln>
              <a:effectLst/>
            </c:spPr>
            <c:extLst>
              <c:ext xmlns:c16="http://schemas.microsoft.com/office/drawing/2014/chart" uri="{C3380CC4-5D6E-409C-BE32-E72D297353CC}">
                <c16:uniqueId val="{00000029-F5F9-43E5-A47A-8B326FD5CEFA}"/>
              </c:ext>
            </c:extLst>
          </c:dPt>
          <c:dPt>
            <c:idx val="6"/>
            <c:bubble3D val="0"/>
            <c:spPr>
              <a:gradFill>
                <a:gsLst>
                  <a:gs pos="100000">
                    <a:schemeClr val="accent1">
                      <a:lumMod val="60000"/>
                      <a:lumMod val="60000"/>
                      <a:lumOff val="40000"/>
                    </a:schemeClr>
                  </a:gs>
                  <a:gs pos="0">
                    <a:schemeClr val="accent1">
                      <a:lumMod val="60000"/>
                    </a:schemeClr>
                  </a:gs>
                </a:gsLst>
                <a:lin ang="5400000" scaled="0"/>
              </a:gradFill>
              <a:ln w="19050">
                <a:solidFill>
                  <a:schemeClr val="lt1"/>
                </a:solidFill>
              </a:ln>
              <a:effectLst/>
            </c:spPr>
            <c:extLst>
              <c:ext xmlns:c16="http://schemas.microsoft.com/office/drawing/2014/chart" uri="{C3380CC4-5D6E-409C-BE32-E72D297353CC}">
                <c16:uniqueId val="{0000002B-F5F9-43E5-A47A-8B326FD5CEF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0"/>
            <c:showCatName val="1"/>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Sheet1!$K$4:$K$10</c:f>
              <c:strCache>
                <c:ptCount val="7"/>
                <c:pt idx="0">
                  <c:v>Total in Department 2024</c:v>
                </c:pt>
                <c:pt idx="1">
                  <c:v>Leavers for 2024</c:v>
                </c:pt>
                <c:pt idx="2">
                  <c:v>Leavers as a % against total in each Department</c:v>
                </c:pt>
                <c:pt idx="3">
                  <c:v>Positions vacant </c:v>
                </c:pt>
                <c:pt idx="4">
                  <c:v>Vacancies as a % against total in each Department</c:v>
                </c:pt>
                <c:pt idx="5">
                  <c:v>Positions filled </c:v>
                </c:pt>
                <c:pt idx="6">
                  <c:v>Positions filled as a % of total in each Department</c:v>
                </c:pt>
              </c:strCache>
            </c:strRef>
          </c:cat>
          <c:val>
            <c:numRef>
              <c:f>Sheet1!$N$4:$N$10</c:f>
              <c:numCache>
                <c:formatCode>General</c:formatCode>
                <c:ptCount val="7"/>
                <c:pt idx="0">
                  <c:v>8</c:v>
                </c:pt>
                <c:pt idx="1">
                  <c:v>1</c:v>
                </c:pt>
                <c:pt idx="2" formatCode="0.0%">
                  <c:v>0.125</c:v>
                </c:pt>
                <c:pt idx="3">
                  <c:v>4</c:v>
                </c:pt>
                <c:pt idx="4" formatCode="0.00%">
                  <c:v>0.5</c:v>
                </c:pt>
                <c:pt idx="5">
                  <c:v>4</c:v>
                </c:pt>
                <c:pt idx="6" formatCode="0.00%">
                  <c:v>0.5</c:v>
                </c:pt>
              </c:numCache>
            </c:numRef>
          </c:val>
          <c:extLst>
            <c:ext xmlns:c16="http://schemas.microsoft.com/office/drawing/2014/chart" uri="{C3380CC4-5D6E-409C-BE32-E72D297353CC}">
              <c16:uniqueId val="{0000002C-F5F9-43E5-A47A-8B326FD5CEFA}"/>
            </c:ext>
          </c:extLst>
        </c:ser>
        <c:ser>
          <c:idx val="3"/>
          <c:order val="3"/>
          <c:tx>
            <c:strRef>
              <c:f>Sheet1!$O$2:$O$3</c:f>
              <c:strCache>
                <c:ptCount val="2"/>
                <c:pt idx="0">
                  <c:v>Turnover and recruitment take up for Technivara 2024</c:v>
                </c:pt>
                <c:pt idx="1">
                  <c:v>Quality control</c:v>
                </c:pt>
              </c:strCache>
            </c:strRef>
          </c:tx>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2E-F5F9-43E5-A47A-8B326FD5CEFA}"/>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30-F5F9-43E5-A47A-8B326FD5CEFA}"/>
              </c:ext>
            </c:extLst>
          </c:dPt>
          <c:dPt>
            <c:idx val="2"/>
            <c:bubble3D val="0"/>
            <c:spPr>
              <a:gradFill>
                <a:gsLst>
                  <a:gs pos="100000">
                    <a:schemeClr val="accent3">
                      <a:lumMod val="60000"/>
                      <a:lumOff val="40000"/>
                    </a:schemeClr>
                  </a:gs>
                  <a:gs pos="0">
                    <a:schemeClr val="accent3"/>
                  </a:gs>
                </a:gsLst>
                <a:lin ang="5400000" scaled="0"/>
              </a:gradFill>
              <a:ln w="19050">
                <a:solidFill>
                  <a:schemeClr val="lt1"/>
                </a:solidFill>
              </a:ln>
              <a:effectLst/>
            </c:spPr>
            <c:extLst>
              <c:ext xmlns:c16="http://schemas.microsoft.com/office/drawing/2014/chart" uri="{C3380CC4-5D6E-409C-BE32-E72D297353CC}">
                <c16:uniqueId val="{00000032-F5F9-43E5-A47A-8B326FD5CEFA}"/>
              </c:ext>
            </c:extLst>
          </c:dPt>
          <c:dPt>
            <c:idx val="3"/>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34-F5F9-43E5-A47A-8B326FD5CEFA}"/>
              </c:ext>
            </c:extLst>
          </c:dPt>
          <c:dPt>
            <c:idx val="4"/>
            <c:bubble3D val="0"/>
            <c:spPr>
              <a:gradFill>
                <a:gsLst>
                  <a:gs pos="100000">
                    <a:schemeClr val="accent5">
                      <a:lumMod val="60000"/>
                      <a:lumOff val="40000"/>
                    </a:schemeClr>
                  </a:gs>
                  <a:gs pos="0">
                    <a:schemeClr val="accent5"/>
                  </a:gs>
                </a:gsLst>
                <a:lin ang="5400000" scaled="0"/>
              </a:gradFill>
              <a:ln w="19050">
                <a:solidFill>
                  <a:schemeClr val="lt1"/>
                </a:solidFill>
              </a:ln>
              <a:effectLst/>
            </c:spPr>
            <c:extLst>
              <c:ext xmlns:c16="http://schemas.microsoft.com/office/drawing/2014/chart" uri="{C3380CC4-5D6E-409C-BE32-E72D297353CC}">
                <c16:uniqueId val="{00000036-F5F9-43E5-A47A-8B326FD5CEFA}"/>
              </c:ext>
            </c:extLst>
          </c:dPt>
          <c:dPt>
            <c:idx val="5"/>
            <c:bubble3D val="0"/>
            <c:spPr>
              <a:gradFill>
                <a:gsLst>
                  <a:gs pos="100000">
                    <a:schemeClr val="accent6">
                      <a:lumMod val="60000"/>
                      <a:lumOff val="40000"/>
                    </a:schemeClr>
                  </a:gs>
                  <a:gs pos="0">
                    <a:schemeClr val="accent6"/>
                  </a:gs>
                </a:gsLst>
                <a:lin ang="5400000" scaled="0"/>
              </a:gradFill>
              <a:ln w="19050">
                <a:solidFill>
                  <a:schemeClr val="lt1"/>
                </a:solidFill>
              </a:ln>
              <a:effectLst/>
            </c:spPr>
            <c:extLst>
              <c:ext xmlns:c16="http://schemas.microsoft.com/office/drawing/2014/chart" uri="{C3380CC4-5D6E-409C-BE32-E72D297353CC}">
                <c16:uniqueId val="{00000038-F5F9-43E5-A47A-8B326FD5CEFA}"/>
              </c:ext>
            </c:extLst>
          </c:dPt>
          <c:dPt>
            <c:idx val="6"/>
            <c:bubble3D val="0"/>
            <c:spPr>
              <a:gradFill>
                <a:gsLst>
                  <a:gs pos="100000">
                    <a:schemeClr val="accent1">
                      <a:lumMod val="60000"/>
                      <a:lumMod val="60000"/>
                      <a:lumOff val="40000"/>
                    </a:schemeClr>
                  </a:gs>
                  <a:gs pos="0">
                    <a:schemeClr val="accent1">
                      <a:lumMod val="60000"/>
                    </a:schemeClr>
                  </a:gs>
                </a:gsLst>
                <a:lin ang="5400000" scaled="0"/>
              </a:gradFill>
              <a:ln w="19050">
                <a:solidFill>
                  <a:schemeClr val="lt1"/>
                </a:solidFill>
              </a:ln>
              <a:effectLst/>
            </c:spPr>
            <c:extLst>
              <c:ext xmlns:c16="http://schemas.microsoft.com/office/drawing/2014/chart" uri="{C3380CC4-5D6E-409C-BE32-E72D297353CC}">
                <c16:uniqueId val="{0000003A-F5F9-43E5-A47A-8B326FD5CEF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0"/>
            <c:showCatName val="1"/>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Sheet1!$K$4:$K$10</c:f>
              <c:strCache>
                <c:ptCount val="7"/>
                <c:pt idx="0">
                  <c:v>Total in Department 2024</c:v>
                </c:pt>
                <c:pt idx="1">
                  <c:v>Leavers for 2024</c:v>
                </c:pt>
                <c:pt idx="2">
                  <c:v>Leavers as a % against total in each Department</c:v>
                </c:pt>
                <c:pt idx="3">
                  <c:v>Positions vacant </c:v>
                </c:pt>
                <c:pt idx="4">
                  <c:v>Vacancies as a % against total in each Department</c:v>
                </c:pt>
                <c:pt idx="5">
                  <c:v>Positions filled </c:v>
                </c:pt>
                <c:pt idx="6">
                  <c:v>Positions filled as a % of total in each Department</c:v>
                </c:pt>
              </c:strCache>
            </c:strRef>
          </c:cat>
          <c:val>
            <c:numRef>
              <c:f>Sheet1!$O$4:$O$10</c:f>
              <c:numCache>
                <c:formatCode>General</c:formatCode>
                <c:ptCount val="7"/>
                <c:pt idx="0">
                  <c:v>4</c:v>
                </c:pt>
                <c:pt idx="1">
                  <c:v>2</c:v>
                </c:pt>
                <c:pt idx="2" formatCode="0.0%">
                  <c:v>0.5</c:v>
                </c:pt>
                <c:pt idx="3">
                  <c:v>3</c:v>
                </c:pt>
                <c:pt idx="4" formatCode="0.00%">
                  <c:v>0.75</c:v>
                </c:pt>
                <c:pt idx="5">
                  <c:v>3</c:v>
                </c:pt>
                <c:pt idx="6" formatCode="0.00%">
                  <c:v>0.75</c:v>
                </c:pt>
              </c:numCache>
            </c:numRef>
          </c:val>
          <c:extLst>
            <c:ext xmlns:c16="http://schemas.microsoft.com/office/drawing/2014/chart" uri="{C3380CC4-5D6E-409C-BE32-E72D297353CC}">
              <c16:uniqueId val="{0000003B-F5F9-43E5-A47A-8B326FD5CEFA}"/>
            </c:ext>
          </c:extLst>
        </c:ser>
        <c:ser>
          <c:idx val="4"/>
          <c:order val="4"/>
          <c:tx>
            <c:strRef>
              <c:f>Sheet1!$P$2:$P$3</c:f>
              <c:strCache>
                <c:ptCount val="2"/>
                <c:pt idx="0">
                  <c:v>Turnover and recruitment take up for Technivara 2024</c:v>
                </c:pt>
                <c:pt idx="1">
                  <c:v>Dispatch </c:v>
                </c:pt>
              </c:strCache>
            </c:strRef>
          </c:tx>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3D-F5F9-43E5-A47A-8B326FD5CEFA}"/>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3F-F5F9-43E5-A47A-8B326FD5CEFA}"/>
              </c:ext>
            </c:extLst>
          </c:dPt>
          <c:dPt>
            <c:idx val="2"/>
            <c:bubble3D val="0"/>
            <c:spPr>
              <a:gradFill>
                <a:gsLst>
                  <a:gs pos="100000">
                    <a:schemeClr val="accent3">
                      <a:lumMod val="60000"/>
                      <a:lumOff val="40000"/>
                    </a:schemeClr>
                  </a:gs>
                  <a:gs pos="0">
                    <a:schemeClr val="accent3"/>
                  </a:gs>
                </a:gsLst>
                <a:lin ang="5400000" scaled="0"/>
              </a:gradFill>
              <a:ln w="19050">
                <a:solidFill>
                  <a:schemeClr val="lt1"/>
                </a:solidFill>
              </a:ln>
              <a:effectLst/>
            </c:spPr>
            <c:extLst>
              <c:ext xmlns:c16="http://schemas.microsoft.com/office/drawing/2014/chart" uri="{C3380CC4-5D6E-409C-BE32-E72D297353CC}">
                <c16:uniqueId val="{00000041-F5F9-43E5-A47A-8B326FD5CEFA}"/>
              </c:ext>
            </c:extLst>
          </c:dPt>
          <c:dPt>
            <c:idx val="3"/>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43-F5F9-43E5-A47A-8B326FD5CEFA}"/>
              </c:ext>
            </c:extLst>
          </c:dPt>
          <c:dPt>
            <c:idx val="4"/>
            <c:bubble3D val="0"/>
            <c:spPr>
              <a:gradFill>
                <a:gsLst>
                  <a:gs pos="100000">
                    <a:schemeClr val="accent5">
                      <a:lumMod val="60000"/>
                      <a:lumOff val="40000"/>
                    </a:schemeClr>
                  </a:gs>
                  <a:gs pos="0">
                    <a:schemeClr val="accent5"/>
                  </a:gs>
                </a:gsLst>
                <a:lin ang="5400000" scaled="0"/>
              </a:gradFill>
              <a:ln w="19050">
                <a:solidFill>
                  <a:schemeClr val="lt1"/>
                </a:solidFill>
              </a:ln>
              <a:effectLst/>
            </c:spPr>
            <c:extLst>
              <c:ext xmlns:c16="http://schemas.microsoft.com/office/drawing/2014/chart" uri="{C3380CC4-5D6E-409C-BE32-E72D297353CC}">
                <c16:uniqueId val="{00000045-F5F9-43E5-A47A-8B326FD5CEFA}"/>
              </c:ext>
            </c:extLst>
          </c:dPt>
          <c:dPt>
            <c:idx val="5"/>
            <c:bubble3D val="0"/>
            <c:spPr>
              <a:gradFill>
                <a:gsLst>
                  <a:gs pos="100000">
                    <a:schemeClr val="accent6">
                      <a:lumMod val="60000"/>
                      <a:lumOff val="40000"/>
                    </a:schemeClr>
                  </a:gs>
                  <a:gs pos="0">
                    <a:schemeClr val="accent6"/>
                  </a:gs>
                </a:gsLst>
                <a:lin ang="5400000" scaled="0"/>
              </a:gradFill>
              <a:ln w="19050">
                <a:solidFill>
                  <a:schemeClr val="lt1"/>
                </a:solidFill>
              </a:ln>
              <a:effectLst/>
            </c:spPr>
            <c:extLst>
              <c:ext xmlns:c16="http://schemas.microsoft.com/office/drawing/2014/chart" uri="{C3380CC4-5D6E-409C-BE32-E72D297353CC}">
                <c16:uniqueId val="{00000047-F5F9-43E5-A47A-8B326FD5CEFA}"/>
              </c:ext>
            </c:extLst>
          </c:dPt>
          <c:dPt>
            <c:idx val="6"/>
            <c:bubble3D val="0"/>
            <c:spPr>
              <a:gradFill>
                <a:gsLst>
                  <a:gs pos="100000">
                    <a:schemeClr val="accent1">
                      <a:lumMod val="60000"/>
                      <a:lumMod val="60000"/>
                      <a:lumOff val="40000"/>
                    </a:schemeClr>
                  </a:gs>
                  <a:gs pos="0">
                    <a:schemeClr val="accent1">
                      <a:lumMod val="60000"/>
                    </a:schemeClr>
                  </a:gs>
                </a:gsLst>
                <a:lin ang="5400000" scaled="0"/>
              </a:gradFill>
              <a:ln w="19050">
                <a:solidFill>
                  <a:schemeClr val="lt1"/>
                </a:solidFill>
              </a:ln>
              <a:effectLst/>
            </c:spPr>
            <c:extLst>
              <c:ext xmlns:c16="http://schemas.microsoft.com/office/drawing/2014/chart" uri="{C3380CC4-5D6E-409C-BE32-E72D297353CC}">
                <c16:uniqueId val="{00000049-F5F9-43E5-A47A-8B326FD5CEF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0"/>
            <c:showCatName val="1"/>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Sheet1!$K$4:$K$10</c:f>
              <c:strCache>
                <c:ptCount val="7"/>
                <c:pt idx="0">
                  <c:v>Total in Department 2024</c:v>
                </c:pt>
                <c:pt idx="1">
                  <c:v>Leavers for 2024</c:v>
                </c:pt>
                <c:pt idx="2">
                  <c:v>Leavers as a % against total in each Department</c:v>
                </c:pt>
                <c:pt idx="3">
                  <c:v>Positions vacant </c:v>
                </c:pt>
                <c:pt idx="4">
                  <c:v>Vacancies as a % against total in each Department</c:v>
                </c:pt>
                <c:pt idx="5">
                  <c:v>Positions filled </c:v>
                </c:pt>
                <c:pt idx="6">
                  <c:v>Positions filled as a % of total in each Department</c:v>
                </c:pt>
              </c:strCache>
            </c:strRef>
          </c:cat>
          <c:val>
            <c:numRef>
              <c:f>Sheet1!$P$4:$P$10</c:f>
              <c:numCache>
                <c:formatCode>General</c:formatCode>
                <c:ptCount val="7"/>
                <c:pt idx="0">
                  <c:v>15</c:v>
                </c:pt>
                <c:pt idx="1">
                  <c:v>4</c:v>
                </c:pt>
                <c:pt idx="2" formatCode="0.0%">
                  <c:v>0.26600000000000001</c:v>
                </c:pt>
                <c:pt idx="3">
                  <c:v>6</c:v>
                </c:pt>
                <c:pt idx="4" formatCode="0.00%">
                  <c:v>0.4</c:v>
                </c:pt>
                <c:pt idx="5">
                  <c:v>6</c:v>
                </c:pt>
                <c:pt idx="6" formatCode="0.00%">
                  <c:v>0.4</c:v>
                </c:pt>
              </c:numCache>
            </c:numRef>
          </c:val>
          <c:extLst>
            <c:ext xmlns:c16="http://schemas.microsoft.com/office/drawing/2014/chart" uri="{C3380CC4-5D6E-409C-BE32-E72D297353CC}">
              <c16:uniqueId val="{0000004A-F5F9-43E5-A47A-8B326FD5CEFA}"/>
            </c:ext>
          </c:extLst>
        </c:ser>
        <c:ser>
          <c:idx val="5"/>
          <c:order val="5"/>
          <c:tx>
            <c:strRef>
              <c:f>Sheet1!$Q$2:$Q$3</c:f>
              <c:strCache>
                <c:ptCount val="2"/>
                <c:pt idx="0">
                  <c:v>Turnover and recruitment take up for Technivara 2024</c:v>
                </c:pt>
                <c:pt idx="1">
                  <c:v>Engineering </c:v>
                </c:pt>
              </c:strCache>
            </c:strRef>
          </c:tx>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4C-F5F9-43E5-A47A-8B326FD5CEFA}"/>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4E-F5F9-43E5-A47A-8B326FD5CEFA}"/>
              </c:ext>
            </c:extLst>
          </c:dPt>
          <c:dPt>
            <c:idx val="2"/>
            <c:bubble3D val="0"/>
            <c:spPr>
              <a:gradFill>
                <a:gsLst>
                  <a:gs pos="100000">
                    <a:schemeClr val="accent3">
                      <a:lumMod val="60000"/>
                      <a:lumOff val="40000"/>
                    </a:schemeClr>
                  </a:gs>
                  <a:gs pos="0">
                    <a:schemeClr val="accent3"/>
                  </a:gs>
                </a:gsLst>
                <a:lin ang="5400000" scaled="0"/>
              </a:gradFill>
              <a:ln w="19050">
                <a:solidFill>
                  <a:schemeClr val="lt1"/>
                </a:solidFill>
              </a:ln>
              <a:effectLst/>
            </c:spPr>
            <c:extLst>
              <c:ext xmlns:c16="http://schemas.microsoft.com/office/drawing/2014/chart" uri="{C3380CC4-5D6E-409C-BE32-E72D297353CC}">
                <c16:uniqueId val="{00000050-F5F9-43E5-A47A-8B326FD5CEFA}"/>
              </c:ext>
            </c:extLst>
          </c:dPt>
          <c:dPt>
            <c:idx val="3"/>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52-F5F9-43E5-A47A-8B326FD5CEFA}"/>
              </c:ext>
            </c:extLst>
          </c:dPt>
          <c:dPt>
            <c:idx val="4"/>
            <c:bubble3D val="0"/>
            <c:spPr>
              <a:gradFill>
                <a:gsLst>
                  <a:gs pos="100000">
                    <a:schemeClr val="accent5">
                      <a:lumMod val="60000"/>
                      <a:lumOff val="40000"/>
                    </a:schemeClr>
                  </a:gs>
                  <a:gs pos="0">
                    <a:schemeClr val="accent5"/>
                  </a:gs>
                </a:gsLst>
                <a:lin ang="5400000" scaled="0"/>
              </a:gradFill>
              <a:ln w="19050">
                <a:solidFill>
                  <a:schemeClr val="lt1"/>
                </a:solidFill>
              </a:ln>
              <a:effectLst/>
            </c:spPr>
            <c:extLst>
              <c:ext xmlns:c16="http://schemas.microsoft.com/office/drawing/2014/chart" uri="{C3380CC4-5D6E-409C-BE32-E72D297353CC}">
                <c16:uniqueId val="{00000054-F5F9-43E5-A47A-8B326FD5CEFA}"/>
              </c:ext>
            </c:extLst>
          </c:dPt>
          <c:dPt>
            <c:idx val="5"/>
            <c:bubble3D val="0"/>
            <c:spPr>
              <a:gradFill>
                <a:gsLst>
                  <a:gs pos="100000">
                    <a:schemeClr val="accent6">
                      <a:lumMod val="60000"/>
                      <a:lumOff val="40000"/>
                    </a:schemeClr>
                  </a:gs>
                  <a:gs pos="0">
                    <a:schemeClr val="accent6"/>
                  </a:gs>
                </a:gsLst>
                <a:lin ang="5400000" scaled="0"/>
              </a:gradFill>
              <a:ln w="19050">
                <a:solidFill>
                  <a:schemeClr val="lt1"/>
                </a:solidFill>
              </a:ln>
              <a:effectLst/>
            </c:spPr>
            <c:extLst>
              <c:ext xmlns:c16="http://schemas.microsoft.com/office/drawing/2014/chart" uri="{C3380CC4-5D6E-409C-BE32-E72D297353CC}">
                <c16:uniqueId val="{00000056-F5F9-43E5-A47A-8B326FD5CEFA}"/>
              </c:ext>
            </c:extLst>
          </c:dPt>
          <c:dPt>
            <c:idx val="6"/>
            <c:bubble3D val="0"/>
            <c:spPr>
              <a:gradFill>
                <a:gsLst>
                  <a:gs pos="100000">
                    <a:schemeClr val="accent1">
                      <a:lumMod val="60000"/>
                      <a:lumMod val="60000"/>
                      <a:lumOff val="40000"/>
                    </a:schemeClr>
                  </a:gs>
                  <a:gs pos="0">
                    <a:schemeClr val="accent1">
                      <a:lumMod val="60000"/>
                    </a:schemeClr>
                  </a:gs>
                </a:gsLst>
                <a:lin ang="5400000" scaled="0"/>
              </a:gradFill>
              <a:ln w="19050">
                <a:solidFill>
                  <a:schemeClr val="lt1"/>
                </a:solidFill>
              </a:ln>
              <a:effectLst/>
            </c:spPr>
            <c:extLst>
              <c:ext xmlns:c16="http://schemas.microsoft.com/office/drawing/2014/chart" uri="{C3380CC4-5D6E-409C-BE32-E72D297353CC}">
                <c16:uniqueId val="{00000058-F5F9-43E5-A47A-8B326FD5CEF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0"/>
            <c:showCatName val="1"/>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Sheet1!$K$4:$K$10</c:f>
              <c:strCache>
                <c:ptCount val="7"/>
                <c:pt idx="0">
                  <c:v>Total in Department 2024</c:v>
                </c:pt>
                <c:pt idx="1">
                  <c:v>Leavers for 2024</c:v>
                </c:pt>
                <c:pt idx="2">
                  <c:v>Leavers as a % against total in each Department</c:v>
                </c:pt>
                <c:pt idx="3">
                  <c:v>Positions vacant </c:v>
                </c:pt>
                <c:pt idx="4">
                  <c:v>Vacancies as a % against total in each Department</c:v>
                </c:pt>
                <c:pt idx="5">
                  <c:v>Positions filled </c:v>
                </c:pt>
                <c:pt idx="6">
                  <c:v>Positions filled as a % of total in each Department</c:v>
                </c:pt>
              </c:strCache>
            </c:strRef>
          </c:cat>
          <c:val>
            <c:numRef>
              <c:f>Sheet1!$Q$4:$Q$10</c:f>
              <c:numCache>
                <c:formatCode>General</c:formatCode>
                <c:ptCount val="7"/>
                <c:pt idx="0">
                  <c:v>35</c:v>
                </c:pt>
                <c:pt idx="1">
                  <c:v>8</c:v>
                </c:pt>
                <c:pt idx="2" formatCode="0.00%">
                  <c:v>0.22850000000000001</c:v>
                </c:pt>
                <c:pt idx="3">
                  <c:v>8</c:v>
                </c:pt>
                <c:pt idx="4" formatCode="0.00%">
                  <c:v>0.22850000000000001</c:v>
                </c:pt>
                <c:pt idx="5">
                  <c:v>3</c:v>
                </c:pt>
                <c:pt idx="6" formatCode="0.00%">
                  <c:v>8.5099999999999995E-2</c:v>
                </c:pt>
              </c:numCache>
            </c:numRef>
          </c:val>
          <c:extLst>
            <c:ext xmlns:c16="http://schemas.microsoft.com/office/drawing/2014/chart" uri="{C3380CC4-5D6E-409C-BE32-E72D297353CC}">
              <c16:uniqueId val="{00000059-F5F9-43E5-A47A-8B326FD5CEFA}"/>
            </c:ext>
          </c:extLst>
        </c:ser>
        <c:ser>
          <c:idx val="6"/>
          <c:order val="6"/>
          <c:tx>
            <c:strRef>
              <c:f>Sheet1!$R$2:$R$3</c:f>
              <c:strCache>
                <c:ptCount val="2"/>
                <c:pt idx="0">
                  <c:v>Turnover and recruitment take up for Technivara 2024</c:v>
                </c:pt>
                <c:pt idx="1">
                  <c:v>Casting Department </c:v>
                </c:pt>
              </c:strCache>
            </c:strRef>
          </c:tx>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5B-F5F9-43E5-A47A-8B326FD5CEFA}"/>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5D-F5F9-43E5-A47A-8B326FD5CEFA}"/>
              </c:ext>
            </c:extLst>
          </c:dPt>
          <c:dPt>
            <c:idx val="2"/>
            <c:bubble3D val="0"/>
            <c:spPr>
              <a:gradFill>
                <a:gsLst>
                  <a:gs pos="100000">
                    <a:schemeClr val="accent3">
                      <a:lumMod val="60000"/>
                      <a:lumOff val="40000"/>
                    </a:schemeClr>
                  </a:gs>
                  <a:gs pos="0">
                    <a:schemeClr val="accent3"/>
                  </a:gs>
                </a:gsLst>
                <a:lin ang="5400000" scaled="0"/>
              </a:gradFill>
              <a:ln w="19050">
                <a:solidFill>
                  <a:schemeClr val="lt1"/>
                </a:solidFill>
              </a:ln>
              <a:effectLst/>
            </c:spPr>
            <c:extLst>
              <c:ext xmlns:c16="http://schemas.microsoft.com/office/drawing/2014/chart" uri="{C3380CC4-5D6E-409C-BE32-E72D297353CC}">
                <c16:uniqueId val="{0000005F-F5F9-43E5-A47A-8B326FD5CEFA}"/>
              </c:ext>
            </c:extLst>
          </c:dPt>
          <c:dPt>
            <c:idx val="3"/>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61-F5F9-43E5-A47A-8B326FD5CEFA}"/>
              </c:ext>
            </c:extLst>
          </c:dPt>
          <c:dPt>
            <c:idx val="4"/>
            <c:bubble3D val="0"/>
            <c:spPr>
              <a:gradFill>
                <a:gsLst>
                  <a:gs pos="100000">
                    <a:schemeClr val="accent5">
                      <a:lumMod val="60000"/>
                      <a:lumOff val="40000"/>
                    </a:schemeClr>
                  </a:gs>
                  <a:gs pos="0">
                    <a:schemeClr val="accent5"/>
                  </a:gs>
                </a:gsLst>
                <a:lin ang="5400000" scaled="0"/>
              </a:gradFill>
              <a:ln w="19050">
                <a:solidFill>
                  <a:schemeClr val="lt1"/>
                </a:solidFill>
              </a:ln>
              <a:effectLst/>
            </c:spPr>
            <c:extLst>
              <c:ext xmlns:c16="http://schemas.microsoft.com/office/drawing/2014/chart" uri="{C3380CC4-5D6E-409C-BE32-E72D297353CC}">
                <c16:uniqueId val="{00000063-F5F9-43E5-A47A-8B326FD5CEFA}"/>
              </c:ext>
            </c:extLst>
          </c:dPt>
          <c:dPt>
            <c:idx val="5"/>
            <c:bubble3D val="0"/>
            <c:spPr>
              <a:gradFill>
                <a:gsLst>
                  <a:gs pos="100000">
                    <a:schemeClr val="accent6">
                      <a:lumMod val="60000"/>
                      <a:lumOff val="40000"/>
                    </a:schemeClr>
                  </a:gs>
                  <a:gs pos="0">
                    <a:schemeClr val="accent6"/>
                  </a:gs>
                </a:gsLst>
                <a:lin ang="5400000" scaled="0"/>
              </a:gradFill>
              <a:ln w="19050">
                <a:solidFill>
                  <a:schemeClr val="lt1"/>
                </a:solidFill>
              </a:ln>
              <a:effectLst/>
            </c:spPr>
            <c:extLst>
              <c:ext xmlns:c16="http://schemas.microsoft.com/office/drawing/2014/chart" uri="{C3380CC4-5D6E-409C-BE32-E72D297353CC}">
                <c16:uniqueId val="{00000065-F5F9-43E5-A47A-8B326FD5CEFA}"/>
              </c:ext>
            </c:extLst>
          </c:dPt>
          <c:dPt>
            <c:idx val="6"/>
            <c:bubble3D val="0"/>
            <c:spPr>
              <a:gradFill>
                <a:gsLst>
                  <a:gs pos="100000">
                    <a:schemeClr val="accent1">
                      <a:lumMod val="60000"/>
                      <a:lumMod val="60000"/>
                      <a:lumOff val="40000"/>
                    </a:schemeClr>
                  </a:gs>
                  <a:gs pos="0">
                    <a:schemeClr val="accent1">
                      <a:lumMod val="60000"/>
                    </a:schemeClr>
                  </a:gs>
                </a:gsLst>
                <a:lin ang="5400000" scaled="0"/>
              </a:gradFill>
              <a:ln w="19050">
                <a:solidFill>
                  <a:schemeClr val="lt1"/>
                </a:solidFill>
              </a:ln>
              <a:effectLst/>
            </c:spPr>
            <c:extLst>
              <c:ext xmlns:c16="http://schemas.microsoft.com/office/drawing/2014/chart" uri="{C3380CC4-5D6E-409C-BE32-E72D297353CC}">
                <c16:uniqueId val="{00000067-F5F9-43E5-A47A-8B326FD5CEF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0"/>
            <c:showCatName val="1"/>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Sheet1!$K$4:$K$10</c:f>
              <c:strCache>
                <c:ptCount val="7"/>
                <c:pt idx="0">
                  <c:v>Total in Department 2024</c:v>
                </c:pt>
                <c:pt idx="1">
                  <c:v>Leavers for 2024</c:v>
                </c:pt>
                <c:pt idx="2">
                  <c:v>Leavers as a % against total in each Department</c:v>
                </c:pt>
                <c:pt idx="3">
                  <c:v>Positions vacant </c:v>
                </c:pt>
                <c:pt idx="4">
                  <c:v>Vacancies as a % against total in each Department</c:v>
                </c:pt>
                <c:pt idx="5">
                  <c:v>Positions filled </c:v>
                </c:pt>
                <c:pt idx="6">
                  <c:v>Positions filled as a % of total in each Department</c:v>
                </c:pt>
              </c:strCache>
            </c:strRef>
          </c:cat>
          <c:val>
            <c:numRef>
              <c:f>Sheet1!$R$4:$R$10</c:f>
              <c:numCache>
                <c:formatCode>General</c:formatCode>
                <c:ptCount val="7"/>
                <c:pt idx="0">
                  <c:v>6</c:v>
                </c:pt>
                <c:pt idx="1">
                  <c:v>3</c:v>
                </c:pt>
                <c:pt idx="2" formatCode="0.0%">
                  <c:v>0.5</c:v>
                </c:pt>
                <c:pt idx="3">
                  <c:v>5</c:v>
                </c:pt>
                <c:pt idx="4" formatCode="0.00%">
                  <c:v>0.83330000000000004</c:v>
                </c:pt>
                <c:pt idx="5">
                  <c:v>2</c:v>
                </c:pt>
                <c:pt idx="6" formatCode="0.00%">
                  <c:v>0.33329999999999999</c:v>
                </c:pt>
              </c:numCache>
            </c:numRef>
          </c:val>
          <c:extLst>
            <c:ext xmlns:c16="http://schemas.microsoft.com/office/drawing/2014/chart" uri="{C3380CC4-5D6E-409C-BE32-E72D297353CC}">
              <c16:uniqueId val="{00000068-F5F9-43E5-A47A-8B326FD5CEFA}"/>
            </c:ext>
          </c:extLst>
        </c:ser>
        <c:ser>
          <c:idx val="7"/>
          <c:order val="7"/>
          <c:tx>
            <c:strRef>
              <c:f>Sheet1!$S$2:$S$3</c:f>
              <c:strCache>
                <c:ptCount val="2"/>
                <c:pt idx="0">
                  <c:v>Turnover and recruitment take up for Technivara 2024</c:v>
                </c:pt>
                <c:pt idx="1">
                  <c:v>Sales &amp; Marketing </c:v>
                </c:pt>
              </c:strCache>
            </c:strRef>
          </c:tx>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6A-F5F9-43E5-A47A-8B326FD5CEFA}"/>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6C-F5F9-43E5-A47A-8B326FD5CEFA}"/>
              </c:ext>
            </c:extLst>
          </c:dPt>
          <c:dPt>
            <c:idx val="2"/>
            <c:bubble3D val="0"/>
            <c:spPr>
              <a:gradFill>
                <a:gsLst>
                  <a:gs pos="100000">
                    <a:schemeClr val="accent3">
                      <a:lumMod val="60000"/>
                      <a:lumOff val="40000"/>
                    </a:schemeClr>
                  </a:gs>
                  <a:gs pos="0">
                    <a:schemeClr val="accent3"/>
                  </a:gs>
                </a:gsLst>
                <a:lin ang="5400000" scaled="0"/>
              </a:gradFill>
              <a:ln w="19050">
                <a:solidFill>
                  <a:schemeClr val="lt1"/>
                </a:solidFill>
              </a:ln>
              <a:effectLst/>
            </c:spPr>
            <c:extLst>
              <c:ext xmlns:c16="http://schemas.microsoft.com/office/drawing/2014/chart" uri="{C3380CC4-5D6E-409C-BE32-E72D297353CC}">
                <c16:uniqueId val="{0000006E-F5F9-43E5-A47A-8B326FD5CEFA}"/>
              </c:ext>
            </c:extLst>
          </c:dPt>
          <c:dPt>
            <c:idx val="3"/>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70-F5F9-43E5-A47A-8B326FD5CEFA}"/>
              </c:ext>
            </c:extLst>
          </c:dPt>
          <c:dPt>
            <c:idx val="4"/>
            <c:bubble3D val="0"/>
            <c:spPr>
              <a:gradFill>
                <a:gsLst>
                  <a:gs pos="100000">
                    <a:schemeClr val="accent5">
                      <a:lumMod val="60000"/>
                      <a:lumOff val="40000"/>
                    </a:schemeClr>
                  </a:gs>
                  <a:gs pos="0">
                    <a:schemeClr val="accent5"/>
                  </a:gs>
                </a:gsLst>
                <a:lin ang="5400000" scaled="0"/>
              </a:gradFill>
              <a:ln w="19050">
                <a:solidFill>
                  <a:schemeClr val="lt1"/>
                </a:solidFill>
              </a:ln>
              <a:effectLst/>
            </c:spPr>
            <c:extLst>
              <c:ext xmlns:c16="http://schemas.microsoft.com/office/drawing/2014/chart" uri="{C3380CC4-5D6E-409C-BE32-E72D297353CC}">
                <c16:uniqueId val="{00000072-F5F9-43E5-A47A-8B326FD5CEFA}"/>
              </c:ext>
            </c:extLst>
          </c:dPt>
          <c:dPt>
            <c:idx val="5"/>
            <c:bubble3D val="0"/>
            <c:spPr>
              <a:gradFill>
                <a:gsLst>
                  <a:gs pos="100000">
                    <a:schemeClr val="accent6">
                      <a:lumMod val="60000"/>
                      <a:lumOff val="40000"/>
                    </a:schemeClr>
                  </a:gs>
                  <a:gs pos="0">
                    <a:schemeClr val="accent6"/>
                  </a:gs>
                </a:gsLst>
                <a:lin ang="5400000" scaled="0"/>
              </a:gradFill>
              <a:ln w="19050">
                <a:solidFill>
                  <a:schemeClr val="lt1"/>
                </a:solidFill>
              </a:ln>
              <a:effectLst/>
            </c:spPr>
            <c:extLst>
              <c:ext xmlns:c16="http://schemas.microsoft.com/office/drawing/2014/chart" uri="{C3380CC4-5D6E-409C-BE32-E72D297353CC}">
                <c16:uniqueId val="{00000074-F5F9-43E5-A47A-8B326FD5CEFA}"/>
              </c:ext>
            </c:extLst>
          </c:dPt>
          <c:dPt>
            <c:idx val="6"/>
            <c:bubble3D val="0"/>
            <c:spPr>
              <a:gradFill>
                <a:gsLst>
                  <a:gs pos="100000">
                    <a:schemeClr val="accent1">
                      <a:lumMod val="60000"/>
                      <a:lumMod val="60000"/>
                      <a:lumOff val="40000"/>
                    </a:schemeClr>
                  </a:gs>
                  <a:gs pos="0">
                    <a:schemeClr val="accent1">
                      <a:lumMod val="60000"/>
                    </a:schemeClr>
                  </a:gs>
                </a:gsLst>
                <a:lin ang="5400000" scaled="0"/>
              </a:gradFill>
              <a:ln w="19050">
                <a:solidFill>
                  <a:schemeClr val="lt1"/>
                </a:solidFill>
              </a:ln>
              <a:effectLst/>
            </c:spPr>
            <c:extLst>
              <c:ext xmlns:c16="http://schemas.microsoft.com/office/drawing/2014/chart" uri="{C3380CC4-5D6E-409C-BE32-E72D297353CC}">
                <c16:uniqueId val="{00000076-F5F9-43E5-A47A-8B326FD5CEF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0"/>
            <c:showCatName val="1"/>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Sheet1!$K$4:$K$10</c:f>
              <c:strCache>
                <c:ptCount val="7"/>
                <c:pt idx="0">
                  <c:v>Total in Department 2024</c:v>
                </c:pt>
                <c:pt idx="1">
                  <c:v>Leavers for 2024</c:v>
                </c:pt>
                <c:pt idx="2">
                  <c:v>Leavers as a % against total in each Department</c:v>
                </c:pt>
                <c:pt idx="3">
                  <c:v>Positions vacant </c:v>
                </c:pt>
                <c:pt idx="4">
                  <c:v>Vacancies as a % against total in each Department</c:v>
                </c:pt>
                <c:pt idx="5">
                  <c:v>Positions filled </c:v>
                </c:pt>
                <c:pt idx="6">
                  <c:v>Positions filled as a % of total in each Department</c:v>
                </c:pt>
              </c:strCache>
            </c:strRef>
          </c:cat>
          <c:val>
            <c:numRef>
              <c:f>Sheet1!$S$4:$S$10</c:f>
              <c:numCache>
                <c:formatCode>General</c:formatCode>
                <c:ptCount val="7"/>
                <c:pt idx="0">
                  <c:v>12</c:v>
                </c:pt>
                <c:pt idx="1">
                  <c:v>4</c:v>
                </c:pt>
                <c:pt idx="2" formatCode="0.0%">
                  <c:v>0.33300000000000002</c:v>
                </c:pt>
                <c:pt idx="3">
                  <c:v>3</c:v>
                </c:pt>
                <c:pt idx="4" formatCode="0.00%">
                  <c:v>0.25</c:v>
                </c:pt>
                <c:pt idx="5">
                  <c:v>3</c:v>
                </c:pt>
                <c:pt idx="6" formatCode="0.00%">
                  <c:v>0.25</c:v>
                </c:pt>
              </c:numCache>
            </c:numRef>
          </c:val>
          <c:extLst>
            <c:ext xmlns:c16="http://schemas.microsoft.com/office/drawing/2014/chart" uri="{C3380CC4-5D6E-409C-BE32-E72D297353CC}">
              <c16:uniqueId val="{00000077-F5F9-43E5-A47A-8B326FD5CEFA}"/>
            </c:ext>
          </c:extLst>
        </c:ser>
        <c:ser>
          <c:idx val="8"/>
          <c:order val="8"/>
          <c:tx>
            <c:strRef>
              <c:f>Sheet1!$T$2:$T$3</c:f>
              <c:strCache>
                <c:ptCount val="2"/>
                <c:pt idx="0">
                  <c:v>Turnover and recruitment take up for Technivara 2024</c:v>
                </c:pt>
                <c:pt idx="1">
                  <c:v>Human Resources </c:v>
                </c:pt>
              </c:strCache>
            </c:strRef>
          </c:tx>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79-F5F9-43E5-A47A-8B326FD5CEFA}"/>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7B-F5F9-43E5-A47A-8B326FD5CEFA}"/>
              </c:ext>
            </c:extLst>
          </c:dPt>
          <c:dPt>
            <c:idx val="2"/>
            <c:bubble3D val="0"/>
            <c:spPr>
              <a:gradFill>
                <a:gsLst>
                  <a:gs pos="100000">
                    <a:schemeClr val="accent3">
                      <a:lumMod val="60000"/>
                      <a:lumOff val="40000"/>
                    </a:schemeClr>
                  </a:gs>
                  <a:gs pos="0">
                    <a:schemeClr val="accent3"/>
                  </a:gs>
                </a:gsLst>
                <a:lin ang="5400000" scaled="0"/>
              </a:gradFill>
              <a:ln w="19050">
                <a:solidFill>
                  <a:schemeClr val="lt1"/>
                </a:solidFill>
              </a:ln>
              <a:effectLst/>
            </c:spPr>
            <c:extLst>
              <c:ext xmlns:c16="http://schemas.microsoft.com/office/drawing/2014/chart" uri="{C3380CC4-5D6E-409C-BE32-E72D297353CC}">
                <c16:uniqueId val="{0000007D-F5F9-43E5-A47A-8B326FD5CEFA}"/>
              </c:ext>
            </c:extLst>
          </c:dPt>
          <c:dPt>
            <c:idx val="3"/>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7F-F5F9-43E5-A47A-8B326FD5CEFA}"/>
              </c:ext>
            </c:extLst>
          </c:dPt>
          <c:dPt>
            <c:idx val="4"/>
            <c:bubble3D val="0"/>
            <c:spPr>
              <a:gradFill>
                <a:gsLst>
                  <a:gs pos="100000">
                    <a:schemeClr val="accent5">
                      <a:lumMod val="60000"/>
                      <a:lumOff val="40000"/>
                    </a:schemeClr>
                  </a:gs>
                  <a:gs pos="0">
                    <a:schemeClr val="accent5"/>
                  </a:gs>
                </a:gsLst>
                <a:lin ang="5400000" scaled="0"/>
              </a:gradFill>
              <a:ln w="19050">
                <a:solidFill>
                  <a:schemeClr val="lt1"/>
                </a:solidFill>
              </a:ln>
              <a:effectLst/>
            </c:spPr>
            <c:extLst>
              <c:ext xmlns:c16="http://schemas.microsoft.com/office/drawing/2014/chart" uri="{C3380CC4-5D6E-409C-BE32-E72D297353CC}">
                <c16:uniqueId val="{00000081-F5F9-43E5-A47A-8B326FD5CEFA}"/>
              </c:ext>
            </c:extLst>
          </c:dPt>
          <c:dPt>
            <c:idx val="5"/>
            <c:bubble3D val="0"/>
            <c:spPr>
              <a:gradFill>
                <a:gsLst>
                  <a:gs pos="100000">
                    <a:schemeClr val="accent6">
                      <a:lumMod val="60000"/>
                      <a:lumOff val="40000"/>
                    </a:schemeClr>
                  </a:gs>
                  <a:gs pos="0">
                    <a:schemeClr val="accent6"/>
                  </a:gs>
                </a:gsLst>
                <a:lin ang="5400000" scaled="0"/>
              </a:gradFill>
              <a:ln w="19050">
                <a:solidFill>
                  <a:schemeClr val="lt1"/>
                </a:solidFill>
              </a:ln>
              <a:effectLst/>
            </c:spPr>
            <c:extLst>
              <c:ext xmlns:c16="http://schemas.microsoft.com/office/drawing/2014/chart" uri="{C3380CC4-5D6E-409C-BE32-E72D297353CC}">
                <c16:uniqueId val="{00000083-F5F9-43E5-A47A-8B326FD5CEFA}"/>
              </c:ext>
            </c:extLst>
          </c:dPt>
          <c:dPt>
            <c:idx val="6"/>
            <c:bubble3D val="0"/>
            <c:spPr>
              <a:gradFill>
                <a:gsLst>
                  <a:gs pos="100000">
                    <a:schemeClr val="accent1">
                      <a:lumMod val="60000"/>
                      <a:lumMod val="60000"/>
                      <a:lumOff val="40000"/>
                    </a:schemeClr>
                  </a:gs>
                  <a:gs pos="0">
                    <a:schemeClr val="accent1">
                      <a:lumMod val="60000"/>
                    </a:schemeClr>
                  </a:gs>
                </a:gsLst>
                <a:lin ang="5400000" scaled="0"/>
              </a:gradFill>
              <a:ln w="19050">
                <a:solidFill>
                  <a:schemeClr val="lt1"/>
                </a:solidFill>
              </a:ln>
              <a:effectLst/>
            </c:spPr>
            <c:extLst>
              <c:ext xmlns:c16="http://schemas.microsoft.com/office/drawing/2014/chart" uri="{C3380CC4-5D6E-409C-BE32-E72D297353CC}">
                <c16:uniqueId val="{00000085-F5F9-43E5-A47A-8B326FD5CEF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0"/>
            <c:showCatName val="1"/>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Sheet1!$K$4:$K$10</c:f>
              <c:strCache>
                <c:ptCount val="7"/>
                <c:pt idx="0">
                  <c:v>Total in Department 2024</c:v>
                </c:pt>
                <c:pt idx="1">
                  <c:v>Leavers for 2024</c:v>
                </c:pt>
                <c:pt idx="2">
                  <c:v>Leavers as a % against total in each Department</c:v>
                </c:pt>
                <c:pt idx="3">
                  <c:v>Positions vacant </c:v>
                </c:pt>
                <c:pt idx="4">
                  <c:v>Vacancies as a % against total in each Department</c:v>
                </c:pt>
                <c:pt idx="5">
                  <c:v>Positions filled </c:v>
                </c:pt>
                <c:pt idx="6">
                  <c:v>Positions filled as a % of total in each Department</c:v>
                </c:pt>
              </c:strCache>
            </c:strRef>
          </c:cat>
          <c:val>
            <c:numRef>
              <c:f>Sheet1!$T$4:$T$10</c:f>
              <c:numCache>
                <c:formatCode>General</c:formatCode>
                <c:ptCount val="7"/>
                <c:pt idx="0">
                  <c:v>4</c:v>
                </c:pt>
                <c:pt idx="1">
                  <c:v>1</c:v>
                </c:pt>
                <c:pt idx="2" formatCode="0.0%">
                  <c:v>0.25</c:v>
                </c:pt>
                <c:pt idx="3">
                  <c:v>1</c:v>
                </c:pt>
                <c:pt idx="4" formatCode="0.00%">
                  <c:v>0.25</c:v>
                </c:pt>
                <c:pt idx="5">
                  <c:v>1</c:v>
                </c:pt>
                <c:pt idx="6" formatCode="0.00%">
                  <c:v>0.25</c:v>
                </c:pt>
              </c:numCache>
            </c:numRef>
          </c:val>
          <c:extLst>
            <c:ext xmlns:c16="http://schemas.microsoft.com/office/drawing/2014/chart" uri="{C3380CC4-5D6E-409C-BE32-E72D297353CC}">
              <c16:uniqueId val="{00000086-F5F9-43E5-A47A-8B326FD5CEFA}"/>
            </c:ext>
          </c:extLst>
        </c:ser>
        <c:ser>
          <c:idx val="9"/>
          <c:order val="9"/>
          <c:tx>
            <c:strRef>
              <c:f>Sheet1!$U$2:$U$3</c:f>
              <c:strCache>
                <c:ptCount val="2"/>
                <c:pt idx="0">
                  <c:v>Turnover and recruitment take up for Technivara 2024</c:v>
                </c:pt>
                <c:pt idx="1">
                  <c:v>Design </c:v>
                </c:pt>
              </c:strCache>
            </c:strRef>
          </c:tx>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88-F5F9-43E5-A47A-8B326FD5CEFA}"/>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8A-F5F9-43E5-A47A-8B326FD5CEFA}"/>
              </c:ext>
            </c:extLst>
          </c:dPt>
          <c:dPt>
            <c:idx val="2"/>
            <c:bubble3D val="0"/>
            <c:spPr>
              <a:gradFill>
                <a:gsLst>
                  <a:gs pos="100000">
                    <a:schemeClr val="accent3">
                      <a:lumMod val="60000"/>
                      <a:lumOff val="40000"/>
                    </a:schemeClr>
                  </a:gs>
                  <a:gs pos="0">
                    <a:schemeClr val="accent3"/>
                  </a:gs>
                </a:gsLst>
                <a:lin ang="5400000" scaled="0"/>
              </a:gradFill>
              <a:ln w="19050">
                <a:solidFill>
                  <a:schemeClr val="lt1"/>
                </a:solidFill>
              </a:ln>
              <a:effectLst/>
            </c:spPr>
            <c:extLst>
              <c:ext xmlns:c16="http://schemas.microsoft.com/office/drawing/2014/chart" uri="{C3380CC4-5D6E-409C-BE32-E72D297353CC}">
                <c16:uniqueId val="{0000008C-F5F9-43E5-A47A-8B326FD5CEFA}"/>
              </c:ext>
            </c:extLst>
          </c:dPt>
          <c:dPt>
            <c:idx val="3"/>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8E-F5F9-43E5-A47A-8B326FD5CEFA}"/>
              </c:ext>
            </c:extLst>
          </c:dPt>
          <c:dPt>
            <c:idx val="4"/>
            <c:bubble3D val="0"/>
            <c:spPr>
              <a:gradFill>
                <a:gsLst>
                  <a:gs pos="100000">
                    <a:schemeClr val="accent5">
                      <a:lumMod val="60000"/>
                      <a:lumOff val="40000"/>
                    </a:schemeClr>
                  </a:gs>
                  <a:gs pos="0">
                    <a:schemeClr val="accent5"/>
                  </a:gs>
                </a:gsLst>
                <a:lin ang="5400000" scaled="0"/>
              </a:gradFill>
              <a:ln w="19050">
                <a:solidFill>
                  <a:schemeClr val="lt1"/>
                </a:solidFill>
              </a:ln>
              <a:effectLst/>
            </c:spPr>
            <c:extLst>
              <c:ext xmlns:c16="http://schemas.microsoft.com/office/drawing/2014/chart" uri="{C3380CC4-5D6E-409C-BE32-E72D297353CC}">
                <c16:uniqueId val="{00000090-F5F9-43E5-A47A-8B326FD5CEFA}"/>
              </c:ext>
            </c:extLst>
          </c:dPt>
          <c:dPt>
            <c:idx val="5"/>
            <c:bubble3D val="0"/>
            <c:spPr>
              <a:gradFill>
                <a:gsLst>
                  <a:gs pos="100000">
                    <a:schemeClr val="accent6">
                      <a:lumMod val="60000"/>
                      <a:lumOff val="40000"/>
                    </a:schemeClr>
                  </a:gs>
                  <a:gs pos="0">
                    <a:schemeClr val="accent6"/>
                  </a:gs>
                </a:gsLst>
                <a:lin ang="5400000" scaled="0"/>
              </a:gradFill>
              <a:ln w="19050">
                <a:solidFill>
                  <a:schemeClr val="lt1"/>
                </a:solidFill>
              </a:ln>
              <a:effectLst/>
            </c:spPr>
            <c:extLst>
              <c:ext xmlns:c16="http://schemas.microsoft.com/office/drawing/2014/chart" uri="{C3380CC4-5D6E-409C-BE32-E72D297353CC}">
                <c16:uniqueId val="{00000092-F5F9-43E5-A47A-8B326FD5CEFA}"/>
              </c:ext>
            </c:extLst>
          </c:dPt>
          <c:dPt>
            <c:idx val="6"/>
            <c:bubble3D val="0"/>
            <c:spPr>
              <a:gradFill>
                <a:gsLst>
                  <a:gs pos="100000">
                    <a:schemeClr val="accent1">
                      <a:lumMod val="60000"/>
                      <a:lumMod val="60000"/>
                      <a:lumOff val="40000"/>
                    </a:schemeClr>
                  </a:gs>
                  <a:gs pos="0">
                    <a:schemeClr val="accent1">
                      <a:lumMod val="60000"/>
                    </a:schemeClr>
                  </a:gs>
                </a:gsLst>
                <a:lin ang="5400000" scaled="0"/>
              </a:gradFill>
              <a:ln w="19050">
                <a:solidFill>
                  <a:schemeClr val="lt1"/>
                </a:solidFill>
              </a:ln>
              <a:effectLst/>
            </c:spPr>
            <c:extLst>
              <c:ext xmlns:c16="http://schemas.microsoft.com/office/drawing/2014/chart" uri="{C3380CC4-5D6E-409C-BE32-E72D297353CC}">
                <c16:uniqueId val="{00000094-F5F9-43E5-A47A-8B326FD5CEF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0"/>
            <c:showCatName val="1"/>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Sheet1!$K$4:$K$10</c:f>
              <c:strCache>
                <c:ptCount val="7"/>
                <c:pt idx="0">
                  <c:v>Total in Department 2024</c:v>
                </c:pt>
                <c:pt idx="1">
                  <c:v>Leavers for 2024</c:v>
                </c:pt>
                <c:pt idx="2">
                  <c:v>Leavers as a % against total in each Department</c:v>
                </c:pt>
                <c:pt idx="3">
                  <c:v>Positions vacant </c:v>
                </c:pt>
                <c:pt idx="4">
                  <c:v>Vacancies as a % against total in each Department</c:v>
                </c:pt>
                <c:pt idx="5">
                  <c:v>Positions filled </c:v>
                </c:pt>
                <c:pt idx="6">
                  <c:v>Positions filled as a % of total in each Department</c:v>
                </c:pt>
              </c:strCache>
            </c:strRef>
          </c:cat>
          <c:val>
            <c:numRef>
              <c:f>Sheet1!$U$4:$U$10</c:f>
              <c:numCache>
                <c:formatCode>General</c:formatCode>
                <c:ptCount val="7"/>
                <c:pt idx="0">
                  <c:v>12</c:v>
                </c:pt>
                <c:pt idx="1">
                  <c:v>3</c:v>
                </c:pt>
                <c:pt idx="2" formatCode="0.0%">
                  <c:v>0.25</c:v>
                </c:pt>
                <c:pt idx="3">
                  <c:v>5</c:v>
                </c:pt>
                <c:pt idx="4" formatCode="0.00%">
                  <c:v>0.41660000000000003</c:v>
                </c:pt>
                <c:pt idx="5">
                  <c:v>2</c:v>
                </c:pt>
                <c:pt idx="6" formatCode="0.00%">
                  <c:v>0.1666</c:v>
                </c:pt>
              </c:numCache>
            </c:numRef>
          </c:val>
          <c:extLst>
            <c:ext xmlns:c16="http://schemas.microsoft.com/office/drawing/2014/chart" uri="{C3380CC4-5D6E-409C-BE32-E72D297353CC}">
              <c16:uniqueId val="{00000095-F5F9-43E5-A47A-8B326FD5CEFA}"/>
            </c:ext>
          </c:extLst>
        </c:ser>
        <c:dLbls>
          <c:dLblPos val="outEnd"/>
          <c:showLegendKey val="0"/>
          <c:showVal val="0"/>
          <c:showCatName val="0"/>
          <c:showSerName val="0"/>
          <c:showPercent val="1"/>
          <c:showBubbleSize val="0"/>
          <c:showLeaderLines val="1"/>
        </c:dLbls>
        <c:firstSliceAng val="0"/>
      </c:pieChart>
      <c:spPr>
        <a:noFill/>
        <a:ln>
          <a:noFill/>
        </a:ln>
        <a:effectLst/>
      </c:spPr>
    </c:plotArea>
    <c:legend>
      <c:legendPos val="r"/>
      <c:layout>
        <c:manualLayout>
          <c:xMode val="edge"/>
          <c:yMode val="edge"/>
          <c:x val="0.72801661368283477"/>
          <c:y val="0.17361210235050484"/>
          <c:w val="0.26927556070113495"/>
          <c:h val="0.61942998209919153"/>
        </c:manualLayout>
      </c:layout>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4">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 dir="row">Sheet1!$L$2:$U$3</cx:f>
        <cx:lvl ptCount="10">
          <cx:pt idx="0">Audio technical Department</cx:pt>
          <cx:pt idx="1">Offices and Administration</cx:pt>
          <cx:pt idx="2">Research and Development</cx:pt>
          <cx:pt idx="3">Quality control</cx:pt>
          <cx:pt idx="4">Dispatch </cx:pt>
          <cx:pt idx="5">Engineering </cx:pt>
          <cx:pt idx="6">Casting Department </cx:pt>
          <cx:pt idx="7">Sales &amp; Marketing </cx:pt>
          <cx:pt idx="8">Human Resources </cx:pt>
          <cx:pt idx="9">Design </cx:pt>
        </cx:lvl>
        <cx:lvl ptCount="10">
          <cx:pt idx="0">Turnover and recruitment take up for Technivara 2024</cx:pt>
        </cx:lvl>
      </cx:strDim>
      <cx:numDim type="val">
        <cx:f dir="row">Sheet1!$L$4:$U$4</cx:f>
        <cx:lvl ptCount="10" formatCode="General">
          <cx:pt idx="0">26</cx:pt>
          <cx:pt idx="1">15</cx:pt>
          <cx:pt idx="2">8</cx:pt>
          <cx:pt idx="3">4</cx:pt>
          <cx:pt idx="4">15</cx:pt>
          <cx:pt idx="5">35</cx:pt>
          <cx:pt idx="6">6</cx:pt>
          <cx:pt idx="7">12</cx:pt>
          <cx:pt idx="8">4</cx:pt>
          <cx:pt idx="9">12</cx:pt>
        </cx:lvl>
      </cx:numDim>
    </cx:data>
    <cx:data id="1">
      <cx:strDim type="cat">
        <cx:f dir="row">Sheet1!$L$2:$U$3</cx:f>
        <cx:lvl ptCount="10">
          <cx:pt idx="0">Audio technical Department</cx:pt>
          <cx:pt idx="1">Offices and Administration</cx:pt>
          <cx:pt idx="2">Research and Development</cx:pt>
          <cx:pt idx="3">Quality control</cx:pt>
          <cx:pt idx="4">Dispatch </cx:pt>
          <cx:pt idx="5">Engineering </cx:pt>
          <cx:pt idx="6">Casting Department </cx:pt>
          <cx:pt idx="7">Sales &amp; Marketing </cx:pt>
          <cx:pt idx="8">Human Resources </cx:pt>
          <cx:pt idx="9">Design </cx:pt>
        </cx:lvl>
        <cx:lvl ptCount="10">
          <cx:pt idx="0">Turnover and recruitment take up for Technivara 2024</cx:pt>
        </cx:lvl>
      </cx:strDim>
      <cx:numDim type="val">
        <cx:f dir="row">Sheet1!$L$5:$U$5</cx:f>
        <cx:lvl ptCount="10" formatCode="General">
          <cx:pt idx="0">6</cx:pt>
          <cx:pt idx="1">4</cx:pt>
          <cx:pt idx="2">1</cx:pt>
          <cx:pt idx="3">2</cx:pt>
          <cx:pt idx="4">4</cx:pt>
          <cx:pt idx="5">8</cx:pt>
          <cx:pt idx="6">3</cx:pt>
          <cx:pt idx="7">4</cx:pt>
          <cx:pt idx="8">1</cx:pt>
          <cx:pt idx="9">3</cx:pt>
        </cx:lvl>
      </cx:numDim>
    </cx:data>
    <cx:data id="2">
      <cx:strDim type="cat">
        <cx:f dir="row">Sheet1!$L$2:$U$3</cx:f>
        <cx:lvl ptCount="10">
          <cx:pt idx="0">Audio technical Department</cx:pt>
          <cx:pt idx="1">Offices and Administration</cx:pt>
          <cx:pt idx="2">Research and Development</cx:pt>
          <cx:pt idx="3">Quality control</cx:pt>
          <cx:pt idx="4">Dispatch </cx:pt>
          <cx:pt idx="5">Engineering </cx:pt>
          <cx:pt idx="6">Casting Department </cx:pt>
          <cx:pt idx="7">Sales &amp; Marketing </cx:pt>
          <cx:pt idx="8">Human Resources </cx:pt>
          <cx:pt idx="9">Design </cx:pt>
        </cx:lvl>
        <cx:lvl ptCount="10">
          <cx:pt idx="0">Turnover and recruitment take up for Technivara 2024</cx:pt>
        </cx:lvl>
      </cx:strDim>
      <cx:numDim type="val">
        <cx:f dir="row">Sheet1!$L$6:$U$6</cx:f>
        <cx:lvl ptCount="10" formatCode="0.0%">
          <cx:pt idx="0">0.23069999999999999</cx:pt>
          <cx:pt idx="1">0.26600000000000001</cx:pt>
          <cx:pt idx="2">0.125</cx:pt>
          <cx:pt idx="3">0.5</cx:pt>
          <cx:pt idx="4">0.26600000000000001</cx:pt>
          <cx:pt idx="5">0.22850000000000001</cx:pt>
          <cx:pt idx="6">0.5</cx:pt>
          <cx:pt idx="7">0.33300000000000002</cx:pt>
          <cx:pt idx="8">0.25</cx:pt>
          <cx:pt idx="9">0.25</cx:pt>
        </cx:lvl>
      </cx:numDim>
    </cx:data>
    <cx:data id="3">
      <cx:strDim type="cat">
        <cx:f dir="row">Sheet1!$L$2:$U$3</cx:f>
        <cx:lvl ptCount="10">
          <cx:pt idx="0">Audio technical Department</cx:pt>
          <cx:pt idx="1">Offices and Administration</cx:pt>
          <cx:pt idx="2">Research and Development</cx:pt>
          <cx:pt idx="3">Quality control</cx:pt>
          <cx:pt idx="4">Dispatch </cx:pt>
          <cx:pt idx="5">Engineering </cx:pt>
          <cx:pt idx="6">Casting Department </cx:pt>
          <cx:pt idx="7">Sales &amp; Marketing </cx:pt>
          <cx:pt idx="8">Human Resources </cx:pt>
          <cx:pt idx="9">Design </cx:pt>
        </cx:lvl>
        <cx:lvl ptCount="10">
          <cx:pt idx="0">Turnover and recruitment take up for Technivara 2024</cx:pt>
        </cx:lvl>
      </cx:strDim>
      <cx:numDim type="val">
        <cx:f dir="row">Sheet1!$L$7:$U$7</cx:f>
        <cx:lvl ptCount="10" formatCode="General">
          <cx:pt idx="0">8</cx:pt>
          <cx:pt idx="1">5</cx:pt>
          <cx:pt idx="2">4</cx:pt>
          <cx:pt idx="3">3</cx:pt>
          <cx:pt idx="4">6</cx:pt>
          <cx:pt idx="5">8</cx:pt>
          <cx:pt idx="6">5</cx:pt>
          <cx:pt idx="7">3</cx:pt>
          <cx:pt idx="8">1</cx:pt>
          <cx:pt idx="9">5</cx:pt>
        </cx:lvl>
      </cx:numDim>
    </cx:data>
    <cx:data id="4">
      <cx:strDim type="cat">
        <cx:f dir="row">Sheet1!$L$2:$U$3</cx:f>
        <cx:lvl ptCount="10">
          <cx:pt idx="0">Audio technical Department</cx:pt>
          <cx:pt idx="1">Offices and Administration</cx:pt>
          <cx:pt idx="2">Research and Development</cx:pt>
          <cx:pt idx="3">Quality control</cx:pt>
          <cx:pt idx="4">Dispatch </cx:pt>
          <cx:pt idx="5">Engineering </cx:pt>
          <cx:pt idx="6">Casting Department </cx:pt>
          <cx:pt idx="7">Sales &amp; Marketing </cx:pt>
          <cx:pt idx="8">Human Resources </cx:pt>
          <cx:pt idx="9">Design </cx:pt>
        </cx:lvl>
        <cx:lvl ptCount="10">
          <cx:pt idx="0">Turnover and recruitment take up for Technivara 2024</cx:pt>
        </cx:lvl>
      </cx:strDim>
      <cx:numDim type="val">
        <cx:f dir="row">Sheet1!$L$8:$U$8</cx:f>
        <cx:lvl ptCount="10" formatCode="0.00%">
          <cx:pt idx="0">0.30759999999999998</cx:pt>
          <cx:pt idx="1">0.33329999999999999</cx:pt>
          <cx:pt idx="2">0.5</cx:pt>
          <cx:pt idx="3">0.75</cx:pt>
          <cx:pt idx="4">0.40000000000000002</cx:pt>
          <cx:pt idx="5">0.22850000000000001</cx:pt>
          <cx:pt idx="6">0.83330000000000004</cx:pt>
          <cx:pt idx="7">0.25</cx:pt>
          <cx:pt idx="8">0.25</cx:pt>
          <cx:pt idx="9">0.41660000000000003</cx:pt>
        </cx:lvl>
      </cx:numDim>
    </cx:data>
    <cx:data id="5">
      <cx:strDim type="cat">
        <cx:f dir="row">Sheet1!$L$2:$U$3</cx:f>
        <cx:lvl ptCount="10">
          <cx:pt idx="0">Audio technical Department</cx:pt>
          <cx:pt idx="1">Offices and Administration</cx:pt>
          <cx:pt idx="2">Research and Development</cx:pt>
          <cx:pt idx="3">Quality control</cx:pt>
          <cx:pt idx="4">Dispatch </cx:pt>
          <cx:pt idx="5">Engineering </cx:pt>
          <cx:pt idx="6">Casting Department </cx:pt>
          <cx:pt idx="7">Sales &amp; Marketing </cx:pt>
          <cx:pt idx="8">Human Resources </cx:pt>
          <cx:pt idx="9">Design </cx:pt>
        </cx:lvl>
        <cx:lvl ptCount="10">
          <cx:pt idx="0">Turnover and recruitment take up for Technivara 2024</cx:pt>
        </cx:lvl>
      </cx:strDim>
      <cx:numDim type="val">
        <cx:f dir="row">Sheet1!$L$9:$U$9</cx:f>
        <cx:lvl ptCount="10" formatCode="General">
          <cx:pt idx="0">9</cx:pt>
          <cx:pt idx="1">5</cx:pt>
          <cx:pt idx="2">4</cx:pt>
          <cx:pt idx="3">3</cx:pt>
          <cx:pt idx="4">6</cx:pt>
          <cx:pt idx="5">3</cx:pt>
          <cx:pt idx="6">2</cx:pt>
          <cx:pt idx="7">3</cx:pt>
          <cx:pt idx="8">1</cx:pt>
          <cx:pt idx="9">2</cx:pt>
        </cx:lvl>
      </cx:numDim>
    </cx:data>
    <cx:data id="6">
      <cx:strDim type="cat">
        <cx:f dir="row">Sheet1!$L$2:$U$3</cx:f>
        <cx:lvl ptCount="10">
          <cx:pt idx="0">Audio technical Department</cx:pt>
          <cx:pt idx="1">Offices and Administration</cx:pt>
          <cx:pt idx="2">Research and Development</cx:pt>
          <cx:pt idx="3">Quality control</cx:pt>
          <cx:pt idx="4">Dispatch </cx:pt>
          <cx:pt idx="5">Engineering </cx:pt>
          <cx:pt idx="6">Casting Department </cx:pt>
          <cx:pt idx="7">Sales &amp; Marketing </cx:pt>
          <cx:pt idx="8">Human Resources </cx:pt>
          <cx:pt idx="9">Design </cx:pt>
        </cx:lvl>
        <cx:lvl ptCount="10">
          <cx:pt idx="0">Turnover and recruitment take up for Technivara 2024</cx:pt>
        </cx:lvl>
      </cx:strDim>
      <cx:numDim type="val">
        <cx:f dir="row">Sheet1!$L$10:$U$10</cx:f>
        <cx:lvl ptCount="10" formatCode="0.00%">
          <cx:pt idx="0">0.1153</cx:pt>
          <cx:pt idx="1">0.33329999999999999</cx:pt>
          <cx:pt idx="2">0.5</cx:pt>
          <cx:pt idx="3">0.75</cx:pt>
          <cx:pt idx="4">0.40000000000000002</cx:pt>
          <cx:pt idx="5">0.085099999999999995</cx:pt>
          <cx:pt idx="6">0.33329999999999999</cx:pt>
          <cx:pt idx="7">0.25</cx:pt>
          <cx:pt idx="8">0.25</cx:pt>
          <cx:pt idx="9">0.1666</cx:pt>
        </cx:lvl>
      </cx:numDim>
    </cx:data>
  </cx:chartData>
  <cx:chart>
    <cx:title pos="t" align="ctr" overlay="0">
      <cx:tx>
        <cx:txData>
          <cx:v>Turnover and recruitment take up for Technivara 2024 </cx:v>
        </cx:txData>
      </cx:tx>
      <cx:spPr>
        <a:solidFill>
          <a:schemeClr val="accent2"/>
        </a:solidFill>
      </cx:spPr>
      <cx:txPr>
        <a:bodyPr spcFirstLastPara="1" vertOverflow="ellipsis" horzOverflow="overflow" wrap="square" lIns="0" tIns="0" rIns="0" bIns="0" anchor="ctr" anchorCtr="1"/>
        <a:lstStyle/>
        <a:p>
          <a:pPr algn="ctr" rtl="0">
            <a:defRPr/>
          </a:pPr>
          <a:r>
            <a:rPr lang="en-US" sz="1400" b="0" i="0" u="none" strike="noStrike" baseline="0">
              <a:solidFill>
                <a:schemeClr val="bg1"/>
              </a:solidFill>
              <a:latin typeface="Calibri" panose="020F0502020204030204"/>
            </a:rPr>
            <a:t>Turnover and recruitment take up for Technivara 2024 </a:t>
          </a:r>
        </a:p>
      </cx:txPr>
    </cx:title>
    <cx:plotArea>
      <cx:plotAreaRegion>
        <cx:series layoutId="funnel" uniqueId="{3462910D-67C9-4756-A44F-82A6CB183D12}" formatIdx="0">
          <cx:tx>
            <cx:txData>
              <cx:f>Sheet1!$K$4</cx:f>
              <cx:v>Total in Department 2024</cx:v>
            </cx:txData>
          </cx:tx>
          <cx:dataLabels>
            <cx:visibility seriesName="0" categoryName="0" value="1"/>
          </cx:dataLabels>
          <cx:dataId val="0"/>
        </cx:series>
        <cx:series layoutId="funnel" hidden="1" uniqueId="{D891638E-0E62-446C-99C3-BFB9D980F35D}" formatIdx="1">
          <cx:tx>
            <cx:txData>
              <cx:f>Sheet1!$K$5</cx:f>
              <cx:v>Leavers for 2024</cx:v>
            </cx:txData>
          </cx:tx>
          <cx:dataLabels>
            <cx:visibility seriesName="0" categoryName="0" value="1"/>
          </cx:dataLabels>
          <cx:dataId val="1"/>
        </cx:series>
        <cx:series layoutId="funnel" hidden="1" uniqueId="{A0954962-B173-4F14-80CB-11198AB36C5B}" formatIdx="2">
          <cx:tx>
            <cx:txData>
              <cx:f>Sheet1!$K$6</cx:f>
              <cx:v>Leavers as a % against total in each Department</cx:v>
            </cx:txData>
          </cx:tx>
          <cx:dataLabels>
            <cx:visibility seriesName="0" categoryName="0" value="1"/>
          </cx:dataLabels>
          <cx:dataId val="2"/>
        </cx:series>
        <cx:series layoutId="funnel" hidden="1" uniqueId="{8DCC7F2C-E33B-489B-A674-811447CA3B5B}" formatIdx="3">
          <cx:tx>
            <cx:txData>
              <cx:f>Sheet1!$K$7</cx:f>
              <cx:v>Positions vacant </cx:v>
            </cx:txData>
          </cx:tx>
          <cx:dataLabels>
            <cx:visibility seriesName="0" categoryName="0" value="1"/>
          </cx:dataLabels>
          <cx:dataId val="3"/>
        </cx:series>
        <cx:series layoutId="funnel" hidden="1" uniqueId="{B3766BFF-E975-42A0-9C29-167C4FE3B220}" formatIdx="4">
          <cx:tx>
            <cx:txData>
              <cx:f>Sheet1!$K$8</cx:f>
              <cx:v>Vacancies as a % against total in each Department</cx:v>
            </cx:txData>
          </cx:tx>
          <cx:dataLabels>
            <cx:visibility seriesName="0" categoryName="0" value="1"/>
          </cx:dataLabels>
          <cx:dataId val="4"/>
        </cx:series>
        <cx:series layoutId="funnel" hidden="1" uniqueId="{085220CB-0651-42FF-B06D-301328AC4458}" formatIdx="5">
          <cx:tx>
            <cx:txData>
              <cx:f>Sheet1!$K$9</cx:f>
              <cx:v>Positions filled </cx:v>
            </cx:txData>
          </cx:tx>
          <cx:dataLabels>
            <cx:visibility seriesName="0" categoryName="0" value="1"/>
          </cx:dataLabels>
          <cx:dataId val="5"/>
        </cx:series>
        <cx:series layoutId="funnel" hidden="1" uniqueId="{852E3934-5BA8-4BDD-A086-C6FDF040B710}" formatIdx="6">
          <cx:tx>
            <cx:txData>
              <cx:f>Sheet1!$K$10</cx:f>
              <cx:v>Positions filled as a % of total in each Department</cx:v>
            </cx:txData>
          </cx:tx>
          <cx:dataLabels>
            <cx:visibility seriesName="0" categoryName="0" value="1"/>
          </cx:dataLabels>
          <cx:dataId val="6"/>
        </cx:series>
      </cx:plotAreaRegion>
      <cx:axis id="0">
        <cx:catScaling gapWidth="0.150000006"/>
        <cx:tickLabels/>
      </cx:axis>
    </cx:plotArea>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23">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cap="flat" cmpd="sng" algn="ctr">
        <a:solidFill>
          <a:schemeClr val="tx1">
            <a:lumMod val="65000"/>
            <a:lumOff val="35000"/>
          </a:schemeClr>
        </a:solidFill>
        <a:round/>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15875" cap="flat" cmpd="sng" algn="ctr">
        <a:solidFill>
          <a:schemeClr val="tx1">
            <a:lumMod val="65000"/>
            <a:lumOff val="3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424">
  <cs:axisTitle>
    <cs:lnRef idx="0"/>
    <cs:fillRef idx="0"/>
    <cs:effectRef idx="0"/>
    <cs:fontRef idx="minor">
      <a:schemeClr val="dk1">
        <a:lumMod val="75000"/>
        <a:lumOff val="25000"/>
      </a:schemeClr>
    </cs:fontRef>
    <cs:defRPr sz="9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cs:chartArea>
  <cs:dataLabel>
    <cs:lnRef idx="0"/>
    <cs:fillRef idx="0"/>
    <cs:effectRef idx="0"/>
    <cs:fontRef idx="minor">
      <a:schemeClr val="dk1"/>
    </cs:fontRef>
    <cs:defRPr sz="900"/>
  </cs:dataLabel>
  <cs:dataLabelCallout>
    <cs:lnRef idx="0"/>
    <cs:fillRef idx="0"/>
    <cs:effectRef idx="0"/>
    <cs:fontRef idx="minor">
      <a:schemeClr val="lt1"/>
    </cs:fontRef>
    <cs:spPr>
      <a:solidFill>
        <a:schemeClr val="dk1">
          <a:lumMod val="65000"/>
          <a:lumOff val="35000"/>
          <a:alpha val="75000"/>
        </a:schemeClr>
      </a:solidFill>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2857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75000"/>
            <a:lumOff val="25000"/>
          </a:schemeClr>
        </a:solidFill>
      </a:ln>
    </cs:spPr>
    <cs:defRPr sz="9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lumOff val="10000"/>
              </a:schemeClr>
            </a:gs>
            <a:gs pos="0">
              <a:schemeClr val="lt1">
                <a:lumMod val="75000"/>
                <a:alpha val="36000"/>
                <a:lumOff val="10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cs:seriesAxis>
  <cs:seriesLine>
    <cs:lnRef idx="0"/>
    <cs:fillRef idx="0"/>
    <cs:effectRef idx="0"/>
    <cs:fontRef idx="minor">
      <a:schemeClr val="dk1"/>
    </cs:fontRef>
    <cs:spPr>
      <a:ln w="9525" cap="flat">
        <a:solidFill>
          <a:schemeClr val="bg1">
            <a:lumMod val="50000"/>
          </a:schemeClr>
        </a:solidFill>
        <a:round/>
      </a:ln>
    </cs:spPr>
  </cs:seriesLine>
  <cs:title>
    <cs:lnRef idx="0"/>
    <cs:fillRef idx="0"/>
    <cs:effectRef idx="0"/>
    <cs:fontRef idx="minor">
      <a:schemeClr val="dk1">
        <a:lumMod val="75000"/>
        <a:lumOff val="25000"/>
      </a:schemeClr>
    </cs:fontRef>
    <cs:defRPr sz="1800" b="1"/>
  </cs:title>
  <cs:trendline>
    <cs:lnRef idx="0"/>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75000"/>
        <a:lumOff val="25000"/>
      </a:schemeClr>
    </cs:fontRef>
    <cs:defRPr sz="9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defRPr sz="9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a3575a51-539c-4333-a1aa-b7821a61ff78">
      <Terms xmlns="http://schemas.microsoft.com/office/infopath/2007/PartnerControls"/>
    </lcf76f155ced4ddcb4097134ff3c332f>
    <TaxCatchAll xmlns="6e72e00d-af10-4443-a669-d2dc41a07b7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1027FA789EB7342ACE2FB06F0C97FBE" ma:contentTypeVersion="13" ma:contentTypeDescription="Create a new document." ma:contentTypeScope="" ma:versionID="65dac37d203e079033c411494e7dd4b0">
  <xsd:schema xmlns:xsd="http://www.w3.org/2001/XMLSchema" xmlns:xs="http://www.w3.org/2001/XMLSchema" xmlns:p="http://schemas.microsoft.com/office/2006/metadata/properties" xmlns:ns2="a3575a51-539c-4333-a1aa-b7821a61ff78" xmlns:ns3="6e72e00d-af10-4443-a669-d2dc41a07b70" targetNamespace="http://schemas.microsoft.com/office/2006/metadata/properties" ma:root="true" ma:fieldsID="fd0340f213ebbdf28bacb18b4e44afaa" ns2:_="" ns3:_="">
    <xsd:import namespace="a3575a51-539c-4333-a1aa-b7821a61ff78"/>
    <xsd:import namespace="6e72e00d-af10-4443-a669-d2dc41a07b70"/>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3575a51-539c-4333-a1aa-b7821a61ff7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81e92514-27c8-40c5-8379-a235b0160252"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Location" ma:index="20" nillable="true" ma:displayName="Location" ma:descrip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e72e00d-af10-4443-a669-d2dc41a07b70" elementFormDefault="qualified">
    <xsd:import namespace="http://schemas.microsoft.com/office/2006/documentManagement/types"/>
    <xsd:import namespace="http://schemas.microsoft.com/office/infopath/2007/PartnerControls"/>
    <xsd:element name="TaxCatchAll" ma:index="18" nillable="true" ma:displayName="Taxonomy Catch All Column" ma:hidden="true" ma:list="{a4d98c8a-cd28-4018-9be8-45b3bcd3fe1a}" ma:internalName="TaxCatchAll" ma:showField="CatchAllData" ma:web="6e72e00d-af10-4443-a669-d2dc41a07b7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1D2CDA8-CFB8-4045-9213-D3F212BE5AB8}">
  <ds:schemaRefs>
    <ds:schemaRef ds:uri="http://schemas.microsoft.com/office/2006/metadata/properties"/>
    <ds:schemaRef ds:uri="http://schemas.microsoft.com/office/infopath/2007/PartnerControls"/>
    <ds:schemaRef ds:uri="a3575a51-539c-4333-a1aa-b7821a61ff78"/>
    <ds:schemaRef ds:uri="6e72e00d-af10-4443-a669-d2dc41a07b70"/>
  </ds:schemaRefs>
</ds:datastoreItem>
</file>

<file path=customXml/itemProps2.xml><?xml version="1.0" encoding="utf-8"?>
<ds:datastoreItem xmlns:ds="http://schemas.openxmlformats.org/officeDocument/2006/customXml" ds:itemID="{3412B363-76D0-439D-9C6D-7137E79BBB96}">
  <ds:schemaRefs>
    <ds:schemaRef ds:uri="http://schemas.microsoft.com/sharepoint/v3/contenttype/forms"/>
  </ds:schemaRefs>
</ds:datastoreItem>
</file>

<file path=customXml/itemProps3.xml><?xml version="1.0" encoding="utf-8"?>
<ds:datastoreItem xmlns:ds="http://schemas.openxmlformats.org/officeDocument/2006/customXml" ds:itemID="{E200C246-23F3-42CF-8C99-B0A1B268129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3575a51-539c-4333-a1aa-b7821a61ff78"/>
    <ds:schemaRef ds:uri="6e72e00d-af10-4443-a669-d2dc41a07b7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134</TotalTime>
  <Pages>16</Pages>
  <Words>4366</Words>
  <Characters>24891</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Brinn</dc:creator>
  <cp:keywords/>
  <dc:description/>
  <cp:lastModifiedBy>Laura Luff</cp:lastModifiedBy>
  <cp:revision>14</cp:revision>
  <dcterms:created xsi:type="dcterms:W3CDTF">2026-02-02T13:53:00Z</dcterms:created>
  <dcterms:modified xsi:type="dcterms:W3CDTF">2026-02-02T20:47:00Z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0x010100A1027FA789EB7342ACE2FB06F0C97FBE</vt:lpwstr>
  </property>
  <property fmtid="{D5CDD505-2E9C-101B-9397-08002B2CF9AE}" pid="3" name="MediaServiceImageTags">
    <vt:lpwstr/>
  </property>
</Properties>
</file>