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C3ADE" w:rsidRDefault="00246D13"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proofErr w:type="spellStart"/>
      <w:r>
        <w:rPr>
          <w:rFonts w:ascii="Times New Roman" w:eastAsia="Times New Roman" w:hAnsi="Times New Roman" w:cs="Times New Roman"/>
          <w:color w:val="000000"/>
          <w:sz w:val="24"/>
          <w:szCs w:val="24"/>
          <w:lang w:eastAsia="en-GB"/>
        </w:rPr>
        <w:t>Macrae</w:t>
      </w:r>
      <w:proofErr w:type="spellEnd"/>
      <w:r>
        <w:rPr>
          <w:rFonts w:ascii="Times New Roman" w:eastAsia="Times New Roman" w:hAnsi="Times New Roman" w:cs="Times New Roman"/>
          <w:color w:val="000000"/>
          <w:sz w:val="24"/>
          <w:szCs w:val="24"/>
          <w:lang w:eastAsia="en-GB"/>
        </w:rPr>
        <w:t xml:space="preserve"> H (2017) </w:t>
      </w:r>
      <w:bookmarkStart w:id="0" w:name="_GoBack"/>
      <w:bookmarkEnd w:id="0"/>
      <w:r w:rsidR="007C3ADE" w:rsidRPr="007C3ADE">
        <w:rPr>
          <w:rFonts w:ascii="Times New Roman" w:eastAsia="Times New Roman" w:hAnsi="Times New Roman" w:cs="Times New Roman"/>
          <w:color w:val="000000"/>
          <w:sz w:val="24"/>
          <w:szCs w:val="24"/>
          <w:lang w:eastAsia="en-GB"/>
        </w:rPr>
        <w:t>Should we take a leaf out of Ireland's book to cure our tax headache?</w:t>
      </w:r>
      <w:r w:rsidR="007C3ADE">
        <w:rPr>
          <w:rFonts w:ascii="Times New Roman" w:eastAsia="Times New Roman" w:hAnsi="Times New Roman" w:cs="Times New Roman"/>
          <w:color w:val="000000"/>
          <w:sz w:val="24"/>
          <w:szCs w:val="24"/>
          <w:lang w:eastAsia="en-GB"/>
        </w:rPr>
        <w:t xml:space="preserve"> This is Money, 7</w:t>
      </w:r>
      <w:r w:rsidR="007C3ADE" w:rsidRPr="007C3ADE">
        <w:rPr>
          <w:rFonts w:ascii="Times New Roman" w:eastAsia="Times New Roman" w:hAnsi="Times New Roman" w:cs="Times New Roman"/>
          <w:color w:val="000000"/>
          <w:sz w:val="24"/>
          <w:szCs w:val="24"/>
          <w:vertAlign w:val="superscript"/>
          <w:lang w:eastAsia="en-GB"/>
        </w:rPr>
        <w:t>th</w:t>
      </w:r>
      <w:r w:rsidR="007C3ADE">
        <w:rPr>
          <w:rFonts w:ascii="Times New Roman" w:eastAsia="Times New Roman" w:hAnsi="Times New Roman" w:cs="Times New Roman"/>
          <w:color w:val="000000"/>
          <w:sz w:val="24"/>
          <w:szCs w:val="24"/>
          <w:lang w:eastAsia="en-GB"/>
        </w:rPr>
        <w:t xml:space="preserve"> February 2017 available at </w:t>
      </w:r>
      <w:hyperlink r:id="rId5" w:history="1">
        <w:r w:rsidR="007C3ADE" w:rsidRPr="00DA02D4">
          <w:rPr>
            <w:rStyle w:val="Hyperlink"/>
            <w:rFonts w:ascii="Times New Roman" w:eastAsia="Times New Roman" w:hAnsi="Times New Roman" w:cs="Times New Roman"/>
            <w:sz w:val="24"/>
            <w:szCs w:val="24"/>
            <w:lang w:eastAsia="en-GB"/>
          </w:rPr>
          <w:t>http://www.thisismoney.co.uk/money/comment/article-4201690/HAMISH-MCRAE-Curing-tax-headache.html</w:t>
        </w:r>
      </w:hyperlink>
      <w:r w:rsidR="007C3ADE">
        <w:rPr>
          <w:rFonts w:ascii="Times New Roman" w:eastAsia="Times New Roman" w:hAnsi="Times New Roman" w:cs="Times New Roman"/>
          <w:color w:val="000000"/>
          <w:sz w:val="24"/>
          <w:szCs w:val="24"/>
          <w:lang w:eastAsia="en-GB"/>
        </w:rPr>
        <w:t xml:space="preserve"> </w:t>
      </w:r>
    </w:p>
    <w:p w:rsid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p>
    <w:p w:rsid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How much should it cost to run the government of a developed country? It is a simple question, but a tough one.</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In the UK over the past 30 years, we have raised 34 per cent-36 per cent of GDP in taxation. Add in other government revenues and the total is 36 per cent-38 per cent.</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Successive chancellors, notably Gordon Brown, have tried to push revenues up further, but all have failed.</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A recession comes along and clobbers their neat projections on their head.</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Getting the balance right: The HMRC offices in Whitehall. In the UK over the past 30 years, we have raised 34 per cent-36 per cent of GDP in taxation</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North Sea oil revenues boosted tax receipts in the 1980s, so you have to go back to the 1970s for a time when the Government took larger amounts in regular taxation.</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In the late 1970s the top income tax rate hit 83 per cent and the top rate on savings income 98 per cent. People didn't like that. We know what happened in 1979.</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So it is a decent working assumption that the practical limit that is politically and socially acceptable is around 37 per cent of GDP. That has not stopped chancellors spending more.</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That is the background to the so-called green budget of the Institute for Fiscal Studies, which notes that under present plans taxes will be the highest as a proportion of GDP since 1986, and that the squeeze on public spending will continue well into the 2020s.</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That sounds bleak until you consider two things. One is that the tax receipts will be only a percentage point or two above their 30-year levels, assuming, that is, that the money comes in. </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And the other is that this squeeze on spending still leaves it a couple of points higher than it was in the early Gordon Brown years.</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True, we are an ageing society, and true, older people have greater health and care needs. </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But every developed country in the world faces similar pressures, and as the report this week from PwC observed, the UK could be the fastest-growing G7 economy through to 2050. </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That was thanks, in part, to our relatively young and growing workforce.</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lastRenderedPageBreak/>
        <w:t>We do have a problem, but a more manageable one than most.</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So can you run decent public services with government revenues of 37 per cent of GDP? Well, some countries do. Switzerland does, spending about 32 per cent of GDP. </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Australia, the country with the largest number of British expats, does; it spends around 37 per cent of GDP.</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The US spends about that too, though it has uneven public services – great in some places but not in others. </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But the best example of a modern state that has come through a huge fiscal crisis but has still managed to get spending down to around 37 per cent of GDP is nearer home. It is Ireland.</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Backing BP</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It's time to cut BP some slack. It is still walking wounded after the catastrophe of Deepwater Horizon. That remains a text-book lesson for all energy enterprises as to why you can't cut corners. Human lives matter.</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But that was nearly seven years ago. Investors now quite reasonably baulk at the amount it pays its chief executive and directors. Profits were well below analysts' forecasts and the dividend is not covered.</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But there are two powerful reasons to support the company now.</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 xml:space="preserve">First is that it is one of the handful of FTSE 100 companies whose dividend matters to millions of pensioners. Brian </w:t>
      </w:r>
      <w:proofErr w:type="spellStart"/>
      <w:r w:rsidRPr="007C3ADE">
        <w:rPr>
          <w:rFonts w:ascii="Times New Roman" w:eastAsia="Times New Roman" w:hAnsi="Times New Roman" w:cs="Times New Roman"/>
          <w:color w:val="000000"/>
          <w:sz w:val="24"/>
          <w:szCs w:val="24"/>
          <w:lang w:eastAsia="en-GB"/>
        </w:rPr>
        <w:t>Gilvary</w:t>
      </w:r>
      <w:proofErr w:type="spellEnd"/>
      <w:r w:rsidRPr="007C3ADE">
        <w:rPr>
          <w:rFonts w:ascii="Times New Roman" w:eastAsia="Times New Roman" w:hAnsi="Times New Roman" w:cs="Times New Roman"/>
          <w:color w:val="000000"/>
          <w:sz w:val="24"/>
          <w:szCs w:val="24"/>
          <w:lang w:eastAsia="en-GB"/>
        </w:rPr>
        <w:t>, BP's chief financial officer, says that the dividend is more secure now than it has been for two years, and that must be right. </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Second is that the company is on the march again, investing in new projects including in the Gulf of Mexico. It is worth remembering that finding oil is something at which BP excels.</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For now, we need the stuff, and we need it to be extracted in an ethical and responsible way. A profitable BP is useful to society as well as its shareholders.</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Euro trouble</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Do politics matter to the economy? As far as the US is concerned, apparently not, because the bumpy ride of Donald Trump's new administration has been accompanied by rock-solid financial markets.</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The dollar had a further spurt yesterday and the Dow was pushing to new highs.</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As far as the UK is concerned, much the same applies, with the economy strong enough to put that little matter of an interest rate rise back on the agenda.</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But Europe? Well, as Capital Economics notes, things might be rather different in France or Italy if Eurosceptic parties are successful. </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lastRenderedPageBreak/>
        <w:t>Why the difference? Simple. In the case of the US and UK, there are independent currencies. In the case of European countries, there is the euro. </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Mario Draghi, president of the European Central Bank, told the European Parliament 'the euro is irrevocable'.</w:t>
      </w:r>
    </w:p>
    <w:p w:rsidR="007C3ADE" w:rsidRPr="007C3ADE" w:rsidRDefault="007C3ADE" w:rsidP="007C3AD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C3ADE">
        <w:rPr>
          <w:rFonts w:ascii="Times New Roman" w:eastAsia="Times New Roman" w:hAnsi="Times New Roman" w:cs="Times New Roman"/>
          <w:color w:val="000000"/>
          <w:sz w:val="24"/>
          <w:szCs w:val="24"/>
          <w:lang w:eastAsia="en-GB"/>
        </w:rPr>
        <w:t>Of course, he has to say that, but the fact that he feels it necessary to do so is a signal that the rest of us should be ready to head for the hills.</w:t>
      </w:r>
    </w:p>
    <w:p w:rsidR="007751C1" w:rsidRDefault="007751C1" w:rsidP="007C3ADE"/>
    <w:sectPr w:rsidR="007751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37C033C"/>
    <w:multiLevelType w:val="multilevel"/>
    <w:tmpl w:val="96165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D10C2B"/>
    <w:multiLevelType w:val="multilevel"/>
    <w:tmpl w:val="1C485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1B0EE3"/>
    <w:multiLevelType w:val="multilevel"/>
    <w:tmpl w:val="A156D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33B7122"/>
    <w:multiLevelType w:val="multilevel"/>
    <w:tmpl w:val="E09AF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13B5"/>
    <w:rsid w:val="0000531B"/>
    <w:rsid w:val="000105A0"/>
    <w:rsid w:val="0005545D"/>
    <w:rsid w:val="000650D6"/>
    <w:rsid w:val="000654B8"/>
    <w:rsid w:val="00067A96"/>
    <w:rsid w:val="00067DB0"/>
    <w:rsid w:val="00076A73"/>
    <w:rsid w:val="000C2072"/>
    <w:rsid w:val="000C3DA2"/>
    <w:rsid w:val="000C5384"/>
    <w:rsid w:val="001013B5"/>
    <w:rsid w:val="0012022D"/>
    <w:rsid w:val="001218D8"/>
    <w:rsid w:val="00136B32"/>
    <w:rsid w:val="00140AF6"/>
    <w:rsid w:val="00141D32"/>
    <w:rsid w:val="00165AF6"/>
    <w:rsid w:val="001719C5"/>
    <w:rsid w:val="00171F06"/>
    <w:rsid w:val="001738E7"/>
    <w:rsid w:val="00177326"/>
    <w:rsid w:val="001841E7"/>
    <w:rsid w:val="001861C6"/>
    <w:rsid w:val="0019093C"/>
    <w:rsid w:val="00194A4C"/>
    <w:rsid w:val="00197CD6"/>
    <w:rsid w:val="001A5D9A"/>
    <w:rsid w:val="001A6B15"/>
    <w:rsid w:val="001B55BD"/>
    <w:rsid w:val="001F70B2"/>
    <w:rsid w:val="00202188"/>
    <w:rsid w:val="002029FA"/>
    <w:rsid w:val="0021280C"/>
    <w:rsid w:val="00213F6E"/>
    <w:rsid w:val="00234B5A"/>
    <w:rsid w:val="00246D13"/>
    <w:rsid w:val="00247B21"/>
    <w:rsid w:val="00253C6E"/>
    <w:rsid w:val="00253D15"/>
    <w:rsid w:val="00255092"/>
    <w:rsid w:val="00264422"/>
    <w:rsid w:val="00270E10"/>
    <w:rsid w:val="00272563"/>
    <w:rsid w:val="00272E06"/>
    <w:rsid w:val="00280C2F"/>
    <w:rsid w:val="00285E34"/>
    <w:rsid w:val="00285FEB"/>
    <w:rsid w:val="002905F7"/>
    <w:rsid w:val="00295777"/>
    <w:rsid w:val="0029594F"/>
    <w:rsid w:val="00295D6D"/>
    <w:rsid w:val="002A1154"/>
    <w:rsid w:val="002A3367"/>
    <w:rsid w:val="002D73C3"/>
    <w:rsid w:val="002E0BAC"/>
    <w:rsid w:val="002E0F42"/>
    <w:rsid w:val="002E6D5C"/>
    <w:rsid w:val="002F6A57"/>
    <w:rsid w:val="00301242"/>
    <w:rsid w:val="00317BFB"/>
    <w:rsid w:val="003258CC"/>
    <w:rsid w:val="003310C4"/>
    <w:rsid w:val="00332B30"/>
    <w:rsid w:val="00334E8A"/>
    <w:rsid w:val="00345B3D"/>
    <w:rsid w:val="003474DF"/>
    <w:rsid w:val="00360E8B"/>
    <w:rsid w:val="0036145E"/>
    <w:rsid w:val="00366F59"/>
    <w:rsid w:val="00371CD5"/>
    <w:rsid w:val="003732E4"/>
    <w:rsid w:val="00373D90"/>
    <w:rsid w:val="00374913"/>
    <w:rsid w:val="00382DE1"/>
    <w:rsid w:val="0039563C"/>
    <w:rsid w:val="003B5926"/>
    <w:rsid w:val="003B5BE0"/>
    <w:rsid w:val="003C3AB5"/>
    <w:rsid w:val="003C616C"/>
    <w:rsid w:val="003D4C58"/>
    <w:rsid w:val="003F2CC9"/>
    <w:rsid w:val="003F7471"/>
    <w:rsid w:val="003F74E4"/>
    <w:rsid w:val="003F767F"/>
    <w:rsid w:val="00412B09"/>
    <w:rsid w:val="00416E8A"/>
    <w:rsid w:val="00426C4B"/>
    <w:rsid w:val="004270BC"/>
    <w:rsid w:val="00427A66"/>
    <w:rsid w:val="004319BA"/>
    <w:rsid w:val="00431ABA"/>
    <w:rsid w:val="004426F6"/>
    <w:rsid w:val="00460EC6"/>
    <w:rsid w:val="0046365B"/>
    <w:rsid w:val="00466E62"/>
    <w:rsid w:val="00481B66"/>
    <w:rsid w:val="004834FF"/>
    <w:rsid w:val="00483A48"/>
    <w:rsid w:val="0049268B"/>
    <w:rsid w:val="00493809"/>
    <w:rsid w:val="004B029D"/>
    <w:rsid w:val="004B50A4"/>
    <w:rsid w:val="004C48D8"/>
    <w:rsid w:val="0050626D"/>
    <w:rsid w:val="005112C9"/>
    <w:rsid w:val="00512959"/>
    <w:rsid w:val="00527BB0"/>
    <w:rsid w:val="005422B0"/>
    <w:rsid w:val="00550B3F"/>
    <w:rsid w:val="0057100A"/>
    <w:rsid w:val="00574F75"/>
    <w:rsid w:val="00584C10"/>
    <w:rsid w:val="005A07F7"/>
    <w:rsid w:val="005A777E"/>
    <w:rsid w:val="005B0F20"/>
    <w:rsid w:val="005D2CF1"/>
    <w:rsid w:val="005D5E9F"/>
    <w:rsid w:val="005F523F"/>
    <w:rsid w:val="005F629D"/>
    <w:rsid w:val="006064A5"/>
    <w:rsid w:val="00620898"/>
    <w:rsid w:val="00624369"/>
    <w:rsid w:val="006411B4"/>
    <w:rsid w:val="00647821"/>
    <w:rsid w:val="006479BD"/>
    <w:rsid w:val="006743C5"/>
    <w:rsid w:val="00681D5C"/>
    <w:rsid w:val="00693F0B"/>
    <w:rsid w:val="00695F95"/>
    <w:rsid w:val="00696053"/>
    <w:rsid w:val="006A16D4"/>
    <w:rsid w:val="006A4285"/>
    <w:rsid w:val="006B570A"/>
    <w:rsid w:val="006C1B57"/>
    <w:rsid w:val="006D346A"/>
    <w:rsid w:val="00710AE3"/>
    <w:rsid w:val="00734075"/>
    <w:rsid w:val="00751EC0"/>
    <w:rsid w:val="00764662"/>
    <w:rsid w:val="007658B2"/>
    <w:rsid w:val="007751C1"/>
    <w:rsid w:val="00786A2E"/>
    <w:rsid w:val="0079282F"/>
    <w:rsid w:val="00792DA6"/>
    <w:rsid w:val="0079755F"/>
    <w:rsid w:val="007A6535"/>
    <w:rsid w:val="007B7757"/>
    <w:rsid w:val="007C3ADE"/>
    <w:rsid w:val="007C672E"/>
    <w:rsid w:val="007D49ED"/>
    <w:rsid w:val="007D7C53"/>
    <w:rsid w:val="007E090B"/>
    <w:rsid w:val="00800F61"/>
    <w:rsid w:val="008029FB"/>
    <w:rsid w:val="00811EE2"/>
    <w:rsid w:val="0081755D"/>
    <w:rsid w:val="00822BA7"/>
    <w:rsid w:val="00823D53"/>
    <w:rsid w:val="00835C12"/>
    <w:rsid w:val="008363F8"/>
    <w:rsid w:val="00851C9F"/>
    <w:rsid w:val="00862292"/>
    <w:rsid w:val="00880A0C"/>
    <w:rsid w:val="00884696"/>
    <w:rsid w:val="00894628"/>
    <w:rsid w:val="008B0188"/>
    <w:rsid w:val="008C5685"/>
    <w:rsid w:val="008C6C5F"/>
    <w:rsid w:val="008F6116"/>
    <w:rsid w:val="00901B88"/>
    <w:rsid w:val="009024DE"/>
    <w:rsid w:val="00904D4C"/>
    <w:rsid w:val="00906BAC"/>
    <w:rsid w:val="009309DC"/>
    <w:rsid w:val="009378D2"/>
    <w:rsid w:val="00937A74"/>
    <w:rsid w:val="009509B7"/>
    <w:rsid w:val="00965A82"/>
    <w:rsid w:val="00966DBD"/>
    <w:rsid w:val="0097778D"/>
    <w:rsid w:val="00985A6F"/>
    <w:rsid w:val="00985D44"/>
    <w:rsid w:val="009863A4"/>
    <w:rsid w:val="00987064"/>
    <w:rsid w:val="009924B3"/>
    <w:rsid w:val="00994B29"/>
    <w:rsid w:val="009952E4"/>
    <w:rsid w:val="00997E82"/>
    <w:rsid w:val="009A1AA6"/>
    <w:rsid w:val="009A1C85"/>
    <w:rsid w:val="009B5E15"/>
    <w:rsid w:val="009E31B5"/>
    <w:rsid w:val="009E5BCC"/>
    <w:rsid w:val="009F058C"/>
    <w:rsid w:val="00A0157A"/>
    <w:rsid w:val="00A05E32"/>
    <w:rsid w:val="00A215C6"/>
    <w:rsid w:val="00A370A5"/>
    <w:rsid w:val="00A41ACE"/>
    <w:rsid w:val="00A459AD"/>
    <w:rsid w:val="00A47411"/>
    <w:rsid w:val="00A50178"/>
    <w:rsid w:val="00A5524F"/>
    <w:rsid w:val="00A869C0"/>
    <w:rsid w:val="00A87658"/>
    <w:rsid w:val="00A87B0F"/>
    <w:rsid w:val="00A93A6E"/>
    <w:rsid w:val="00A94739"/>
    <w:rsid w:val="00AA7E21"/>
    <w:rsid w:val="00AB0C4E"/>
    <w:rsid w:val="00AB3681"/>
    <w:rsid w:val="00AD3EA1"/>
    <w:rsid w:val="00AE484E"/>
    <w:rsid w:val="00AE592D"/>
    <w:rsid w:val="00AF221B"/>
    <w:rsid w:val="00AF37F8"/>
    <w:rsid w:val="00AF3D62"/>
    <w:rsid w:val="00B10A16"/>
    <w:rsid w:val="00B200D3"/>
    <w:rsid w:val="00B33424"/>
    <w:rsid w:val="00B451B9"/>
    <w:rsid w:val="00B45224"/>
    <w:rsid w:val="00B574F2"/>
    <w:rsid w:val="00B63372"/>
    <w:rsid w:val="00B63B95"/>
    <w:rsid w:val="00B6463E"/>
    <w:rsid w:val="00B70A7C"/>
    <w:rsid w:val="00B70E35"/>
    <w:rsid w:val="00B85CD1"/>
    <w:rsid w:val="00B861B2"/>
    <w:rsid w:val="00B960B2"/>
    <w:rsid w:val="00BA4F67"/>
    <w:rsid w:val="00BD00F0"/>
    <w:rsid w:val="00BD3003"/>
    <w:rsid w:val="00BD6F5C"/>
    <w:rsid w:val="00BE0CB1"/>
    <w:rsid w:val="00BE7571"/>
    <w:rsid w:val="00C02ECD"/>
    <w:rsid w:val="00C3662B"/>
    <w:rsid w:val="00C37EFC"/>
    <w:rsid w:val="00C4129D"/>
    <w:rsid w:val="00C6053B"/>
    <w:rsid w:val="00C62D83"/>
    <w:rsid w:val="00C86FF9"/>
    <w:rsid w:val="00CA2C24"/>
    <w:rsid w:val="00CB0C41"/>
    <w:rsid w:val="00CC0241"/>
    <w:rsid w:val="00CC08B2"/>
    <w:rsid w:val="00CC779D"/>
    <w:rsid w:val="00CD2768"/>
    <w:rsid w:val="00CE235E"/>
    <w:rsid w:val="00CE424D"/>
    <w:rsid w:val="00CE58F8"/>
    <w:rsid w:val="00CF3608"/>
    <w:rsid w:val="00CF37F1"/>
    <w:rsid w:val="00D01E09"/>
    <w:rsid w:val="00D11487"/>
    <w:rsid w:val="00D1474D"/>
    <w:rsid w:val="00D45321"/>
    <w:rsid w:val="00D70C65"/>
    <w:rsid w:val="00D81954"/>
    <w:rsid w:val="00D85BFF"/>
    <w:rsid w:val="00DB4127"/>
    <w:rsid w:val="00DC55F3"/>
    <w:rsid w:val="00DE5AC9"/>
    <w:rsid w:val="00DE5B71"/>
    <w:rsid w:val="00E0039F"/>
    <w:rsid w:val="00E00EE4"/>
    <w:rsid w:val="00E01A3B"/>
    <w:rsid w:val="00E15C6E"/>
    <w:rsid w:val="00E2080E"/>
    <w:rsid w:val="00E3169A"/>
    <w:rsid w:val="00E345E3"/>
    <w:rsid w:val="00E40EB9"/>
    <w:rsid w:val="00E5703B"/>
    <w:rsid w:val="00E609D1"/>
    <w:rsid w:val="00E63BA4"/>
    <w:rsid w:val="00E64641"/>
    <w:rsid w:val="00E73FE2"/>
    <w:rsid w:val="00E863D8"/>
    <w:rsid w:val="00EA7369"/>
    <w:rsid w:val="00EC2B30"/>
    <w:rsid w:val="00EC3793"/>
    <w:rsid w:val="00EC43B9"/>
    <w:rsid w:val="00EC6CE4"/>
    <w:rsid w:val="00ED13E8"/>
    <w:rsid w:val="00ED3B9B"/>
    <w:rsid w:val="00ED5402"/>
    <w:rsid w:val="00EE7F6C"/>
    <w:rsid w:val="00EF0FA8"/>
    <w:rsid w:val="00EF19F8"/>
    <w:rsid w:val="00EF7EDB"/>
    <w:rsid w:val="00F06985"/>
    <w:rsid w:val="00F23FEC"/>
    <w:rsid w:val="00F370A1"/>
    <w:rsid w:val="00F426D2"/>
    <w:rsid w:val="00F64024"/>
    <w:rsid w:val="00F662BD"/>
    <w:rsid w:val="00F717D0"/>
    <w:rsid w:val="00F73A55"/>
    <w:rsid w:val="00F87E2A"/>
    <w:rsid w:val="00F90090"/>
    <w:rsid w:val="00F95C04"/>
    <w:rsid w:val="00FA40B7"/>
    <w:rsid w:val="00FB77D7"/>
    <w:rsid w:val="00FC0C69"/>
    <w:rsid w:val="00FC5F43"/>
    <w:rsid w:val="00FD3AF8"/>
    <w:rsid w:val="00FF5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5E52302-AAA7-413F-A5FF-B09C12C44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3AD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4227696">
      <w:bodyDiv w:val="1"/>
      <w:marLeft w:val="0"/>
      <w:marRight w:val="0"/>
      <w:marTop w:val="0"/>
      <w:marBottom w:val="0"/>
      <w:divBdr>
        <w:top w:val="none" w:sz="0" w:space="0" w:color="auto"/>
        <w:left w:val="none" w:sz="0" w:space="0" w:color="auto"/>
        <w:bottom w:val="none" w:sz="0" w:space="0" w:color="auto"/>
        <w:right w:val="none" w:sz="0" w:space="0" w:color="auto"/>
      </w:divBdr>
      <w:divsChild>
        <w:div w:id="478117179">
          <w:marLeft w:val="0"/>
          <w:marRight w:val="0"/>
          <w:marTop w:val="0"/>
          <w:marBottom w:val="0"/>
          <w:divBdr>
            <w:top w:val="none" w:sz="0" w:space="0" w:color="auto"/>
            <w:left w:val="none" w:sz="0" w:space="0" w:color="auto"/>
            <w:bottom w:val="none" w:sz="0" w:space="0" w:color="auto"/>
            <w:right w:val="none" w:sz="0" w:space="0" w:color="auto"/>
          </w:divBdr>
        </w:div>
        <w:div w:id="1627392478">
          <w:marLeft w:val="0"/>
          <w:marRight w:val="0"/>
          <w:marTop w:val="0"/>
          <w:marBottom w:val="0"/>
          <w:divBdr>
            <w:top w:val="none" w:sz="0" w:space="0" w:color="auto"/>
            <w:left w:val="none" w:sz="0" w:space="0" w:color="auto"/>
            <w:bottom w:val="none" w:sz="0" w:space="0" w:color="auto"/>
            <w:right w:val="none" w:sz="0" w:space="0" w:color="auto"/>
          </w:divBdr>
          <w:divsChild>
            <w:div w:id="318463811">
              <w:marLeft w:val="0"/>
              <w:marRight w:val="0"/>
              <w:marTop w:val="0"/>
              <w:marBottom w:val="0"/>
              <w:divBdr>
                <w:top w:val="none" w:sz="0" w:space="0" w:color="auto"/>
                <w:left w:val="none" w:sz="0" w:space="0" w:color="auto"/>
                <w:bottom w:val="none" w:sz="0" w:space="0" w:color="auto"/>
                <w:right w:val="none" w:sz="0" w:space="0" w:color="auto"/>
              </w:divBdr>
              <w:divsChild>
                <w:div w:id="491718917">
                  <w:marLeft w:val="0"/>
                  <w:marRight w:val="0"/>
                  <w:marTop w:val="0"/>
                  <w:marBottom w:val="0"/>
                  <w:divBdr>
                    <w:top w:val="none" w:sz="0" w:space="0" w:color="auto"/>
                    <w:left w:val="none" w:sz="0" w:space="0" w:color="auto"/>
                    <w:bottom w:val="none" w:sz="0" w:space="0" w:color="auto"/>
                    <w:right w:val="none" w:sz="0" w:space="0" w:color="auto"/>
                  </w:divBdr>
                  <w:divsChild>
                    <w:div w:id="318387567">
                      <w:marLeft w:val="0"/>
                      <w:marRight w:val="0"/>
                      <w:marTop w:val="0"/>
                      <w:marBottom w:val="0"/>
                      <w:divBdr>
                        <w:top w:val="none" w:sz="0" w:space="0" w:color="auto"/>
                        <w:left w:val="none" w:sz="0" w:space="0" w:color="auto"/>
                        <w:bottom w:val="none" w:sz="0" w:space="0" w:color="auto"/>
                        <w:right w:val="none" w:sz="0" w:space="0" w:color="auto"/>
                      </w:divBdr>
                      <w:divsChild>
                        <w:div w:id="1736589360">
                          <w:marLeft w:val="0"/>
                          <w:marRight w:val="0"/>
                          <w:marTop w:val="0"/>
                          <w:marBottom w:val="0"/>
                          <w:divBdr>
                            <w:top w:val="none" w:sz="0" w:space="0" w:color="auto"/>
                            <w:left w:val="none" w:sz="0" w:space="0" w:color="auto"/>
                            <w:bottom w:val="none" w:sz="0" w:space="0" w:color="auto"/>
                            <w:right w:val="none" w:sz="0" w:space="0" w:color="auto"/>
                          </w:divBdr>
                        </w:div>
                      </w:divsChild>
                    </w:div>
                    <w:div w:id="2027440971">
                      <w:marLeft w:val="0"/>
                      <w:marRight w:val="0"/>
                      <w:marTop w:val="0"/>
                      <w:marBottom w:val="0"/>
                      <w:divBdr>
                        <w:top w:val="none" w:sz="0" w:space="0" w:color="auto"/>
                        <w:left w:val="none" w:sz="0" w:space="0" w:color="auto"/>
                        <w:bottom w:val="none" w:sz="0" w:space="0" w:color="auto"/>
                        <w:right w:val="none" w:sz="0" w:space="0" w:color="auto"/>
                      </w:divBdr>
                      <w:divsChild>
                        <w:div w:id="111824584">
                          <w:marLeft w:val="0"/>
                          <w:marRight w:val="0"/>
                          <w:marTop w:val="0"/>
                          <w:marBottom w:val="0"/>
                          <w:divBdr>
                            <w:top w:val="none" w:sz="0" w:space="0" w:color="auto"/>
                            <w:left w:val="none" w:sz="0" w:space="0" w:color="auto"/>
                            <w:bottom w:val="none" w:sz="0" w:space="0" w:color="auto"/>
                            <w:right w:val="none" w:sz="0" w:space="0" w:color="auto"/>
                          </w:divBdr>
                          <w:divsChild>
                            <w:div w:id="1197160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866734">
              <w:marLeft w:val="0"/>
              <w:marRight w:val="0"/>
              <w:marTop w:val="0"/>
              <w:marBottom w:val="0"/>
              <w:divBdr>
                <w:top w:val="none" w:sz="0" w:space="0" w:color="auto"/>
                <w:left w:val="none" w:sz="0" w:space="0" w:color="auto"/>
                <w:bottom w:val="none" w:sz="0" w:space="0" w:color="auto"/>
                <w:right w:val="none" w:sz="0" w:space="0" w:color="auto"/>
              </w:divBdr>
              <w:divsChild>
                <w:div w:id="1543126830">
                  <w:marLeft w:val="0"/>
                  <w:marRight w:val="0"/>
                  <w:marTop w:val="0"/>
                  <w:marBottom w:val="0"/>
                  <w:divBdr>
                    <w:top w:val="none" w:sz="0" w:space="0" w:color="auto"/>
                    <w:left w:val="none" w:sz="0" w:space="0" w:color="auto"/>
                    <w:bottom w:val="none" w:sz="0" w:space="0" w:color="auto"/>
                    <w:right w:val="none" w:sz="0" w:space="0" w:color="auto"/>
                  </w:divBdr>
                  <w:divsChild>
                    <w:div w:id="262034662">
                      <w:marLeft w:val="0"/>
                      <w:marRight w:val="0"/>
                      <w:marTop w:val="0"/>
                      <w:marBottom w:val="0"/>
                      <w:divBdr>
                        <w:top w:val="none" w:sz="0" w:space="0" w:color="auto"/>
                        <w:left w:val="none" w:sz="0" w:space="0" w:color="auto"/>
                        <w:bottom w:val="none" w:sz="0" w:space="0" w:color="auto"/>
                        <w:right w:val="none" w:sz="0" w:space="0" w:color="auto"/>
                      </w:divBdr>
                      <w:divsChild>
                        <w:div w:id="327487294">
                          <w:marLeft w:val="0"/>
                          <w:marRight w:val="0"/>
                          <w:marTop w:val="0"/>
                          <w:marBottom w:val="0"/>
                          <w:divBdr>
                            <w:top w:val="none" w:sz="0" w:space="0" w:color="auto"/>
                            <w:left w:val="none" w:sz="0" w:space="0" w:color="auto"/>
                            <w:bottom w:val="none" w:sz="0" w:space="0" w:color="auto"/>
                            <w:right w:val="none" w:sz="0" w:space="0" w:color="auto"/>
                          </w:divBdr>
                        </w:div>
                      </w:divsChild>
                    </w:div>
                    <w:div w:id="108472222">
                      <w:marLeft w:val="0"/>
                      <w:marRight w:val="0"/>
                      <w:marTop w:val="0"/>
                      <w:marBottom w:val="0"/>
                      <w:divBdr>
                        <w:top w:val="none" w:sz="0" w:space="0" w:color="auto"/>
                        <w:left w:val="none" w:sz="0" w:space="0" w:color="auto"/>
                        <w:bottom w:val="none" w:sz="0" w:space="0" w:color="auto"/>
                        <w:right w:val="none" w:sz="0" w:space="0" w:color="auto"/>
                      </w:divBdr>
                      <w:divsChild>
                        <w:div w:id="321470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thisismoney.co.uk/money/comment/article-4201690/HAMISH-MCRAE-Curing-tax-headache.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3</Pages>
  <Words>763</Words>
  <Characters>4351</Characters>
  <Application>Microsoft Office Word</Application>
  <DocSecurity>0</DocSecurity>
  <Lines>36</Lines>
  <Paragraphs>10</Paragraphs>
  <ScaleCrop>false</ScaleCrop>
  <Company>University of Wales Trinity Saint David</Company>
  <LinksUpToDate>false</LinksUpToDate>
  <CharactersWithSpaces>5104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3</cp:revision>
  <dcterms:created xsi:type="dcterms:W3CDTF">2017-10-11T08:33:00Z</dcterms:created>
  <dcterms:modified xsi:type="dcterms:W3CDTF">2017-10-11T08:36:00Z</dcterms:modified>
</cp:coreProperties>
</file>