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D18A84A" w14:textId="77777777" w:rsidR="004413A3" w:rsidRDefault="004413A3" w:rsidP="004413A3">
      <w:pPr>
        <w:jc w:val="center"/>
        <w:rPr>
          <w:b/>
          <w:color w:val="000000" w:themeColor="text1"/>
          <w:lang w:val="en-GB"/>
        </w:rPr>
      </w:pPr>
    </w:p>
    <w:p w14:paraId="4407969C" w14:textId="77777777" w:rsidR="004413A3" w:rsidRDefault="004413A3" w:rsidP="004413A3">
      <w:pPr>
        <w:jc w:val="center"/>
        <w:rPr>
          <w:b/>
          <w:color w:val="000000" w:themeColor="text1"/>
          <w:lang w:val="en-GB"/>
        </w:rPr>
      </w:pPr>
    </w:p>
    <w:p w14:paraId="75FCFA38" w14:textId="77777777" w:rsidR="004413A3" w:rsidRPr="00EF3725" w:rsidRDefault="004413A3" w:rsidP="004413A3">
      <w:pPr>
        <w:jc w:val="center"/>
        <w:rPr>
          <w:b/>
          <w:color w:val="000000" w:themeColor="text1"/>
          <w:lang w:val="en-GB"/>
        </w:rPr>
      </w:pPr>
      <w:r>
        <w:rPr>
          <w:noProof/>
        </w:rPr>
        <w:drawing>
          <wp:inline distT="0" distB="0" distL="0" distR="0" wp14:anchorId="111534DB" wp14:editId="75997DDD">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18204C" w14:textId="77777777" w:rsidR="004413A3" w:rsidRPr="00EF3725" w:rsidRDefault="004413A3" w:rsidP="004413A3">
      <w:pPr>
        <w:jc w:val="center"/>
        <w:rPr>
          <w:b/>
          <w:color w:val="000000" w:themeColor="text1"/>
          <w:lang w:val="en-GB"/>
        </w:rPr>
      </w:pPr>
    </w:p>
    <w:p w14:paraId="099BB118" w14:textId="77777777" w:rsidR="004413A3" w:rsidRPr="00EF3725" w:rsidRDefault="004413A3" w:rsidP="004413A3">
      <w:pPr>
        <w:jc w:val="center"/>
        <w:rPr>
          <w:b/>
          <w:color w:val="000000" w:themeColor="text1"/>
          <w:lang w:val="en-GB"/>
        </w:rPr>
      </w:pPr>
    </w:p>
    <w:p w14:paraId="34E5A303" w14:textId="77777777" w:rsidR="004413A3" w:rsidRPr="00EF3725" w:rsidRDefault="004413A3" w:rsidP="004413A3">
      <w:pPr>
        <w:jc w:val="center"/>
        <w:rPr>
          <w:b/>
          <w:color w:val="000000" w:themeColor="text1"/>
          <w:lang w:val="en-GB"/>
        </w:rPr>
      </w:pPr>
      <w:r w:rsidRPr="00EF3725">
        <w:rPr>
          <w:b/>
          <w:color w:val="000000" w:themeColor="text1"/>
          <w:lang w:val="en-GB"/>
        </w:rPr>
        <w:t xml:space="preserve"> </w:t>
      </w:r>
    </w:p>
    <w:p w14:paraId="335B4511" w14:textId="77777777" w:rsidR="004413A3" w:rsidRDefault="004413A3" w:rsidP="004413A3">
      <w:pPr>
        <w:jc w:val="center"/>
        <w:rPr>
          <w:b/>
          <w:color w:val="000000" w:themeColor="text1"/>
          <w:sz w:val="32"/>
          <w:lang w:val="en-GB"/>
        </w:rPr>
      </w:pPr>
    </w:p>
    <w:p w14:paraId="6427F6E1" w14:textId="77777777" w:rsidR="004413A3" w:rsidRDefault="004413A3" w:rsidP="004413A3">
      <w:pPr>
        <w:jc w:val="center"/>
        <w:rPr>
          <w:b/>
          <w:color w:val="000000" w:themeColor="text1"/>
          <w:sz w:val="32"/>
          <w:lang w:val="en-GB"/>
        </w:rPr>
      </w:pPr>
    </w:p>
    <w:p w14:paraId="68AB73E4" w14:textId="4F755AC4" w:rsidR="004413A3" w:rsidRDefault="004413A3" w:rsidP="004413A3">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1489EED0" w14:textId="77777777" w:rsidR="004413A3" w:rsidRDefault="004413A3" w:rsidP="004413A3">
      <w:pPr>
        <w:jc w:val="center"/>
        <w:rPr>
          <w:bCs/>
          <w:color w:val="000000" w:themeColor="text1"/>
          <w:sz w:val="32"/>
          <w:lang w:val="en-GB"/>
        </w:rPr>
      </w:pPr>
      <w:r>
        <w:rPr>
          <w:bCs/>
          <w:color w:val="000000" w:themeColor="text1"/>
          <w:sz w:val="32"/>
          <w:lang w:val="en-GB"/>
        </w:rPr>
        <w:t>Term 1</w:t>
      </w:r>
    </w:p>
    <w:p w14:paraId="0A9B5425" w14:textId="77777777" w:rsidR="004413A3" w:rsidRPr="00B420D9" w:rsidRDefault="004413A3" w:rsidP="004413A3">
      <w:pPr>
        <w:jc w:val="center"/>
        <w:rPr>
          <w:bCs/>
          <w:color w:val="000000" w:themeColor="text1"/>
          <w:sz w:val="32"/>
          <w:lang w:val="en-GB"/>
        </w:rPr>
      </w:pPr>
    </w:p>
    <w:p w14:paraId="03F7B3DC" w14:textId="64F7C637" w:rsidR="004413A3" w:rsidRPr="00B420D9" w:rsidRDefault="004413A3" w:rsidP="004413A3">
      <w:pPr>
        <w:jc w:val="center"/>
        <w:rPr>
          <w:b/>
          <w:color w:val="000000" w:themeColor="text1"/>
          <w:sz w:val="32"/>
          <w:lang w:val="en-GB"/>
        </w:rPr>
      </w:pPr>
      <w:r w:rsidRPr="00B420D9">
        <w:rPr>
          <w:b/>
          <w:color w:val="000000" w:themeColor="text1"/>
          <w:sz w:val="32"/>
          <w:lang w:val="en-GB"/>
        </w:rPr>
        <w:t xml:space="preserve">STUDENT NAME: </w:t>
      </w:r>
      <w:r>
        <w:rPr>
          <w:bCs/>
          <w:color w:val="000000" w:themeColor="text1"/>
          <w:sz w:val="32"/>
          <w:lang w:val="en-GB"/>
        </w:rPr>
        <w:t>Anuj Raval</w:t>
      </w:r>
    </w:p>
    <w:p w14:paraId="50BBBD09" w14:textId="0966D957" w:rsidR="004413A3" w:rsidRDefault="004413A3" w:rsidP="004413A3">
      <w:pPr>
        <w:jc w:val="center"/>
        <w:rPr>
          <w:b/>
          <w:color w:val="000000" w:themeColor="text1"/>
          <w:sz w:val="32"/>
          <w:lang w:val="en-GB"/>
        </w:rPr>
      </w:pPr>
      <w:r w:rsidRPr="00B420D9">
        <w:rPr>
          <w:b/>
          <w:color w:val="000000" w:themeColor="text1"/>
          <w:sz w:val="32"/>
          <w:lang w:val="en-GB"/>
        </w:rPr>
        <w:t xml:space="preserve">STUDENT ID: </w:t>
      </w:r>
      <w:r>
        <w:rPr>
          <w:bCs/>
          <w:color w:val="000000" w:themeColor="text1"/>
          <w:sz w:val="32"/>
          <w:lang w:val="en-GB"/>
        </w:rPr>
        <w:t>2432471</w:t>
      </w:r>
    </w:p>
    <w:p w14:paraId="4D4FF25D" w14:textId="77777777" w:rsidR="004413A3" w:rsidRDefault="004413A3" w:rsidP="004413A3">
      <w:pPr>
        <w:jc w:val="center"/>
        <w:rPr>
          <w:b/>
          <w:color w:val="000000" w:themeColor="text1"/>
          <w:sz w:val="32"/>
          <w:lang w:val="en-GB"/>
        </w:rPr>
      </w:pPr>
    </w:p>
    <w:p w14:paraId="0F11A970" w14:textId="77777777" w:rsidR="004413A3" w:rsidRDefault="004413A3" w:rsidP="004413A3">
      <w:pPr>
        <w:jc w:val="center"/>
        <w:rPr>
          <w:bCs/>
          <w:color w:val="000000" w:themeColor="text1"/>
          <w:sz w:val="32"/>
        </w:rPr>
      </w:pPr>
      <w:r w:rsidRPr="00EF3725">
        <w:rPr>
          <w:b/>
          <w:color w:val="000000" w:themeColor="text1"/>
          <w:sz w:val="32"/>
          <w:lang w:val="en-GB"/>
        </w:rPr>
        <w:t xml:space="preserve">MODULE: </w:t>
      </w:r>
      <w:r w:rsidRPr="005C079A">
        <w:rPr>
          <w:bCs/>
          <w:color w:val="000000" w:themeColor="text1"/>
          <w:sz w:val="32"/>
        </w:rPr>
        <w:t>Financial Management</w:t>
      </w:r>
    </w:p>
    <w:p w14:paraId="339DE463" w14:textId="77777777" w:rsidR="004413A3" w:rsidRDefault="004413A3" w:rsidP="004413A3">
      <w:pPr>
        <w:jc w:val="center"/>
        <w:rPr>
          <w:b/>
          <w:color w:val="000000" w:themeColor="text1"/>
          <w:sz w:val="32"/>
          <w:szCs w:val="32"/>
          <w:lang w:val="en-GB"/>
        </w:rPr>
      </w:pPr>
      <w:r w:rsidRPr="00EF3725">
        <w:rPr>
          <w:b/>
          <w:color w:val="000000" w:themeColor="text1"/>
          <w:sz w:val="32"/>
          <w:szCs w:val="32"/>
          <w:lang w:val="en-GB"/>
        </w:rPr>
        <w:t xml:space="preserve">MODULE CODE: </w:t>
      </w:r>
      <w:r w:rsidRPr="005C079A">
        <w:rPr>
          <w:bCs/>
          <w:color w:val="000000" w:themeColor="text1"/>
          <w:sz w:val="32"/>
          <w:szCs w:val="32"/>
        </w:rPr>
        <w:t>LCMB7002</w:t>
      </w:r>
    </w:p>
    <w:p w14:paraId="4B4F745E" w14:textId="77777777" w:rsidR="004413A3" w:rsidRDefault="004413A3" w:rsidP="004413A3">
      <w:pPr>
        <w:jc w:val="center"/>
        <w:rPr>
          <w:b/>
          <w:color w:val="000000" w:themeColor="text1"/>
          <w:sz w:val="32"/>
          <w:szCs w:val="32"/>
          <w:lang w:val="en-GB"/>
        </w:rPr>
      </w:pPr>
    </w:p>
    <w:p w14:paraId="42302226" w14:textId="77777777" w:rsidR="004413A3" w:rsidRDefault="004413A3" w:rsidP="004413A3">
      <w:pPr>
        <w:jc w:val="center"/>
        <w:rPr>
          <w:bCs/>
          <w:color w:val="000000" w:themeColor="text1"/>
          <w:sz w:val="32"/>
          <w:szCs w:val="32"/>
        </w:rPr>
      </w:pPr>
      <w:r>
        <w:rPr>
          <w:b/>
          <w:color w:val="000000" w:themeColor="text1"/>
          <w:sz w:val="32"/>
          <w:szCs w:val="32"/>
          <w:lang w:val="en-GB"/>
        </w:rPr>
        <w:t xml:space="preserve">Lecturer’s Name: </w:t>
      </w:r>
      <w:r w:rsidRPr="005C079A">
        <w:rPr>
          <w:bCs/>
          <w:color w:val="000000" w:themeColor="text1"/>
          <w:sz w:val="32"/>
          <w:szCs w:val="32"/>
        </w:rPr>
        <w:t>Md Kalam</w:t>
      </w:r>
    </w:p>
    <w:p w14:paraId="4B9AEA24" w14:textId="6F868CEC" w:rsidR="004413A3" w:rsidRPr="00FB079D" w:rsidRDefault="004413A3" w:rsidP="004413A3">
      <w:pPr>
        <w:jc w:val="center"/>
        <w:rPr>
          <w:bCs/>
          <w:color w:val="000000" w:themeColor="text1"/>
          <w:sz w:val="32"/>
          <w:szCs w:val="32"/>
          <w:lang w:val="en-GB"/>
        </w:rPr>
      </w:pPr>
      <w:r w:rsidRPr="00FB079D">
        <w:rPr>
          <w:b/>
          <w:color w:val="000000" w:themeColor="text1"/>
          <w:sz w:val="32"/>
          <w:szCs w:val="32"/>
          <w:lang w:val="en-GB"/>
        </w:rPr>
        <w:t>Word Count:</w:t>
      </w:r>
      <w:r>
        <w:rPr>
          <w:b/>
          <w:color w:val="000000" w:themeColor="text1"/>
          <w:sz w:val="32"/>
          <w:szCs w:val="32"/>
          <w:lang w:val="en-GB"/>
        </w:rPr>
        <w:t xml:space="preserve"> </w:t>
      </w:r>
      <w:r>
        <w:rPr>
          <w:bCs/>
          <w:color w:val="000000" w:themeColor="text1"/>
          <w:sz w:val="32"/>
          <w:szCs w:val="32"/>
          <w:lang w:val="en-GB"/>
        </w:rPr>
        <w:t>5</w:t>
      </w:r>
      <w:r>
        <w:rPr>
          <w:bCs/>
          <w:color w:val="000000" w:themeColor="text1"/>
          <w:sz w:val="32"/>
          <w:szCs w:val="32"/>
          <w:lang w:val="en-GB"/>
        </w:rPr>
        <w:t>205</w:t>
      </w:r>
      <w:r>
        <w:rPr>
          <w:bCs/>
          <w:color w:val="000000" w:themeColor="text1"/>
          <w:sz w:val="32"/>
          <w:szCs w:val="32"/>
          <w:lang w:val="en-GB"/>
        </w:rPr>
        <w:t>/5000</w:t>
      </w:r>
    </w:p>
    <w:p w14:paraId="12044296" w14:textId="7467619D" w:rsidR="00742F3C" w:rsidRPr="009804F1" w:rsidRDefault="00742F3C" w:rsidP="00033239">
      <w:pPr>
        <w:pStyle w:val="Title"/>
        <w:rPr>
          <w:rFonts w:ascii="Arial" w:hAnsi="Arial" w:cs="Arial"/>
          <w:sz w:val="24"/>
          <w:szCs w:val="24"/>
          <w:lang w:val="en-GB"/>
        </w:rPr>
      </w:pPr>
    </w:p>
    <w:sdt>
      <w:sdtPr>
        <w:rPr>
          <w:rFonts w:ascii="Arial" w:eastAsia="Times New Roman" w:hAnsi="Arial" w:cs="Arial"/>
          <w:b w:val="0"/>
          <w:bCs w:val="0"/>
          <w:color w:val="auto"/>
          <w:sz w:val="24"/>
          <w:szCs w:val="24"/>
          <w:lang w:val="en-GB" w:eastAsia="en-GB"/>
        </w:rPr>
        <w:id w:val="1865321959"/>
        <w:docPartObj>
          <w:docPartGallery w:val="Table of Contents"/>
          <w:docPartUnique/>
        </w:docPartObj>
      </w:sdtPr>
      <w:sdtEndPr>
        <w:rPr>
          <w:noProof/>
        </w:rPr>
      </w:sdtEndPr>
      <w:sdtContent>
        <w:p w14:paraId="60DD5D1E" w14:textId="77777777" w:rsidR="005E6830" w:rsidRPr="009804F1" w:rsidRDefault="005E6830" w:rsidP="00033239">
          <w:pPr>
            <w:pStyle w:val="TOCHeading"/>
            <w:spacing w:line="360" w:lineRule="auto"/>
            <w:jc w:val="center"/>
            <w:rPr>
              <w:rFonts w:ascii="Arial" w:hAnsi="Arial" w:cs="Arial"/>
              <w:color w:val="000000" w:themeColor="text1"/>
              <w:sz w:val="24"/>
              <w:szCs w:val="24"/>
              <w:lang w:val="en-GB"/>
            </w:rPr>
          </w:pPr>
          <w:r w:rsidRPr="009804F1">
            <w:rPr>
              <w:rFonts w:ascii="Arial" w:hAnsi="Arial" w:cs="Arial"/>
              <w:color w:val="000000" w:themeColor="text1"/>
              <w:sz w:val="24"/>
              <w:szCs w:val="24"/>
              <w:lang w:val="en-GB"/>
            </w:rPr>
            <w:t>Table of Contents</w:t>
          </w:r>
        </w:p>
        <w:p w14:paraId="175F8AAA" w14:textId="01A37BF2" w:rsidR="00033239" w:rsidRPr="00033239" w:rsidRDefault="005E6830"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r w:rsidRPr="00082D7C">
            <w:rPr>
              <w:rFonts w:ascii="Arial" w:hAnsi="Arial" w:cs="Arial"/>
              <w:b w:val="0"/>
              <w:bCs w:val="0"/>
              <w:i w:val="0"/>
              <w:iCs w:val="0"/>
              <w:color w:val="000000" w:themeColor="text1"/>
              <w:lang w:val="en-GB"/>
            </w:rPr>
            <w:fldChar w:fldCharType="begin"/>
          </w:r>
          <w:r w:rsidRPr="00082D7C">
            <w:rPr>
              <w:rFonts w:ascii="Arial" w:hAnsi="Arial" w:cs="Arial"/>
              <w:b w:val="0"/>
              <w:bCs w:val="0"/>
              <w:i w:val="0"/>
              <w:iCs w:val="0"/>
              <w:color w:val="000000" w:themeColor="text1"/>
              <w:lang w:val="en-GB"/>
            </w:rPr>
            <w:instrText xml:space="preserve"> TOC \o "1-3" \h \z \u </w:instrText>
          </w:r>
          <w:r w:rsidRPr="00082D7C">
            <w:rPr>
              <w:rFonts w:ascii="Arial" w:hAnsi="Arial" w:cs="Arial"/>
              <w:b w:val="0"/>
              <w:bCs w:val="0"/>
              <w:i w:val="0"/>
              <w:iCs w:val="0"/>
              <w:color w:val="000000" w:themeColor="text1"/>
              <w:lang w:val="en-GB"/>
            </w:rPr>
            <w:fldChar w:fldCharType="separate"/>
          </w:r>
          <w:hyperlink w:anchor="_Toc216188921" w:history="1">
            <w:r w:rsidR="00033239" w:rsidRPr="00033239">
              <w:rPr>
                <w:rStyle w:val="Hyperlink"/>
                <w:rFonts w:ascii="Arial" w:hAnsi="Arial" w:cs="Arial"/>
                <w:b w:val="0"/>
                <w:bCs w:val="0"/>
                <w:i w:val="0"/>
                <w:iCs w:val="0"/>
                <w:noProof/>
                <w:lang w:val="en-GB"/>
              </w:rPr>
              <w:t>1. Introduction</w:t>
            </w:r>
            <w:r w:rsidR="00033239" w:rsidRPr="00033239">
              <w:rPr>
                <w:rFonts w:ascii="Arial" w:hAnsi="Arial" w:cs="Arial"/>
                <w:b w:val="0"/>
                <w:bCs w:val="0"/>
                <w:i w:val="0"/>
                <w:iCs w:val="0"/>
                <w:noProof/>
                <w:webHidden/>
              </w:rPr>
              <w:tab/>
            </w:r>
            <w:r w:rsidR="00033239" w:rsidRPr="00033239">
              <w:rPr>
                <w:rFonts w:ascii="Arial" w:hAnsi="Arial" w:cs="Arial"/>
                <w:b w:val="0"/>
                <w:bCs w:val="0"/>
                <w:i w:val="0"/>
                <w:iCs w:val="0"/>
                <w:noProof/>
                <w:webHidden/>
              </w:rPr>
              <w:fldChar w:fldCharType="begin"/>
            </w:r>
            <w:r w:rsidR="00033239" w:rsidRPr="00033239">
              <w:rPr>
                <w:rFonts w:ascii="Arial" w:hAnsi="Arial" w:cs="Arial"/>
                <w:b w:val="0"/>
                <w:bCs w:val="0"/>
                <w:i w:val="0"/>
                <w:iCs w:val="0"/>
                <w:noProof/>
                <w:webHidden/>
              </w:rPr>
              <w:instrText xml:space="preserve"> PAGEREF _Toc216188921 \h </w:instrText>
            </w:r>
            <w:r w:rsidR="00033239" w:rsidRPr="00033239">
              <w:rPr>
                <w:rFonts w:ascii="Arial" w:hAnsi="Arial" w:cs="Arial"/>
                <w:b w:val="0"/>
                <w:bCs w:val="0"/>
                <w:i w:val="0"/>
                <w:iCs w:val="0"/>
                <w:noProof/>
                <w:webHidden/>
              </w:rPr>
            </w:r>
            <w:r w:rsidR="00033239" w:rsidRPr="00033239">
              <w:rPr>
                <w:rFonts w:ascii="Arial" w:hAnsi="Arial" w:cs="Arial"/>
                <w:b w:val="0"/>
                <w:bCs w:val="0"/>
                <w:i w:val="0"/>
                <w:iCs w:val="0"/>
                <w:noProof/>
                <w:webHidden/>
              </w:rPr>
              <w:fldChar w:fldCharType="separate"/>
            </w:r>
            <w:r w:rsidR="00033239" w:rsidRPr="00033239">
              <w:rPr>
                <w:rFonts w:ascii="Arial" w:hAnsi="Arial" w:cs="Arial"/>
                <w:b w:val="0"/>
                <w:bCs w:val="0"/>
                <w:i w:val="0"/>
                <w:iCs w:val="0"/>
                <w:noProof/>
                <w:webHidden/>
              </w:rPr>
              <w:t>4</w:t>
            </w:r>
            <w:r w:rsidR="00033239" w:rsidRPr="00033239">
              <w:rPr>
                <w:rFonts w:ascii="Arial" w:hAnsi="Arial" w:cs="Arial"/>
                <w:b w:val="0"/>
                <w:bCs w:val="0"/>
                <w:i w:val="0"/>
                <w:iCs w:val="0"/>
                <w:noProof/>
                <w:webHidden/>
              </w:rPr>
              <w:fldChar w:fldCharType="end"/>
            </w:r>
          </w:hyperlink>
        </w:p>
        <w:p w14:paraId="47575DFF" w14:textId="031E6075"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22" w:history="1">
            <w:r w:rsidRPr="00033239">
              <w:rPr>
                <w:rStyle w:val="Hyperlink"/>
                <w:rFonts w:ascii="Arial" w:hAnsi="Arial" w:cs="Arial"/>
                <w:b w:val="0"/>
                <w:bCs w:val="0"/>
                <w:i w:val="0"/>
                <w:iCs w:val="0"/>
                <w:noProof/>
                <w:lang w:val="en-GB"/>
              </w:rPr>
              <w:t>2. Financial Health Check (Ratio &amp; Failure Analysis)</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_Toc216188922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4</w:t>
            </w:r>
            <w:r w:rsidRPr="00033239">
              <w:rPr>
                <w:rFonts w:ascii="Arial" w:hAnsi="Arial" w:cs="Arial"/>
                <w:b w:val="0"/>
                <w:bCs w:val="0"/>
                <w:i w:val="0"/>
                <w:iCs w:val="0"/>
                <w:noProof/>
                <w:webHidden/>
              </w:rPr>
              <w:fldChar w:fldCharType="end"/>
            </w:r>
          </w:hyperlink>
        </w:p>
        <w:p w14:paraId="7DBDC8FD" w14:textId="7404E2B2"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3" w:history="1">
            <w:r w:rsidRPr="00033239">
              <w:rPr>
                <w:rStyle w:val="Hyperlink"/>
                <w:rFonts w:ascii="Arial" w:hAnsi="Arial" w:cs="Arial"/>
                <w:b w:val="0"/>
                <w:bCs w:val="0"/>
                <w:noProof/>
                <w:sz w:val="24"/>
                <w:szCs w:val="24"/>
                <w:lang w:val="en-GB"/>
              </w:rPr>
              <w:t>2.1 Profitability Analysis (Gross, Operating, Net)</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_Toc216188923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4</w:t>
            </w:r>
            <w:r w:rsidRPr="00033239">
              <w:rPr>
                <w:rFonts w:ascii="Arial" w:hAnsi="Arial" w:cs="Arial"/>
                <w:b w:val="0"/>
                <w:bCs w:val="0"/>
                <w:noProof/>
                <w:webHidden/>
                <w:sz w:val="24"/>
                <w:szCs w:val="24"/>
              </w:rPr>
              <w:fldChar w:fldCharType="end"/>
            </w:r>
          </w:hyperlink>
        </w:p>
        <w:p w14:paraId="74D48B71" w14:textId="2CFA2288"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4" w:history="1">
            <w:r w:rsidRPr="00033239">
              <w:rPr>
                <w:rStyle w:val="Hyperlink"/>
                <w:rFonts w:ascii="Arial" w:hAnsi="Arial" w:cs="Arial"/>
                <w:b w:val="0"/>
                <w:bCs w:val="0"/>
                <w:noProof/>
                <w:sz w:val="24"/>
                <w:szCs w:val="24"/>
                <w:lang w:val="en-GB"/>
              </w:rPr>
              <w:t>2.2 Liquidity Analysis (Current, Quick Ratios)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_Toc216188924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7</w:t>
            </w:r>
            <w:r w:rsidRPr="00033239">
              <w:rPr>
                <w:rFonts w:ascii="Arial" w:hAnsi="Arial" w:cs="Arial"/>
                <w:b w:val="0"/>
                <w:bCs w:val="0"/>
                <w:noProof/>
                <w:webHidden/>
                <w:sz w:val="24"/>
                <w:szCs w:val="24"/>
              </w:rPr>
              <w:fldChar w:fldCharType="end"/>
            </w:r>
          </w:hyperlink>
        </w:p>
        <w:p w14:paraId="18F65FDF" w14:textId="3CEDF4A1"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5" w:history="1">
            <w:r w:rsidRPr="00033239">
              <w:rPr>
                <w:rStyle w:val="Hyperlink"/>
                <w:rFonts w:ascii="Arial" w:hAnsi="Arial" w:cs="Arial"/>
                <w:b w:val="0"/>
                <w:bCs w:val="0"/>
                <w:noProof/>
                <w:sz w:val="24"/>
                <w:szCs w:val="24"/>
                <w:lang w:val="en-GB"/>
              </w:rPr>
              <w:t>2.3 Efficiency Ratios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_Toc216188925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8</w:t>
            </w:r>
            <w:r w:rsidRPr="00033239">
              <w:rPr>
                <w:rFonts w:ascii="Arial" w:hAnsi="Arial" w:cs="Arial"/>
                <w:b w:val="0"/>
                <w:bCs w:val="0"/>
                <w:noProof/>
                <w:webHidden/>
                <w:sz w:val="24"/>
                <w:szCs w:val="24"/>
              </w:rPr>
              <w:fldChar w:fldCharType="end"/>
            </w:r>
          </w:hyperlink>
        </w:p>
        <w:p w14:paraId="3EC89E31" w14:textId="05940312"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6" w:history="1">
            <w:r w:rsidRPr="00033239">
              <w:rPr>
                <w:rStyle w:val="Hyperlink"/>
                <w:rFonts w:ascii="Arial" w:hAnsi="Arial" w:cs="Arial"/>
                <w:b w:val="0"/>
                <w:bCs w:val="0"/>
                <w:noProof/>
                <w:sz w:val="24"/>
                <w:szCs w:val="24"/>
                <w:lang w:val="en-GB"/>
              </w:rPr>
              <w:t>2.4 Gearing &amp; Capital Structure</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_Toc216188926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10</w:t>
            </w:r>
            <w:r w:rsidRPr="00033239">
              <w:rPr>
                <w:rFonts w:ascii="Arial" w:hAnsi="Arial" w:cs="Arial"/>
                <w:b w:val="0"/>
                <w:bCs w:val="0"/>
                <w:noProof/>
                <w:webHidden/>
                <w:sz w:val="24"/>
                <w:szCs w:val="24"/>
              </w:rPr>
              <w:fldChar w:fldCharType="end"/>
            </w:r>
          </w:hyperlink>
        </w:p>
        <w:p w14:paraId="31698FC6" w14:textId="1BC6E4AE"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7" w:history="1">
            <w:r w:rsidRPr="00033239">
              <w:rPr>
                <w:rStyle w:val="Hyperlink"/>
                <w:rFonts w:ascii="Arial" w:hAnsi="Arial" w:cs="Arial"/>
                <w:b w:val="0"/>
                <w:bCs w:val="0"/>
                <w:noProof/>
                <w:sz w:val="24"/>
                <w:szCs w:val="24"/>
                <w:lang w:val="en-GB"/>
              </w:rPr>
              <w:t>2.5 Investment &amp; Market Ratios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_Toc216188927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11</w:t>
            </w:r>
            <w:r w:rsidRPr="00033239">
              <w:rPr>
                <w:rFonts w:ascii="Arial" w:hAnsi="Arial" w:cs="Arial"/>
                <w:b w:val="0"/>
                <w:bCs w:val="0"/>
                <w:noProof/>
                <w:webHidden/>
                <w:sz w:val="24"/>
                <w:szCs w:val="24"/>
              </w:rPr>
              <w:fldChar w:fldCharType="end"/>
            </w:r>
          </w:hyperlink>
        </w:p>
        <w:p w14:paraId="39BD6DD4" w14:textId="7F5CB2B8"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8" w:history="1">
            <w:r w:rsidRPr="00033239">
              <w:rPr>
                <w:rStyle w:val="Hyperlink"/>
                <w:rFonts w:ascii="Arial" w:hAnsi="Arial" w:cs="Arial"/>
                <w:b w:val="0"/>
                <w:bCs w:val="0"/>
                <w:noProof/>
                <w:sz w:val="24"/>
                <w:szCs w:val="24"/>
                <w:lang w:val="en-GB"/>
              </w:rPr>
              <w:t>2.6 Cash Flow Analysis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_Toc216188928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12</w:t>
            </w:r>
            <w:r w:rsidRPr="00033239">
              <w:rPr>
                <w:rFonts w:ascii="Arial" w:hAnsi="Arial" w:cs="Arial"/>
                <w:b w:val="0"/>
                <w:bCs w:val="0"/>
                <w:noProof/>
                <w:webHidden/>
                <w:sz w:val="24"/>
                <w:szCs w:val="24"/>
              </w:rPr>
              <w:fldChar w:fldCharType="end"/>
            </w:r>
          </w:hyperlink>
        </w:p>
        <w:p w14:paraId="332B421F" w14:textId="3E032DC2"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29" w:history="1">
            <w:r w:rsidRPr="00033239">
              <w:rPr>
                <w:rStyle w:val="Hyperlink"/>
                <w:rFonts w:ascii="Arial" w:hAnsi="Arial" w:cs="Arial"/>
                <w:b w:val="0"/>
                <w:bCs w:val="0"/>
                <w:noProof/>
                <w:sz w:val="24"/>
                <w:szCs w:val="24"/>
                <w:lang w:val="en-GB"/>
              </w:rPr>
              <w:t>2.7 Corporate Failure Prediction</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_Toc216188929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12</w:t>
            </w:r>
            <w:r w:rsidRPr="00033239">
              <w:rPr>
                <w:rFonts w:ascii="Arial" w:hAnsi="Arial" w:cs="Arial"/>
                <w:b w:val="0"/>
                <w:bCs w:val="0"/>
                <w:noProof/>
                <w:webHidden/>
                <w:sz w:val="24"/>
                <w:szCs w:val="24"/>
              </w:rPr>
              <w:fldChar w:fldCharType="end"/>
            </w:r>
          </w:hyperlink>
        </w:p>
        <w:p w14:paraId="1D946C84" w14:textId="4EBC9E78"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30" w:history="1">
            <w:r w:rsidRPr="00033239">
              <w:rPr>
                <w:rStyle w:val="Hyperlink"/>
                <w:rFonts w:ascii="Arial" w:hAnsi="Arial" w:cs="Arial"/>
                <w:b w:val="0"/>
                <w:bCs w:val="0"/>
                <w:i w:val="0"/>
                <w:iCs w:val="0"/>
                <w:noProof/>
                <w:lang w:val="en-GB"/>
              </w:rPr>
              <w:t>3. Working Capital Management Analysis</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_Toc216188930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12</w:t>
            </w:r>
            <w:r w:rsidRPr="00033239">
              <w:rPr>
                <w:rFonts w:ascii="Arial" w:hAnsi="Arial" w:cs="Arial"/>
                <w:b w:val="0"/>
                <w:bCs w:val="0"/>
                <w:i w:val="0"/>
                <w:iCs w:val="0"/>
                <w:noProof/>
                <w:webHidden/>
              </w:rPr>
              <w:fldChar w:fldCharType="end"/>
            </w:r>
          </w:hyperlink>
        </w:p>
        <w:p w14:paraId="6213C1D8" w14:textId="7BAA5A24"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1" w:history="1">
            <w:r w:rsidRPr="00033239">
              <w:rPr>
                <w:rStyle w:val="Hyperlink"/>
                <w:rFonts w:ascii="Arial" w:hAnsi="Arial" w:cs="Arial"/>
                <w:b w:val="0"/>
                <w:bCs w:val="0"/>
                <w:noProof/>
                <w:sz w:val="24"/>
                <w:szCs w:val="24"/>
                <w:lang w:val="en-GB"/>
              </w:rPr>
              <w:t>3.1 Cash Operating Cycle (COC) Evaluation</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_Toc216188931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12</w:t>
            </w:r>
            <w:r w:rsidRPr="00033239">
              <w:rPr>
                <w:rFonts w:ascii="Arial" w:hAnsi="Arial" w:cs="Arial"/>
                <w:b w:val="0"/>
                <w:bCs w:val="0"/>
                <w:noProof/>
                <w:webHidden/>
                <w:sz w:val="24"/>
                <w:szCs w:val="24"/>
              </w:rPr>
              <w:fldChar w:fldCharType="end"/>
            </w:r>
          </w:hyperlink>
        </w:p>
        <w:p w14:paraId="2B0056A8" w14:textId="303608A0"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2" w:history="1">
            <w:r w:rsidRPr="00033239">
              <w:rPr>
                <w:rStyle w:val="Hyperlink"/>
                <w:rFonts w:ascii="Arial" w:hAnsi="Arial" w:cs="Arial"/>
                <w:b w:val="0"/>
                <w:bCs w:val="0"/>
                <w:noProof/>
                <w:sz w:val="24"/>
                <w:szCs w:val="24"/>
                <w:lang w:val="en-GB"/>
              </w:rPr>
              <w:t>3.2 Identified Working Capital Weaknesses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_Toc216188932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13</w:t>
            </w:r>
            <w:r w:rsidRPr="00033239">
              <w:rPr>
                <w:rFonts w:ascii="Arial" w:hAnsi="Arial" w:cs="Arial"/>
                <w:b w:val="0"/>
                <w:bCs w:val="0"/>
                <w:noProof/>
                <w:webHidden/>
                <w:sz w:val="24"/>
                <w:szCs w:val="24"/>
              </w:rPr>
              <w:fldChar w:fldCharType="end"/>
            </w:r>
          </w:hyperlink>
        </w:p>
        <w:p w14:paraId="4709470B" w14:textId="21EE8A4C"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3" w:history="1">
            <w:r w:rsidRPr="00033239">
              <w:rPr>
                <w:rStyle w:val="Hyperlink"/>
                <w:rFonts w:ascii="Arial" w:hAnsi="Arial" w:cs="Arial"/>
                <w:b w:val="0"/>
                <w:bCs w:val="0"/>
                <w:noProof/>
                <w:sz w:val="24"/>
                <w:szCs w:val="24"/>
                <w:lang w:val="en-GB"/>
              </w:rPr>
              <w:t>3.3 Strategies to Improve Liquidity</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_Toc216188933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13</w:t>
            </w:r>
            <w:r w:rsidRPr="00033239">
              <w:rPr>
                <w:rFonts w:ascii="Arial" w:hAnsi="Arial" w:cs="Arial"/>
                <w:b w:val="0"/>
                <w:bCs w:val="0"/>
                <w:noProof/>
                <w:webHidden/>
                <w:sz w:val="24"/>
                <w:szCs w:val="24"/>
              </w:rPr>
              <w:fldChar w:fldCharType="end"/>
            </w:r>
          </w:hyperlink>
        </w:p>
        <w:p w14:paraId="49F74CEF" w14:textId="3F101404"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4" w:history="1">
            <w:r w:rsidRPr="00033239">
              <w:rPr>
                <w:rStyle w:val="Hyperlink"/>
                <w:rFonts w:ascii="Arial" w:hAnsi="Arial" w:cs="Arial"/>
                <w:b w:val="0"/>
                <w:bCs w:val="0"/>
                <w:noProof/>
                <w:sz w:val="24"/>
                <w:szCs w:val="24"/>
                <w:lang w:val="en-GB"/>
              </w:rPr>
              <w:t>3.4 Short-Term vs Long-Term Financing Options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_Toc216188934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13</w:t>
            </w:r>
            <w:r w:rsidRPr="00033239">
              <w:rPr>
                <w:rFonts w:ascii="Arial" w:hAnsi="Arial" w:cs="Arial"/>
                <w:b w:val="0"/>
                <w:bCs w:val="0"/>
                <w:noProof/>
                <w:webHidden/>
                <w:sz w:val="24"/>
                <w:szCs w:val="24"/>
              </w:rPr>
              <w:fldChar w:fldCharType="end"/>
            </w:r>
          </w:hyperlink>
        </w:p>
        <w:p w14:paraId="2F4F41CB" w14:textId="39BBC916"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35" w:history="1">
            <w:r w:rsidRPr="00033239">
              <w:rPr>
                <w:rStyle w:val="Hyperlink"/>
                <w:rFonts w:ascii="Arial" w:hAnsi="Arial" w:cs="Arial"/>
                <w:b w:val="0"/>
                <w:bCs w:val="0"/>
                <w:i w:val="0"/>
                <w:iCs w:val="0"/>
                <w:noProof/>
                <w:lang w:val="en-GB"/>
              </w:rPr>
              <w:t>4. Strategic Financial Restructuring Plan</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_Toc216188935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14</w:t>
            </w:r>
            <w:r w:rsidRPr="00033239">
              <w:rPr>
                <w:rFonts w:ascii="Arial" w:hAnsi="Arial" w:cs="Arial"/>
                <w:b w:val="0"/>
                <w:bCs w:val="0"/>
                <w:i w:val="0"/>
                <w:iCs w:val="0"/>
                <w:noProof/>
                <w:webHidden/>
              </w:rPr>
              <w:fldChar w:fldCharType="end"/>
            </w:r>
          </w:hyperlink>
        </w:p>
        <w:p w14:paraId="0E9BE1D7" w14:textId="43A8E733"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6" w:history="1">
            <w:r w:rsidRPr="00033239">
              <w:rPr>
                <w:rStyle w:val="Hyperlink"/>
                <w:rFonts w:ascii="Arial" w:hAnsi="Arial" w:cs="Arial"/>
                <w:b w:val="0"/>
                <w:bCs w:val="0"/>
                <w:noProof/>
                <w:sz w:val="24"/>
                <w:szCs w:val="24"/>
                <w:lang w:val="en-GB"/>
              </w:rPr>
              <w:t>4.1 Strategic Diagnosis and Need for Restructuring</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_Toc216188936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14</w:t>
            </w:r>
            <w:r w:rsidRPr="00033239">
              <w:rPr>
                <w:rFonts w:ascii="Arial" w:hAnsi="Arial" w:cs="Arial"/>
                <w:b w:val="0"/>
                <w:bCs w:val="0"/>
                <w:noProof/>
                <w:webHidden/>
                <w:sz w:val="24"/>
                <w:szCs w:val="24"/>
              </w:rPr>
              <w:fldChar w:fldCharType="end"/>
            </w:r>
          </w:hyperlink>
        </w:p>
        <w:p w14:paraId="0D33A776" w14:textId="26049CDC"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7" w:history="1">
            <w:r w:rsidRPr="00033239">
              <w:rPr>
                <w:rStyle w:val="Hyperlink"/>
                <w:rFonts w:ascii="Arial" w:hAnsi="Arial" w:cs="Arial"/>
                <w:b w:val="0"/>
                <w:bCs w:val="0"/>
                <w:noProof/>
                <w:sz w:val="24"/>
                <w:szCs w:val="24"/>
                <w:lang w:val="en-GB"/>
              </w:rPr>
              <w:t>4.2 Restructuring Options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_Toc216188937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14</w:t>
            </w:r>
            <w:r w:rsidRPr="00033239">
              <w:rPr>
                <w:rFonts w:ascii="Arial" w:hAnsi="Arial" w:cs="Arial"/>
                <w:b w:val="0"/>
                <w:bCs w:val="0"/>
                <w:noProof/>
                <w:webHidden/>
                <w:sz w:val="24"/>
                <w:szCs w:val="24"/>
              </w:rPr>
              <w:fldChar w:fldCharType="end"/>
            </w:r>
          </w:hyperlink>
        </w:p>
        <w:p w14:paraId="11AC0FBE" w14:textId="68A5E14A"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8" w:history="1">
            <w:r w:rsidRPr="00033239">
              <w:rPr>
                <w:rStyle w:val="Hyperlink"/>
                <w:rFonts w:ascii="Arial" w:hAnsi="Arial" w:cs="Arial"/>
                <w:b w:val="0"/>
                <w:bCs w:val="0"/>
                <w:noProof/>
                <w:sz w:val="24"/>
                <w:szCs w:val="24"/>
                <w:lang w:val="en-GB"/>
              </w:rPr>
              <w:t>4.3 Impact on Shareholder Value and Debt Structure</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_Toc216188938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16</w:t>
            </w:r>
            <w:r w:rsidRPr="00033239">
              <w:rPr>
                <w:rFonts w:ascii="Arial" w:hAnsi="Arial" w:cs="Arial"/>
                <w:b w:val="0"/>
                <w:bCs w:val="0"/>
                <w:noProof/>
                <w:webHidden/>
                <w:sz w:val="24"/>
                <w:szCs w:val="24"/>
              </w:rPr>
              <w:fldChar w:fldCharType="end"/>
            </w:r>
          </w:hyperlink>
        </w:p>
        <w:p w14:paraId="10E4B681" w14:textId="06AC20A2"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39" w:history="1">
            <w:r w:rsidRPr="00033239">
              <w:rPr>
                <w:rStyle w:val="Hyperlink"/>
                <w:rFonts w:ascii="Arial" w:hAnsi="Arial" w:cs="Arial"/>
                <w:b w:val="0"/>
                <w:bCs w:val="0"/>
                <w:noProof/>
                <w:sz w:val="24"/>
                <w:szCs w:val="24"/>
                <w:lang w:val="en-GB"/>
              </w:rPr>
              <w:t>4.4 International and Ethical Considerations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_Toc216188939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17</w:t>
            </w:r>
            <w:r w:rsidRPr="00033239">
              <w:rPr>
                <w:rFonts w:ascii="Arial" w:hAnsi="Arial" w:cs="Arial"/>
                <w:b w:val="0"/>
                <w:bCs w:val="0"/>
                <w:noProof/>
                <w:webHidden/>
                <w:sz w:val="24"/>
                <w:szCs w:val="24"/>
              </w:rPr>
              <w:fldChar w:fldCharType="end"/>
            </w:r>
          </w:hyperlink>
        </w:p>
        <w:p w14:paraId="313A3B78" w14:textId="262711A7"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40" w:history="1">
            <w:r w:rsidRPr="00033239">
              <w:rPr>
                <w:rStyle w:val="Hyperlink"/>
                <w:rFonts w:ascii="Arial" w:hAnsi="Arial" w:cs="Arial"/>
                <w:b w:val="0"/>
                <w:bCs w:val="0"/>
                <w:i w:val="0"/>
                <w:iCs w:val="0"/>
                <w:noProof/>
                <w:lang w:val="en-GB"/>
              </w:rPr>
              <w:t>5. Investment Appraisal and Capital Budgeting</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_Toc216188940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17</w:t>
            </w:r>
            <w:r w:rsidRPr="00033239">
              <w:rPr>
                <w:rFonts w:ascii="Arial" w:hAnsi="Arial" w:cs="Arial"/>
                <w:b w:val="0"/>
                <w:bCs w:val="0"/>
                <w:i w:val="0"/>
                <w:iCs w:val="0"/>
                <w:noProof/>
                <w:webHidden/>
              </w:rPr>
              <w:fldChar w:fldCharType="end"/>
            </w:r>
          </w:hyperlink>
        </w:p>
        <w:p w14:paraId="220844CF" w14:textId="11C68CA0"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41" w:history="1">
            <w:r w:rsidRPr="00033239">
              <w:rPr>
                <w:rStyle w:val="Hyperlink"/>
                <w:rFonts w:ascii="Arial" w:hAnsi="Arial" w:cs="Arial"/>
                <w:b w:val="0"/>
                <w:bCs w:val="0"/>
                <w:noProof/>
                <w:sz w:val="24"/>
                <w:szCs w:val="24"/>
                <w:lang w:val="en-GB"/>
              </w:rPr>
              <w:t>5.1 Methods Used</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_Toc216188941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18</w:t>
            </w:r>
            <w:r w:rsidRPr="00033239">
              <w:rPr>
                <w:rFonts w:ascii="Arial" w:hAnsi="Arial" w:cs="Arial"/>
                <w:b w:val="0"/>
                <w:bCs w:val="0"/>
                <w:noProof/>
                <w:webHidden/>
                <w:sz w:val="24"/>
                <w:szCs w:val="24"/>
              </w:rPr>
              <w:fldChar w:fldCharType="end"/>
            </w:r>
          </w:hyperlink>
        </w:p>
        <w:p w14:paraId="3244875A" w14:textId="6AB1C498"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42" w:history="1">
            <w:r w:rsidRPr="00033239">
              <w:rPr>
                <w:rStyle w:val="Hyperlink"/>
                <w:rFonts w:ascii="Arial" w:hAnsi="Arial" w:cs="Arial"/>
                <w:b w:val="0"/>
                <w:bCs w:val="0"/>
                <w:noProof/>
                <w:sz w:val="24"/>
                <w:szCs w:val="24"/>
                <w:lang w:val="en-GB"/>
              </w:rPr>
              <w:t>5.2 Calculations and Interpretation (Project A)</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_Toc216188942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18</w:t>
            </w:r>
            <w:r w:rsidRPr="00033239">
              <w:rPr>
                <w:rFonts w:ascii="Arial" w:hAnsi="Arial" w:cs="Arial"/>
                <w:b w:val="0"/>
                <w:bCs w:val="0"/>
                <w:noProof/>
                <w:webHidden/>
                <w:sz w:val="24"/>
                <w:szCs w:val="24"/>
              </w:rPr>
              <w:fldChar w:fldCharType="end"/>
            </w:r>
          </w:hyperlink>
        </w:p>
        <w:p w14:paraId="0A094C7C" w14:textId="0283573A"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43" w:history="1">
            <w:r w:rsidRPr="00033239">
              <w:rPr>
                <w:rStyle w:val="Hyperlink"/>
                <w:rFonts w:ascii="Arial" w:hAnsi="Arial" w:cs="Arial"/>
                <w:b w:val="0"/>
                <w:bCs w:val="0"/>
                <w:noProof/>
                <w:sz w:val="24"/>
                <w:szCs w:val="24"/>
                <w:lang w:val="en-GB"/>
              </w:rPr>
              <w:t>5.3 Calculations and Interpretation (Project B)</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_Toc216188943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19</w:t>
            </w:r>
            <w:r w:rsidRPr="00033239">
              <w:rPr>
                <w:rFonts w:ascii="Arial" w:hAnsi="Arial" w:cs="Arial"/>
                <w:b w:val="0"/>
                <w:bCs w:val="0"/>
                <w:noProof/>
                <w:webHidden/>
                <w:sz w:val="24"/>
                <w:szCs w:val="24"/>
              </w:rPr>
              <w:fldChar w:fldCharType="end"/>
            </w:r>
          </w:hyperlink>
        </w:p>
        <w:p w14:paraId="21C7DAC9" w14:textId="760E4711"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44" w:history="1">
            <w:r w:rsidRPr="00033239">
              <w:rPr>
                <w:rStyle w:val="Hyperlink"/>
                <w:rFonts w:ascii="Arial" w:hAnsi="Arial" w:cs="Arial"/>
                <w:b w:val="0"/>
                <w:bCs w:val="0"/>
                <w:noProof/>
                <w:sz w:val="24"/>
                <w:szCs w:val="24"/>
                <w:lang w:val="en-GB"/>
              </w:rPr>
              <w:t>5.4 Calculations and Interpretation (Project C)</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_Toc216188944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20</w:t>
            </w:r>
            <w:r w:rsidRPr="00033239">
              <w:rPr>
                <w:rFonts w:ascii="Arial" w:hAnsi="Arial" w:cs="Arial"/>
                <w:b w:val="0"/>
                <w:bCs w:val="0"/>
                <w:noProof/>
                <w:webHidden/>
                <w:sz w:val="24"/>
                <w:szCs w:val="24"/>
              </w:rPr>
              <w:fldChar w:fldCharType="end"/>
            </w:r>
          </w:hyperlink>
        </w:p>
        <w:p w14:paraId="0B210B2B" w14:textId="73F5B0DD"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45" w:history="1">
            <w:r w:rsidRPr="00033239">
              <w:rPr>
                <w:rStyle w:val="Hyperlink"/>
                <w:rFonts w:ascii="Arial" w:hAnsi="Arial" w:cs="Arial"/>
                <w:b w:val="0"/>
                <w:bCs w:val="0"/>
                <w:noProof/>
                <w:sz w:val="24"/>
                <w:szCs w:val="24"/>
                <w:lang w:val="en-GB"/>
              </w:rPr>
              <w:t>5.5 Ranking Under Capital Rationing</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_Toc216188945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20</w:t>
            </w:r>
            <w:r w:rsidRPr="00033239">
              <w:rPr>
                <w:rFonts w:ascii="Arial" w:hAnsi="Arial" w:cs="Arial"/>
                <w:b w:val="0"/>
                <w:bCs w:val="0"/>
                <w:noProof/>
                <w:webHidden/>
                <w:sz w:val="24"/>
                <w:szCs w:val="24"/>
              </w:rPr>
              <w:fldChar w:fldCharType="end"/>
            </w:r>
          </w:hyperlink>
        </w:p>
        <w:p w14:paraId="0DB6224D" w14:textId="1045D917"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46" w:history="1">
            <w:r w:rsidRPr="00033239">
              <w:rPr>
                <w:rStyle w:val="Hyperlink"/>
                <w:rFonts w:ascii="Arial" w:hAnsi="Arial" w:cs="Arial"/>
                <w:b w:val="0"/>
                <w:bCs w:val="0"/>
                <w:noProof/>
                <w:sz w:val="24"/>
                <w:szCs w:val="24"/>
                <w:lang w:val="en-GB"/>
              </w:rPr>
              <w:t>5.6 Final Recommendation</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_Toc216188946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20</w:t>
            </w:r>
            <w:r w:rsidRPr="00033239">
              <w:rPr>
                <w:rFonts w:ascii="Arial" w:hAnsi="Arial" w:cs="Arial"/>
                <w:b w:val="0"/>
                <w:bCs w:val="0"/>
                <w:noProof/>
                <w:webHidden/>
                <w:sz w:val="24"/>
                <w:szCs w:val="24"/>
              </w:rPr>
              <w:fldChar w:fldCharType="end"/>
            </w:r>
          </w:hyperlink>
        </w:p>
        <w:p w14:paraId="1F4EA7DC" w14:textId="177D0D8F"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47" w:history="1">
            <w:r w:rsidRPr="00033239">
              <w:rPr>
                <w:rStyle w:val="Hyperlink"/>
                <w:rFonts w:ascii="Arial" w:hAnsi="Arial" w:cs="Arial"/>
                <w:b w:val="0"/>
                <w:bCs w:val="0"/>
                <w:i w:val="0"/>
                <w:iCs w:val="0"/>
                <w:noProof/>
                <w:lang w:val="en-GB"/>
              </w:rPr>
              <w:t>6. Conclusion</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_Toc216188947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21</w:t>
            </w:r>
            <w:r w:rsidRPr="00033239">
              <w:rPr>
                <w:rFonts w:ascii="Arial" w:hAnsi="Arial" w:cs="Arial"/>
                <w:b w:val="0"/>
                <w:bCs w:val="0"/>
                <w:i w:val="0"/>
                <w:iCs w:val="0"/>
                <w:noProof/>
                <w:webHidden/>
              </w:rPr>
              <w:fldChar w:fldCharType="end"/>
            </w:r>
          </w:hyperlink>
        </w:p>
        <w:p w14:paraId="278A6C21" w14:textId="7F25AE46"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48" w:history="1">
            <w:r w:rsidRPr="00033239">
              <w:rPr>
                <w:rStyle w:val="Hyperlink"/>
                <w:rFonts w:ascii="Arial" w:hAnsi="Arial" w:cs="Arial"/>
                <w:b w:val="0"/>
                <w:bCs w:val="0"/>
                <w:i w:val="0"/>
                <w:iCs w:val="0"/>
                <w:noProof/>
                <w:lang w:val="en-GB"/>
              </w:rPr>
              <w:t>References</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_Toc216188948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22</w:t>
            </w:r>
            <w:r w:rsidRPr="00033239">
              <w:rPr>
                <w:rFonts w:ascii="Arial" w:hAnsi="Arial" w:cs="Arial"/>
                <w:b w:val="0"/>
                <w:bCs w:val="0"/>
                <w:i w:val="0"/>
                <w:iCs w:val="0"/>
                <w:noProof/>
                <w:webHidden/>
              </w:rPr>
              <w:fldChar w:fldCharType="end"/>
            </w:r>
          </w:hyperlink>
        </w:p>
        <w:p w14:paraId="0462F33A" w14:textId="6675491D" w:rsidR="00033239" w:rsidRPr="00033239" w:rsidRDefault="00033239" w:rsidP="00033239">
          <w:pPr>
            <w:pStyle w:val="TOC1"/>
            <w:tabs>
              <w:tab w:val="right" w:leader="dot" w:pos="9016"/>
            </w:tabs>
            <w:jc w:val="both"/>
            <w:rPr>
              <w:rFonts w:ascii="Arial" w:eastAsiaTheme="minorEastAsia" w:hAnsi="Arial" w:cs="Arial"/>
              <w:b w:val="0"/>
              <w:bCs w:val="0"/>
              <w:i w:val="0"/>
              <w:iCs w:val="0"/>
              <w:noProof/>
              <w:kern w:val="2"/>
              <w:lang w:val="en-IN" w:eastAsia="en-IN"/>
              <w14:ligatures w14:val="standardContextual"/>
            </w:rPr>
          </w:pPr>
          <w:hyperlink w:anchor="_Toc216188949" w:history="1">
            <w:r w:rsidRPr="00033239">
              <w:rPr>
                <w:rStyle w:val="Hyperlink"/>
                <w:rFonts w:ascii="Arial" w:hAnsi="Arial" w:cs="Arial"/>
                <w:b w:val="0"/>
                <w:bCs w:val="0"/>
                <w:i w:val="0"/>
                <w:iCs w:val="0"/>
                <w:noProof/>
                <w:lang w:val="en-GB"/>
              </w:rPr>
              <w:t>Appendices</w:t>
            </w:r>
            <w:r w:rsidRPr="00033239">
              <w:rPr>
                <w:rFonts w:ascii="Arial" w:hAnsi="Arial" w:cs="Arial"/>
                <w:b w:val="0"/>
                <w:bCs w:val="0"/>
                <w:i w:val="0"/>
                <w:iCs w:val="0"/>
                <w:noProof/>
                <w:webHidden/>
              </w:rPr>
              <w:tab/>
            </w:r>
            <w:r w:rsidRPr="00033239">
              <w:rPr>
                <w:rFonts w:ascii="Arial" w:hAnsi="Arial" w:cs="Arial"/>
                <w:b w:val="0"/>
                <w:bCs w:val="0"/>
                <w:i w:val="0"/>
                <w:iCs w:val="0"/>
                <w:noProof/>
                <w:webHidden/>
              </w:rPr>
              <w:fldChar w:fldCharType="begin"/>
            </w:r>
            <w:r w:rsidRPr="00033239">
              <w:rPr>
                <w:rFonts w:ascii="Arial" w:hAnsi="Arial" w:cs="Arial"/>
                <w:b w:val="0"/>
                <w:bCs w:val="0"/>
                <w:i w:val="0"/>
                <w:iCs w:val="0"/>
                <w:noProof/>
                <w:webHidden/>
              </w:rPr>
              <w:instrText xml:space="preserve"> PAGEREF _Toc216188949 \h </w:instrText>
            </w:r>
            <w:r w:rsidRPr="00033239">
              <w:rPr>
                <w:rFonts w:ascii="Arial" w:hAnsi="Arial" w:cs="Arial"/>
                <w:b w:val="0"/>
                <w:bCs w:val="0"/>
                <w:i w:val="0"/>
                <w:iCs w:val="0"/>
                <w:noProof/>
                <w:webHidden/>
              </w:rPr>
            </w:r>
            <w:r w:rsidRPr="00033239">
              <w:rPr>
                <w:rFonts w:ascii="Arial" w:hAnsi="Arial" w:cs="Arial"/>
                <w:b w:val="0"/>
                <w:bCs w:val="0"/>
                <w:i w:val="0"/>
                <w:iCs w:val="0"/>
                <w:noProof/>
                <w:webHidden/>
              </w:rPr>
              <w:fldChar w:fldCharType="separate"/>
            </w:r>
            <w:r w:rsidRPr="00033239">
              <w:rPr>
                <w:rFonts w:ascii="Arial" w:hAnsi="Arial" w:cs="Arial"/>
                <w:b w:val="0"/>
                <w:bCs w:val="0"/>
                <w:i w:val="0"/>
                <w:iCs w:val="0"/>
                <w:noProof/>
                <w:webHidden/>
              </w:rPr>
              <w:t>27</w:t>
            </w:r>
            <w:r w:rsidRPr="00033239">
              <w:rPr>
                <w:rFonts w:ascii="Arial" w:hAnsi="Arial" w:cs="Arial"/>
                <w:b w:val="0"/>
                <w:bCs w:val="0"/>
                <w:i w:val="0"/>
                <w:iCs w:val="0"/>
                <w:noProof/>
                <w:webHidden/>
              </w:rPr>
              <w:fldChar w:fldCharType="end"/>
            </w:r>
          </w:hyperlink>
        </w:p>
        <w:p w14:paraId="6319A540" w14:textId="7EDE42BD"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50" w:history="1">
            <w:r w:rsidRPr="00033239">
              <w:rPr>
                <w:rStyle w:val="Hyperlink"/>
                <w:rFonts w:ascii="Arial" w:hAnsi="Arial" w:cs="Arial"/>
                <w:b w:val="0"/>
                <w:bCs w:val="0"/>
                <w:noProof/>
                <w:sz w:val="24"/>
                <w:szCs w:val="24"/>
                <w:lang w:val="en-GB"/>
              </w:rPr>
              <w:t>Appendix 1: financial data</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_Toc216188950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27</w:t>
            </w:r>
            <w:r w:rsidRPr="00033239">
              <w:rPr>
                <w:rFonts w:ascii="Arial" w:hAnsi="Arial" w:cs="Arial"/>
                <w:b w:val="0"/>
                <w:bCs w:val="0"/>
                <w:noProof/>
                <w:webHidden/>
                <w:sz w:val="24"/>
                <w:szCs w:val="24"/>
              </w:rPr>
              <w:fldChar w:fldCharType="end"/>
            </w:r>
          </w:hyperlink>
        </w:p>
        <w:p w14:paraId="69E57664" w14:textId="0EA0D48D"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51" w:history="1">
            <w:r w:rsidRPr="00033239">
              <w:rPr>
                <w:rStyle w:val="Hyperlink"/>
                <w:rFonts w:ascii="Arial" w:hAnsi="Arial" w:cs="Arial"/>
                <w:b w:val="0"/>
                <w:bCs w:val="0"/>
                <w:noProof/>
                <w:sz w:val="24"/>
                <w:szCs w:val="24"/>
                <w:lang w:val="en-GB"/>
              </w:rPr>
              <w:t>Appendix 2: Calculator of Ratio Analysis</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_Toc216188951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28</w:t>
            </w:r>
            <w:r w:rsidRPr="00033239">
              <w:rPr>
                <w:rFonts w:ascii="Arial" w:hAnsi="Arial" w:cs="Arial"/>
                <w:b w:val="0"/>
                <w:bCs w:val="0"/>
                <w:noProof/>
                <w:webHidden/>
                <w:sz w:val="24"/>
                <w:szCs w:val="24"/>
              </w:rPr>
              <w:fldChar w:fldCharType="end"/>
            </w:r>
          </w:hyperlink>
        </w:p>
        <w:p w14:paraId="22FBDAFB" w14:textId="63D6189E" w:rsidR="00033239" w:rsidRPr="00033239" w:rsidRDefault="00033239" w:rsidP="00033239">
          <w:pPr>
            <w:pStyle w:val="TOC2"/>
            <w:tabs>
              <w:tab w:val="right" w:leader="dot" w:pos="9016"/>
            </w:tabs>
            <w:jc w:val="both"/>
            <w:rPr>
              <w:rFonts w:ascii="Arial" w:eastAsiaTheme="minorEastAsia" w:hAnsi="Arial" w:cs="Arial"/>
              <w:b w:val="0"/>
              <w:bCs w:val="0"/>
              <w:noProof/>
              <w:kern w:val="2"/>
              <w:sz w:val="24"/>
              <w:szCs w:val="24"/>
              <w:lang w:val="en-IN" w:eastAsia="en-IN"/>
              <w14:ligatures w14:val="standardContextual"/>
            </w:rPr>
          </w:pPr>
          <w:hyperlink w:anchor="_Toc216188952" w:history="1">
            <w:r w:rsidRPr="00033239">
              <w:rPr>
                <w:rStyle w:val="Hyperlink"/>
                <w:rFonts w:ascii="Arial" w:hAnsi="Arial" w:cs="Arial"/>
                <w:b w:val="0"/>
                <w:bCs w:val="0"/>
                <w:noProof/>
                <w:sz w:val="24"/>
                <w:szCs w:val="24"/>
                <w:lang w:val="en-GB"/>
              </w:rPr>
              <w:t>Appendix 3: Calculation of Altman Z Score</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_Toc216188952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30</w:t>
            </w:r>
            <w:r w:rsidRPr="00033239">
              <w:rPr>
                <w:rFonts w:ascii="Arial" w:hAnsi="Arial" w:cs="Arial"/>
                <w:b w:val="0"/>
                <w:bCs w:val="0"/>
                <w:noProof/>
                <w:webHidden/>
                <w:sz w:val="24"/>
                <w:szCs w:val="24"/>
              </w:rPr>
              <w:fldChar w:fldCharType="end"/>
            </w:r>
          </w:hyperlink>
        </w:p>
        <w:p w14:paraId="330CA44E" w14:textId="3E4FB7AB" w:rsidR="00033239" w:rsidRDefault="00033239" w:rsidP="00033239">
          <w:pPr>
            <w:pStyle w:val="TOC2"/>
            <w:tabs>
              <w:tab w:val="right" w:leader="dot" w:pos="9016"/>
            </w:tabs>
            <w:jc w:val="both"/>
            <w:rPr>
              <w:rFonts w:eastAsiaTheme="minorEastAsia" w:cstheme="minorBidi"/>
              <w:b w:val="0"/>
              <w:bCs w:val="0"/>
              <w:noProof/>
              <w:kern w:val="2"/>
              <w:sz w:val="24"/>
              <w:szCs w:val="24"/>
              <w:lang w:val="en-IN" w:eastAsia="en-IN"/>
              <w14:ligatures w14:val="standardContextual"/>
            </w:rPr>
          </w:pPr>
          <w:hyperlink w:anchor="_Toc216188953" w:history="1">
            <w:r w:rsidRPr="00033239">
              <w:rPr>
                <w:rStyle w:val="Hyperlink"/>
                <w:rFonts w:ascii="Arial" w:hAnsi="Arial" w:cs="Arial"/>
                <w:b w:val="0"/>
                <w:bCs w:val="0"/>
                <w:noProof/>
                <w:sz w:val="24"/>
                <w:szCs w:val="24"/>
                <w:lang w:val="en-GB"/>
              </w:rPr>
              <w:t>Appendix 4: Calculation of Investment Appraisal</w:t>
            </w:r>
            <w:r w:rsidRPr="00033239">
              <w:rPr>
                <w:rFonts w:ascii="Arial" w:hAnsi="Arial" w:cs="Arial"/>
                <w:b w:val="0"/>
                <w:bCs w:val="0"/>
                <w:noProof/>
                <w:webHidden/>
                <w:sz w:val="24"/>
                <w:szCs w:val="24"/>
              </w:rPr>
              <w:tab/>
            </w:r>
            <w:r w:rsidRPr="00033239">
              <w:rPr>
                <w:rFonts w:ascii="Arial" w:hAnsi="Arial" w:cs="Arial"/>
                <w:b w:val="0"/>
                <w:bCs w:val="0"/>
                <w:noProof/>
                <w:webHidden/>
                <w:sz w:val="24"/>
                <w:szCs w:val="24"/>
              </w:rPr>
              <w:fldChar w:fldCharType="begin"/>
            </w:r>
            <w:r w:rsidRPr="00033239">
              <w:rPr>
                <w:rFonts w:ascii="Arial" w:hAnsi="Arial" w:cs="Arial"/>
                <w:b w:val="0"/>
                <w:bCs w:val="0"/>
                <w:noProof/>
                <w:webHidden/>
                <w:sz w:val="24"/>
                <w:szCs w:val="24"/>
              </w:rPr>
              <w:instrText xml:space="preserve"> PAGEREF _Toc216188953 \h </w:instrText>
            </w:r>
            <w:r w:rsidRPr="00033239">
              <w:rPr>
                <w:rFonts w:ascii="Arial" w:hAnsi="Arial" w:cs="Arial"/>
                <w:b w:val="0"/>
                <w:bCs w:val="0"/>
                <w:noProof/>
                <w:webHidden/>
                <w:sz w:val="24"/>
                <w:szCs w:val="24"/>
              </w:rPr>
            </w:r>
            <w:r w:rsidRPr="00033239">
              <w:rPr>
                <w:rFonts w:ascii="Arial" w:hAnsi="Arial" w:cs="Arial"/>
                <w:b w:val="0"/>
                <w:bCs w:val="0"/>
                <w:noProof/>
                <w:webHidden/>
                <w:sz w:val="24"/>
                <w:szCs w:val="24"/>
              </w:rPr>
              <w:fldChar w:fldCharType="separate"/>
            </w:r>
            <w:r w:rsidRPr="00033239">
              <w:rPr>
                <w:rFonts w:ascii="Arial" w:hAnsi="Arial" w:cs="Arial"/>
                <w:b w:val="0"/>
                <w:bCs w:val="0"/>
                <w:noProof/>
                <w:webHidden/>
                <w:sz w:val="24"/>
                <w:szCs w:val="24"/>
              </w:rPr>
              <w:t>32</w:t>
            </w:r>
            <w:r w:rsidRPr="00033239">
              <w:rPr>
                <w:rFonts w:ascii="Arial" w:hAnsi="Arial" w:cs="Arial"/>
                <w:b w:val="0"/>
                <w:bCs w:val="0"/>
                <w:noProof/>
                <w:webHidden/>
                <w:sz w:val="24"/>
                <w:szCs w:val="24"/>
              </w:rPr>
              <w:fldChar w:fldCharType="end"/>
            </w:r>
          </w:hyperlink>
        </w:p>
        <w:p w14:paraId="6CB8F84C" w14:textId="07080501" w:rsidR="005E6830" w:rsidRPr="00082D7C" w:rsidRDefault="005E6830" w:rsidP="00033239">
          <w:pPr>
            <w:rPr>
              <w:rFonts w:ascii="Arial" w:hAnsi="Arial" w:cs="Arial"/>
              <w:lang w:val="en-GB"/>
            </w:rPr>
          </w:pPr>
          <w:r w:rsidRPr="00082D7C">
            <w:rPr>
              <w:rFonts w:ascii="Arial" w:hAnsi="Arial" w:cs="Arial"/>
              <w:noProof/>
              <w:color w:val="000000" w:themeColor="text1"/>
              <w:lang w:val="en-GB"/>
            </w:rPr>
            <w:fldChar w:fldCharType="end"/>
          </w:r>
        </w:p>
      </w:sdtContent>
    </w:sdt>
    <w:p w14:paraId="0F1A6FAE" w14:textId="77777777" w:rsidR="00D300FA" w:rsidRPr="009804F1" w:rsidRDefault="00C10957" w:rsidP="00033239">
      <w:pPr>
        <w:pStyle w:val="Title"/>
        <w:rPr>
          <w:rFonts w:ascii="Arial" w:hAnsi="Arial" w:cs="Arial"/>
          <w:lang w:val="en-GB"/>
        </w:rPr>
      </w:pPr>
      <w:r w:rsidRPr="009804F1">
        <w:rPr>
          <w:rFonts w:ascii="Arial" w:hAnsi="Arial" w:cs="Arial"/>
          <w:lang w:val="en-GB"/>
        </w:rPr>
        <w:br w:type="page"/>
      </w:r>
    </w:p>
    <w:p w14:paraId="043B0EE7" w14:textId="77777777" w:rsidR="00D300FA" w:rsidRPr="00F566F6" w:rsidRDefault="00C10957" w:rsidP="00033239">
      <w:pPr>
        <w:pStyle w:val="Heading1"/>
        <w:rPr>
          <w:rFonts w:ascii="Arial" w:hAnsi="Arial" w:cs="Arial"/>
          <w:lang w:val="en-GB"/>
        </w:rPr>
      </w:pPr>
      <w:bookmarkStart w:id="0" w:name="_a0eg6n42qe1x" w:colFirst="0" w:colLast="0"/>
      <w:bookmarkStart w:id="1" w:name="_Toc216188921"/>
      <w:bookmarkEnd w:id="0"/>
      <w:r w:rsidRPr="00F566F6">
        <w:rPr>
          <w:rFonts w:ascii="Arial" w:hAnsi="Arial" w:cs="Arial"/>
          <w:lang w:val="en-GB"/>
        </w:rPr>
        <w:lastRenderedPageBreak/>
        <w:t>1. Introduction</w:t>
      </w:r>
      <w:bookmarkEnd w:id="1"/>
    </w:p>
    <w:p w14:paraId="5D24DC87" w14:textId="2CA03B58" w:rsidR="00E12D0B" w:rsidRPr="00F566F6" w:rsidRDefault="00C10957" w:rsidP="00033239">
      <w:pPr>
        <w:rPr>
          <w:rFonts w:ascii="Arial" w:hAnsi="Arial" w:cs="Arial"/>
          <w:lang w:val="en-GB"/>
        </w:rPr>
      </w:pPr>
      <w:r w:rsidRPr="00F566F6">
        <w:rPr>
          <w:rFonts w:ascii="Arial" w:hAnsi="Arial" w:cs="Arial"/>
          <w:lang w:val="en-GB"/>
        </w:rPr>
        <w:t>In this report, the financial decline of General Electronics has been evaluated by using the detailed ratio analysis, working capital analysis, restructuring strategies of the company and investment appraisal of this company. It establishes the fundamental causes of the decline and suggests economically feasible, morally reasonable and universally applicable turnaround fixes to regain profitability, enhance liquidity and encourage sustainability in corporate operations in the long term.</w:t>
      </w:r>
    </w:p>
    <w:p w14:paraId="5CE717CE" w14:textId="77777777" w:rsidR="00D300FA" w:rsidRPr="00F566F6" w:rsidRDefault="00C10957" w:rsidP="00033239">
      <w:pPr>
        <w:pStyle w:val="Heading1"/>
        <w:rPr>
          <w:rFonts w:ascii="Arial" w:hAnsi="Arial" w:cs="Arial"/>
          <w:lang w:val="en-GB"/>
        </w:rPr>
      </w:pPr>
      <w:bookmarkStart w:id="2" w:name="_yi9ho43wq7sh" w:colFirst="0" w:colLast="0"/>
      <w:bookmarkStart w:id="3" w:name="_Toc216188922"/>
      <w:bookmarkEnd w:id="2"/>
      <w:r w:rsidRPr="00F566F6">
        <w:rPr>
          <w:rFonts w:ascii="Arial" w:hAnsi="Arial" w:cs="Arial"/>
          <w:lang w:val="en-GB"/>
        </w:rPr>
        <w:t>2. Financial Health Check (Ratio &amp; Failure Analysis)</w:t>
      </w:r>
      <w:bookmarkEnd w:id="3"/>
    </w:p>
    <w:p w14:paraId="2B37A0E7" w14:textId="43882AA0" w:rsidR="00033239" w:rsidRPr="00F566F6" w:rsidRDefault="00033239" w:rsidP="00033239">
      <w:pPr>
        <w:rPr>
          <w:rFonts w:ascii="Arial" w:hAnsi="Arial" w:cs="Arial"/>
          <w:lang w:val="en-GB"/>
        </w:rPr>
      </w:pPr>
      <w:r w:rsidRPr="00F566F6">
        <w:rPr>
          <w:rFonts w:ascii="Arial" w:hAnsi="Arial" w:cs="Arial"/>
          <w:lang w:val="en-GB"/>
        </w:rPr>
        <w:t>[</w:t>
      </w:r>
      <w:r w:rsidRPr="00F566F6">
        <w:rPr>
          <w:rFonts w:ascii="Arial" w:hAnsi="Arial" w:cs="Arial"/>
          <w:i/>
          <w:iCs/>
          <w:lang w:val="en-GB"/>
        </w:rPr>
        <w:t xml:space="preserve">Refer to </w:t>
      </w:r>
      <w:r w:rsidRPr="00F566F6">
        <w:rPr>
          <w:rFonts w:ascii="Arial" w:hAnsi="Arial" w:cs="Arial"/>
          <w:b/>
          <w:bCs/>
          <w:i/>
          <w:iCs/>
          <w:lang w:val="en-GB"/>
        </w:rPr>
        <w:t>Appendix 2</w:t>
      </w:r>
      <w:r w:rsidRPr="00F566F6">
        <w:rPr>
          <w:rFonts w:ascii="Arial" w:hAnsi="Arial" w:cs="Arial"/>
          <w:lang w:val="en-GB"/>
        </w:rPr>
        <w:t>]</w:t>
      </w:r>
    </w:p>
    <w:p w14:paraId="28891ED7" w14:textId="77777777" w:rsidR="00D300FA" w:rsidRPr="00F566F6" w:rsidRDefault="00C10957" w:rsidP="00033239">
      <w:pPr>
        <w:pStyle w:val="Heading2"/>
        <w:rPr>
          <w:rFonts w:ascii="Arial" w:hAnsi="Arial" w:cs="Arial"/>
          <w:lang w:val="en-GB"/>
        </w:rPr>
      </w:pPr>
      <w:bookmarkStart w:id="4" w:name="_acgfhcr33o8r" w:colFirst="0" w:colLast="0"/>
      <w:bookmarkStart w:id="5" w:name="_Toc216188923"/>
      <w:bookmarkEnd w:id="4"/>
      <w:r w:rsidRPr="00F566F6">
        <w:rPr>
          <w:rFonts w:ascii="Arial" w:hAnsi="Arial" w:cs="Arial"/>
          <w:lang w:val="en-GB"/>
        </w:rPr>
        <w:t>2.1 Profitability Analysis (Gross, Operating, Net)</w:t>
      </w:r>
      <w:bookmarkEnd w:id="5"/>
    </w:p>
    <w:p w14:paraId="15C19CA4" w14:textId="76DAF798" w:rsidR="008D5C85" w:rsidRPr="00F566F6" w:rsidRDefault="008D5C85" w:rsidP="00033239">
      <w:pPr>
        <w:jc w:val="center"/>
        <w:rPr>
          <w:rFonts w:ascii="Arial" w:hAnsi="Arial" w:cs="Arial"/>
          <w:lang w:val="en-GB"/>
        </w:rPr>
      </w:pPr>
      <w:r w:rsidRPr="00F566F6">
        <w:rPr>
          <w:noProof/>
        </w:rPr>
        <w:drawing>
          <wp:inline distT="0" distB="0" distL="0" distR="0" wp14:anchorId="495970F6" wp14:editId="074F7931">
            <wp:extent cx="4311724" cy="2626907"/>
            <wp:effectExtent l="0" t="0" r="12700" b="2540"/>
            <wp:docPr id="92223588" name="Chart 1">
              <a:extLst xmlns:a="http://schemas.openxmlformats.org/drawingml/2006/main">
                <a:ext uri="{FF2B5EF4-FFF2-40B4-BE49-F238E27FC236}">
                  <a16:creationId xmlns:a16="http://schemas.microsoft.com/office/drawing/2014/main" id="{ED73D53C-7D7A-B72D-6B6C-5EF94BE517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96B41C" w14:textId="7B06A716" w:rsidR="008D5C85" w:rsidRPr="00F566F6" w:rsidRDefault="008D5C85" w:rsidP="00033239">
      <w:pPr>
        <w:jc w:val="center"/>
        <w:rPr>
          <w:rFonts w:ascii="Arial" w:hAnsi="Arial" w:cs="Arial"/>
          <w:b/>
          <w:bCs/>
          <w:lang w:val="en-GB"/>
        </w:rPr>
      </w:pPr>
      <w:r w:rsidRPr="00F566F6">
        <w:rPr>
          <w:rFonts w:ascii="Arial" w:hAnsi="Arial" w:cs="Arial"/>
          <w:b/>
          <w:bCs/>
          <w:lang w:val="en-GB"/>
        </w:rPr>
        <w:t>Figure 1:</w:t>
      </w:r>
    </w:p>
    <w:p w14:paraId="77B1D4FA" w14:textId="6A9C1E94" w:rsidR="008D5C85" w:rsidRPr="00F566F6" w:rsidRDefault="008D5C85" w:rsidP="00033239">
      <w:pPr>
        <w:jc w:val="center"/>
        <w:rPr>
          <w:rFonts w:ascii="Arial" w:hAnsi="Arial" w:cs="Arial"/>
          <w:lang w:val="en-GB"/>
        </w:rPr>
      </w:pPr>
      <w:r w:rsidRPr="00F566F6">
        <w:rPr>
          <w:rFonts w:ascii="Arial" w:hAnsi="Arial" w:cs="Arial"/>
          <w:lang w:val="en-GB"/>
        </w:rPr>
        <w:t>(Source: Refer to the Excel)</w:t>
      </w:r>
    </w:p>
    <w:p w14:paraId="2F70F240" w14:textId="5E79592A" w:rsidR="00D300FA" w:rsidRPr="00F566F6" w:rsidRDefault="00C10957" w:rsidP="00033239">
      <w:pPr>
        <w:rPr>
          <w:rFonts w:ascii="Arial" w:hAnsi="Arial" w:cs="Arial"/>
          <w:lang w:val="en-GB"/>
        </w:rPr>
      </w:pPr>
      <w:r w:rsidRPr="00F566F6">
        <w:rPr>
          <w:rFonts w:ascii="Arial" w:hAnsi="Arial" w:cs="Arial"/>
          <w:lang w:val="en-GB"/>
        </w:rPr>
        <w:t xml:space="preserve">The profitability of General Electronics has had a sudden negative decline in the last five years, which is an indication of structural and operational fundamental weaknesses. The loss of sales revenue decreased from 2020 to 2024 by an amount of £614,680m to £394,879m, indicating the continued loss of demand and its shrinking competitive power. Owing to the fact that profitability ratios, </w:t>
      </w:r>
      <w:r w:rsidR="00742F3C" w:rsidRPr="00F566F6">
        <w:rPr>
          <w:rFonts w:ascii="Arial" w:hAnsi="Arial" w:cs="Arial"/>
          <w:lang w:val="en-GB"/>
        </w:rPr>
        <w:t>such as</w:t>
      </w:r>
      <w:r w:rsidRPr="00F566F6">
        <w:rPr>
          <w:rFonts w:ascii="Arial" w:hAnsi="Arial" w:cs="Arial"/>
          <w:lang w:val="en-GB"/>
        </w:rPr>
        <w:t xml:space="preserve"> gross, operating and net margins, are very sensitive to the changes in revenue in a high-fixed cost industry, this decrease was directly translated into the compression of the margin. Gross margin was constant until 2022 and then declined dramatically in 2023, and then slightly rose to 28.8% in 2024, suggesting inefficient production. </w:t>
      </w:r>
      <w:r w:rsidR="008D5C85" w:rsidRPr="00F566F6">
        <w:rPr>
          <w:rFonts w:ascii="Arial" w:hAnsi="Arial" w:cs="Arial"/>
          <w:lang w:val="en-GB"/>
        </w:rPr>
        <w:t>As shown in figure 2, t</w:t>
      </w:r>
      <w:r w:rsidRPr="00F566F6">
        <w:rPr>
          <w:rFonts w:ascii="Arial" w:hAnsi="Arial" w:cs="Arial"/>
          <w:lang w:val="en-GB"/>
        </w:rPr>
        <w:t>he operating margin deteriorated significantly with a -20.3% in 2023, and only slightly in 2024</w:t>
      </w:r>
      <w:r w:rsidR="008D5C85" w:rsidRPr="00F566F6">
        <w:rPr>
          <w:rFonts w:ascii="Arial" w:hAnsi="Arial" w:cs="Arial"/>
          <w:lang w:val="en-GB"/>
        </w:rPr>
        <w:t xml:space="preserve">. This </w:t>
      </w:r>
      <w:r w:rsidRPr="00F566F6">
        <w:rPr>
          <w:rFonts w:ascii="Arial" w:hAnsi="Arial" w:cs="Arial"/>
          <w:lang w:val="en-GB"/>
        </w:rPr>
        <w:t xml:space="preserve">is indicative of the fact that the company was unable to </w:t>
      </w:r>
      <w:r w:rsidRPr="00F566F6">
        <w:rPr>
          <w:rFonts w:ascii="Arial" w:hAnsi="Arial" w:cs="Arial"/>
          <w:lang w:val="en-GB"/>
        </w:rPr>
        <w:lastRenderedPageBreak/>
        <w:t xml:space="preserve">manage its expenses as sales declined. </w:t>
      </w:r>
      <w:proofErr w:type="spellStart"/>
      <w:r w:rsidRPr="00F566F6">
        <w:rPr>
          <w:rFonts w:ascii="Arial" w:hAnsi="Arial" w:cs="Arial"/>
          <w:lang w:val="en-GB"/>
        </w:rPr>
        <w:t>Fahdil</w:t>
      </w:r>
      <w:proofErr w:type="spellEnd"/>
      <w:r w:rsidRPr="00F566F6">
        <w:rPr>
          <w:rFonts w:ascii="Arial" w:hAnsi="Arial" w:cs="Arial"/>
          <w:lang w:val="en-GB"/>
        </w:rPr>
        <w:t xml:space="preserve"> (2024) caution</w:t>
      </w:r>
      <w:r w:rsidR="00742F3C" w:rsidRPr="00F566F6">
        <w:rPr>
          <w:rFonts w:ascii="Arial" w:hAnsi="Arial" w:cs="Arial"/>
          <w:lang w:val="en-GB"/>
        </w:rPr>
        <w:t>ed</w:t>
      </w:r>
      <w:r w:rsidRPr="00F566F6">
        <w:rPr>
          <w:rFonts w:ascii="Arial" w:hAnsi="Arial" w:cs="Arial"/>
          <w:lang w:val="en-GB"/>
        </w:rPr>
        <w:t xml:space="preserve"> that negative operating performance will put the company a risk of bankruptcy in case it is not restructured.</w:t>
      </w:r>
    </w:p>
    <w:p w14:paraId="05C8E0A5" w14:textId="09400D23" w:rsidR="008D5C85" w:rsidRPr="00F566F6" w:rsidRDefault="008D5C85" w:rsidP="00033239">
      <w:pPr>
        <w:jc w:val="center"/>
        <w:rPr>
          <w:rFonts w:ascii="Arial" w:hAnsi="Arial" w:cs="Arial"/>
          <w:lang w:val="en-GB"/>
        </w:rPr>
      </w:pPr>
      <w:r w:rsidRPr="00F566F6">
        <w:rPr>
          <w:noProof/>
        </w:rPr>
        <w:drawing>
          <wp:inline distT="0" distB="0" distL="0" distR="0" wp14:anchorId="7944B11B" wp14:editId="5B4B5E41">
            <wp:extent cx="4306444" cy="2626907"/>
            <wp:effectExtent l="0" t="0" r="18415" b="2540"/>
            <wp:docPr id="1021690142" name="Chart 1">
              <a:extLst xmlns:a="http://schemas.openxmlformats.org/drawingml/2006/main">
                <a:ext uri="{FF2B5EF4-FFF2-40B4-BE49-F238E27FC236}">
                  <a16:creationId xmlns:a16="http://schemas.microsoft.com/office/drawing/2014/main" id="{48E42F01-FDAF-6D07-AD3D-D4B6D28C6E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C158D1" w14:textId="1910035D" w:rsidR="008D5C85" w:rsidRPr="00F566F6" w:rsidRDefault="008D5C85" w:rsidP="00033239">
      <w:pPr>
        <w:jc w:val="center"/>
        <w:rPr>
          <w:rFonts w:ascii="Arial" w:hAnsi="Arial" w:cs="Arial"/>
          <w:b/>
          <w:bCs/>
          <w:lang w:val="en-GB"/>
        </w:rPr>
      </w:pPr>
      <w:r w:rsidRPr="00F566F6">
        <w:rPr>
          <w:rFonts w:ascii="Arial" w:hAnsi="Arial" w:cs="Arial"/>
          <w:b/>
          <w:bCs/>
          <w:lang w:val="en-GB"/>
        </w:rPr>
        <w:t>Figure 2: operating margin</w:t>
      </w:r>
    </w:p>
    <w:p w14:paraId="4A426249" w14:textId="320C91F2" w:rsidR="008D5C85" w:rsidRPr="00F566F6" w:rsidRDefault="008D5C85" w:rsidP="00033239">
      <w:pPr>
        <w:jc w:val="center"/>
        <w:rPr>
          <w:rFonts w:ascii="Arial" w:hAnsi="Arial" w:cs="Arial"/>
          <w:lang w:val="en-GB"/>
        </w:rPr>
      </w:pPr>
      <w:r w:rsidRPr="00F566F6">
        <w:rPr>
          <w:rFonts w:ascii="Arial" w:hAnsi="Arial" w:cs="Arial"/>
          <w:lang w:val="en-GB"/>
        </w:rPr>
        <w:t>(Source: Refer to the Excel)</w:t>
      </w:r>
    </w:p>
    <w:p w14:paraId="2090FD72" w14:textId="116E0A59" w:rsidR="008D5C85" w:rsidRPr="00F566F6" w:rsidRDefault="008D5C85" w:rsidP="00033239">
      <w:pPr>
        <w:jc w:val="center"/>
        <w:rPr>
          <w:rFonts w:ascii="Arial" w:hAnsi="Arial" w:cs="Arial"/>
          <w:lang w:val="en-GB"/>
        </w:rPr>
      </w:pPr>
      <w:r w:rsidRPr="00F566F6">
        <w:rPr>
          <w:noProof/>
        </w:rPr>
        <w:drawing>
          <wp:inline distT="0" distB="0" distL="0" distR="0" wp14:anchorId="458FB6F9" wp14:editId="356B429A">
            <wp:extent cx="4313831" cy="2628003"/>
            <wp:effectExtent l="0" t="0" r="10795" b="1270"/>
            <wp:docPr id="1713845771" name="Chart 1">
              <a:extLst xmlns:a="http://schemas.openxmlformats.org/drawingml/2006/main">
                <a:ext uri="{FF2B5EF4-FFF2-40B4-BE49-F238E27FC236}">
                  <a16:creationId xmlns:a16="http://schemas.microsoft.com/office/drawing/2014/main" id="{C7F7A3F9-3E4F-2C10-CA77-6C050F49DD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784EB9" w14:textId="63AF3069" w:rsidR="008D5C85" w:rsidRPr="00F566F6" w:rsidRDefault="008D5C85" w:rsidP="00033239">
      <w:pPr>
        <w:jc w:val="center"/>
        <w:rPr>
          <w:rFonts w:ascii="Arial" w:hAnsi="Arial" w:cs="Arial"/>
          <w:b/>
          <w:bCs/>
          <w:lang w:val="en-GB"/>
        </w:rPr>
      </w:pPr>
      <w:r w:rsidRPr="00F566F6">
        <w:rPr>
          <w:rFonts w:ascii="Arial" w:hAnsi="Arial" w:cs="Arial"/>
          <w:b/>
          <w:bCs/>
          <w:lang w:val="en-GB"/>
        </w:rPr>
        <w:t>Figure 3:</w:t>
      </w:r>
      <w:r w:rsidRPr="00F566F6">
        <w:t xml:space="preserve"> </w:t>
      </w:r>
      <w:r w:rsidRPr="00F566F6">
        <w:rPr>
          <w:rFonts w:ascii="Arial" w:hAnsi="Arial" w:cs="Arial"/>
          <w:b/>
          <w:bCs/>
          <w:lang w:val="en-GB"/>
        </w:rPr>
        <w:t>net margin</w:t>
      </w:r>
    </w:p>
    <w:p w14:paraId="1A877AA2" w14:textId="0E1BBB55" w:rsidR="008D5C85" w:rsidRPr="00F566F6" w:rsidRDefault="008D5C85" w:rsidP="00033239">
      <w:pPr>
        <w:jc w:val="center"/>
        <w:rPr>
          <w:rFonts w:ascii="Arial" w:hAnsi="Arial" w:cs="Arial"/>
          <w:lang w:val="en-GB"/>
        </w:rPr>
      </w:pPr>
      <w:r w:rsidRPr="00F566F6">
        <w:rPr>
          <w:rFonts w:ascii="Arial" w:hAnsi="Arial" w:cs="Arial"/>
          <w:lang w:val="en-GB"/>
        </w:rPr>
        <w:t>(Source: Refer to the Excel)</w:t>
      </w:r>
    </w:p>
    <w:p w14:paraId="1B0A5A6B" w14:textId="285AEB68" w:rsidR="00D300FA" w:rsidRPr="00F566F6" w:rsidRDefault="00C10957" w:rsidP="00033239">
      <w:pPr>
        <w:rPr>
          <w:rFonts w:ascii="Arial" w:hAnsi="Arial" w:cs="Arial"/>
          <w:lang w:val="en-GB"/>
        </w:rPr>
      </w:pPr>
      <w:r w:rsidRPr="00F566F6">
        <w:rPr>
          <w:rFonts w:ascii="Arial" w:hAnsi="Arial" w:cs="Arial"/>
          <w:lang w:val="en-GB"/>
        </w:rPr>
        <w:t>The net margin dropped to -23.36% in 2023, and -6.08% in 2024 as a result of decreasing sales, increasing expenses and increased financing demands</w:t>
      </w:r>
      <w:r w:rsidR="008D5C85" w:rsidRPr="00F566F6">
        <w:rPr>
          <w:rFonts w:ascii="Arial" w:hAnsi="Arial" w:cs="Arial"/>
          <w:lang w:val="en-GB"/>
        </w:rPr>
        <w:t xml:space="preserve"> (</w:t>
      </w:r>
      <w:r w:rsidR="008D5C85" w:rsidRPr="00F566F6">
        <w:rPr>
          <w:rFonts w:ascii="Arial" w:hAnsi="Arial" w:cs="Arial"/>
          <w:i/>
          <w:iCs/>
          <w:lang w:val="en-GB"/>
        </w:rPr>
        <w:t>figure 3</w:t>
      </w:r>
      <w:r w:rsidR="008D5C85" w:rsidRPr="00F566F6">
        <w:rPr>
          <w:rFonts w:ascii="Arial" w:hAnsi="Arial" w:cs="Arial"/>
          <w:lang w:val="en-GB"/>
        </w:rPr>
        <w:t>)</w:t>
      </w:r>
      <w:r w:rsidRPr="00F566F6">
        <w:rPr>
          <w:rFonts w:ascii="Arial" w:hAnsi="Arial" w:cs="Arial"/>
          <w:lang w:val="en-GB"/>
        </w:rPr>
        <w:t xml:space="preserve">. According to </w:t>
      </w:r>
      <w:proofErr w:type="spellStart"/>
      <w:r w:rsidRPr="00F566F6">
        <w:rPr>
          <w:rFonts w:ascii="Arial" w:hAnsi="Arial" w:cs="Arial"/>
          <w:lang w:val="en-GB"/>
        </w:rPr>
        <w:t>Mavlutova</w:t>
      </w:r>
      <w:proofErr w:type="spellEnd"/>
      <w:r w:rsidRPr="00F566F6">
        <w:rPr>
          <w:rFonts w:ascii="Arial" w:hAnsi="Arial" w:cs="Arial"/>
          <w:lang w:val="en-GB"/>
        </w:rPr>
        <w:t xml:space="preserve"> (2021), the continued net losses undermine strategic investing ability and investor trust, showing a fall in EPS to -7.64 in 2023. In 2023, ROA fell to -27.6% and ROE to -54.9% with shattering asset efficiency and terrible equity destruction</w:t>
      </w:r>
      <w:r w:rsidR="004F1199" w:rsidRPr="00F566F6">
        <w:rPr>
          <w:rFonts w:ascii="Arial" w:hAnsi="Arial" w:cs="Arial"/>
          <w:lang w:val="en-GB"/>
        </w:rPr>
        <w:t xml:space="preserve"> (</w:t>
      </w:r>
      <w:r w:rsidR="004F1199" w:rsidRPr="00F566F6">
        <w:rPr>
          <w:rFonts w:ascii="Arial" w:hAnsi="Arial" w:cs="Arial"/>
          <w:i/>
          <w:iCs/>
          <w:lang w:val="en-GB"/>
        </w:rPr>
        <w:t>figure 4 and 5</w:t>
      </w:r>
      <w:r w:rsidR="004F1199" w:rsidRPr="00F566F6">
        <w:rPr>
          <w:rFonts w:ascii="Arial" w:hAnsi="Arial" w:cs="Arial"/>
          <w:lang w:val="en-GB"/>
        </w:rPr>
        <w:t>)</w:t>
      </w:r>
      <w:r w:rsidRPr="00F566F6">
        <w:rPr>
          <w:rFonts w:ascii="Arial" w:hAnsi="Arial" w:cs="Arial"/>
          <w:lang w:val="en-GB"/>
        </w:rPr>
        <w:t xml:space="preserve">. Shah (2021) attributes these falls to operational </w:t>
      </w:r>
      <w:r w:rsidRPr="00F566F6">
        <w:rPr>
          <w:rFonts w:ascii="Arial" w:hAnsi="Arial" w:cs="Arial"/>
          <w:lang w:val="en-GB"/>
        </w:rPr>
        <w:lastRenderedPageBreak/>
        <w:t>inefficiency.</w:t>
      </w:r>
      <w:r w:rsidR="00742F3C" w:rsidRPr="00F566F6">
        <w:rPr>
          <w:rFonts w:ascii="Arial" w:hAnsi="Arial" w:cs="Arial"/>
          <w:lang w:val="en-GB"/>
        </w:rPr>
        <w:t xml:space="preserve"> However, </w:t>
      </w:r>
      <w:r w:rsidRPr="00F566F6">
        <w:rPr>
          <w:rFonts w:ascii="Arial" w:hAnsi="Arial" w:cs="Arial"/>
          <w:lang w:val="en-GB"/>
        </w:rPr>
        <w:t>negative profitability will not be sustainable in the long</w:t>
      </w:r>
      <w:r w:rsidR="00742F3C" w:rsidRPr="00F566F6">
        <w:rPr>
          <w:rFonts w:ascii="Arial" w:hAnsi="Arial" w:cs="Arial"/>
          <w:lang w:val="en-GB"/>
        </w:rPr>
        <w:t>-</w:t>
      </w:r>
      <w:r w:rsidRPr="00F566F6">
        <w:rPr>
          <w:rFonts w:ascii="Arial" w:hAnsi="Arial" w:cs="Arial"/>
          <w:lang w:val="en-GB"/>
        </w:rPr>
        <w:t>term</w:t>
      </w:r>
      <w:r w:rsidR="00742F3C" w:rsidRPr="00F566F6">
        <w:rPr>
          <w:rFonts w:ascii="Arial" w:hAnsi="Arial" w:cs="Arial"/>
          <w:lang w:val="en-GB"/>
        </w:rPr>
        <w:t>,</w:t>
      </w:r>
      <w:r w:rsidRPr="00F566F6">
        <w:rPr>
          <w:rFonts w:ascii="Arial" w:hAnsi="Arial" w:cs="Arial"/>
          <w:lang w:val="en-GB"/>
        </w:rPr>
        <w:t xml:space="preserve"> </w:t>
      </w:r>
      <w:r w:rsidR="00742F3C" w:rsidRPr="00F566F6">
        <w:rPr>
          <w:rFonts w:ascii="Arial" w:hAnsi="Arial" w:cs="Arial"/>
          <w:lang w:val="en-GB"/>
        </w:rPr>
        <w:t>unless</w:t>
      </w:r>
      <w:r w:rsidRPr="00F566F6">
        <w:rPr>
          <w:rFonts w:ascii="Arial" w:hAnsi="Arial" w:cs="Arial"/>
          <w:lang w:val="en-GB"/>
        </w:rPr>
        <w:t xml:space="preserve"> it is restructured immediately</w:t>
      </w:r>
      <w:r w:rsidR="00742F3C" w:rsidRPr="00F566F6">
        <w:rPr>
          <w:rFonts w:ascii="Arial" w:hAnsi="Arial" w:cs="Arial"/>
          <w:lang w:val="en-GB"/>
        </w:rPr>
        <w:t xml:space="preserve"> (</w:t>
      </w:r>
      <w:proofErr w:type="spellStart"/>
      <w:r w:rsidR="00742F3C" w:rsidRPr="00F566F6">
        <w:rPr>
          <w:rFonts w:ascii="Arial" w:hAnsi="Arial" w:cs="Arial"/>
          <w:lang w:val="en-GB"/>
        </w:rPr>
        <w:t>Colliard</w:t>
      </w:r>
      <w:proofErr w:type="spellEnd"/>
      <w:r w:rsidR="00742F3C" w:rsidRPr="00F566F6">
        <w:rPr>
          <w:rFonts w:ascii="Arial" w:hAnsi="Arial" w:cs="Arial"/>
          <w:lang w:val="en-GB"/>
        </w:rPr>
        <w:t>, 2025)</w:t>
      </w:r>
      <w:r w:rsidRPr="00F566F6">
        <w:rPr>
          <w:rFonts w:ascii="Arial" w:hAnsi="Arial" w:cs="Arial"/>
          <w:lang w:val="en-GB"/>
        </w:rPr>
        <w:t>.</w:t>
      </w:r>
    </w:p>
    <w:p w14:paraId="614450CA" w14:textId="7DEF909E" w:rsidR="004F1199" w:rsidRPr="00F566F6" w:rsidRDefault="004F1199" w:rsidP="00033239">
      <w:pPr>
        <w:jc w:val="center"/>
        <w:rPr>
          <w:rFonts w:ascii="Arial" w:hAnsi="Arial" w:cs="Arial"/>
          <w:lang w:val="en-GB"/>
        </w:rPr>
      </w:pPr>
      <w:r w:rsidRPr="00F566F6">
        <w:rPr>
          <w:noProof/>
        </w:rPr>
        <w:drawing>
          <wp:inline distT="0" distB="0" distL="0" distR="0" wp14:anchorId="6A8BEA44" wp14:editId="14A73010">
            <wp:extent cx="4313831" cy="2626792"/>
            <wp:effectExtent l="0" t="0" r="10795" b="2540"/>
            <wp:docPr id="1443213205" name="Chart 1">
              <a:extLst xmlns:a="http://schemas.openxmlformats.org/drawingml/2006/main">
                <a:ext uri="{FF2B5EF4-FFF2-40B4-BE49-F238E27FC236}">
                  <a16:creationId xmlns:a16="http://schemas.microsoft.com/office/drawing/2014/main" id="{26866400-2A5C-DE3E-166C-3E0B7CB9FD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E6B185" w14:textId="5BA0181D" w:rsidR="004F1199" w:rsidRPr="00F566F6" w:rsidRDefault="004F1199" w:rsidP="00033239">
      <w:pPr>
        <w:jc w:val="center"/>
        <w:rPr>
          <w:rFonts w:ascii="Arial" w:hAnsi="Arial" w:cs="Arial"/>
          <w:b/>
          <w:bCs/>
          <w:lang w:val="en-GB"/>
        </w:rPr>
      </w:pPr>
      <w:r w:rsidRPr="00F566F6">
        <w:rPr>
          <w:rFonts w:ascii="Arial" w:hAnsi="Arial" w:cs="Arial"/>
          <w:b/>
          <w:bCs/>
          <w:lang w:val="en-GB"/>
        </w:rPr>
        <w:t>Figure 4:</w:t>
      </w:r>
      <w:r w:rsidRPr="00F566F6">
        <w:t xml:space="preserve"> </w:t>
      </w:r>
      <w:r w:rsidRPr="00F566F6">
        <w:rPr>
          <w:rFonts w:ascii="Arial" w:hAnsi="Arial" w:cs="Arial"/>
          <w:b/>
          <w:bCs/>
          <w:lang w:val="en-GB"/>
        </w:rPr>
        <w:t>ROA</w:t>
      </w:r>
      <w:r w:rsidR="00D650FD" w:rsidRPr="00F566F6">
        <w:rPr>
          <w:rFonts w:ascii="Arial" w:hAnsi="Arial" w:cs="Arial"/>
          <w:b/>
          <w:bCs/>
          <w:lang w:val="en-GB"/>
        </w:rPr>
        <w:t xml:space="preserve"> (</w:t>
      </w:r>
      <w:r w:rsidR="00D650FD" w:rsidRPr="00F566F6">
        <w:rPr>
          <w:rFonts w:ascii="Arial" w:hAnsi="Arial" w:cs="Arial"/>
          <w:b/>
          <w:bCs/>
        </w:rPr>
        <w:t>Return on Assets</w:t>
      </w:r>
      <w:r w:rsidR="00D650FD" w:rsidRPr="00F566F6">
        <w:rPr>
          <w:rFonts w:ascii="Arial" w:hAnsi="Arial" w:cs="Arial"/>
          <w:b/>
          <w:bCs/>
          <w:lang w:val="en-GB"/>
        </w:rPr>
        <w:t>)</w:t>
      </w:r>
    </w:p>
    <w:p w14:paraId="2A1E4FC3" w14:textId="4CCBF3E7" w:rsidR="004F1199" w:rsidRPr="00F566F6" w:rsidRDefault="004F1199" w:rsidP="00033239">
      <w:pPr>
        <w:jc w:val="center"/>
        <w:rPr>
          <w:rFonts w:ascii="Arial" w:hAnsi="Arial" w:cs="Arial"/>
          <w:lang w:val="en-GB"/>
        </w:rPr>
      </w:pPr>
      <w:r w:rsidRPr="00F566F6">
        <w:rPr>
          <w:rFonts w:ascii="Arial" w:hAnsi="Arial" w:cs="Arial"/>
          <w:lang w:val="en-GB"/>
        </w:rPr>
        <w:t>(Source: Refer to the Excel)</w:t>
      </w:r>
    </w:p>
    <w:p w14:paraId="57900F0C" w14:textId="0EA14E9D" w:rsidR="004F1199" w:rsidRPr="00F566F6" w:rsidRDefault="004F1199" w:rsidP="00033239">
      <w:pPr>
        <w:jc w:val="center"/>
        <w:rPr>
          <w:rFonts w:ascii="Arial" w:hAnsi="Arial" w:cs="Arial"/>
          <w:lang w:val="en-GB"/>
        </w:rPr>
      </w:pPr>
      <w:r w:rsidRPr="00F566F6">
        <w:rPr>
          <w:noProof/>
        </w:rPr>
        <w:drawing>
          <wp:inline distT="0" distB="0" distL="0" distR="0" wp14:anchorId="5D518306" wp14:editId="1B1C5A8B">
            <wp:extent cx="4289853" cy="2628002"/>
            <wp:effectExtent l="0" t="0" r="15875" b="1270"/>
            <wp:docPr id="772315561" name="Chart 1">
              <a:extLst xmlns:a="http://schemas.openxmlformats.org/drawingml/2006/main">
                <a:ext uri="{FF2B5EF4-FFF2-40B4-BE49-F238E27FC236}">
                  <a16:creationId xmlns:a16="http://schemas.microsoft.com/office/drawing/2014/main" id="{2AA48523-75E3-FC1A-645D-73B6AF6CFA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FC7141" w14:textId="6B00002C" w:rsidR="004F1199" w:rsidRPr="00F566F6" w:rsidRDefault="004F1199" w:rsidP="00033239">
      <w:pPr>
        <w:jc w:val="center"/>
        <w:rPr>
          <w:rFonts w:ascii="Arial" w:hAnsi="Arial" w:cs="Arial"/>
          <w:b/>
          <w:bCs/>
          <w:lang w:val="en-GB"/>
        </w:rPr>
      </w:pPr>
      <w:r w:rsidRPr="00F566F6">
        <w:rPr>
          <w:rFonts w:ascii="Arial" w:hAnsi="Arial" w:cs="Arial"/>
          <w:b/>
          <w:bCs/>
          <w:lang w:val="en-GB"/>
        </w:rPr>
        <w:t>Figure 5:</w:t>
      </w:r>
      <w:r w:rsidRPr="00F566F6">
        <w:t xml:space="preserve"> </w:t>
      </w:r>
      <w:r w:rsidRPr="00F566F6">
        <w:rPr>
          <w:rFonts w:ascii="Arial" w:hAnsi="Arial" w:cs="Arial"/>
          <w:b/>
          <w:bCs/>
          <w:lang w:val="en-GB"/>
        </w:rPr>
        <w:t>ROE</w:t>
      </w:r>
      <w:r w:rsidR="00D650FD" w:rsidRPr="00F566F6">
        <w:rPr>
          <w:rFonts w:ascii="Arial" w:hAnsi="Arial" w:cs="Arial"/>
          <w:b/>
          <w:bCs/>
          <w:lang w:val="en-GB"/>
        </w:rPr>
        <w:t xml:space="preserve"> </w:t>
      </w:r>
      <w:r w:rsidR="00D650FD" w:rsidRPr="00F566F6">
        <w:rPr>
          <w:rFonts w:ascii="Arial" w:hAnsi="Arial" w:cs="Arial"/>
          <w:b/>
          <w:bCs/>
        </w:rPr>
        <w:t>(Return on Equity)</w:t>
      </w:r>
    </w:p>
    <w:p w14:paraId="3302657E" w14:textId="6C66625D" w:rsidR="004F1199" w:rsidRPr="00F566F6" w:rsidRDefault="004F1199" w:rsidP="00033239">
      <w:pPr>
        <w:jc w:val="center"/>
        <w:rPr>
          <w:rFonts w:ascii="Arial" w:hAnsi="Arial" w:cs="Arial"/>
          <w:lang w:val="en-GB"/>
        </w:rPr>
      </w:pPr>
      <w:r w:rsidRPr="00F566F6">
        <w:rPr>
          <w:rFonts w:ascii="Arial" w:hAnsi="Arial" w:cs="Arial"/>
          <w:lang w:val="en-GB"/>
        </w:rPr>
        <w:t>(Source: Refer to the Excel)</w:t>
      </w:r>
    </w:p>
    <w:p w14:paraId="773B7430" w14:textId="77777777" w:rsidR="00D300FA" w:rsidRPr="00F566F6" w:rsidRDefault="00C10957" w:rsidP="00033239">
      <w:pPr>
        <w:pStyle w:val="Heading2"/>
        <w:rPr>
          <w:rFonts w:ascii="Arial" w:hAnsi="Arial" w:cs="Arial"/>
          <w:lang w:val="en-GB"/>
        </w:rPr>
      </w:pPr>
      <w:bookmarkStart w:id="6" w:name="_6vn5b5kgbpak" w:colFirst="0" w:colLast="0"/>
      <w:bookmarkStart w:id="7" w:name="_Toc216188924"/>
      <w:bookmarkEnd w:id="6"/>
      <w:r w:rsidRPr="00F566F6">
        <w:rPr>
          <w:rFonts w:ascii="Arial" w:hAnsi="Arial" w:cs="Arial"/>
          <w:lang w:val="en-GB"/>
        </w:rPr>
        <w:lastRenderedPageBreak/>
        <w:t>2.2 Liquidity Analysis (Current, Quick Ratios)</w:t>
      </w:r>
      <w:bookmarkEnd w:id="7"/>
    </w:p>
    <w:p w14:paraId="4C1927D1" w14:textId="166296A1" w:rsidR="008D5C85" w:rsidRPr="00F566F6" w:rsidRDefault="008D5C85" w:rsidP="00033239">
      <w:pPr>
        <w:jc w:val="center"/>
        <w:rPr>
          <w:rFonts w:ascii="Arial" w:hAnsi="Arial" w:cs="Arial"/>
          <w:lang w:val="en-GB"/>
        </w:rPr>
      </w:pPr>
      <w:r w:rsidRPr="00F566F6">
        <w:rPr>
          <w:noProof/>
        </w:rPr>
        <w:drawing>
          <wp:inline distT="0" distB="0" distL="0" distR="0" wp14:anchorId="5F3949DF" wp14:editId="33D3D05F">
            <wp:extent cx="4289853" cy="2618477"/>
            <wp:effectExtent l="0" t="0" r="15875" b="10795"/>
            <wp:docPr id="500791983" name="Chart 1">
              <a:extLst xmlns:a="http://schemas.openxmlformats.org/drawingml/2006/main">
                <a:ext uri="{FF2B5EF4-FFF2-40B4-BE49-F238E27FC236}">
                  <a16:creationId xmlns:a16="http://schemas.microsoft.com/office/drawing/2014/main" id="{23D8BD27-DCD4-AAF7-C14B-B67FA15763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3AB2AE7" w14:textId="641A6AD6" w:rsidR="008D5C85" w:rsidRPr="00F566F6" w:rsidRDefault="008D5C85" w:rsidP="00033239">
      <w:pPr>
        <w:jc w:val="center"/>
        <w:rPr>
          <w:rFonts w:ascii="Arial" w:hAnsi="Arial" w:cs="Arial"/>
          <w:b/>
          <w:bCs/>
          <w:lang w:val="en-GB"/>
        </w:rPr>
      </w:pPr>
      <w:r w:rsidRPr="00F566F6">
        <w:rPr>
          <w:rFonts w:ascii="Arial" w:hAnsi="Arial" w:cs="Arial"/>
          <w:b/>
          <w:bCs/>
          <w:lang w:val="en-GB"/>
        </w:rPr>
        <w:t xml:space="preserve">Figure </w:t>
      </w:r>
      <w:r w:rsidR="004F1199" w:rsidRPr="00F566F6">
        <w:rPr>
          <w:rFonts w:ascii="Arial" w:hAnsi="Arial" w:cs="Arial"/>
          <w:b/>
          <w:bCs/>
          <w:lang w:val="en-GB"/>
        </w:rPr>
        <w:t>6</w:t>
      </w:r>
      <w:r w:rsidRPr="00F566F6">
        <w:rPr>
          <w:rFonts w:ascii="Arial" w:hAnsi="Arial" w:cs="Arial"/>
          <w:b/>
          <w:bCs/>
          <w:lang w:val="en-GB"/>
        </w:rPr>
        <w:t>:</w:t>
      </w:r>
      <w:r w:rsidRPr="00F566F6">
        <w:t xml:space="preserve"> </w:t>
      </w:r>
      <w:r w:rsidRPr="00F566F6">
        <w:rPr>
          <w:rFonts w:ascii="Arial" w:hAnsi="Arial" w:cs="Arial"/>
          <w:b/>
          <w:bCs/>
          <w:lang w:val="en-GB"/>
        </w:rPr>
        <w:t>Current ratio</w:t>
      </w:r>
    </w:p>
    <w:p w14:paraId="76D85113" w14:textId="015D60C4" w:rsidR="008D5C85" w:rsidRPr="00F566F6" w:rsidRDefault="008D5C85" w:rsidP="00033239">
      <w:pPr>
        <w:jc w:val="center"/>
        <w:rPr>
          <w:rFonts w:ascii="Arial" w:hAnsi="Arial" w:cs="Arial"/>
          <w:lang w:val="en-GB"/>
        </w:rPr>
      </w:pPr>
      <w:r w:rsidRPr="00F566F6">
        <w:rPr>
          <w:rFonts w:ascii="Arial" w:hAnsi="Arial" w:cs="Arial"/>
          <w:lang w:val="en-GB"/>
        </w:rPr>
        <w:t>(Source: Refer to the Excel)</w:t>
      </w:r>
    </w:p>
    <w:p w14:paraId="3EE553EB" w14:textId="6D3B1C54" w:rsidR="00D300FA" w:rsidRPr="00F566F6" w:rsidRDefault="00C10957" w:rsidP="00033239">
      <w:pPr>
        <w:rPr>
          <w:rFonts w:ascii="Arial" w:hAnsi="Arial" w:cs="Arial"/>
          <w:lang w:val="en-GB"/>
        </w:rPr>
      </w:pPr>
      <w:r w:rsidRPr="00F566F6">
        <w:rPr>
          <w:rFonts w:ascii="Arial" w:hAnsi="Arial" w:cs="Arial"/>
          <w:lang w:val="en-GB"/>
        </w:rPr>
        <w:t>The liquidity analysis shows that the liquidity is becoming weaker over the passage of time in five years. Even though the current ratio was above 1.5 between 2020 and 2024</w:t>
      </w:r>
      <w:r w:rsidR="00D650FD" w:rsidRPr="00F566F6">
        <w:rPr>
          <w:rFonts w:ascii="Arial" w:hAnsi="Arial" w:cs="Arial"/>
          <w:lang w:val="en-GB"/>
        </w:rPr>
        <w:t xml:space="preserve"> (</w:t>
      </w:r>
      <w:r w:rsidR="00D650FD" w:rsidRPr="00F566F6">
        <w:rPr>
          <w:rFonts w:ascii="Arial" w:hAnsi="Arial" w:cs="Arial"/>
          <w:i/>
          <w:iCs/>
          <w:lang w:val="en-GB"/>
        </w:rPr>
        <w:t>figure 6</w:t>
      </w:r>
      <w:r w:rsidR="00D650FD" w:rsidRPr="00F566F6">
        <w:rPr>
          <w:rFonts w:ascii="Arial" w:hAnsi="Arial" w:cs="Arial"/>
          <w:lang w:val="en-GB"/>
        </w:rPr>
        <w:t>)</w:t>
      </w:r>
      <w:r w:rsidRPr="00F566F6">
        <w:rPr>
          <w:rFonts w:ascii="Arial" w:hAnsi="Arial" w:cs="Arial"/>
          <w:lang w:val="en-GB"/>
        </w:rPr>
        <w:t xml:space="preserve">, it is not an indicator of the decline in the liquidity position of the company. The cash and cash equivalents plummeted to </w:t>
      </w:r>
      <w:r w:rsidR="00742F3C" w:rsidRPr="00F566F6">
        <w:rPr>
          <w:rFonts w:ascii="Arial" w:hAnsi="Arial" w:cs="Arial"/>
          <w:lang w:val="en-GB"/>
        </w:rPr>
        <w:t>£</w:t>
      </w:r>
      <w:r w:rsidRPr="00F566F6">
        <w:rPr>
          <w:rFonts w:ascii="Arial" w:hAnsi="Arial" w:cs="Arial"/>
          <w:lang w:val="en-GB"/>
        </w:rPr>
        <w:t>26,783m in 2024</w:t>
      </w:r>
      <w:r w:rsidR="00742F3C" w:rsidRPr="00F566F6">
        <w:rPr>
          <w:rFonts w:ascii="Arial" w:hAnsi="Arial" w:cs="Arial"/>
          <w:lang w:val="en-GB"/>
        </w:rPr>
        <w:t>,</w:t>
      </w:r>
      <w:r w:rsidRPr="00F566F6">
        <w:rPr>
          <w:rFonts w:ascii="Arial" w:hAnsi="Arial" w:cs="Arial"/>
          <w:lang w:val="en-GB"/>
        </w:rPr>
        <w:t xml:space="preserve"> as compared to </w:t>
      </w:r>
      <w:r w:rsidR="00742F3C" w:rsidRPr="00F566F6">
        <w:rPr>
          <w:rFonts w:ascii="Arial" w:hAnsi="Arial" w:cs="Arial"/>
          <w:lang w:val="en-GB"/>
        </w:rPr>
        <w:t>£</w:t>
      </w:r>
      <w:r w:rsidRPr="00F566F6">
        <w:rPr>
          <w:rFonts w:ascii="Arial" w:hAnsi="Arial" w:cs="Arial"/>
          <w:lang w:val="en-GB"/>
        </w:rPr>
        <w:t>57,153</w:t>
      </w:r>
      <w:r w:rsidR="00742F3C" w:rsidRPr="00F566F6">
        <w:rPr>
          <w:rFonts w:ascii="Arial" w:hAnsi="Arial" w:cs="Arial"/>
          <w:lang w:val="en-GB"/>
        </w:rPr>
        <w:t xml:space="preserve"> </w:t>
      </w:r>
      <w:r w:rsidRPr="00F566F6">
        <w:rPr>
          <w:rFonts w:ascii="Arial" w:hAnsi="Arial" w:cs="Arial"/>
          <w:lang w:val="en-GB"/>
        </w:rPr>
        <w:t>m</w:t>
      </w:r>
      <w:r w:rsidR="00742F3C" w:rsidRPr="00F566F6">
        <w:rPr>
          <w:rFonts w:ascii="Arial" w:hAnsi="Arial" w:cs="Arial"/>
          <w:lang w:val="en-GB"/>
        </w:rPr>
        <w:t>illion</w:t>
      </w:r>
      <w:r w:rsidRPr="00F566F6">
        <w:rPr>
          <w:rFonts w:ascii="Arial" w:hAnsi="Arial" w:cs="Arial"/>
          <w:lang w:val="en-GB"/>
        </w:rPr>
        <w:t xml:space="preserve"> in 2020, which is an indication of dwindling cash buffers. Makhdoom (2023) state</w:t>
      </w:r>
      <w:r w:rsidR="00742F3C" w:rsidRPr="00F566F6">
        <w:rPr>
          <w:rFonts w:ascii="Arial" w:hAnsi="Arial" w:cs="Arial"/>
          <w:lang w:val="en-GB"/>
        </w:rPr>
        <w:t>d</w:t>
      </w:r>
      <w:r w:rsidRPr="00F566F6">
        <w:rPr>
          <w:rFonts w:ascii="Arial" w:hAnsi="Arial" w:cs="Arial"/>
          <w:lang w:val="en-GB"/>
        </w:rPr>
        <w:t xml:space="preserve"> that low liquidity compromises the capacity of a firm to absorb shocks as well as the capacity to be flexible in its operations during restructuring. The </w:t>
      </w:r>
      <w:r w:rsidR="008D5C85" w:rsidRPr="00F566F6">
        <w:rPr>
          <w:rFonts w:ascii="Arial" w:hAnsi="Arial" w:cs="Arial"/>
          <w:lang w:val="en-GB"/>
        </w:rPr>
        <w:t>quick</w:t>
      </w:r>
      <w:r w:rsidRPr="00F566F6">
        <w:rPr>
          <w:rFonts w:ascii="Arial" w:hAnsi="Arial" w:cs="Arial"/>
          <w:lang w:val="en-GB"/>
        </w:rPr>
        <w:t xml:space="preserve"> ratio also declined </w:t>
      </w:r>
      <w:r w:rsidR="008D5C85" w:rsidRPr="00F566F6">
        <w:rPr>
          <w:rFonts w:ascii="Arial" w:hAnsi="Arial" w:cs="Arial"/>
          <w:lang w:val="en-GB"/>
        </w:rPr>
        <w:t>from</w:t>
      </w:r>
      <w:r w:rsidRPr="00F566F6">
        <w:rPr>
          <w:rFonts w:ascii="Arial" w:hAnsi="Arial" w:cs="Arial"/>
          <w:lang w:val="en-GB"/>
        </w:rPr>
        <w:t xml:space="preserve"> 1.15 to 1.03</w:t>
      </w:r>
      <w:r w:rsidR="008D5C85" w:rsidRPr="00F566F6">
        <w:rPr>
          <w:rFonts w:ascii="Arial" w:hAnsi="Arial" w:cs="Arial"/>
          <w:lang w:val="en-GB"/>
        </w:rPr>
        <w:t xml:space="preserve"> in between 2020 and 2024 (</w:t>
      </w:r>
      <w:r w:rsidR="008D5C85" w:rsidRPr="00F566F6">
        <w:rPr>
          <w:rFonts w:ascii="Arial" w:hAnsi="Arial" w:cs="Arial"/>
          <w:i/>
          <w:iCs/>
          <w:lang w:val="en-GB"/>
        </w:rPr>
        <w:t xml:space="preserve">figure </w:t>
      </w:r>
      <w:r w:rsidR="004F1199" w:rsidRPr="00F566F6">
        <w:rPr>
          <w:rFonts w:ascii="Arial" w:hAnsi="Arial" w:cs="Arial"/>
          <w:i/>
          <w:iCs/>
          <w:lang w:val="en-GB"/>
        </w:rPr>
        <w:t>7</w:t>
      </w:r>
      <w:r w:rsidR="008D5C85" w:rsidRPr="00F566F6">
        <w:rPr>
          <w:rFonts w:ascii="Arial" w:hAnsi="Arial" w:cs="Arial"/>
          <w:lang w:val="en-GB"/>
        </w:rPr>
        <w:t>)</w:t>
      </w:r>
      <w:r w:rsidRPr="00F566F6">
        <w:rPr>
          <w:rFonts w:ascii="Arial" w:hAnsi="Arial" w:cs="Arial"/>
          <w:lang w:val="en-GB"/>
        </w:rPr>
        <w:t>, which means that an escalating share of the short-term resources is invested in slow-moving assets like inventory and receivables. The 2024 receivable days increased to 105.5, which shows slower cash conversion. An increase in receivables increases liquidity stress because delayed receivables interrupt the availability of cash in times of financial distress (</w:t>
      </w:r>
      <w:proofErr w:type="spellStart"/>
      <w:r w:rsidRPr="00F566F6">
        <w:rPr>
          <w:rFonts w:ascii="Arial" w:hAnsi="Arial" w:cs="Arial"/>
          <w:lang w:val="en-GB"/>
        </w:rPr>
        <w:t>Puspitarini</w:t>
      </w:r>
      <w:proofErr w:type="spellEnd"/>
      <w:r w:rsidRPr="00F566F6">
        <w:rPr>
          <w:rFonts w:ascii="Arial" w:hAnsi="Arial" w:cs="Arial"/>
          <w:lang w:val="en-GB"/>
        </w:rPr>
        <w:t>, 2023).</w:t>
      </w:r>
    </w:p>
    <w:p w14:paraId="012F28D5" w14:textId="462AD430" w:rsidR="008D5C85" w:rsidRPr="00F566F6" w:rsidRDefault="008D5C85" w:rsidP="00033239">
      <w:pPr>
        <w:jc w:val="center"/>
        <w:rPr>
          <w:rFonts w:ascii="Arial" w:hAnsi="Arial" w:cs="Arial"/>
          <w:lang w:val="en-GB"/>
        </w:rPr>
      </w:pPr>
      <w:r w:rsidRPr="00F566F6">
        <w:rPr>
          <w:noProof/>
        </w:rPr>
        <w:lastRenderedPageBreak/>
        <w:drawing>
          <wp:inline distT="0" distB="0" distL="0" distR="0" wp14:anchorId="741B09A7" wp14:editId="4C4E522A">
            <wp:extent cx="4313831" cy="2628002"/>
            <wp:effectExtent l="0" t="0" r="10795" b="1270"/>
            <wp:docPr id="1040533372" name="Chart 1">
              <a:extLst xmlns:a="http://schemas.openxmlformats.org/drawingml/2006/main">
                <a:ext uri="{FF2B5EF4-FFF2-40B4-BE49-F238E27FC236}">
                  <a16:creationId xmlns:a16="http://schemas.microsoft.com/office/drawing/2014/main" id="{2F6D33A3-2391-1394-B9AF-275E68D4E6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40C2B3" w14:textId="593B066A" w:rsidR="008D5C85" w:rsidRPr="00F566F6" w:rsidRDefault="008D5C85" w:rsidP="00033239">
      <w:pPr>
        <w:jc w:val="center"/>
        <w:rPr>
          <w:rFonts w:ascii="Arial" w:hAnsi="Arial" w:cs="Arial"/>
          <w:b/>
          <w:bCs/>
          <w:lang w:val="en-GB"/>
        </w:rPr>
      </w:pPr>
      <w:r w:rsidRPr="00F566F6">
        <w:rPr>
          <w:rFonts w:ascii="Arial" w:hAnsi="Arial" w:cs="Arial"/>
          <w:b/>
          <w:bCs/>
          <w:lang w:val="en-GB"/>
        </w:rPr>
        <w:t xml:space="preserve">Figure </w:t>
      </w:r>
      <w:r w:rsidR="004F1199" w:rsidRPr="00F566F6">
        <w:rPr>
          <w:rFonts w:ascii="Arial" w:hAnsi="Arial" w:cs="Arial"/>
          <w:b/>
          <w:bCs/>
          <w:lang w:val="en-GB"/>
        </w:rPr>
        <w:t>7</w:t>
      </w:r>
      <w:r w:rsidRPr="00F566F6">
        <w:rPr>
          <w:rFonts w:ascii="Arial" w:hAnsi="Arial" w:cs="Arial"/>
          <w:b/>
          <w:bCs/>
          <w:lang w:val="en-GB"/>
        </w:rPr>
        <w:t>:</w:t>
      </w:r>
      <w:r w:rsidRPr="00F566F6">
        <w:t xml:space="preserve"> </w:t>
      </w:r>
      <w:r w:rsidRPr="00F566F6">
        <w:rPr>
          <w:rFonts w:ascii="Arial" w:hAnsi="Arial" w:cs="Arial"/>
          <w:b/>
          <w:bCs/>
          <w:lang w:val="en-GB"/>
        </w:rPr>
        <w:t>Quick ratio</w:t>
      </w:r>
    </w:p>
    <w:p w14:paraId="18CB1DF5" w14:textId="0024853B" w:rsidR="008D5C85" w:rsidRPr="00F566F6" w:rsidRDefault="008D5C85" w:rsidP="00033239">
      <w:pPr>
        <w:jc w:val="center"/>
        <w:rPr>
          <w:rFonts w:ascii="Arial" w:hAnsi="Arial" w:cs="Arial"/>
          <w:lang w:val="en-GB"/>
        </w:rPr>
      </w:pPr>
      <w:r w:rsidRPr="00F566F6">
        <w:rPr>
          <w:rFonts w:ascii="Arial" w:hAnsi="Arial" w:cs="Arial"/>
          <w:lang w:val="en-GB"/>
        </w:rPr>
        <w:t>(Source: Refer to the Excel)</w:t>
      </w:r>
    </w:p>
    <w:p w14:paraId="7ED12939" w14:textId="77777777" w:rsidR="00D300FA" w:rsidRPr="00F566F6" w:rsidRDefault="00C10957" w:rsidP="00033239">
      <w:pPr>
        <w:rPr>
          <w:rFonts w:ascii="Arial" w:hAnsi="Arial" w:cs="Arial"/>
          <w:lang w:val="en-GB"/>
        </w:rPr>
      </w:pPr>
      <w:r w:rsidRPr="00F566F6">
        <w:rPr>
          <w:rFonts w:ascii="Arial" w:hAnsi="Arial" w:cs="Arial"/>
          <w:lang w:val="en-GB"/>
        </w:rPr>
        <w:t xml:space="preserve">The changing credit-line borrowings and trade payables have also made the current liabilities volatile to create an imbalance between the liabilities and liquid assets. Liquidity has been tightened further by the fact that operating cash flows have become weak over the years. As pointed out by </w:t>
      </w:r>
      <w:proofErr w:type="spellStart"/>
      <w:r w:rsidRPr="00F566F6">
        <w:rPr>
          <w:rFonts w:ascii="Arial" w:hAnsi="Arial" w:cs="Arial"/>
          <w:lang w:val="en-GB"/>
        </w:rPr>
        <w:t>Ambarwati</w:t>
      </w:r>
      <w:proofErr w:type="spellEnd"/>
      <w:r w:rsidRPr="00F566F6">
        <w:rPr>
          <w:rFonts w:ascii="Arial" w:hAnsi="Arial" w:cs="Arial"/>
          <w:lang w:val="en-GB"/>
        </w:rPr>
        <w:t xml:space="preserve"> (2021), liquidity compression prevents a firm from being able to effectively cope with restructuring since a stable cash flow is necessary to facilitate short-term continuity in operations. In general, liquidity measures reflect tightening financial status, deteriorating cash reserves and rising dependence on short-term finance, which makes the firm more vulnerable to stock market risk.</w:t>
      </w:r>
    </w:p>
    <w:p w14:paraId="39275B28" w14:textId="77777777" w:rsidR="00D300FA" w:rsidRPr="00F566F6" w:rsidRDefault="00C10957" w:rsidP="00033239">
      <w:pPr>
        <w:pStyle w:val="Heading2"/>
        <w:rPr>
          <w:rFonts w:ascii="Arial" w:hAnsi="Arial" w:cs="Arial"/>
          <w:lang w:val="en-GB"/>
        </w:rPr>
      </w:pPr>
      <w:bookmarkStart w:id="8" w:name="_q4idqfq747qy" w:colFirst="0" w:colLast="0"/>
      <w:bookmarkStart w:id="9" w:name="_Toc216188925"/>
      <w:bookmarkEnd w:id="8"/>
      <w:r w:rsidRPr="00F566F6">
        <w:rPr>
          <w:rFonts w:ascii="Arial" w:hAnsi="Arial" w:cs="Arial"/>
          <w:lang w:val="en-GB"/>
        </w:rPr>
        <w:t>2.3 Efficiency Ratios</w:t>
      </w:r>
      <w:bookmarkEnd w:id="9"/>
    </w:p>
    <w:p w14:paraId="228CF53C" w14:textId="14A8D125" w:rsidR="004F1199" w:rsidRPr="00F566F6" w:rsidRDefault="004F1199" w:rsidP="00033239">
      <w:pPr>
        <w:jc w:val="center"/>
        <w:rPr>
          <w:rFonts w:ascii="Arial" w:hAnsi="Arial" w:cs="Arial"/>
          <w:lang w:val="en-GB"/>
        </w:rPr>
      </w:pPr>
      <w:r w:rsidRPr="00F566F6">
        <w:rPr>
          <w:noProof/>
        </w:rPr>
        <w:drawing>
          <wp:inline distT="0" distB="0" distL="0" distR="0" wp14:anchorId="2B6C43D2" wp14:editId="73729EC9">
            <wp:extent cx="4313666" cy="2626793"/>
            <wp:effectExtent l="0" t="0" r="10795" b="2540"/>
            <wp:docPr id="841966886" name="Chart 1">
              <a:extLst xmlns:a="http://schemas.openxmlformats.org/drawingml/2006/main">
                <a:ext uri="{FF2B5EF4-FFF2-40B4-BE49-F238E27FC236}">
                  <a16:creationId xmlns:a16="http://schemas.microsoft.com/office/drawing/2014/main" id="{4EB4AAF7-4B38-FB86-2A2A-98AAEF5540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8B52593" w14:textId="5C96E252" w:rsidR="00D650FD" w:rsidRPr="00F566F6" w:rsidRDefault="00D650FD" w:rsidP="00033239">
      <w:pPr>
        <w:jc w:val="center"/>
        <w:rPr>
          <w:rFonts w:ascii="Arial" w:hAnsi="Arial" w:cs="Arial"/>
          <w:b/>
          <w:bCs/>
          <w:lang w:val="en-GB"/>
        </w:rPr>
      </w:pPr>
      <w:r w:rsidRPr="00F566F6">
        <w:rPr>
          <w:rFonts w:ascii="Arial" w:hAnsi="Arial" w:cs="Arial"/>
          <w:b/>
          <w:bCs/>
          <w:lang w:val="en-GB"/>
        </w:rPr>
        <w:t>Figure 8:</w:t>
      </w:r>
      <w:r w:rsidRPr="00F566F6">
        <w:t xml:space="preserve"> </w:t>
      </w:r>
      <w:r w:rsidRPr="00F566F6">
        <w:rPr>
          <w:rFonts w:ascii="Arial" w:hAnsi="Arial" w:cs="Arial"/>
          <w:b/>
          <w:bCs/>
          <w:lang w:val="en-GB"/>
        </w:rPr>
        <w:t>inventory days</w:t>
      </w:r>
    </w:p>
    <w:p w14:paraId="092B2EF5" w14:textId="227EFD04" w:rsidR="00D650FD" w:rsidRPr="00F566F6" w:rsidRDefault="00D650FD" w:rsidP="00033239">
      <w:pPr>
        <w:jc w:val="center"/>
        <w:rPr>
          <w:rFonts w:ascii="Arial" w:hAnsi="Arial" w:cs="Arial"/>
          <w:lang w:val="en-GB"/>
        </w:rPr>
      </w:pPr>
      <w:r w:rsidRPr="00F566F6">
        <w:rPr>
          <w:rFonts w:ascii="Arial" w:hAnsi="Arial" w:cs="Arial"/>
          <w:lang w:val="en-GB"/>
        </w:rPr>
        <w:lastRenderedPageBreak/>
        <w:t>(Source: Refer to the Excel)</w:t>
      </w:r>
    </w:p>
    <w:p w14:paraId="35E0D34A" w14:textId="6CEC8196" w:rsidR="00D300FA" w:rsidRPr="00F566F6" w:rsidRDefault="00C10957" w:rsidP="00033239">
      <w:pPr>
        <w:rPr>
          <w:rFonts w:ascii="Arial" w:hAnsi="Arial" w:cs="Arial"/>
          <w:lang w:val="en-GB"/>
        </w:rPr>
      </w:pPr>
      <w:r w:rsidRPr="00F566F6">
        <w:rPr>
          <w:rFonts w:ascii="Arial" w:hAnsi="Arial" w:cs="Arial"/>
          <w:lang w:val="en-GB"/>
        </w:rPr>
        <w:t>The efficiency ratios reveal that the working capital management of General Electronics has serious weaknesses. The level of inventory days rose in 2020 and in 2022 to more than 94 days, which then dropped to 73 days in 2024</w:t>
      </w:r>
      <w:r w:rsidR="00D650FD" w:rsidRPr="00F566F6">
        <w:rPr>
          <w:rFonts w:ascii="Arial" w:hAnsi="Arial" w:cs="Arial"/>
          <w:lang w:val="en-GB"/>
        </w:rPr>
        <w:t xml:space="preserve"> (</w:t>
      </w:r>
      <w:r w:rsidR="00D650FD" w:rsidRPr="00F566F6">
        <w:rPr>
          <w:rFonts w:ascii="Arial" w:hAnsi="Arial" w:cs="Arial"/>
          <w:i/>
          <w:iCs/>
          <w:lang w:val="en-GB"/>
        </w:rPr>
        <w:t>figure 8</w:t>
      </w:r>
      <w:r w:rsidR="00D650FD" w:rsidRPr="00F566F6">
        <w:rPr>
          <w:rFonts w:ascii="Arial" w:hAnsi="Arial" w:cs="Arial"/>
          <w:lang w:val="en-GB"/>
        </w:rPr>
        <w:t>)</w:t>
      </w:r>
      <w:r w:rsidRPr="00F566F6">
        <w:rPr>
          <w:rFonts w:ascii="Arial" w:hAnsi="Arial" w:cs="Arial"/>
          <w:lang w:val="en-GB"/>
        </w:rPr>
        <w:t>. This longer holding period implies the reduction of how fast stocks move and the inefficiencies of the demand forecasting and production planning. According to Nishesh (2024), inefficient allocation of resources increases operational and financial strain in deteriorating markets. The situation with receivable days also deteriorated significantly, with the number of days in 2020 being 76.8 and in 2024 being 105.5, which indicates a lack of credit control and slower payments to customers</w:t>
      </w:r>
      <w:r w:rsidR="00D650FD" w:rsidRPr="00F566F6">
        <w:rPr>
          <w:rFonts w:ascii="Arial" w:hAnsi="Arial" w:cs="Arial"/>
          <w:lang w:val="en-GB"/>
        </w:rPr>
        <w:t xml:space="preserve"> (</w:t>
      </w:r>
      <w:r w:rsidR="00D650FD" w:rsidRPr="00F566F6">
        <w:rPr>
          <w:rFonts w:ascii="Arial" w:hAnsi="Arial" w:cs="Arial"/>
          <w:i/>
          <w:iCs/>
          <w:lang w:val="en-GB"/>
        </w:rPr>
        <w:t>figure 9</w:t>
      </w:r>
      <w:r w:rsidR="00D650FD" w:rsidRPr="00F566F6">
        <w:rPr>
          <w:rFonts w:ascii="Arial" w:hAnsi="Arial" w:cs="Arial"/>
          <w:lang w:val="en-GB"/>
        </w:rPr>
        <w:t>)</w:t>
      </w:r>
      <w:r w:rsidRPr="00F566F6">
        <w:rPr>
          <w:rFonts w:ascii="Arial" w:hAnsi="Arial" w:cs="Arial"/>
          <w:lang w:val="en-GB"/>
        </w:rPr>
        <w:t xml:space="preserve">. These delays limit the cash flows and increase vulnerability to credit risks, especially in firms that are on their knees. </w:t>
      </w:r>
      <w:proofErr w:type="spellStart"/>
      <w:r w:rsidRPr="00F566F6">
        <w:rPr>
          <w:rFonts w:ascii="Arial" w:hAnsi="Arial" w:cs="Arial"/>
          <w:lang w:val="en-GB"/>
        </w:rPr>
        <w:t>Oyeyipo</w:t>
      </w:r>
      <w:proofErr w:type="spellEnd"/>
      <w:r w:rsidRPr="00F566F6">
        <w:rPr>
          <w:rFonts w:ascii="Arial" w:hAnsi="Arial" w:cs="Arial"/>
          <w:lang w:val="en-GB"/>
        </w:rPr>
        <w:t xml:space="preserve"> (2023)</w:t>
      </w:r>
      <w:r w:rsidR="00742F3C" w:rsidRPr="00F566F6">
        <w:rPr>
          <w:rFonts w:ascii="Arial" w:hAnsi="Arial" w:cs="Arial"/>
          <w:lang w:val="en-GB"/>
        </w:rPr>
        <w:t xml:space="preserve"> further added that</w:t>
      </w:r>
      <w:r w:rsidRPr="00F566F6">
        <w:rPr>
          <w:rFonts w:ascii="Arial" w:hAnsi="Arial" w:cs="Arial"/>
          <w:lang w:val="en-GB"/>
        </w:rPr>
        <w:t xml:space="preserve"> the deterioration in the </w:t>
      </w:r>
      <w:r w:rsidR="00742F3C" w:rsidRPr="00F566F6">
        <w:rPr>
          <w:rFonts w:ascii="Arial" w:hAnsi="Arial" w:cs="Arial"/>
          <w:lang w:val="en-GB"/>
        </w:rPr>
        <w:t>receivable’s</w:t>
      </w:r>
      <w:r w:rsidRPr="00F566F6">
        <w:rPr>
          <w:rFonts w:ascii="Arial" w:hAnsi="Arial" w:cs="Arial"/>
          <w:lang w:val="en-GB"/>
        </w:rPr>
        <w:t xml:space="preserve"> performance denotes reduced risk management and poor financial discipline.</w:t>
      </w:r>
    </w:p>
    <w:p w14:paraId="433B07ED" w14:textId="411B6FDF" w:rsidR="004F1199" w:rsidRPr="00F566F6" w:rsidRDefault="004F1199" w:rsidP="00033239">
      <w:pPr>
        <w:jc w:val="center"/>
        <w:rPr>
          <w:rFonts w:ascii="Arial" w:hAnsi="Arial" w:cs="Arial"/>
          <w:lang w:val="en-GB"/>
        </w:rPr>
      </w:pPr>
      <w:r w:rsidRPr="00F566F6">
        <w:rPr>
          <w:noProof/>
        </w:rPr>
        <w:drawing>
          <wp:inline distT="0" distB="0" distL="0" distR="0" wp14:anchorId="549F9168" wp14:editId="089A22FE">
            <wp:extent cx="4299378" cy="2618477"/>
            <wp:effectExtent l="0" t="0" r="6350" b="10795"/>
            <wp:docPr id="90401236" name="Chart 1">
              <a:extLst xmlns:a="http://schemas.openxmlformats.org/drawingml/2006/main">
                <a:ext uri="{FF2B5EF4-FFF2-40B4-BE49-F238E27FC236}">
                  <a16:creationId xmlns:a16="http://schemas.microsoft.com/office/drawing/2014/main" id="{45AD7474-EE6C-BBB5-DD07-3B6149B8FF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4C22528" w14:textId="22B2BD14" w:rsidR="00D650FD" w:rsidRPr="00F566F6" w:rsidRDefault="00D650FD" w:rsidP="00033239">
      <w:pPr>
        <w:jc w:val="center"/>
        <w:rPr>
          <w:rFonts w:ascii="Arial" w:hAnsi="Arial" w:cs="Arial"/>
          <w:b/>
          <w:bCs/>
          <w:lang w:val="en-GB"/>
        </w:rPr>
      </w:pPr>
      <w:r w:rsidRPr="00F566F6">
        <w:rPr>
          <w:rFonts w:ascii="Arial" w:hAnsi="Arial" w:cs="Arial"/>
          <w:b/>
          <w:bCs/>
          <w:lang w:val="en-GB"/>
        </w:rPr>
        <w:t>Figure 9:</w:t>
      </w:r>
      <w:r w:rsidRPr="00F566F6">
        <w:t xml:space="preserve"> </w:t>
      </w:r>
      <w:r w:rsidRPr="00F566F6">
        <w:rPr>
          <w:rFonts w:ascii="Arial" w:hAnsi="Arial" w:cs="Arial"/>
          <w:b/>
          <w:bCs/>
          <w:lang w:val="en-GB"/>
        </w:rPr>
        <w:t>receivable days</w:t>
      </w:r>
    </w:p>
    <w:p w14:paraId="15540EA2" w14:textId="3B64606F" w:rsidR="00D650FD" w:rsidRPr="00F566F6" w:rsidRDefault="00D650FD" w:rsidP="00033239">
      <w:pPr>
        <w:jc w:val="center"/>
        <w:rPr>
          <w:rFonts w:ascii="Arial" w:hAnsi="Arial" w:cs="Arial"/>
          <w:lang w:val="en-GB"/>
        </w:rPr>
      </w:pPr>
      <w:r w:rsidRPr="00F566F6">
        <w:rPr>
          <w:rFonts w:ascii="Arial" w:hAnsi="Arial" w:cs="Arial"/>
          <w:lang w:val="en-GB"/>
        </w:rPr>
        <w:t>(Source: Refer to the Excel)</w:t>
      </w:r>
    </w:p>
    <w:p w14:paraId="2BD2DDA1" w14:textId="5130C13F" w:rsidR="004F1199" w:rsidRPr="00F566F6" w:rsidRDefault="004F1199" w:rsidP="00033239">
      <w:pPr>
        <w:jc w:val="center"/>
        <w:rPr>
          <w:rFonts w:ascii="Arial" w:hAnsi="Arial" w:cs="Arial"/>
          <w:lang w:val="en-GB"/>
        </w:rPr>
      </w:pPr>
      <w:r w:rsidRPr="00F566F6">
        <w:rPr>
          <w:noProof/>
        </w:rPr>
        <w:lastRenderedPageBreak/>
        <w:drawing>
          <wp:inline distT="0" distB="0" distL="0" distR="0" wp14:anchorId="56726088" wp14:editId="7CEE28A7">
            <wp:extent cx="4280762" cy="2627881"/>
            <wp:effectExtent l="0" t="0" r="5715" b="1270"/>
            <wp:docPr id="1592920488" name="Chart 1">
              <a:extLst xmlns:a="http://schemas.openxmlformats.org/drawingml/2006/main">
                <a:ext uri="{FF2B5EF4-FFF2-40B4-BE49-F238E27FC236}">
                  <a16:creationId xmlns:a16="http://schemas.microsoft.com/office/drawing/2014/main" id="{BD0FF02B-2DCA-EE38-AD6B-45154DEE8D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5276AC2" w14:textId="61D24EF1" w:rsidR="00D650FD" w:rsidRPr="00F566F6" w:rsidRDefault="00D650FD" w:rsidP="00033239">
      <w:pPr>
        <w:jc w:val="center"/>
        <w:rPr>
          <w:rFonts w:ascii="Arial" w:hAnsi="Arial" w:cs="Arial"/>
          <w:b/>
          <w:bCs/>
          <w:lang w:val="en-GB"/>
        </w:rPr>
      </w:pPr>
      <w:r w:rsidRPr="00F566F6">
        <w:rPr>
          <w:rFonts w:ascii="Arial" w:hAnsi="Arial" w:cs="Arial"/>
          <w:b/>
          <w:bCs/>
          <w:lang w:val="en-GB"/>
        </w:rPr>
        <w:t>Figure 10:</w:t>
      </w:r>
      <w:r w:rsidRPr="00F566F6">
        <w:t xml:space="preserve"> </w:t>
      </w:r>
      <w:r w:rsidRPr="00F566F6">
        <w:rPr>
          <w:rFonts w:ascii="Arial" w:hAnsi="Arial" w:cs="Arial"/>
          <w:b/>
          <w:bCs/>
          <w:lang w:val="en-GB"/>
        </w:rPr>
        <w:t>Payable days</w:t>
      </w:r>
    </w:p>
    <w:p w14:paraId="2E7F4FDC" w14:textId="51EB38EB" w:rsidR="00D650FD" w:rsidRPr="00F566F6" w:rsidRDefault="00D650FD" w:rsidP="00033239">
      <w:pPr>
        <w:jc w:val="center"/>
        <w:rPr>
          <w:rFonts w:ascii="Arial" w:hAnsi="Arial" w:cs="Arial"/>
          <w:lang w:val="en-GB"/>
        </w:rPr>
      </w:pPr>
      <w:r w:rsidRPr="00F566F6">
        <w:rPr>
          <w:rFonts w:ascii="Arial" w:hAnsi="Arial" w:cs="Arial"/>
          <w:lang w:val="en-GB"/>
        </w:rPr>
        <w:t>(Source: Refer to the Excel)</w:t>
      </w:r>
    </w:p>
    <w:p w14:paraId="0D169BD9" w14:textId="5150A32C" w:rsidR="00D300FA" w:rsidRPr="00F566F6" w:rsidRDefault="00C10957" w:rsidP="00033239">
      <w:pPr>
        <w:rPr>
          <w:rFonts w:ascii="Arial" w:hAnsi="Arial" w:cs="Arial"/>
          <w:lang w:val="en-GB"/>
        </w:rPr>
      </w:pPr>
      <w:r w:rsidRPr="00F566F6">
        <w:rPr>
          <w:rFonts w:ascii="Arial" w:hAnsi="Arial" w:cs="Arial"/>
          <w:lang w:val="en-GB"/>
        </w:rPr>
        <w:t>The company is taking more time to pay suppliers</w:t>
      </w:r>
      <w:r w:rsidR="004F1199" w:rsidRPr="00F566F6">
        <w:rPr>
          <w:rFonts w:ascii="Arial" w:hAnsi="Arial" w:cs="Arial"/>
          <w:lang w:val="en-GB"/>
        </w:rPr>
        <w:t>,</w:t>
      </w:r>
      <w:r w:rsidRPr="00F566F6">
        <w:rPr>
          <w:rFonts w:ascii="Arial" w:hAnsi="Arial" w:cs="Arial"/>
          <w:lang w:val="en-GB"/>
        </w:rPr>
        <w:t xml:space="preserve"> as its payable days have gone up to 66 in 2024 compared to 49 in 2020</w:t>
      </w:r>
      <w:r w:rsidR="00D650FD" w:rsidRPr="00F566F6">
        <w:rPr>
          <w:rFonts w:ascii="Arial" w:hAnsi="Arial" w:cs="Arial"/>
          <w:lang w:val="en-GB"/>
        </w:rPr>
        <w:t xml:space="preserve"> (</w:t>
      </w:r>
      <w:r w:rsidR="00D650FD" w:rsidRPr="00F566F6">
        <w:rPr>
          <w:rFonts w:ascii="Arial" w:hAnsi="Arial" w:cs="Arial"/>
          <w:i/>
          <w:iCs/>
          <w:lang w:val="en-GB"/>
        </w:rPr>
        <w:t>figure 10</w:t>
      </w:r>
      <w:r w:rsidR="00D650FD" w:rsidRPr="00F566F6">
        <w:rPr>
          <w:rFonts w:ascii="Arial" w:hAnsi="Arial" w:cs="Arial"/>
          <w:lang w:val="en-GB"/>
        </w:rPr>
        <w:t>)</w:t>
      </w:r>
      <w:r w:rsidRPr="00F566F6">
        <w:rPr>
          <w:rFonts w:ascii="Arial" w:hAnsi="Arial" w:cs="Arial"/>
          <w:lang w:val="en-GB"/>
        </w:rPr>
        <w:t>. Though it might help to relieve the short-term liquidity, continued delays can hurt the relationship with the suppliers and reduce the bargaining power. Bauer (2021)</w:t>
      </w:r>
      <w:r w:rsidR="00742F3C" w:rsidRPr="00F566F6">
        <w:rPr>
          <w:rFonts w:ascii="Arial" w:hAnsi="Arial" w:cs="Arial"/>
          <w:lang w:val="en-GB"/>
        </w:rPr>
        <w:t xml:space="preserve"> stated that</w:t>
      </w:r>
      <w:r w:rsidRPr="00F566F6">
        <w:rPr>
          <w:rFonts w:ascii="Arial" w:hAnsi="Arial" w:cs="Arial"/>
          <w:lang w:val="en-GB"/>
        </w:rPr>
        <w:t xml:space="preserve"> payment cycles that are not aligned can ruin supply chains and make the process of restructuring more difficult. All in all, the efficiency ratios indicate that there are high levels of inefficiency in operations in terms of inventory, receivables as well and payables. These vulnerabilities increase the liquidity dilemmas and minimise the firm's capacity to react efficiently to the changes in market conditions.</w:t>
      </w:r>
    </w:p>
    <w:p w14:paraId="37657EC4" w14:textId="77777777" w:rsidR="00D300FA" w:rsidRPr="00F566F6" w:rsidRDefault="00C10957" w:rsidP="00033239">
      <w:pPr>
        <w:pStyle w:val="Heading2"/>
        <w:rPr>
          <w:rFonts w:ascii="Arial" w:hAnsi="Arial" w:cs="Arial"/>
          <w:lang w:val="en-GB"/>
        </w:rPr>
      </w:pPr>
      <w:bookmarkStart w:id="10" w:name="_p39u3x21dvvx" w:colFirst="0" w:colLast="0"/>
      <w:bookmarkStart w:id="11" w:name="_Toc216188926"/>
      <w:bookmarkEnd w:id="10"/>
      <w:r w:rsidRPr="00F566F6">
        <w:rPr>
          <w:rFonts w:ascii="Arial" w:hAnsi="Arial" w:cs="Arial"/>
          <w:lang w:val="en-GB"/>
        </w:rPr>
        <w:t>2.4 Gearing &amp; Capital Structure</w:t>
      </w:r>
      <w:bookmarkEnd w:id="11"/>
    </w:p>
    <w:p w14:paraId="6F400F23" w14:textId="345C1197" w:rsidR="004F1199" w:rsidRPr="00F566F6" w:rsidRDefault="004F1199" w:rsidP="00033239">
      <w:pPr>
        <w:jc w:val="center"/>
        <w:rPr>
          <w:rFonts w:ascii="Arial" w:hAnsi="Arial" w:cs="Arial"/>
          <w:lang w:val="en-GB"/>
        </w:rPr>
      </w:pPr>
      <w:r w:rsidRPr="00F566F6">
        <w:rPr>
          <w:noProof/>
        </w:rPr>
        <w:drawing>
          <wp:inline distT="0" distB="0" distL="0" distR="0" wp14:anchorId="4B1BA18D" wp14:editId="7E1173F0">
            <wp:extent cx="4299378" cy="2628002"/>
            <wp:effectExtent l="0" t="0" r="6350" b="1270"/>
            <wp:docPr id="1873791141" name="Chart 1">
              <a:extLst xmlns:a="http://schemas.openxmlformats.org/drawingml/2006/main">
                <a:ext uri="{FF2B5EF4-FFF2-40B4-BE49-F238E27FC236}">
                  <a16:creationId xmlns:a16="http://schemas.microsoft.com/office/drawing/2014/main" id="{4A73D370-90F0-7703-44C8-8A1E08734F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55E6100" w14:textId="17414533" w:rsidR="00D650FD" w:rsidRPr="00F566F6" w:rsidRDefault="00D650FD" w:rsidP="00033239">
      <w:pPr>
        <w:jc w:val="center"/>
        <w:rPr>
          <w:rFonts w:ascii="Arial" w:hAnsi="Arial" w:cs="Arial"/>
          <w:b/>
          <w:bCs/>
          <w:lang w:val="en-GB"/>
        </w:rPr>
      </w:pPr>
      <w:r w:rsidRPr="00F566F6">
        <w:rPr>
          <w:rFonts w:ascii="Arial" w:hAnsi="Arial" w:cs="Arial"/>
          <w:b/>
          <w:bCs/>
          <w:lang w:val="en-GB"/>
        </w:rPr>
        <w:t>Figure 11:</w:t>
      </w:r>
      <w:r w:rsidRPr="00F566F6">
        <w:t xml:space="preserve"> </w:t>
      </w:r>
      <w:r w:rsidRPr="00F566F6">
        <w:rPr>
          <w:rFonts w:ascii="Arial" w:hAnsi="Arial" w:cs="Arial"/>
          <w:b/>
          <w:bCs/>
          <w:lang w:val="en-GB"/>
        </w:rPr>
        <w:t>Debt-to-equity ratio</w:t>
      </w:r>
    </w:p>
    <w:p w14:paraId="61DE39DB" w14:textId="3666DA16" w:rsidR="00D650FD" w:rsidRPr="00F566F6" w:rsidRDefault="00D650FD" w:rsidP="00033239">
      <w:pPr>
        <w:jc w:val="center"/>
        <w:rPr>
          <w:rFonts w:ascii="Arial" w:hAnsi="Arial" w:cs="Arial"/>
          <w:lang w:val="en-GB"/>
        </w:rPr>
      </w:pPr>
      <w:r w:rsidRPr="00F566F6">
        <w:rPr>
          <w:rFonts w:ascii="Arial" w:hAnsi="Arial" w:cs="Arial"/>
          <w:lang w:val="en-GB"/>
        </w:rPr>
        <w:lastRenderedPageBreak/>
        <w:t>(Source: Refer to the Excel)</w:t>
      </w:r>
    </w:p>
    <w:p w14:paraId="06C32F44" w14:textId="378D3C0E" w:rsidR="00742F3C" w:rsidRPr="00F566F6" w:rsidRDefault="00C10957" w:rsidP="00033239">
      <w:pPr>
        <w:rPr>
          <w:rFonts w:ascii="Arial" w:hAnsi="Arial" w:cs="Arial"/>
          <w:lang w:val="en-GB"/>
        </w:rPr>
      </w:pPr>
      <w:r w:rsidRPr="00F566F6">
        <w:rPr>
          <w:rFonts w:ascii="Arial" w:hAnsi="Arial" w:cs="Arial"/>
          <w:lang w:val="en-GB"/>
        </w:rPr>
        <w:t>The gearing profile of the company has deteriorated over the past five years. The debt-to-equity ratio of 2020 was 0.63, compared to 1.11 in 2024, indicating that leverage has been growing and equity has decreased because of cumulative losses</w:t>
      </w:r>
      <w:r w:rsidR="00D650FD" w:rsidRPr="00F566F6">
        <w:rPr>
          <w:rFonts w:ascii="Arial" w:hAnsi="Arial" w:cs="Arial"/>
          <w:lang w:val="en-GB"/>
        </w:rPr>
        <w:t xml:space="preserve"> (</w:t>
      </w:r>
      <w:r w:rsidR="00D650FD" w:rsidRPr="00F566F6">
        <w:rPr>
          <w:rFonts w:ascii="Arial" w:hAnsi="Arial" w:cs="Arial"/>
          <w:i/>
          <w:iCs/>
          <w:lang w:val="en-GB"/>
        </w:rPr>
        <w:t>figure 11</w:t>
      </w:r>
      <w:r w:rsidR="00D650FD" w:rsidRPr="00F566F6">
        <w:rPr>
          <w:rFonts w:ascii="Arial" w:hAnsi="Arial" w:cs="Arial"/>
          <w:lang w:val="en-GB"/>
        </w:rPr>
        <w:t>)</w:t>
      </w:r>
      <w:r w:rsidRPr="00F566F6">
        <w:rPr>
          <w:rFonts w:ascii="Arial" w:hAnsi="Arial" w:cs="Arial"/>
          <w:lang w:val="en-GB"/>
        </w:rPr>
        <w:t xml:space="preserve">. </w:t>
      </w:r>
      <w:r w:rsidR="00742F3C" w:rsidRPr="00F566F6">
        <w:rPr>
          <w:rFonts w:ascii="Arial" w:hAnsi="Arial" w:cs="Arial"/>
          <w:lang w:val="en-GB"/>
        </w:rPr>
        <w:t>It is stated</w:t>
      </w:r>
      <w:r w:rsidRPr="00F566F6">
        <w:rPr>
          <w:rFonts w:ascii="Arial" w:hAnsi="Arial" w:cs="Arial"/>
          <w:lang w:val="en-GB"/>
        </w:rPr>
        <w:t xml:space="preserve"> </w:t>
      </w:r>
      <w:r w:rsidR="00742F3C" w:rsidRPr="00F566F6">
        <w:rPr>
          <w:rFonts w:ascii="Arial" w:hAnsi="Arial" w:cs="Arial"/>
          <w:lang w:val="en-GB"/>
        </w:rPr>
        <w:t>by</w:t>
      </w:r>
      <w:r w:rsidRPr="00F566F6">
        <w:rPr>
          <w:rFonts w:ascii="Arial" w:hAnsi="Arial" w:cs="Arial"/>
          <w:lang w:val="en-GB"/>
        </w:rPr>
        <w:t xml:space="preserve"> </w:t>
      </w:r>
      <w:proofErr w:type="spellStart"/>
      <w:r w:rsidRPr="00F566F6">
        <w:rPr>
          <w:rFonts w:ascii="Arial" w:hAnsi="Arial" w:cs="Arial"/>
          <w:lang w:val="en-GB"/>
        </w:rPr>
        <w:t>Andanika</w:t>
      </w:r>
      <w:proofErr w:type="spellEnd"/>
      <w:r w:rsidRPr="00F566F6">
        <w:rPr>
          <w:rFonts w:ascii="Arial" w:hAnsi="Arial" w:cs="Arial"/>
          <w:lang w:val="en-GB"/>
        </w:rPr>
        <w:t xml:space="preserve"> (2024)</w:t>
      </w:r>
      <w:r w:rsidR="00742F3C" w:rsidRPr="00F566F6">
        <w:rPr>
          <w:rFonts w:ascii="Arial" w:hAnsi="Arial" w:cs="Arial"/>
          <w:lang w:val="en-GB"/>
        </w:rPr>
        <w:t xml:space="preserve"> that</w:t>
      </w:r>
      <w:r w:rsidRPr="00F566F6">
        <w:rPr>
          <w:rFonts w:ascii="Arial" w:hAnsi="Arial" w:cs="Arial"/>
          <w:lang w:val="en-GB"/>
        </w:rPr>
        <w:t xml:space="preserve"> leverage going up in times of falling profitability raises financial risk and limits optionality when it comes to restructuring. Increased dependence on credit lines underscores how the firm has increasingly been depending on short-term financing to finance business operations, which indicates poor internal cash generation. Though not explicitly presented, interest coverage ratios can be determined by the trend in negative operating income and increased interest expense, which reflect decreased ability to cover debt obligations. </w:t>
      </w:r>
    </w:p>
    <w:p w14:paraId="4BBD021D" w14:textId="5B1D801B" w:rsidR="00D300FA" w:rsidRPr="00F566F6" w:rsidRDefault="00742F3C" w:rsidP="00033239">
      <w:pPr>
        <w:rPr>
          <w:rFonts w:ascii="Arial" w:hAnsi="Arial" w:cs="Arial"/>
          <w:lang w:val="en-GB"/>
        </w:rPr>
      </w:pPr>
      <w:r w:rsidRPr="00F566F6">
        <w:rPr>
          <w:rFonts w:ascii="Arial" w:hAnsi="Arial" w:cs="Arial"/>
          <w:lang w:val="en-GB"/>
        </w:rPr>
        <w:t>At times when</w:t>
      </w:r>
      <w:r w:rsidR="00C10957" w:rsidRPr="00F566F6">
        <w:rPr>
          <w:rFonts w:ascii="Arial" w:hAnsi="Arial" w:cs="Arial"/>
          <w:lang w:val="en-GB"/>
        </w:rPr>
        <w:t xml:space="preserve"> operating earnings fall against interest payments, the firm may plunge into a negative financial cycle</w:t>
      </w:r>
      <w:r w:rsidRPr="00F566F6">
        <w:rPr>
          <w:rFonts w:ascii="Arial" w:hAnsi="Arial" w:cs="Arial"/>
          <w:lang w:val="en-GB"/>
        </w:rPr>
        <w:t xml:space="preserve"> (Pagano, 2022)</w:t>
      </w:r>
      <w:r w:rsidR="00C10957" w:rsidRPr="00F566F6">
        <w:rPr>
          <w:rFonts w:ascii="Arial" w:hAnsi="Arial" w:cs="Arial"/>
          <w:lang w:val="en-GB"/>
        </w:rPr>
        <w:t xml:space="preserve">. Moreover, credit line borrowings have been going up and down to 202,0 with the amount standing at £20,000m and to 2024 at </w:t>
      </w:r>
      <w:r w:rsidRPr="00F566F6">
        <w:rPr>
          <w:rFonts w:ascii="Arial" w:hAnsi="Arial" w:cs="Arial"/>
          <w:lang w:val="en-GB"/>
        </w:rPr>
        <w:t>£</w:t>
      </w:r>
      <w:r w:rsidR="00C10957" w:rsidRPr="00F566F6">
        <w:rPr>
          <w:rFonts w:ascii="Arial" w:hAnsi="Arial" w:cs="Arial"/>
          <w:lang w:val="en-GB"/>
        </w:rPr>
        <w:t xml:space="preserve">102,193m under new borrowings and then repayment in large loan cycles respectively. </w:t>
      </w:r>
      <w:proofErr w:type="spellStart"/>
      <w:r w:rsidR="00C10957" w:rsidRPr="00F566F6">
        <w:rPr>
          <w:rFonts w:ascii="Arial" w:hAnsi="Arial" w:cs="Arial"/>
          <w:lang w:val="en-GB"/>
        </w:rPr>
        <w:t>Tavakolnia</w:t>
      </w:r>
      <w:proofErr w:type="spellEnd"/>
      <w:r w:rsidR="00C10957" w:rsidRPr="00F566F6">
        <w:rPr>
          <w:rFonts w:ascii="Arial" w:hAnsi="Arial" w:cs="Arial"/>
          <w:lang w:val="en-GB"/>
        </w:rPr>
        <w:t xml:space="preserve"> (2025) notes that this volatility in the financing behaviours is an indication of bad liquidity management and a lack of clarity in cash flow planning. The financial risk analysis shows that there </w:t>
      </w:r>
      <w:proofErr w:type="gramStart"/>
      <w:r w:rsidR="00C10957" w:rsidRPr="00F566F6">
        <w:rPr>
          <w:rFonts w:ascii="Arial" w:hAnsi="Arial" w:cs="Arial"/>
          <w:lang w:val="en-GB"/>
        </w:rPr>
        <w:t>is</w:t>
      </w:r>
      <w:proofErr w:type="gramEnd"/>
      <w:r w:rsidR="00C10957" w:rsidRPr="00F566F6">
        <w:rPr>
          <w:rFonts w:ascii="Arial" w:hAnsi="Arial" w:cs="Arial"/>
          <w:lang w:val="en-GB"/>
        </w:rPr>
        <w:t xml:space="preserve"> an increased financial risk and a decreased solvency resilience. The access to capital markets can be restricted without restructuring because creditors can re-evaluate their risk exposure.</w:t>
      </w:r>
    </w:p>
    <w:p w14:paraId="2D06F55E" w14:textId="77777777" w:rsidR="00D300FA" w:rsidRPr="00F566F6" w:rsidRDefault="00C10957" w:rsidP="00033239">
      <w:pPr>
        <w:pStyle w:val="Heading2"/>
        <w:rPr>
          <w:rFonts w:ascii="Arial" w:hAnsi="Arial" w:cs="Arial"/>
          <w:lang w:val="en-GB"/>
        </w:rPr>
      </w:pPr>
      <w:bookmarkStart w:id="12" w:name="_u1furf75u9fx" w:colFirst="0" w:colLast="0"/>
      <w:bookmarkStart w:id="13" w:name="_Toc216188927"/>
      <w:bookmarkEnd w:id="12"/>
      <w:r w:rsidRPr="00F566F6">
        <w:rPr>
          <w:rFonts w:ascii="Arial" w:hAnsi="Arial" w:cs="Arial"/>
          <w:lang w:val="en-GB"/>
        </w:rPr>
        <w:t>2.5 Investment &amp; Market Ratios</w:t>
      </w:r>
      <w:bookmarkEnd w:id="13"/>
    </w:p>
    <w:p w14:paraId="7EFFE106" w14:textId="6F0E52FF" w:rsidR="00D300FA" w:rsidRPr="00F566F6" w:rsidRDefault="00C10957" w:rsidP="00033239">
      <w:pPr>
        <w:rPr>
          <w:rFonts w:ascii="Arial" w:hAnsi="Arial" w:cs="Arial"/>
          <w:lang w:val="en-GB"/>
        </w:rPr>
      </w:pPr>
      <w:r w:rsidRPr="00F566F6">
        <w:rPr>
          <w:rFonts w:ascii="Arial" w:hAnsi="Arial" w:cs="Arial"/>
          <w:lang w:val="en-GB"/>
        </w:rPr>
        <w:t xml:space="preserve">The presence of investment and market ratios validates the reason why there is a high shareholder value erosion. EPS has reduced </w:t>
      </w:r>
      <w:r w:rsidR="004F1199" w:rsidRPr="00F566F6">
        <w:rPr>
          <w:rFonts w:ascii="Arial" w:hAnsi="Arial" w:cs="Arial"/>
          <w:lang w:val="en-GB"/>
        </w:rPr>
        <w:t>to</w:t>
      </w:r>
      <w:r w:rsidRPr="00F566F6">
        <w:rPr>
          <w:rFonts w:ascii="Arial" w:hAnsi="Arial" w:cs="Arial"/>
          <w:lang w:val="en-GB"/>
        </w:rPr>
        <w:t xml:space="preserve"> negative values in 2023 and 2024, which are significant losses to shareholders compared with the year 2020, which had an EPS of 2.78. This failure will discourage the confidence of investors and reduce the share prices. A</w:t>
      </w:r>
      <w:r w:rsidR="00742F3C" w:rsidRPr="00F566F6">
        <w:rPr>
          <w:rFonts w:ascii="Arial" w:hAnsi="Arial" w:cs="Arial"/>
          <w:lang w:val="en-GB"/>
        </w:rPr>
        <w:t>s per</w:t>
      </w:r>
      <w:r w:rsidRPr="00F566F6">
        <w:rPr>
          <w:rFonts w:ascii="Arial" w:hAnsi="Arial" w:cs="Arial"/>
          <w:lang w:val="en-GB"/>
        </w:rPr>
        <w:t xml:space="preserve"> </w:t>
      </w:r>
      <w:proofErr w:type="spellStart"/>
      <w:r w:rsidRPr="00F566F6">
        <w:rPr>
          <w:rFonts w:ascii="Arial" w:hAnsi="Arial" w:cs="Arial"/>
          <w:lang w:val="en-GB"/>
        </w:rPr>
        <w:t>Ellingsæter</w:t>
      </w:r>
      <w:proofErr w:type="spellEnd"/>
      <w:r w:rsidRPr="00F566F6">
        <w:rPr>
          <w:rFonts w:ascii="Arial" w:hAnsi="Arial" w:cs="Arial"/>
          <w:lang w:val="en-GB"/>
        </w:rPr>
        <w:t xml:space="preserve"> (2025), market ratios usually become bad during the initial stages of a distress cycle, which indicates a wider financial crisis. Also, the treasury stock buybacks, though declining profitability, further diluted equity, making it less capital-protective. </w:t>
      </w:r>
      <w:r w:rsidR="00742F3C" w:rsidRPr="00F566F6">
        <w:rPr>
          <w:rFonts w:ascii="Arial" w:hAnsi="Arial" w:cs="Arial"/>
          <w:lang w:val="en-GB"/>
        </w:rPr>
        <w:t>R</w:t>
      </w:r>
      <w:r w:rsidRPr="00F566F6">
        <w:rPr>
          <w:rFonts w:ascii="Arial" w:hAnsi="Arial" w:cs="Arial"/>
          <w:lang w:val="en-GB"/>
        </w:rPr>
        <w:t>epurchases of shares as a source of capital withdrawals have the potential to aggravate financial weakness in declining periods of operations by decreasing retained earnings and raising leverage</w:t>
      </w:r>
      <w:r w:rsidR="00742F3C" w:rsidRPr="00F566F6">
        <w:rPr>
          <w:rFonts w:ascii="Arial" w:hAnsi="Arial" w:cs="Arial"/>
          <w:lang w:val="en-GB"/>
        </w:rPr>
        <w:t xml:space="preserve"> (Tao, 2023)</w:t>
      </w:r>
      <w:r w:rsidRPr="00F566F6">
        <w:rPr>
          <w:rFonts w:ascii="Arial" w:hAnsi="Arial" w:cs="Arial"/>
          <w:lang w:val="en-GB"/>
        </w:rPr>
        <w:t>. Altogether, investment indicators support the necessity of applying immediate organisation to regain investor confidence.</w:t>
      </w:r>
    </w:p>
    <w:p w14:paraId="3968A721" w14:textId="77777777" w:rsidR="00D300FA" w:rsidRPr="00F566F6" w:rsidRDefault="00C10957" w:rsidP="00033239">
      <w:pPr>
        <w:pStyle w:val="Heading2"/>
        <w:rPr>
          <w:rFonts w:ascii="Arial" w:hAnsi="Arial" w:cs="Arial"/>
          <w:lang w:val="en-GB"/>
        </w:rPr>
      </w:pPr>
      <w:bookmarkStart w:id="14" w:name="_uhqckpf7zfal" w:colFirst="0" w:colLast="0"/>
      <w:bookmarkStart w:id="15" w:name="_Toc216188928"/>
      <w:bookmarkEnd w:id="14"/>
      <w:r w:rsidRPr="00F566F6">
        <w:rPr>
          <w:rFonts w:ascii="Arial" w:hAnsi="Arial" w:cs="Arial"/>
          <w:lang w:val="en-GB"/>
        </w:rPr>
        <w:lastRenderedPageBreak/>
        <w:t>2.6 Cash Flow Analysis</w:t>
      </w:r>
      <w:bookmarkEnd w:id="15"/>
    </w:p>
    <w:p w14:paraId="7EE071E1" w14:textId="56308D82" w:rsidR="00D300FA" w:rsidRPr="00F566F6" w:rsidRDefault="00C10957" w:rsidP="00033239">
      <w:pPr>
        <w:rPr>
          <w:rFonts w:ascii="Arial" w:hAnsi="Arial" w:cs="Arial"/>
          <w:lang w:val="en-GB"/>
        </w:rPr>
      </w:pPr>
      <w:r w:rsidRPr="00F566F6">
        <w:rPr>
          <w:rFonts w:ascii="Arial" w:hAnsi="Arial" w:cs="Arial"/>
          <w:lang w:val="en-GB"/>
        </w:rPr>
        <w:t>The analysis of cash flow shows discrepancies in operating performance and high reliance on external financing. Net cash flow of operations varied considerably, and it declined considerably as compared to 2020, when it was at £73,392m and was now at only 14,822m in 2024. A</w:t>
      </w:r>
      <w:r w:rsidR="00742F3C" w:rsidRPr="00F566F6">
        <w:rPr>
          <w:rFonts w:ascii="Arial" w:hAnsi="Arial" w:cs="Arial"/>
          <w:lang w:val="en-GB"/>
        </w:rPr>
        <w:t>s opined by</w:t>
      </w:r>
      <w:r w:rsidRPr="00F566F6">
        <w:rPr>
          <w:rFonts w:ascii="Arial" w:hAnsi="Arial" w:cs="Arial"/>
          <w:lang w:val="en-GB"/>
        </w:rPr>
        <w:t xml:space="preserve"> Udemezue (2022), this type of volatility in operating cash flows compromises the strategic stability and makes planning difficult. There was also high volatility in the financing activities, with massive borrowings and repayments being made nearly every year. This trend is an indicator of liquidity instability and reactive financial management as opposed to strategic financial management. The level of capital expenditure was also very high, and it was the reason why there are negative investing cash flows coupled with growing pressure on operating returns. All in all, the trends of cash flows can be characterised by declining financial flexibility and increasing operational risk.</w:t>
      </w:r>
    </w:p>
    <w:p w14:paraId="037DBD3A" w14:textId="77777777" w:rsidR="00D300FA" w:rsidRPr="00F566F6" w:rsidRDefault="00C10957" w:rsidP="00033239">
      <w:pPr>
        <w:pStyle w:val="Heading2"/>
        <w:rPr>
          <w:rFonts w:ascii="Arial" w:hAnsi="Arial" w:cs="Arial"/>
          <w:lang w:val="en-GB"/>
        </w:rPr>
      </w:pPr>
      <w:bookmarkStart w:id="16" w:name="_mq06bwjfwlbg" w:colFirst="0" w:colLast="0"/>
      <w:bookmarkStart w:id="17" w:name="_Toc216188929"/>
      <w:bookmarkEnd w:id="16"/>
      <w:r w:rsidRPr="00F566F6">
        <w:rPr>
          <w:rFonts w:ascii="Arial" w:hAnsi="Arial" w:cs="Arial"/>
          <w:lang w:val="en-GB"/>
        </w:rPr>
        <w:t>2.7 Corporate Failure Prediction</w:t>
      </w:r>
      <w:bookmarkEnd w:id="17"/>
    </w:p>
    <w:p w14:paraId="09D1108C" w14:textId="7B41726A" w:rsidR="00D300FA" w:rsidRPr="00F566F6" w:rsidRDefault="00C10957" w:rsidP="00033239">
      <w:pPr>
        <w:rPr>
          <w:rFonts w:ascii="Arial" w:hAnsi="Arial" w:cs="Arial"/>
          <w:lang w:val="en-GB"/>
        </w:rPr>
      </w:pPr>
      <w:r w:rsidRPr="00F566F6">
        <w:rPr>
          <w:rFonts w:ascii="Arial" w:hAnsi="Arial" w:cs="Arial"/>
          <w:lang w:val="en-GB"/>
        </w:rPr>
        <w:t>The Altman Z-Score has an undesirable pattern within the period of five years, going down by 2.85 in 2020 to 1.81 in 2024, with the lowest score of 0.94 in 2023</w:t>
      </w:r>
      <w:r w:rsidR="004F1199" w:rsidRPr="00F566F6">
        <w:rPr>
          <w:rFonts w:ascii="Arial" w:hAnsi="Arial" w:cs="Arial"/>
          <w:lang w:val="en-GB"/>
        </w:rPr>
        <w:t xml:space="preserve"> (Refer to </w:t>
      </w:r>
      <w:r w:rsidR="004F1199" w:rsidRPr="00F566F6">
        <w:rPr>
          <w:rFonts w:ascii="Arial" w:hAnsi="Arial" w:cs="Arial"/>
          <w:b/>
          <w:bCs/>
          <w:i/>
          <w:iCs/>
          <w:lang w:val="en-GB"/>
        </w:rPr>
        <w:t>Appendix 3</w:t>
      </w:r>
      <w:r w:rsidR="004F1199" w:rsidRPr="00F566F6">
        <w:rPr>
          <w:rFonts w:ascii="Arial" w:hAnsi="Arial" w:cs="Arial"/>
          <w:lang w:val="en-GB"/>
        </w:rPr>
        <w:t>)</w:t>
      </w:r>
      <w:r w:rsidRPr="00F566F6">
        <w:rPr>
          <w:rFonts w:ascii="Arial" w:hAnsi="Arial" w:cs="Arial"/>
          <w:lang w:val="en-GB"/>
        </w:rPr>
        <w:t xml:space="preserve">. A score of less than 1.8 shows a high risk of distress. </w:t>
      </w:r>
      <w:proofErr w:type="spellStart"/>
      <w:r w:rsidRPr="00F566F6">
        <w:rPr>
          <w:rFonts w:ascii="Arial" w:hAnsi="Arial" w:cs="Arial"/>
          <w:lang w:val="en-GB"/>
        </w:rPr>
        <w:t>Fahdil</w:t>
      </w:r>
      <w:proofErr w:type="spellEnd"/>
      <w:r w:rsidRPr="00F566F6">
        <w:rPr>
          <w:rFonts w:ascii="Arial" w:hAnsi="Arial" w:cs="Arial"/>
          <w:lang w:val="en-GB"/>
        </w:rPr>
        <w:t xml:space="preserve"> (2024) argue</w:t>
      </w:r>
      <w:r w:rsidR="00E12D0B" w:rsidRPr="00F566F6">
        <w:rPr>
          <w:rFonts w:ascii="Arial" w:hAnsi="Arial" w:cs="Arial"/>
          <w:lang w:val="en-GB"/>
        </w:rPr>
        <w:t>d</w:t>
      </w:r>
      <w:r w:rsidRPr="00F566F6">
        <w:rPr>
          <w:rFonts w:ascii="Arial" w:hAnsi="Arial" w:cs="Arial"/>
          <w:lang w:val="en-GB"/>
        </w:rPr>
        <w:t xml:space="preserve"> that the presence of negative Z-scores is an indicator to go bankruptcy, with a lower ability to recover. These outcomes reveal that General Electronics is in the area of distress and it is highly exposed to default. Unless urgent corrective measures are taken, the company can run out of liquidity, or creditors will take over. A</w:t>
      </w:r>
      <w:r w:rsidR="00E12D0B" w:rsidRPr="00F566F6">
        <w:rPr>
          <w:rFonts w:ascii="Arial" w:hAnsi="Arial" w:cs="Arial"/>
          <w:lang w:val="en-GB"/>
        </w:rPr>
        <w:t xml:space="preserve">s stated by </w:t>
      </w:r>
      <w:proofErr w:type="spellStart"/>
      <w:r w:rsidRPr="00F566F6">
        <w:rPr>
          <w:rFonts w:ascii="Arial" w:hAnsi="Arial" w:cs="Arial"/>
          <w:lang w:val="en-GB"/>
        </w:rPr>
        <w:t>Mavlutova</w:t>
      </w:r>
      <w:proofErr w:type="spellEnd"/>
      <w:r w:rsidRPr="00F566F6">
        <w:rPr>
          <w:rFonts w:ascii="Arial" w:hAnsi="Arial" w:cs="Arial"/>
          <w:lang w:val="en-GB"/>
        </w:rPr>
        <w:t xml:space="preserve"> (2021), a financial restructuring is necessary when the distress indicators grow because the inability to take timely measures may increase the insolvency risk.</w:t>
      </w:r>
    </w:p>
    <w:p w14:paraId="49120AAC" w14:textId="77777777" w:rsidR="00E12D0B" w:rsidRPr="00F566F6" w:rsidRDefault="00E12D0B" w:rsidP="00033239">
      <w:pPr>
        <w:rPr>
          <w:rFonts w:ascii="Arial" w:hAnsi="Arial" w:cs="Arial"/>
          <w:lang w:val="en-GB"/>
        </w:rPr>
      </w:pPr>
    </w:p>
    <w:p w14:paraId="3474805C" w14:textId="77777777" w:rsidR="00D300FA" w:rsidRPr="00F566F6" w:rsidRDefault="00C10957" w:rsidP="00033239">
      <w:pPr>
        <w:pStyle w:val="Heading1"/>
        <w:rPr>
          <w:rFonts w:ascii="Arial" w:hAnsi="Arial" w:cs="Arial"/>
          <w:lang w:val="en-GB"/>
        </w:rPr>
      </w:pPr>
      <w:bookmarkStart w:id="18" w:name="_xddvylus9dfd" w:colFirst="0" w:colLast="0"/>
      <w:bookmarkStart w:id="19" w:name="_Toc216188930"/>
      <w:bookmarkEnd w:id="18"/>
      <w:r w:rsidRPr="00F566F6">
        <w:rPr>
          <w:rFonts w:ascii="Arial" w:hAnsi="Arial" w:cs="Arial"/>
          <w:lang w:val="en-GB"/>
        </w:rPr>
        <w:t>3. Working Capital Management Analysis</w:t>
      </w:r>
      <w:bookmarkEnd w:id="19"/>
    </w:p>
    <w:p w14:paraId="746D176B" w14:textId="77777777" w:rsidR="00D300FA" w:rsidRPr="00F566F6" w:rsidRDefault="00C10957" w:rsidP="00033239">
      <w:pPr>
        <w:pStyle w:val="Heading2"/>
        <w:rPr>
          <w:rFonts w:ascii="Arial" w:hAnsi="Arial" w:cs="Arial"/>
          <w:lang w:val="en-GB"/>
        </w:rPr>
      </w:pPr>
      <w:bookmarkStart w:id="20" w:name="_ha98p6pvygv8" w:colFirst="0" w:colLast="0"/>
      <w:bookmarkStart w:id="21" w:name="_Toc216188931"/>
      <w:bookmarkEnd w:id="20"/>
      <w:r w:rsidRPr="00F566F6">
        <w:rPr>
          <w:rFonts w:ascii="Arial" w:hAnsi="Arial" w:cs="Arial"/>
          <w:lang w:val="en-GB"/>
        </w:rPr>
        <w:t>3.1 Cash Operating Cycle (COC) Evaluation</w:t>
      </w:r>
      <w:bookmarkEnd w:id="21"/>
    </w:p>
    <w:p w14:paraId="18286773" w14:textId="3464C120" w:rsidR="00D300FA" w:rsidRPr="00F566F6" w:rsidRDefault="00C10957" w:rsidP="00033239">
      <w:pPr>
        <w:rPr>
          <w:rFonts w:ascii="Arial" w:hAnsi="Arial" w:cs="Arial"/>
          <w:lang w:val="en-GB"/>
        </w:rPr>
      </w:pPr>
      <w:r w:rsidRPr="00F566F6">
        <w:rPr>
          <w:rFonts w:ascii="Arial" w:hAnsi="Arial" w:cs="Arial"/>
          <w:lang w:val="en-GB"/>
        </w:rPr>
        <w:t xml:space="preserve">The cash operating cycle (COC) points out significant weaknesses in the management of working capital at the firm. The inventory days grew significantly, indicating low inventory turnover. The receivable days were increasing significantly, as it indicated delays in customer payments. The increase in payable days was not sufficient to counter the prolonged conversion periods. As it is noted by Shah (2021), long cash cycles directly undermine liquidity since they slow down cash input. The resultant slowness of receivables collection and large inventories increases the cash lock-up period of the firm. Ineffective operating cycling decreases the ability of the firm to react </w:t>
      </w:r>
      <w:r w:rsidRPr="00F566F6">
        <w:rPr>
          <w:rFonts w:ascii="Arial" w:hAnsi="Arial" w:cs="Arial"/>
          <w:lang w:val="en-GB"/>
        </w:rPr>
        <w:lastRenderedPageBreak/>
        <w:t>promptly to changes in the market and poses a financial burden on the firm in the short term</w:t>
      </w:r>
      <w:r w:rsidR="00E12D0B" w:rsidRPr="00F566F6">
        <w:rPr>
          <w:rFonts w:ascii="Arial" w:hAnsi="Arial" w:cs="Arial"/>
          <w:lang w:val="en-GB"/>
        </w:rPr>
        <w:t xml:space="preserve"> (</w:t>
      </w:r>
      <w:proofErr w:type="spellStart"/>
      <w:r w:rsidRPr="00F566F6">
        <w:rPr>
          <w:rFonts w:ascii="Arial" w:hAnsi="Arial" w:cs="Arial"/>
          <w:lang w:val="en-GB"/>
        </w:rPr>
        <w:t>Colliard</w:t>
      </w:r>
      <w:proofErr w:type="spellEnd"/>
      <w:r w:rsidR="00E12D0B" w:rsidRPr="00F566F6">
        <w:rPr>
          <w:rFonts w:ascii="Arial" w:hAnsi="Arial" w:cs="Arial"/>
          <w:lang w:val="en-GB"/>
        </w:rPr>
        <w:t>,</w:t>
      </w:r>
      <w:r w:rsidRPr="00F566F6">
        <w:rPr>
          <w:rFonts w:ascii="Arial" w:hAnsi="Arial" w:cs="Arial"/>
          <w:lang w:val="en-GB"/>
        </w:rPr>
        <w:t xml:space="preserve"> 2025). The overall implications of the COC results show that the operations of the company are not performing efficiently in terms of cash generation, which will additionally lead to its wider liquidity problems.</w:t>
      </w:r>
    </w:p>
    <w:p w14:paraId="611558C1" w14:textId="77777777" w:rsidR="00D300FA" w:rsidRPr="00F566F6" w:rsidRDefault="00C10957" w:rsidP="00033239">
      <w:pPr>
        <w:pStyle w:val="Heading2"/>
        <w:rPr>
          <w:rFonts w:ascii="Arial" w:hAnsi="Arial" w:cs="Arial"/>
          <w:lang w:val="en-GB"/>
        </w:rPr>
      </w:pPr>
      <w:bookmarkStart w:id="22" w:name="_gego89m9fyyu" w:colFirst="0" w:colLast="0"/>
      <w:bookmarkStart w:id="23" w:name="_Toc216188932"/>
      <w:bookmarkEnd w:id="22"/>
      <w:r w:rsidRPr="00F566F6">
        <w:rPr>
          <w:rFonts w:ascii="Arial" w:hAnsi="Arial" w:cs="Arial"/>
          <w:lang w:val="en-GB"/>
        </w:rPr>
        <w:t>3.2 Identified Working Capital Weaknesses</w:t>
      </w:r>
      <w:bookmarkEnd w:id="23"/>
    </w:p>
    <w:p w14:paraId="0AFAC3E0" w14:textId="1E3F1D55" w:rsidR="00D300FA" w:rsidRPr="00F566F6" w:rsidRDefault="00C10957" w:rsidP="00033239">
      <w:pPr>
        <w:rPr>
          <w:rFonts w:ascii="Arial" w:hAnsi="Arial" w:cs="Arial"/>
          <w:lang w:val="en-GB"/>
        </w:rPr>
      </w:pPr>
      <w:r w:rsidRPr="00F566F6">
        <w:rPr>
          <w:rFonts w:ascii="Arial" w:hAnsi="Arial" w:cs="Arial"/>
          <w:lang w:val="en-GB"/>
        </w:rPr>
        <w:t xml:space="preserve">The former weakness is high inventory holding. Unsold inventory exposes the company to higher storage and obsolescence risks, particularly in a fast-paced sector of innovation. Makhdoom (2023) states that ineffective inventory levels decrease profitability and drag operations. The second problem is due to high receivables. The increase in the number of days under receivables indicates the relaxation of credit policy and deterioration of collection discipline. According to </w:t>
      </w:r>
      <w:proofErr w:type="spellStart"/>
      <w:r w:rsidRPr="00F566F6">
        <w:rPr>
          <w:rFonts w:ascii="Arial" w:hAnsi="Arial" w:cs="Arial"/>
          <w:lang w:val="en-GB"/>
        </w:rPr>
        <w:t>Puspitarini</w:t>
      </w:r>
      <w:proofErr w:type="spellEnd"/>
      <w:r w:rsidRPr="00F566F6">
        <w:rPr>
          <w:rFonts w:ascii="Arial" w:hAnsi="Arial" w:cs="Arial"/>
          <w:lang w:val="en-GB"/>
        </w:rPr>
        <w:t xml:space="preserve"> (2023), the management of receivables negatively impacts the availability of cash and increases the risk of default. Another weakness is payable cycles. The company also seems to pay its suppliers late to maintain a liquid position, thus straining supplier relations. </w:t>
      </w:r>
      <w:proofErr w:type="spellStart"/>
      <w:r w:rsidRPr="00F566F6">
        <w:rPr>
          <w:rFonts w:ascii="Arial" w:hAnsi="Arial" w:cs="Arial"/>
          <w:lang w:val="en-GB"/>
        </w:rPr>
        <w:t>Ambarwati</w:t>
      </w:r>
      <w:proofErr w:type="spellEnd"/>
      <w:r w:rsidRPr="00F566F6">
        <w:rPr>
          <w:rFonts w:ascii="Arial" w:hAnsi="Arial" w:cs="Arial"/>
          <w:lang w:val="en-GB"/>
        </w:rPr>
        <w:t xml:space="preserve"> (2021)</w:t>
      </w:r>
      <w:r w:rsidR="00E12D0B" w:rsidRPr="00F566F6">
        <w:rPr>
          <w:rFonts w:ascii="Arial" w:hAnsi="Arial" w:cs="Arial"/>
          <w:lang w:val="en-GB"/>
        </w:rPr>
        <w:t xml:space="preserve"> further</w:t>
      </w:r>
      <w:r w:rsidRPr="00F566F6">
        <w:rPr>
          <w:rFonts w:ascii="Arial" w:hAnsi="Arial" w:cs="Arial"/>
          <w:lang w:val="en-GB"/>
        </w:rPr>
        <w:t xml:space="preserve"> highlight</w:t>
      </w:r>
      <w:r w:rsidR="00E12D0B" w:rsidRPr="00F566F6">
        <w:rPr>
          <w:rFonts w:ascii="Arial" w:hAnsi="Arial" w:cs="Arial"/>
          <w:lang w:val="en-GB"/>
        </w:rPr>
        <w:t>ed</w:t>
      </w:r>
      <w:r w:rsidRPr="00F566F6">
        <w:rPr>
          <w:rFonts w:ascii="Arial" w:hAnsi="Arial" w:cs="Arial"/>
          <w:lang w:val="en-GB"/>
        </w:rPr>
        <w:t xml:space="preserve"> that erratic payment is a risk factor that heightens the supply chain risk and undermines operational resilience.</w:t>
      </w:r>
    </w:p>
    <w:p w14:paraId="51392118" w14:textId="77777777" w:rsidR="00D300FA" w:rsidRPr="00F566F6" w:rsidRDefault="00C10957" w:rsidP="00033239">
      <w:pPr>
        <w:pStyle w:val="Heading2"/>
        <w:rPr>
          <w:rFonts w:ascii="Arial" w:hAnsi="Arial" w:cs="Arial"/>
          <w:lang w:val="en-GB"/>
        </w:rPr>
      </w:pPr>
      <w:bookmarkStart w:id="24" w:name="_oy3fr0v8w4m3" w:colFirst="0" w:colLast="0"/>
      <w:bookmarkStart w:id="25" w:name="_Toc216188933"/>
      <w:bookmarkEnd w:id="24"/>
      <w:r w:rsidRPr="00F566F6">
        <w:rPr>
          <w:rFonts w:ascii="Arial" w:hAnsi="Arial" w:cs="Arial"/>
          <w:lang w:val="en-GB"/>
        </w:rPr>
        <w:t>3.3 Strategies to Improve Liquidity</w:t>
      </w:r>
      <w:bookmarkEnd w:id="25"/>
    </w:p>
    <w:p w14:paraId="17B782D1" w14:textId="53243FFB" w:rsidR="00D300FA" w:rsidRPr="00F566F6" w:rsidRDefault="00C10957" w:rsidP="00033239">
      <w:pPr>
        <w:rPr>
          <w:rFonts w:ascii="Arial" w:hAnsi="Arial" w:cs="Arial"/>
          <w:lang w:val="en-GB"/>
        </w:rPr>
      </w:pPr>
      <w:r w:rsidRPr="00F566F6">
        <w:rPr>
          <w:rFonts w:ascii="Arial" w:hAnsi="Arial" w:cs="Arial"/>
          <w:lang w:val="en-GB"/>
        </w:rPr>
        <w:t xml:space="preserve">One of the most important suggestions is to establish a just-in-time (JIT) inventory management framework that would ensure that there is minimal stock in place. Nishesh (2024) elaborates that operational flexibility is supported through strategic inventory optimisation as well as cost reduction. Effective receivables performance can be enhanced by tightening credit policies. This can be a credit score, reduced credit terms or early payment incentives. </w:t>
      </w:r>
      <w:proofErr w:type="spellStart"/>
      <w:r w:rsidRPr="00F566F6">
        <w:rPr>
          <w:rFonts w:ascii="Arial" w:hAnsi="Arial" w:cs="Arial"/>
          <w:lang w:val="en-GB"/>
        </w:rPr>
        <w:t>Oyeyipo</w:t>
      </w:r>
      <w:proofErr w:type="spellEnd"/>
      <w:r w:rsidRPr="00F566F6">
        <w:rPr>
          <w:rFonts w:ascii="Arial" w:hAnsi="Arial" w:cs="Arial"/>
          <w:lang w:val="en-GB"/>
        </w:rPr>
        <w:t xml:space="preserve"> (2023) emphasise</w:t>
      </w:r>
      <w:r w:rsidR="00E12D0B" w:rsidRPr="00F566F6">
        <w:rPr>
          <w:rFonts w:ascii="Arial" w:hAnsi="Arial" w:cs="Arial"/>
          <w:lang w:val="en-GB"/>
        </w:rPr>
        <w:t>d</w:t>
      </w:r>
      <w:r w:rsidRPr="00F566F6">
        <w:rPr>
          <w:rFonts w:ascii="Arial" w:hAnsi="Arial" w:cs="Arial"/>
          <w:lang w:val="en-GB"/>
        </w:rPr>
        <w:t xml:space="preserve"> that firm, controlled receivable management positively affects the liquidity status and also contributes to risk optimisation. The other essential action is supplier renegotiation, which allows the firm to match the payment conditions with the cash cycle. </w:t>
      </w:r>
      <w:r w:rsidR="00E12D0B" w:rsidRPr="00F566F6">
        <w:rPr>
          <w:rFonts w:ascii="Arial" w:hAnsi="Arial" w:cs="Arial"/>
          <w:lang w:val="en-GB"/>
        </w:rPr>
        <w:t>T</w:t>
      </w:r>
      <w:r w:rsidRPr="00F566F6">
        <w:rPr>
          <w:rFonts w:ascii="Arial" w:hAnsi="Arial" w:cs="Arial"/>
          <w:lang w:val="en-GB"/>
        </w:rPr>
        <w:t xml:space="preserve">he working capital in restructuring can be stabilised through better supplier agreements. Lastly, it is important to integrate a powerful cash-flow forecasting system. </w:t>
      </w:r>
      <w:r w:rsidR="00E12D0B" w:rsidRPr="00F566F6">
        <w:rPr>
          <w:rFonts w:ascii="Arial" w:hAnsi="Arial" w:cs="Arial"/>
          <w:lang w:val="en-GB"/>
        </w:rPr>
        <w:t>Pr</w:t>
      </w:r>
      <w:r w:rsidRPr="00F566F6">
        <w:rPr>
          <w:rFonts w:ascii="Arial" w:hAnsi="Arial" w:cs="Arial"/>
          <w:lang w:val="en-GB"/>
        </w:rPr>
        <w:t xml:space="preserve">edictive modelling is </w:t>
      </w:r>
      <w:r w:rsidR="00E12D0B" w:rsidRPr="00F566F6">
        <w:rPr>
          <w:rFonts w:ascii="Arial" w:hAnsi="Arial" w:cs="Arial"/>
          <w:lang w:val="en-GB"/>
        </w:rPr>
        <w:t xml:space="preserve">stated by </w:t>
      </w:r>
      <w:proofErr w:type="spellStart"/>
      <w:r w:rsidR="00E12D0B" w:rsidRPr="00F566F6">
        <w:rPr>
          <w:rFonts w:ascii="Arial" w:hAnsi="Arial" w:cs="Arial"/>
          <w:lang w:val="en-GB"/>
        </w:rPr>
        <w:t>Andanika</w:t>
      </w:r>
      <w:proofErr w:type="spellEnd"/>
      <w:r w:rsidR="00E12D0B" w:rsidRPr="00F566F6">
        <w:rPr>
          <w:rFonts w:ascii="Arial" w:hAnsi="Arial" w:cs="Arial"/>
          <w:lang w:val="en-GB"/>
        </w:rPr>
        <w:t xml:space="preserve"> (2024) to be </w:t>
      </w:r>
      <w:r w:rsidRPr="00F566F6">
        <w:rPr>
          <w:rFonts w:ascii="Arial" w:hAnsi="Arial" w:cs="Arial"/>
          <w:lang w:val="en-GB"/>
        </w:rPr>
        <w:t>useful to firms that are financially distressed to facilitate liquidity planning.</w:t>
      </w:r>
    </w:p>
    <w:p w14:paraId="76225162" w14:textId="77777777" w:rsidR="00D300FA" w:rsidRPr="00F566F6" w:rsidRDefault="00C10957" w:rsidP="00033239">
      <w:pPr>
        <w:pStyle w:val="Heading2"/>
        <w:rPr>
          <w:rFonts w:ascii="Arial" w:hAnsi="Arial" w:cs="Arial"/>
          <w:lang w:val="en-GB"/>
        </w:rPr>
      </w:pPr>
      <w:bookmarkStart w:id="26" w:name="_23xx6soy4jxy" w:colFirst="0" w:colLast="0"/>
      <w:bookmarkStart w:id="27" w:name="_Toc216188934"/>
      <w:bookmarkEnd w:id="26"/>
      <w:r w:rsidRPr="00F566F6">
        <w:rPr>
          <w:rFonts w:ascii="Arial" w:hAnsi="Arial" w:cs="Arial"/>
          <w:lang w:val="en-GB"/>
        </w:rPr>
        <w:t>3.4 Short-Term vs Long-Term Financing Options</w:t>
      </w:r>
      <w:bookmarkEnd w:id="27"/>
    </w:p>
    <w:p w14:paraId="1D99050E" w14:textId="76B4007C" w:rsidR="00D300FA" w:rsidRPr="00F566F6" w:rsidRDefault="00C10957" w:rsidP="00033239">
      <w:pPr>
        <w:rPr>
          <w:rFonts w:ascii="Arial" w:hAnsi="Arial" w:cs="Arial"/>
          <w:lang w:val="en-GB"/>
        </w:rPr>
      </w:pPr>
      <w:r w:rsidRPr="00F566F6">
        <w:rPr>
          <w:rFonts w:ascii="Arial" w:hAnsi="Arial" w:cs="Arial"/>
          <w:lang w:val="en-GB"/>
        </w:rPr>
        <w:t xml:space="preserve">Liquidity can be kept up to speed with overdrafts and credit lines. According to Pagano (2022), short-term financing is flexible and leads to higher refinancing risk. Low-cost support is also provided by trade credit, but excessive use can ruin relations with </w:t>
      </w:r>
      <w:r w:rsidRPr="00F566F6">
        <w:rPr>
          <w:rFonts w:ascii="Arial" w:hAnsi="Arial" w:cs="Arial"/>
          <w:lang w:val="en-GB"/>
        </w:rPr>
        <w:lastRenderedPageBreak/>
        <w:t xml:space="preserve">suppliers. Bonds or equity raises are long-term sources of financing. </w:t>
      </w:r>
      <w:r w:rsidR="00F753C9" w:rsidRPr="00F566F6">
        <w:rPr>
          <w:rFonts w:ascii="Arial" w:hAnsi="Arial" w:cs="Arial"/>
          <w:lang w:val="en-GB"/>
        </w:rPr>
        <w:t>T</w:t>
      </w:r>
      <w:r w:rsidRPr="00F566F6">
        <w:rPr>
          <w:rFonts w:ascii="Arial" w:hAnsi="Arial" w:cs="Arial"/>
          <w:lang w:val="en-GB"/>
        </w:rPr>
        <w:t xml:space="preserve">he presence of long-term and stable funding enhances solvency </w:t>
      </w:r>
      <w:r w:rsidR="00A06021" w:rsidRPr="00F566F6">
        <w:rPr>
          <w:rFonts w:ascii="Arial" w:hAnsi="Arial" w:cs="Arial"/>
          <w:lang w:val="en-GB"/>
        </w:rPr>
        <w:t>that further</w:t>
      </w:r>
      <w:r w:rsidRPr="00F566F6">
        <w:rPr>
          <w:rFonts w:ascii="Arial" w:hAnsi="Arial" w:cs="Arial"/>
          <w:lang w:val="en-GB"/>
        </w:rPr>
        <w:t xml:space="preserve"> helps in restructuring. </w:t>
      </w:r>
      <w:r w:rsidR="00F753C9" w:rsidRPr="00F566F6">
        <w:rPr>
          <w:rFonts w:ascii="Arial" w:hAnsi="Arial" w:cs="Arial"/>
          <w:lang w:val="en-GB"/>
        </w:rPr>
        <w:t>Furthermore,</w:t>
      </w:r>
      <w:r w:rsidRPr="00F566F6">
        <w:rPr>
          <w:rFonts w:ascii="Arial" w:hAnsi="Arial" w:cs="Arial"/>
          <w:lang w:val="en-GB"/>
        </w:rPr>
        <w:t xml:space="preserve"> </w:t>
      </w:r>
      <w:proofErr w:type="spellStart"/>
      <w:r w:rsidRPr="00F566F6">
        <w:rPr>
          <w:rFonts w:ascii="Arial" w:hAnsi="Arial" w:cs="Arial"/>
          <w:lang w:val="en-GB"/>
        </w:rPr>
        <w:t>Ellingsaeeter</w:t>
      </w:r>
      <w:proofErr w:type="spellEnd"/>
      <w:r w:rsidRPr="00F566F6">
        <w:rPr>
          <w:rFonts w:ascii="Arial" w:hAnsi="Arial" w:cs="Arial"/>
          <w:lang w:val="en-GB"/>
        </w:rPr>
        <w:t xml:space="preserve"> (2025)</w:t>
      </w:r>
      <w:r w:rsidR="00F753C9" w:rsidRPr="00F566F6">
        <w:rPr>
          <w:rFonts w:ascii="Arial" w:hAnsi="Arial" w:cs="Arial"/>
          <w:lang w:val="en-GB"/>
        </w:rPr>
        <w:t xml:space="preserve"> added that</w:t>
      </w:r>
      <w:r w:rsidRPr="00F566F6">
        <w:rPr>
          <w:rFonts w:ascii="Arial" w:hAnsi="Arial" w:cs="Arial"/>
          <w:lang w:val="en-GB"/>
        </w:rPr>
        <w:t xml:space="preserve"> equity raises come in especially handy to distressed companies through the enhancement of capital buffers. The firm has turnaround objectives that a blended financing approach would be appropriate in meeting, as it would help it fulfil its short-term liquidity requirements and long-term structural recovery.</w:t>
      </w:r>
    </w:p>
    <w:p w14:paraId="1263A5A8" w14:textId="77777777" w:rsidR="00D300FA" w:rsidRPr="00F566F6" w:rsidRDefault="00C10957" w:rsidP="00033239">
      <w:pPr>
        <w:pStyle w:val="Heading1"/>
        <w:rPr>
          <w:rFonts w:ascii="Arial" w:hAnsi="Arial" w:cs="Arial"/>
          <w:lang w:val="en-GB"/>
        </w:rPr>
      </w:pPr>
      <w:bookmarkStart w:id="28" w:name="_5k6j30xg3y1a" w:colFirst="0" w:colLast="0"/>
      <w:bookmarkStart w:id="29" w:name="_Toc216188935"/>
      <w:bookmarkEnd w:id="28"/>
      <w:r w:rsidRPr="00F566F6">
        <w:rPr>
          <w:rFonts w:ascii="Arial" w:hAnsi="Arial" w:cs="Arial"/>
          <w:lang w:val="en-GB"/>
        </w:rPr>
        <w:t>4. Strategic Financial Restructuring Plan</w:t>
      </w:r>
      <w:bookmarkEnd w:id="29"/>
    </w:p>
    <w:p w14:paraId="13D6E105" w14:textId="77777777" w:rsidR="00D300FA" w:rsidRPr="00F566F6" w:rsidRDefault="00C10957" w:rsidP="00033239">
      <w:pPr>
        <w:pStyle w:val="Heading2"/>
        <w:rPr>
          <w:rFonts w:ascii="Arial" w:hAnsi="Arial" w:cs="Arial"/>
          <w:lang w:val="en-GB"/>
        </w:rPr>
      </w:pPr>
      <w:bookmarkStart w:id="30" w:name="_ydn42as4ot9j" w:colFirst="0" w:colLast="0"/>
      <w:bookmarkStart w:id="31" w:name="_Toc216188936"/>
      <w:bookmarkEnd w:id="30"/>
      <w:r w:rsidRPr="00F566F6">
        <w:rPr>
          <w:rFonts w:ascii="Arial" w:hAnsi="Arial" w:cs="Arial"/>
          <w:lang w:val="en-GB"/>
        </w:rPr>
        <w:t>4.1 Strategic Diagnosis and Need for Restructuring</w:t>
      </w:r>
      <w:bookmarkEnd w:id="31"/>
    </w:p>
    <w:p w14:paraId="35833F21" w14:textId="27FA0EFB" w:rsidR="00D300FA" w:rsidRPr="00F566F6" w:rsidRDefault="00C10957" w:rsidP="00033239">
      <w:pPr>
        <w:rPr>
          <w:rFonts w:ascii="Arial" w:hAnsi="Arial" w:cs="Arial"/>
          <w:lang w:val="en-GB"/>
        </w:rPr>
      </w:pPr>
      <w:r w:rsidRPr="00F566F6">
        <w:rPr>
          <w:rFonts w:ascii="Arial" w:hAnsi="Arial" w:cs="Arial"/>
          <w:lang w:val="en-GB"/>
        </w:rPr>
        <w:t xml:space="preserve">General Electronics is already showing several signs of financial distress, such as continuing revenue reduction, negative operating margins, decreasing liquidity positions, declining efficiency ratios and increasing debt to equity ratio. All these symptoms are an indicator of deteriorating solvency and poor operational resilience. </w:t>
      </w:r>
      <w:proofErr w:type="spellStart"/>
      <w:r w:rsidRPr="00F566F6">
        <w:rPr>
          <w:rFonts w:ascii="Arial" w:hAnsi="Arial" w:cs="Arial"/>
          <w:lang w:val="en-GB"/>
        </w:rPr>
        <w:t>Jouali</w:t>
      </w:r>
      <w:proofErr w:type="spellEnd"/>
      <w:r w:rsidRPr="00F566F6">
        <w:rPr>
          <w:rFonts w:ascii="Arial" w:hAnsi="Arial" w:cs="Arial"/>
          <w:lang w:val="en-GB"/>
        </w:rPr>
        <w:t xml:space="preserve"> (2024) highlights that the timely identification of increasing negative financial ratios is crucial to avoid the situation when it becomes critical and serious. The decline in the profitability of the firm, fluctuation in the cash flow and the increase in the Altman Z-scores also show that the probability of default is on the rise. In the absence of structural intervention, the company is experiencing declining access to credit markets, the lack of investor confidence and potential exposure to insolvency. Far-reaching restructuring is required in order to stabilise performance and the reinstatement of long-term sustainability. </w:t>
      </w:r>
      <w:r w:rsidR="00A06021" w:rsidRPr="00F566F6">
        <w:rPr>
          <w:rFonts w:ascii="Arial" w:hAnsi="Arial" w:cs="Arial"/>
          <w:lang w:val="en-GB"/>
        </w:rPr>
        <w:t>P</w:t>
      </w:r>
      <w:r w:rsidRPr="00F566F6">
        <w:rPr>
          <w:rFonts w:ascii="Arial" w:hAnsi="Arial" w:cs="Arial"/>
          <w:lang w:val="en-GB"/>
        </w:rPr>
        <w:t>roper managerial reorganisation is beneficial to organisational performance through better alignment of the strategy and discipline in operations. In the case of General Electronics, the issue of restructuring is thus not a choice, but rather an essential strategic step to recover the lost financial health, to remain relevant in the market and avoid a liquidity crisis.</w:t>
      </w:r>
    </w:p>
    <w:p w14:paraId="3F1D895A" w14:textId="77777777" w:rsidR="00A06021" w:rsidRPr="00F566F6" w:rsidRDefault="00A06021" w:rsidP="00033239">
      <w:pPr>
        <w:rPr>
          <w:rFonts w:ascii="Arial" w:hAnsi="Arial" w:cs="Arial"/>
          <w:lang w:val="en-GB"/>
        </w:rPr>
      </w:pPr>
    </w:p>
    <w:p w14:paraId="0719A551" w14:textId="77777777" w:rsidR="00D300FA" w:rsidRPr="00F566F6" w:rsidRDefault="00C10957" w:rsidP="00033239">
      <w:pPr>
        <w:pStyle w:val="Heading2"/>
        <w:rPr>
          <w:rFonts w:ascii="Arial" w:hAnsi="Arial" w:cs="Arial"/>
          <w:lang w:val="en-GB"/>
        </w:rPr>
      </w:pPr>
      <w:bookmarkStart w:id="32" w:name="_feea8bkqpfo9" w:colFirst="0" w:colLast="0"/>
      <w:bookmarkStart w:id="33" w:name="_Toc216188937"/>
      <w:bookmarkEnd w:id="32"/>
      <w:r w:rsidRPr="00F566F6">
        <w:rPr>
          <w:rFonts w:ascii="Arial" w:hAnsi="Arial" w:cs="Arial"/>
          <w:lang w:val="en-GB"/>
        </w:rPr>
        <w:t>4.2 Restructuring Options</w:t>
      </w:r>
      <w:bookmarkEnd w:id="33"/>
    </w:p>
    <w:p w14:paraId="7DE7BD1C" w14:textId="77777777" w:rsidR="00D300FA" w:rsidRPr="00F566F6" w:rsidRDefault="00C10957" w:rsidP="00033239">
      <w:pPr>
        <w:rPr>
          <w:rFonts w:ascii="Arial" w:hAnsi="Arial" w:cs="Arial"/>
          <w:b/>
          <w:bCs/>
          <w:i/>
          <w:iCs/>
          <w:lang w:val="en-GB"/>
        </w:rPr>
      </w:pPr>
      <w:r w:rsidRPr="00F566F6">
        <w:rPr>
          <w:rFonts w:ascii="Arial" w:hAnsi="Arial" w:cs="Arial"/>
          <w:b/>
          <w:bCs/>
          <w:i/>
          <w:iCs/>
          <w:lang w:val="en-GB"/>
        </w:rPr>
        <w:t>Divestiture of Non-Core Segments</w:t>
      </w:r>
    </w:p>
    <w:p w14:paraId="3E4ECD37" w14:textId="2BA6672F" w:rsidR="00D300FA" w:rsidRPr="00F566F6" w:rsidRDefault="00C10957" w:rsidP="00033239">
      <w:pPr>
        <w:rPr>
          <w:rFonts w:ascii="Arial" w:hAnsi="Arial" w:cs="Arial"/>
          <w:lang w:val="en-GB"/>
        </w:rPr>
      </w:pPr>
      <w:r w:rsidRPr="00F566F6">
        <w:rPr>
          <w:rFonts w:ascii="Arial" w:hAnsi="Arial" w:cs="Arial"/>
          <w:lang w:val="en-GB"/>
        </w:rPr>
        <w:t xml:space="preserve">Selling the non-core or the low-performing units provides the immediate cash inflow and liquidity. This solution will be able to provide the money required to stabilise the operation and finance the necessary restructuring efforts. According to Abdi (2022), asset rationalisation is one of the core restructuring strategies that makes organisations more focused and financially disciplined. Selling off the divisions that no longer serve the strategic interests of the firm will enable General Electronics to </w:t>
      </w:r>
      <w:r w:rsidRPr="00F566F6">
        <w:rPr>
          <w:rFonts w:ascii="Arial" w:hAnsi="Arial" w:cs="Arial"/>
          <w:lang w:val="en-GB"/>
        </w:rPr>
        <w:lastRenderedPageBreak/>
        <w:t xml:space="preserve">streamline its operational processes and focus on the business lines that have a high margin and potential. These divestitures also enhance cost structures, purges of administration and simplification of supply chains. Dropping poor-performing segments enhances the margin profile because the remaining portfolio is more profitable and strategically consistent. Also, the purchasers who want to obtain complementary assets can pay a premium due to established technology or market access. This is a strategy that allows securing the necessary liquidity in the short run, as well as in the long run, as it helps to transform the corporate framework around the core competencies. </w:t>
      </w:r>
      <w:r w:rsidR="00A06021" w:rsidRPr="00F566F6">
        <w:rPr>
          <w:rFonts w:ascii="Arial" w:hAnsi="Arial" w:cs="Arial"/>
          <w:lang w:val="en-GB"/>
        </w:rPr>
        <w:t>O</w:t>
      </w:r>
      <w:r w:rsidRPr="00F566F6">
        <w:rPr>
          <w:rFonts w:ascii="Arial" w:hAnsi="Arial" w:cs="Arial"/>
          <w:lang w:val="en-GB"/>
        </w:rPr>
        <w:t>perational restructuring improves the firm's performance</w:t>
      </w:r>
      <w:r w:rsidR="00A06021" w:rsidRPr="00F566F6">
        <w:rPr>
          <w:rFonts w:ascii="Arial" w:hAnsi="Arial" w:cs="Arial"/>
          <w:lang w:val="en-GB"/>
        </w:rPr>
        <w:t>,</w:t>
      </w:r>
      <w:r w:rsidRPr="00F566F6">
        <w:rPr>
          <w:rFonts w:ascii="Arial" w:hAnsi="Arial" w:cs="Arial"/>
          <w:lang w:val="en-GB"/>
        </w:rPr>
        <w:t xml:space="preserve"> as it ensures that the activities are suited to strategic objectives</w:t>
      </w:r>
      <w:r w:rsidR="00A06021" w:rsidRPr="00F566F6">
        <w:rPr>
          <w:rFonts w:ascii="Arial" w:hAnsi="Arial" w:cs="Arial"/>
          <w:lang w:val="en-GB"/>
        </w:rPr>
        <w:t xml:space="preserve">, which </w:t>
      </w:r>
      <w:r w:rsidRPr="00F566F6">
        <w:rPr>
          <w:rFonts w:ascii="Arial" w:hAnsi="Arial" w:cs="Arial"/>
          <w:lang w:val="en-GB"/>
        </w:rPr>
        <w:t>removes inefficiencies</w:t>
      </w:r>
      <w:r w:rsidR="00A06021" w:rsidRPr="00F566F6">
        <w:rPr>
          <w:rFonts w:ascii="Arial" w:hAnsi="Arial" w:cs="Arial"/>
          <w:lang w:val="en-GB"/>
        </w:rPr>
        <w:t xml:space="preserve"> (</w:t>
      </w:r>
      <w:proofErr w:type="spellStart"/>
      <w:r w:rsidR="00A06021" w:rsidRPr="00F566F6">
        <w:rPr>
          <w:rFonts w:ascii="Arial" w:hAnsi="Arial" w:cs="Arial"/>
          <w:lang w:val="en-GB"/>
        </w:rPr>
        <w:t>Barchok</w:t>
      </w:r>
      <w:proofErr w:type="spellEnd"/>
      <w:r w:rsidR="00A06021" w:rsidRPr="00F566F6">
        <w:rPr>
          <w:rFonts w:ascii="Arial" w:hAnsi="Arial" w:cs="Arial"/>
          <w:lang w:val="en-GB"/>
        </w:rPr>
        <w:t>, 2025)</w:t>
      </w:r>
      <w:r w:rsidRPr="00F566F6">
        <w:rPr>
          <w:rFonts w:ascii="Arial" w:hAnsi="Arial" w:cs="Arial"/>
          <w:lang w:val="en-GB"/>
        </w:rPr>
        <w:t>. Divestiture is</w:t>
      </w:r>
      <w:r w:rsidR="00A06021" w:rsidRPr="00F566F6">
        <w:rPr>
          <w:rFonts w:ascii="Arial" w:hAnsi="Arial" w:cs="Arial"/>
          <w:lang w:val="en-GB"/>
        </w:rPr>
        <w:t>,</w:t>
      </w:r>
      <w:r w:rsidRPr="00F566F6">
        <w:rPr>
          <w:rFonts w:ascii="Arial" w:hAnsi="Arial" w:cs="Arial"/>
          <w:lang w:val="en-GB"/>
        </w:rPr>
        <w:t xml:space="preserve"> therefore</w:t>
      </w:r>
      <w:r w:rsidR="00A06021" w:rsidRPr="00F566F6">
        <w:rPr>
          <w:rFonts w:ascii="Arial" w:hAnsi="Arial" w:cs="Arial"/>
          <w:lang w:val="en-GB"/>
        </w:rPr>
        <w:t>,</w:t>
      </w:r>
      <w:r w:rsidRPr="00F566F6">
        <w:rPr>
          <w:rFonts w:ascii="Arial" w:hAnsi="Arial" w:cs="Arial"/>
          <w:lang w:val="en-GB"/>
        </w:rPr>
        <w:t xml:space="preserve"> a source of short-term relief to the coffers as well as repositioning to maintain future competitiveness.</w:t>
      </w:r>
    </w:p>
    <w:p w14:paraId="70237C23" w14:textId="77777777" w:rsidR="00D300FA" w:rsidRPr="00F566F6" w:rsidRDefault="00C10957" w:rsidP="00033239">
      <w:pPr>
        <w:rPr>
          <w:rFonts w:ascii="Arial" w:hAnsi="Arial" w:cs="Arial"/>
          <w:b/>
          <w:bCs/>
          <w:i/>
          <w:iCs/>
          <w:lang w:val="en-GB"/>
        </w:rPr>
      </w:pPr>
      <w:r w:rsidRPr="00F566F6">
        <w:rPr>
          <w:rFonts w:ascii="Arial" w:hAnsi="Arial" w:cs="Arial"/>
          <w:b/>
          <w:bCs/>
          <w:i/>
          <w:iCs/>
          <w:lang w:val="en-GB"/>
        </w:rPr>
        <w:t>Debt Restructuring</w:t>
      </w:r>
    </w:p>
    <w:p w14:paraId="1C5E3DA8" w14:textId="13C189DB" w:rsidR="00D300FA" w:rsidRPr="00F566F6" w:rsidRDefault="00C10957" w:rsidP="00033239">
      <w:pPr>
        <w:rPr>
          <w:rFonts w:ascii="Arial" w:hAnsi="Arial" w:cs="Arial"/>
          <w:lang w:val="en-GB"/>
        </w:rPr>
      </w:pPr>
      <w:r w:rsidRPr="00F566F6">
        <w:rPr>
          <w:rFonts w:ascii="Arial" w:hAnsi="Arial" w:cs="Arial"/>
          <w:lang w:val="en-GB"/>
        </w:rPr>
        <w:t xml:space="preserve">The situation requires debt restructuring due to the increasing leverage of the company, unstable credit-line borrowings and deteriorating interest cover ratios. Converting high-interest short-term credit lines to long-term credit lines at lower interest rates will take the pressure off the short-term and stabilise cash flow. </w:t>
      </w:r>
      <w:r w:rsidR="00A06021" w:rsidRPr="00F566F6">
        <w:rPr>
          <w:rFonts w:ascii="Arial" w:hAnsi="Arial" w:cs="Arial"/>
          <w:lang w:val="en-GB"/>
        </w:rPr>
        <w:t>T</w:t>
      </w:r>
      <w:r w:rsidRPr="00F566F6">
        <w:rPr>
          <w:rFonts w:ascii="Arial" w:hAnsi="Arial" w:cs="Arial"/>
          <w:lang w:val="en-GB"/>
        </w:rPr>
        <w:t>he current restructuring debt models allow negotiated changes that give breathing space to the borrowers and protect the interests of creditors</w:t>
      </w:r>
      <w:r w:rsidR="00A06021" w:rsidRPr="00F566F6">
        <w:rPr>
          <w:rFonts w:ascii="Arial" w:hAnsi="Arial" w:cs="Arial"/>
          <w:lang w:val="en-GB"/>
        </w:rPr>
        <w:t xml:space="preserve"> (Payne, 2025)</w:t>
      </w:r>
      <w:r w:rsidRPr="00F566F6">
        <w:rPr>
          <w:rFonts w:ascii="Arial" w:hAnsi="Arial" w:cs="Arial"/>
          <w:lang w:val="en-GB"/>
        </w:rPr>
        <w:t xml:space="preserve">. OSL increase in debt maturity enables General Electronics to disperse the liability of the debt repayments over a longer period, enhancing liquidity and lowering the risk of non-refinance. Reduction in finance costs not only enhances the solvency ratios, but also back the lender confidence. Seymour (2021) </w:t>
      </w:r>
      <w:r w:rsidR="00A06021" w:rsidRPr="00F566F6">
        <w:rPr>
          <w:rFonts w:ascii="Arial" w:hAnsi="Arial" w:cs="Arial"/>
          <w:lang w:val="en-GB"/>
        </w:rPr>
        <w:t>pointed</w:t>
      </w:r>
      <w:r w:rsidRPr="00F566F6">
        <w:rPr>
          <w:rFonts w:ascii="Arial" w:hAnsi="Arial" w:cs="Arial"/>
          <w:lang w:val="en-GB"/>
        </w:rPr>
        <w:t xml:space="preserve"> out that restructuring should provide a balance between stakeholders and enterprise value in the face of financial distress. In the case of General Electronics, debt restructuring will be one of the essential instruments to get its financial health back and keep liabilities below the potential earnings.</w:t>
      </w:r>
    </w:p>
    <w:p w14:paraId="66702215" w14:textId="77777777" w:rsidR="00D300FA" w:rsidRPr="00F566F6" w:rsidRDefault="00C10957" w:rsidP="00033239">
      <w:pPr>
        <w:rPr>
          <w:rFonts w:ascii="Arial" w:hAnsi="Arial" w:cs="Arial"/>
          <w:b/>
          <w:bCs/>
          <w:i/>
          <w:iCs/>
          <w:lang w:val="en-GB"/>
        </w:rPr>
      </w:pPr>
      <w:r w:rsidRPr="00F566F6">
        <w:rPr>
          <w:rFonts w:ascii="Arial" w:hAnsi="Arial" w:cs="Arial"/>
          <w:b/>
          <w:bCs/>
          <w:i/>
          <w:iCs/>
          <w:lang w:val="en-GB"/>
        </w:rPr>
        <w:t>Equity Injection / Private Placement</w:t>
      </w:r>
    </w:p>
    <w:p w14:paraId="76D8677A" w14:textId="75E0B9E6" w:rsidR="00D300FA" w:rsidRPr="00F566F6" w:rsidRDefault="00C10957" w:rsidP="00033239">
      <w:pPr>
        <w:rPr>
          <w:rFonts w:ascii="Arial" w:hAnsi="Arial" w:cs="Arial"/>
          <w:lang w:val="en-GB"/>
        </w:rPr>
      </w:pPr>
      <w:r w:rsidRPr="00F566F6">
        <w:rPr>
          <w:rFonts w:ascii="Arial" w:hAnsi="Arial" w:cs="Arial"/>
          <w:lang w:val="en-GB"/>
        </w:rPr>
        <w:t xml:space="preserve">The balance sheet of the company would be boosted by equity injection through private placement or rights issue, or strategic investor participation, and this would help deleverage the company. New equity lowers the debt-equity ratio and increases the solvency, allowing the company to survive temporary fluctuations, as well as effect operational changes. Equity financing also enhances the liquidity buffers, such that the company would not be overly dependent on credit lines in satisfying working capital </w:t>
      </w:r>
      <w:r w:rsidRPr="00F566F6">
        <w:rPr>
          <w:rFonts w:ascii="Arial" w:hAnsi="Arial" w:cs="Arial"/>
          <w:lang w:val="en-GB"/>
        </w:rPr>
        <w:lastRenderedPageBreak/>
        <w:t xml:space="preserve">requirements. </w:t>
      </w:r>
      <w:r w:rsidR="00A06021" w:rsidRPr="00F566F6">
        <w:rPr>
          <w:rFonts w:ascii="Arial" w:hAnsi="Arial" w:cs="Arial"/>
          <w:lang w:val="en-GB"/>
        </w:rPr>
        <w:t>T</w:t>
      </w:r>
      <w:r w:rsidRPr="00F566F6">
        <w:rPr>
          <w:rFonts w:ascii="Arial" w:hAnsi="Arial" w:cs="Arial"/>
          <w:lang w:val="en-GB"/>
        </w:rPr>
        <w:t>he restructuring that is focused on the renewal of governance and management can enhance the image of the investor and the stability of the organisation</w:t>
      </w:r>
      <w:r w:rsidR="00A06021" w:rsidRPr="00F566F6">
        <w:rPr>
          <w:rFonts w:ascii="Arial" w:hAnsi="Arial" w:cs="Arial"/>
          <w:lang w:val="en-GB"/>
        </w:rPr>
        <w:t xml:space="preserve"> (Nyanchama, 2024)</w:t>
      </w:r>
      <w:r w:rsidRPr="00F566F6">
        <w:rPr>
          <w:rFonts w:ascii="Arial" w:hAnsi="Arial" w:cs="Arial"/>
          <w:lang w:val="en-GB"/>
        </w:rPr>
        <w:t>. General Electronics has a chance to regain the lost market confidence destroyed by new losses and negative earnings trends through attracting new investors. Equity injection also enhances long-term capital projects, which are needed to carry out innovation and competitive advantage. Seymour (2021) contends that it is important to have enough equity cushions in the process of restructuring to retain value in the firm and minimise the number of creditor disputes. In the case of General Electronics, increasing the strength of capital by issuing equity is then one of the main elements of financial recovery.</w:t>
      </w:r>
    </w:p>
    <w:p w14:paraId="6706AA14" w14:textId="77777777" w:rsidR="00D300FA" w:rsidRPr="00F566F6" w:rsidRDefault="00C10957" w:rsidP="00033239">
      <w:pPr>
        <w:rPr>
          <w:rFonts w:ascii="Arial" w:hAnsi="Arial" w:cs="Arial"/>
          <w:b/>
          <w:bCs/>
          <w:i/>
          <w:iCs/>
          <w:lang w:val="en-GB"/>
        </w:rPr>
      </w:pPr>
      <w:r w:rsidRPr="00F566F6">
        <w:rPr>
          <w:rFonts w:ascii="Arial" w:hAnsi="Arial" w:cs="Arial"/>
          <w:b/>
          <w:bCs/>
          <w:i/>
          <w:iCs/>
          <w:lang w:val="en-GB"/>
        </w:rPr>
        <w:t>Strategic Partnership or Merger</w:t>
      </w:r>
    </w:p>
    <w:p w14:paraId="05B7BDBA" w14:textId="77777777" w:rsidR="00D300FA" w:rsidRPr="00F566F6" w:rsidRDefault="00C10957" w:rsidP="00033239">
      <w:pPr>
        <w:rPr>
          <w:rFonts w:ascii="Arial" w:hAnsi="Arial" w:cs="Arial"/>
          <w:lang w:val="en-GB"/>
        </w:rPr>
      </w:pPr>
      <w:r w:rsidRPr="00F566F6">
        <w:rPr>
          <w:rFonts w:ascii="Arial" w:hAnsi="Arial" w:cs="Arial"/>
          <w:lang w:val="en-GB"/>
        </w:rPr>
        <w:t>A strategic alliance or merger presents an opportunity to access new technology, access new markets and cost advantages that General Electronics would not otherwise be able to attain under the existing limitations. Collaboration with a technologically advanced company will speed up innovation and supplement internal strengths. According to Payne (2025), mutual agreements may be used to share resources and reduce financial risk. The merger can also have the effect of making economies of scale, consolidating overheads, and research and development. Seymour (2021) emphasises that value can be saved and strategic positioning can be improved through merging organisations in distress. In the case of General Electronics, mergers or partnerships are a means of becoming competitive and growing over the long term.</w:t>
      </w:r>
    </w:p>
    <w:p w14:paraId="74F630BB" w14:textId="77777777" w:rsidR="00D300FA" w:rsidRPr="00F566F6" w:rsidRDefault="00C10957" w:rsidP="00033239">
      <w:pPr>
        <w:pStyle w:val="Heading2"/>
        <w:rPr>
          <w:rFonts w:ascii="Arial" w:hAnsi="Arial" w:cs="Arial"/>
          <w:lang w:val="en-GB"/>
        </w:rPr>
      </w:pPr>
      <w:bookmarkStart w:id="34" w:name="_odn3v04axi8e" w:colFirst="0" w:colLast="0"/>
      <w:bookmarkStart w:id="35" w:name="_Toc216188938"/>
      <w:bookmarkEnd w:id="34"/>
      <w:r w:rsidRPr="00F566F6">
        <w:rPr>
          <w:rFonts w:ascii="Arial" w:hAnsi="Arial" w:cs="Arial"/>
          <w:lang w:val="en-GB"/>
        </w:rPr>
        <w:t>4.3 Impact on Shareholder Value and Debt Structure</w:t>
      </w:r>
      <w:bookmarkEnd w:id="35"/>
    </w:p>
    <w:p w14:paraId="23B85D90" w14:textId="77777777" w:rsidR="00D300FA" w:rsidRPr="00F566F6" w:rsidRDefault="00C10957" w:rsidP="00033239">
      <w:pPr>
        <w:rPr>
          <w:rFonts w:ascii="Arial" w:hAnsi="Arial" w:cs="Arial"/>
          <w:lang w:val="en-GB"/>
        </w:rPr>
      </w:pPr>
      <w:r w:rsidRPr="00F566F6">
        <w:rPr>
          <w:rFonts w:ascii="Arial" w:hAnsi="Arial" w:cs="Arial"/>
          <w:lang w:val="en-GB"/>
        </w:rPr>
        <w:t xml:space="preserve">The possibility of restructuring is that it can enhance shareholder value through restoring profitability, which would strengthen the capital base and stabilise long-term cash flows. Divestitures increase cash and decrease operating drag, and enhance earnings performance. Earnings per share are eventually recovered as the non-core units are eliminated and margins go up. Restoration of solvency through equity injections also helps in the reduction of leverage, as well as improving the investor perception. Restructuring of debt enhances the gearing ratios because it would reduce the interest payments payable and extend the repayment periods, so that the company can channel the funds into productive investment. According to Abdi (2022), balance sheet strength leads to increased performance and value within an organisation in the market. The decreased leverage increases the Altman Z-score, which indicates that </w:t>
      </w:r>
      <w:r w:rsidRPr="00F566F6">
        <w:rPr>
          <w:rFonts w:ascii="Arial" w:hAnsi="Arial" w:cs="Arial"/>
          <w:lang w:val="en-GB"/>
        </w:rPr>
        <w:lastRenderedPageBreak/>
        <w:t>the creditworthiness is improved and the risk of default is lowered. In the long run, all these interventions will help restore investor confidence, raise new capital and help reposition the company on its long-term strategic path. Shareholder value will be restored over time as financial stability comes back with improved operational fundamentals.</w:t>
      </w:r>
    </w:p>
    <w:p w14:paraId="72EA18E1" w14:textId="77777777" w:rsidR="00D300FA" w:rsidRPr="00F566F6" w:rsidRDefault="00C10957" w:rsidP="00033239">
      <w:pPr>
        <w:pStyle w:val="Heading2"/>
        <w:rPr>
          <w:rFonts w:ascii="Arial" w:hAnsi="Arial" w:cs="Arial"/>
          <w:lang w:val="en-GB"/>
        </w:rPr>
      </w:pPr>
      <w:bookmarkStart w:id="36" w:name="_92u9d4ep2mj6" w:colFirst="0" w:colLast="0"/>
      <w:bookmarkStart w:id="37" w:name="_Toc216188939"/>
      <w:bookmarkEnd w:id="36"/>
      <w:r w:rsidRPr="00F566F6">
        <w:rPr>
          <w:rFonts w:ascii="Arial" w:hAnsi="Arial" w:cs="Arial"/>
          <w:lang w:val="en-GB"/>
        </w:rPr>
        <w:t>4.4 International and Ethical Considerations</w:t>
      </w:r>
      <w:bookmarkEnd w:id="37"/>
    </w:p>
    <w:p w14:paraId="19C95917" w14:textId="4F52F774" w:rsidR="00D300FA" w:rsidRPr="00F566F6" w:rsidRDefault="00C10957" w:rsidP="00033239">
      <w:pPr>
        <w:rPr>
          <w:rFonts w:ascii="Arial" w:hAnsi="Arial" w:cs="Arial"/>
          <w:lang w:val="en-GB"/>
        </w:rPr>
      </w:pPr>
      <w:r w:rsidRPr="00F566F6">
        <w:rPr>
          <w:rFonts w:ascii="Arial" w:hAnsi="Arial" w:cs="Arial"/>
          <w:lang w:val="en-GB"/>
        </w:rPr>
        <w:t xml:space="preserve">The restructuring of finance needs to be done considering the international risks and ethical factors, especially considering the global operations of General Electronics. There is a need to manage currency risk because fluctuating exchange rates will skew forecasts of revenues and overinflate the cost of foreign debt liability. There might be a need to hedge the cash flows and to cushion the margins. The transfer pricing and global taxation systems should be in line with the regulatory standards in various jurisdictions. </w:t>
      </w:r>
      <w:r w:rsidR="00A06021" w:rsidRPr="00F566F6">
        <w:rPr>
          <w:rFonts w:ascii="Arial" w:hAnsi="Arial" w:cs="Arial"/>
          <w:lang w:val="en-GB"/>
        </w:rPr>
        <w:t>A</w:t>
      </w:r>
      <w:r w:rsidRPr="00F566F6">
        <w:rPr>
          <w:rFonts w:ascii="Arial" w:hAnsi="Arial" w:cs="Arial"/>
          <w:lang w:val="en-GB"/>
        </w:rPr>
        <w:t xml:space="preserve">ny multinational firm has to guarantee that international financial regulations are met to avoid conflicts of law in the course of restructuring. The ethical factors are also of paramount importance in the case of layoffs, cost cuts and supplier renegotiations. This argument is based on the idea that having responsibility in managerial decision-making and transparent communication is the way forward in the restructuring process of organisations (Nyanchama, 2024). The payments to suppliers should be done in an ethical way without risking destabilising supply chains or damaging small suppliers. Incorporating CSR is also important, as the environmental and social commitment has to be kept in the course of restructuring. </w:t>
      </w:r>
      <w:proofErr w:type="spellStart"/>
      <w:r w:rsidRPr="00F566F6">
        <w:rPr>
          <w:rFonts w:ascii="Arial" w:hAnsi="Arial" w:cs="Arial"/>
          <w:lang w:val="en-GB"/>
        </w:rPr>
        <w:t>Barchok</w:t>
      </w:r>
      <w:proofErr w:type="spellEnd"/>
      <w:r w:rsidRPr="00F566F6">
        <w:rPr>
          <w:rFonts w:ascii="Arial" w:hAnsi="Arial" w:cs="Arial"/>
          <w:lang w:val="en-GB"/>
        </w:rPr>
        <w:t xml:space="preserve"> (2025)</w:t>
      </w:r>
      <w:r w:rsidR="00CA48DF" w:rsidRPr="00F566F6">
        <w:rPr>
          <w:rFonts w:ascii="Arial" w:hAnsi="Arial" w:cs="Arial"/>
          <w:lang w:val="en-GB"/>
        </w:rPr>
        <w:t xml:space="preserve"> stated that</w:t>
      </w:r>
      <w:r w:rsidRPr="00F566F6">
        <w:rPr>
          <w:rFonts w:ascii="Arial" w:hAnsi="Arial" w:cs="Arial"/>
          <w:lang w:val="en-GB"/>
        </w:rPr>
        <w:t xml:space="preserve"> ethical realignment promotes the development of trust and helps to restore the reputation in the long term. A reorganisation strategy that considers financial effectiveness and worldwide compliance as well as corporate ethics will enhance the likelihood of General Electronics to recover sustainably and be competitive in the long term.</w:t>
      </w:r>
    </w:p>
    <w:p w14:paraId="3CEC055E" w14:textId="77777777" w:rsidR="00CA48DF" w:rsidRPr="00F566F6" w:rsidRDefault="00CA48DF" w:rsidP="00033239">
      <w:pPr>
        <w:rPr>
          <w:rFonts w:ascii="Arial" w:hAnsi="Arial" w:cs="Arial"/>
          <w:lang w:val="en-GB"/>
        </w:rPr>
      </w:pPr>
    </w:p>
    <w:p w14:paraId="5C6B89D1" w14:textId="77777777" w:rsidR="00D300FA" w:rsidRPr="00F566F6" w:rsidRDefault="00C10957" w:rsidP="00033239">
      <w:pPr>
        <w:pStyle w:val="Heading1"/>
        <w:rPr>
          <w:rFonts w:ascii="Arial" w:hAnsi="Arial" w:cs="Arial"/>
          <w:lang w:val="en-GB"/>
        </w:rPr>
      </w:pPr>
      <w:bookmarkStart w:id="38" w:name="_260iq7605iam" w:colFirst="0" w:colLast="0"/>
      <w:bookmarkStart w:id="39" w:name="_Toc216188940"/>
      <w:bookmarkEnd w:id="38"/>
      <w:r w:rsidRPr="00F566F6">
        <w:rPr>
          <w:rFonts w:ascii="Arial" w:hAnsi="Arial" w:cs="Arial"/>
          <w:lang w:val="en-GB"/>
        </w:rPr>
        <w:t>5. Investment Appraisal and Capital Budgeting</w:t>
      </w:r>
      <w:bookmarkEnd w:id="39"/>
    </w:p>
    <w:p w14:paraId="2492F530" w14:textId="77777777" w:rsidR="00D300FA" w:rsidRPr="00F566F6" w:rsidRDefault="00C10957" w:rsidP="00033239">
      <w:pPr>
        <w:rPr>
          <w:rFonts w:ascii="Arial" w:hAnsi="Arial" w:cs="Arial"/>
          <w:lang w:val="en-GB"/>
        </w:rPr>
      </w:pPr>
      <w:r w:rsidRPr="00F566F6">
        <w:rPr>
          <w:rFonts w:ascii="Arial" w:hAnsi="Arial" w:cs="Arial"/>
          <w:lang w:val="en-GB"/>
        </w:rPr>
        <w:t xml:space="preserve">General Electronics has three mutually exclusive investment projects, namely Project A, Project B and Project C, with a very rigid capital limit of £60 million. The compromised financial position of the firm requires disciplined capital deployment, balancing between value creation and maintaining liquidity. Project A needs an investment of £40 million, and it yields increasing and decreasing inflows. Project B involves a maximum investment of £30 million with steady inflows of 6 million a year. </w:t>
      </w:r>
      <w:r w:rsidRPr="00F566F6">
        <w:rPr>
          <w:rFonts w:ascii="Arial" w:hAnsi="Arial" w:cs="Arial"/>
          <w:lang w:val="en-GB"/>
        </w:rPr>
        <w:lastRenderedPageBreak/>
        <w:t>Project C involves the expenditure of 50 million pounds with the initial weak and subsequent strong inflows. According to Maher (2022), strategic capital choices in troubled firms need to enhance governance, reduce risk and favour long-term financial recovery. In this regard, it is important to note that to choose the best project, the quantitative appraisal is essential, and the strategic judgement is required.</w:t>
      </w:r>
    </w:p>
    <w:p w14:paraId="34D4F93F" w14:textId="77777777" w:rsidR="00D300FA" w:rsidRPr="00F566F6" w:rsidRDefault="00C10957" w:rsidP="00033239">
      <w:pPr>
        <w:pStyle w:val="Heading2"/>
        <w:rPr>
          <w:rFonts w:ascii="Arial" w:hAnsi="Arial" w:cs="Arial"/>
          <w:lang w:val="en-GB"/>
        </w:rPr>
      </w:pPr>
      <w:bookmarkStart w:id="40" w:name="_q4vn9pwh72jf" w:colFirst="0" w:colLast="0"/>
      <w:bookmarkStart w:id="41" w:name="_Toc216188941"/>
      <w:bookmarkEnd w:id="40"/>
      <w:r w:rsidRPr="00F566F6">
        <w:rPr>
          <w:rFonts w:ascii="Arial" w:hAnsi="Arial" w:cs="Arial"/>
          <w:lang w:val="en-GB"/>
        </w:rPr>
        <w:t>5.1 Methods Used</w:t>
      </w:r>
      <w:bookmarkEnd w:id="41"/>
    </w:p>
    <w:p w14:paraId="696AB250" w14:textId="14D46F2C" w:rsidR="00D300FA" w:rsidRPr="00F566F6" w:rsidRDefault="00C10957" w:rsidP="00033239">
      <w:pPr>
        <w:rPr>
          <w:rFonts w:ascii="Arial" w:hAnsi="Arial" w:cs="Arial"/>
          <w:lang w:val="en-GB"/>
        </w:rPr>
      </w:pPr>
      <w:r w:rsidRPr="00F566F6">
        <w:rPr>
          <w:rFonts w:ascii="Arial" w:hAnsi="Arial" w:cs="Arial"/>
          <w:lang w:val="en-GB"/>
        </w:rPr>
        <w:t>The appraisal uses five main techniques, which include Payback Period (PBP), Accounting Rate of Return (ARR), Net Present Value (NPV), Profitability Index (PI) and Internal Rate of Return (IRR). Each of them adds another dimension to project evaluation. PBP determines the speedy recovery of the initial investment in a project, which is used to determine the liquidity implications. In the case of a company with cash limitations, the liquidity risk is low with shorter payback periods. The ARR estimates profitability based on accounting earnings that provide an understanding of the contribution to reported returns. NPV is a net value creation that is calculated by discounting cash inflows in the future at a discount rate of 10%</w:t>
      </w:r>
      <w:r w:rsidR="00033239" w:rsidRPr="00F566F6">
        <w:rPr>
          <w:rFonts w:ascii="Arial" w:hAnsi="Arial" w:cs="Arial"/>
          <w:lang w:val="en-GB"/>
        </w:rPr>
        <w:t xml:space="preserve"> (Refer to </w:t>
      </w:r>
      <w:r w:rsidR="00033239" w:rsidRPr="00F566F6">
        <w:rPr>
          <w:rFonts w:ascii="Arial" w:hAnsi="Arial" w:cs="Arial"/>
          <w:b/>
          <w:bCs/>
          <w:i/>
          <w:iCs/>
          <w:lang w:val="en-GB"/>
        </w:rPr>
        <w:t>Appendix 4 for the calculation of investment appraisal</w:t>
      </w:r>
      <w:r w:rsidR="00033239" w:rsidRPr="00F566F6">
        <w:rPr>
          <w:rFonts w:ascii="Arial" w:hAnsi="Arial" w:cs="Arial"/>
          <w:lang w:val="en-GB"/>
        </w:rPr>
        <w:t>)</w:t>
      </w:r>
      <w:r w:rsidRPr="00F566F6">
        <w:rPr>
          <w:rFonts w:ascii="Arial" w:hAnsi="Arial" w:cs="Arial"/>
          <w:lang w:val="en-GB"/>
        </w:rPr>
        <w:t xml:space="preserve">. </w:t>
      </w:r>
      <w:r w:rsidR="00CA48DF" w:rsidRPr="00F566F6">
        <w:rPr>
          <w:rFonts w:ascii="Arial" w:hAnsi="Arial" w:cs="Arial"/>
          <w:lang w:val="en-GB"/>
        </w:rPr>
        <w:t xml:space="preserve">The findings of </w:t>
      </w:r>
      <w:r w:rsidRPr="00F566F6">
        <w:rPr>
          <w:rFonts w:ascii="Arial" w:hAnsi="Arial" w:cs="Arial"/>
          <w:lang w:val="en-GB"/>
        </w:rPr>
        <w:t>Tron (2023)</w:t>
      </w:r>
      <w:r w:rsidR="00CA48DF" w:rsidRPr="00F566F6">
        <w:rPr>
          <w:rFonts w:ascii="Arial" w:hAnsi="Arial" w:cs="Arial"/>
          <w:lang w:val="en-GB"/>
        </w:rPr>
        <w:t xml:space="preserve"> confirmed that</w:t>
      </w:r>
      <w:r w:rsidRPr="00F566F6">
        <w:rPr>
          <w:rFonts w:ascii="Arial" w:hAnsi="Arial" w:cs="Arial"/>
          <w:lang w:val="en-GB"/>
        </w:rPr>
        <w:t xml:space="preserve"> NPV should be of high priority to distressed firms since it directly portrays maximisation of value. The PI calculated as a ratio of the NPV to initial investment is especially applicable in the capital rationing process, which enables the comparison of projects of varying magnitude. IRR determines the discount rate to be used that will lead to zero NPV. </w:t>
      </w:r>
      <w:r w:rsidR="00CA48DF" w:rsidRPr="00F566F6">
        <w:rPr>
          <w:rFonts w:ascii="Arial" w:hAnsi="Arial" w:cs="Arial"/>
          <w:lang w:val="en-GB"/>
        </w:rPr>
        <w:t>Contrarily,</w:t>
      </w:r>
      <w:r w:rsidRPr="00F566F6">
        <w:rPr>
          <w:rFonts w:ascii="Arial" w:hAnsi="Arial" w:cs="Arial"/>
          <w:lang w:val="en-GB"/>
        </w:rPr>
        <w:t xml:space="preserve"> NPV is the method of choice owing to its foundation on discounted cash flow theory, the three measures provided a supplementary understanding of liquidity, profitability and risk.</w:t>
      </w:r>
    </w:p>
    <w:p w14:paraId="3D478B64" w14:textId="77777777" w:rsidR="00D300FA" w:rsidRPr="00F566F6" w:rsidRDefault="00C10957" w:rsidP="00033239">
      <w:pPr>
        <w:pStyle w:val="Heading2"/>
        <w:rPr>
          <w:rFonts w:ascii="Arial" w:hAnsi="Arial" w:cs="Arial"/>
          <w:lang w:val="en-GB"/>
        </w:rPr>
      </w:pPr>
      <w:bookmarkStart w:id="42" w:name="_o3plnmn9yn9i" w:colFirst="0" w:colLast="0"/>
      <w:bookmarkStart w:id="43" w:name="_Toc216188942"/>
      <w:bookmarkEnd w:id="42"/>
      <w:r w:rsidRPr="00F566F6">
        <w:rPr>
          <w:rFonts w:ascii="Arial" w:hAnsi="Arial" w:cs="Arial"/>
          <w:lang w:val="en-GB"/>
        </w:rPr>
        <w:t>5.2 Calculations and Interpretation (Project A)</w:t>
      </w:r>
      <w:bookmarkEnd w:id="43"/>
    </w:p>
    <w:p w14:paraId="7CBB5D7B" w14:textId="77777777" w:rsidR="00D300FA" w:rsidRPr="00F566F6" w:rsidRDefault="00C10957" w:rsidP="00033239">
      <w:pPr>
        <w:rPr>
          <w:rFonts w:ascii="Arial" w:hAnsi="Arial" w:cs="Arial"/>
          <w:lang w:val="en-GB"/>
        </w:rPr>
      </w:pPr>
      <w:r w:rsidRPr="00F566F6">
        <w:rPr>
          <w:rFonts w:ascii="Arial" w:hAnsi="Arial" w:cs="Arial"/>
          <w:lang w:val="en-GB"/>
        </w:rPr>
        <w:t xml:space="preserve">In project A, the cash inflows will be £10m, £12m, 14m, 10m and 8m with a project investment amounting to £40m. The PBP, which takes place at the close of Year 4, represents the moderate liquidity recovery, which is appropriate in a company that should restore the cash balances regularly. The ARR that takes into account average accounting profits is low, indicating that despite the good levels of mid-term inflows, the profitability is limited in general. The NPV of 1.32mm shows that there is marginal value creation. According to Gennaro (2021), the insolvency risk is limited by using projects with small NPVs, which is critical since the firm has decreasing solvency ratios. The IRR, with a rate of about 11, is slightly higher than the discount rate, and therefore, Project A is hardly above the hurdle rate and has a limited financial cushion. </w:t>
      </w:r>
      <w:r w:rsidRPr="00F566F6">
        <w:rPr>
          <w:rFonts w:ascii="Arial" w:hAnsi="Arial" w:cs="Arial"/>
          <w:lang w:val="en-GB"/>
        </w:rPr>
        <w:lastRenderedPageBreak/>
        <w:t xml:space="preserve">The PI of 1.03 indicates that the value that is generated in total is only 3 pence per pound of investment, implying poor performance of the overall economy. Project A, too, is of moderate risk, as inflows increase in the middle term and decrease in the end, which means that it is exposed to volatile market situations. </w:t>
      </w:r>
      <w:proofErr w:type="spellStart"/>
      <w:r w:rsidRPr="00F566F6">
        <w:rPr>
          <w:rFonts w:ascii="Arial" w:hAnsi="Arial" w:cs="Arial"/>
          <w:lang w:val="en-GB"/>
        </w:rPr>
        <w:t>Klychova</w:t>
      </w:r>
      <w:proofErr w:type="spellEnd"/>
      <w:r w:rsidRPr="00F566F6">
        <w:rPr>
          <w:rFonts w:ascii="Arial" w:hAnsi="Arial" w:cs="Arial"/>
          <w:lang w:val="en-GB"/>
        </w:rPr>
        <w:t xml:space="preserve"> (2021) emphasises that companies need to match investments with operational capacity and economic conditions, and a moderate variability of Project A can probably correspond to the risky recovery policies. Altogether, Project A is possible, though not convincing. It generates marginal value and has low-to-moderate risk, and is an option that would only be chosen in case the capital allocation constraints favour lower-size and low-risk-profile projects.</w:t>
      </w:r>
    </w:p>
    <w:p w14:paraId="3AFE35F0" w14:textId="77777777" w:rsidR="00D300FA" w:rsidRPr="00F566F6" w:rsidRDefault="00C10957" w:rsidP="00033239">
      <w:pPr>
        <w:pStyle w:val="Heading2"/>
        <w:rPr>
          <w:rFonts w:ascii="Arial" w:hAnsi="Arial" w:cs="Arial"/>
          <w:lang w:val="en-GB"/>
        </w:rPr>
      </w:pPr>
      <w:bookmarkStart w:id="44" w:name="_j00qzfjriww5" w:colFirst="0" w:colLast="0"/>
      <w:bookmarkStart w:id="45" w:name="_Toc216188943"/>
      <w:bookmarkEnd w:id="44"/>
      <w:r w:rsidRPr="00F566F6">
        <w:rPr>
          <w:rFonts w:ascii="Arial" w:hAnsi="Arial" w:cs="Arial"/>
          <w:lang w:val="en-GB"/>
        </w:rPr>
        <w:t>5.3 Calculations and Interpretation (Project B)</w:t>
      </w:r>
      <w:bookmarkEnd w:id="45"/>
    </w:p>
    <w:p w14:paraId="4C817181" w14:textId="7388FC7C" w:rsidR="00D540EA" w:rsidRPr="00F566F6" w:rsidRDefault="00C10957" w:rsidP="00033239">
      <w:pPr>
        <w:rPr>
          <w:rFonts w:ascii="Arial" w:hAnsi="Arial" w:cs="Arial"/>
          <w:lang w:val="en-GB"/>
        </w:rPr>
      </w:pPr>
      <w:r w:rsidRPr="00F566F6">
        <w:rPr>
          <w:rFonts w:ascii="Arial" w:hAnsi="Arial" w:cs="Arial"/>
          <w:lang w:val="en-GB"/>
        </w:rPr>
        <w:t>Project B needs an investment of £30m, and it yields guaranteed revenues of £6m per year. With an occurrence of circa Year 5, its PBP is the longest in the choices, which indicates poor short-term liquidity recovery. The ARR is favourable at about 20% which is rather a sign of steady inflows as opposed to high profitability. The higher discounted value creation due to the lower magnitude of cash flows has been demonstrated by the higher NPV of £4.23m, which is greater than that of Project A. This type of recording of IRR, which is 0, indicates that net of the effects of discounting, the economic gain is low. Stability is the main strength of Project B, as the PI of 1.08, the value per pound invested is higher than Project A. A</w:t>
      </w:r>
      <w:r w:rsidR="00D540EA" w:rsidRPr="00F566F6">
        <w:rPr>
          <w:rFonts w:ascii="Arial" w:hAnsi="Arial" w:cs="Arial"/>
          <w:lang w:val="en-GB"/>
        </w:rPr>
        <w:t xml:space="preserve">s per </w:t>
      </w:r>
      <w:r w:rsidRPr="00F566F6">
        <w:rPr>
          <w:rFonts w:ascii="Arial" w:hAnsi="Arial" w:cs="Arial"/>
          <w:lang w:val="en-GB"/>
        </w:rPr>
        <w:t xml:space="preserve">O’Sullivan (2023), financial volatility creates a market environment where projects with stable cash flow are safe because they minimise the impact of debt markets. </w:t>
      </w:r>
    </w:p>
    <w:p w14:paraId="45681493" w14:textId="72823DBE" w:rsidR="00D300FA" w:rsidRPr="00F566F6" w:rsidRDefault="00C10957" w:rsidP="00033239">
      <w:pPr>
        <w:rPr>
          <w:rFonts w:ascii="Arial" w:hAnsi="Arial" w:cs="Arial"/>
          <w:lang w:val="en-GB"/>
        </w:rPr>
      </w:pPr>
      <w:r w:rsidRPr="00F566F6">
        <w:rPr>
          <w:rFonts w:ascii="Arial" w:hAnsi="Arial" w:cs="Arial"/>
          <w:lang w:val="en-GB"/>
        </w:rPr>
        <w:t xml:space="preserve">In the case of General Electronics, this reliability will be important as it would eliminate additional erosion of the liquidity in the initial phases of corporate recovery. Nevertheless, there is a low potential for the project to give good returns, and the payback period is long, which restricts its strategic value. Prusko (2023) </w:t>
      </w:r>
      <w:r w:rsidR="00D540EA" w:rsidRPr="00F566F6">
        <w:rPr>
          <w:rFonts w:ascii="Arial" w:hAnsi="Arial" w:cs="Arial"/>
          <w:lang w:val="en-GB"/>
        </w:rPr>
        <w:t xml:space="preserve">further </w:t>
      </w:r>
      <w:r w:rsidRPr="00F566F6">
        <w:rPr>
          <w:rFonts w:ascii="Arial" w:hAnsi="Arial" w:cs="Arial"/>
          <w:lang w:val="en-GB"/>
        </w:rPr>
        <w:t>contend</w:t>
      </w:r>
      <w:r w:rsidR="00D540EA" w:rsidRPr="00F566F6">
        <w:rPr>
          <w:rFonts w:ascii="Arial" w:hAnsi="Arial" w:cs="Arial"/>
          <w:lang w:val="en-GB"/>
        </w:rPr>
        <w:t>ed</w:t>
      </w:r>
      <w:r w:rsidRPr="00F566F6">
        <w:rPr>
          <w:rFonts w:ascii="Arial" w:hAnsi="Arial" w:cs="Arial"/>
          <w:lang w:val="en-GB"/>
        </w:rPr>
        <w:t xml:space="preserve"> that when companies are restructuring after the crisis, they need to consider reliable returns versus the fact that they need growth-focused investments. Although project B offers lower profitability in comparison to riskier projects, it offers predictable flows that could be very handy in stabilising operations. It is also simple to undertake within the capital restrictions since it has a low investment requirement. In general, Project B is a safe yet strong one, which provides greater value and creates less financial variability as compared to Project A.</w:t>
      </w:r>
    </w:p>
    <w:p w14:paraId="44EA23D1" w14:textId="77777777" w:rsidR="00D300FA" w:rsidRPr="00F566F6" w:rsidRDefault="00C10957" w:rsidP="00033239">
      <w:pPr>
        <w:pStyle w:val="Heading2"/>
        <w:rPr>
          <w:rFonts w:ascii="Arial" w:hAnsi="Arial" w:cs="Arial"/>
          <w:lang w:val="en-GB"/>
        </w:rPr>
      </w:pPr>
      <w:bookmarkStart w:id="46" w:name="_kn25jfgox4ug" w:colFirst="0" w:colLast="0"/>
      <w:bookmarkStart w:id="47" w:name="_Toc216188944"/>
      <w:bookmarkEnd w:id="46"/>
      <w:r w:rsidRPr="00F566F6">
        <w:rPr>
          <w:rFonts w:ascii="Arial" w:hAnsi="Arial" w:cs="Arial"/>
          <w:lang w:val="en-GB"/>
        </w:rPr>
        <w:lastRenderedPageBreak/>
        <w:t>5.4 Calculations and Interpretation (Project C)</w:t>
      </w:r>
      <w:bookmarkEnd w:id="47"/>
    </w:p>
    <w:p w14:paraId="656CEFA7" w14:textId="06CF4A36" w:rsidR="00D300FA" w:rsidRPr="00F566F6" w:rsidRDefault="00C10957" w:rsidP="00033239">
      <w:pPr>
        <w:rPr>
          <w:rFonts w:ascii="Arial" w:hAnsi="Arial" w:cs="Arial"/>
          <w:lang w:val="en-GB"/>
        </w:rPr>
      </w:pPr>
      <w:r w:rsidRPr="00F566F6">
        <w:rPr>
          <w:rFonts w:ascii="Arial" w:hAnsi="Arial" w:cs="Arial"/>
          <w:lang w:val="en-GB"/>
        </w:rPr>
        <w:t xml:space="preserve">Project C offers the highest investment- £50m and inflows of 5m, 10m, 20m, 25m and 15m. The PBP that also takes place in Year 4 is favourable than the Project B and one like the Project A. The ARR, which is estimated to be around 20, is strong because of the large inflows which will come later. The reported NPV of 0 shows a break-even performance of a 10% discount rate. Nonetheless, the IRR at 13% is the highest compared to all other options, which compounds greater potential returns. The PI of 1.08, which is the same as that of Project B, suggests competitive value creation as compared to size. The key risk associated with Project C is the low initial inflows, which will put pressure on the liquidity in the first and second years. The high inflows later, however, suggest high growth opportunities. </w:t>
      </w:r>
      <w:r w:rsidR="00D540EA" w:rsidRPr="00F566F6">
        <w:rPr>
          <w:rFonts w:ascii="Arial" w:hAnsi="Arial" w:cs="Arial"/>
          <w:lang w:val="en-GB"/>
        </w:rPr>
        <w:t>P</w:t>
      </w:r>
      <w:r w:rsidRPr="00F566F6">
        <w:rPr>
          <w:rFonts w:ascii="Arial" w:hAnsi="Arial" w:cs="Arial"/>
          <w:lang w:val="en-GB"/>
        </w:rPr>
        <w:t>rojects with delayed yet high future benefits can be added to the long-term competitiveness provided that the firm is liquid enough to absorb the initial drawback</w:t>
      </w:r>
      <w:r w:rsidR="00B50EDC" w:rsidRPr="00F566F6">
        <w:rPr>
          <w:rFonts w:ascii="Arial" w:hAnsi="Arial" w:cs="Arial"/>
          <w:lang w:val="en-GB"/>
        </w:rPr>
        <w:t xml:space="preserve"> (Kaczmarek, 2022)</w:t>
      </w:r>
      <w:r w:rsidRPr="00F566F6">
        <w:rPr>
          <w:rFonts w:ascii="Arial" w:hAnsi="Arial" w:cs="Arial"/>
          <w:lang w:val="en-GB"/>
        </w:rPr>
        <w:t>. High strategic potential of project C is also in line with innovation-driven segments of the market, which enhances the long-run prospects of the firm. However, it has a high capital requirement that can limit viability beyond the 60m limit unless it is selected as an independent investment. Altogether, Project C presents the greatest potential payoff but the increased financial risk in the short term.</w:t>
      </w:r>
    </w:p>
    <w:p w14:paraId="1F32B4A2" w14:textId="77777777" w:rsidR="00D300FA" w:rsidRPr="00F566F6" w:rsidRDefault="00C10957" w:rsidP="00033239">
      <w:pPr>
        <w:pStyle w:val="Heading2"/>
        <w:rPr>
          <w:rFonts w:ascii="Arial" w:hAnsi="Arial" w:cs="Arial"/>
          <w:lang w:val="en-GB"/>
        </w:rPr>
      </w:pPr>
      <w:bookmarkStart w:id="48" w:name="_v4b66tmzowbd" w:colFirst="0" w:colLast="0"/>
      <w:bookmarkStart w:id="49" w:name="_Toc216188945"/>
      <w:bookmarkEnd w:id="48"/>
      <w:r w:rsidRPr="00F566F6">
        <w:rPr>
          <w:rFonts w:ascii="Arial" w:hAnsi="Arial" w:cs="Arial"/>
          <w:lang w:val="en-GB"/>
        </w:rPr>
        <w:t>5.5 Ranking Under Capital Rationing</w:t>
      </w:r>
      <w:bookmarkEnd w:id="49"/>
    </w:p>
    <w:p w14:paraId="774871F5" w14:textId="2276489F" w:rsidR="00D300FA" w:rsidRPr="00F566F6" w:rsidRDefault="00C10957" w:rsidP="00033239">
      <w:pPr>
        <w:rPr>
          <w:rFonts w:ascii="Arial" w:hAnsi="Arial" w:cs="Arial"/>
          <w:lang w:val="en-GB"/>
        </w:rPr>
      </w:pPr>
      <w:r w:rsidRPr="00F566F6">
        <w:rPr>
          <w:rFonts w:ascii="Arial" w:hAnsi="Arial" w:cs="Arial"/>
          <w:lang w:val="en-GB"/>
        </w:rPr>
        <w:t>Within the 60m capital cap of the company, there are only some combinations possible. The combinations that can be considered are: Project A (£40m), Project B (£30m) and Project C (£50m). There is no limit to two</w:t>
      </w:r>
      <w:r w:rsidR="00B50EDC" w:rsidRPr="00F566F6">
        <w:rPr>
          <w:rFonts w:ascii="Arial" w:hAnsi="Arial" w:cs="Arial"/>
          <w:lang w:val="en-GB"/>
        </w:rPr>
        <w:t xml:space="preserve"> </w:t>
      </w:r>
      <w:r w:rsidRPr="00F566F6">
        <w:rPr>
          <w:rFonts w:ascii="Arial" w:hAnsi="Arial" w:cs="Arial"/>
          <w:lang w:val="en-GB"/>
        </w:rPr>
        <w:t>projects. By PI, Projects B and C have an equal score of 1.08, as compared to 1.03 of Project A. The constraints, however, are size-adjusted, which makes Project C a harder task to take because it requires a large amount of initial outlay. According to Gennaro (2021), companies that are in distress ought to focus on investments that can maximise their value and protect them by preserving liquidity. In this regard, Projects B and C are the most attractive, but only one is to be chosen. Project B is better to consider, given its average returns, considering the stability of cash-flow and liquidity requirements.</w:t>
      </w:r>
    </w:p>
    <w:p w14:paraId="3148AC4E" w14:textId="77777777" w:rsidR="00D300FA" w:rsidRPr="00F566F6" w:rsidRDefault="00C10957" w:rsidP="00033239">
      <w:pPr>
        <w:pStyle w:val="Heading2"/>
        <w:rPr>
          <w:rFonts w:ascii="Arial" w:hAnsi="Arial" w:cs="Arial"/>
          <w:lang w:val="en-GB"/>
        </w:rPr>
      </w:pPr>
      <w:bookmarkStart w:id="50" w:name="_l9o345y4a7hp" w:colFirst="0" w:colLast="0"/>
      <w:bookmarkStart w:id="51" w:name="_Toc216188946"/>
      <w:bookmarkEnd w:id="50"/>
      <w:r w:rsidRPr="00F566F6">
        <w:rPr>
          <w:rFonts w:ascii="Arial" w:hAnsi="Arial" w:cs="Arial"/>
          <w:lang w:val="en-GB"/>
        </w:rPr>
        <w:t>5.6 Final Recommendation</w:t>
      </w:r>
      <w:bookmarkEnd w:id="51"/>
    </w:p>
    <w:p w14:paraId="4C07002E" w14:textId="155CD2FC" w:rsidR="00D300FA" w:rsidRPr="00F566F6" w:rsidRDefault="00C10957" w:rsidP="00033239">
      <w:pPr>
        <w:rPr>
          <w:rFonts w:ascii="Arial" w:hAnsi="Arial" w:cs="Arial"/>
          <w:lang w:val="en-GB"/>
        </w:rPr>
      </w:pPr>
      <w:r w:rsidRPr="00F566F6">
        <w:rPr>
          <w:rFonts w:ascii="Arial" w:hAnsi="Arial" w:cs="Arial"/>
          <w:lang w:val="en-GB"/>
        </w:rPr>
        <w:t xml:space="preserve">Project B is the proposed project. It would provide stable inflows, favourable PI and higher NPV as compared to its cost and needs just 30m of the 60m available. According to Bhujel (2025), the advantage of digital and financial transformation strategy is that the funding streams are predictable and this is compatible with the </w:t>
      </w:r>
      <w:r w:rsidRPr="00F566F6">
        <w:rPr>
          <w:rFonts w:ascii="Arial" w:hAnsi="Arial" w:cs="Arial"/>
          <w:lang w:val="en-GB"/>
        </w:rPr>
        <w:lastRenderedPageBreak/>
        <w:t xml:space="preserve">stable profile of Project B. Project C has a better long-term potential but it is risky in terms of its liquidity strain considering the low returns in the initial years, and is not suitable to a firm that is already in financial distress. Project A causes a slight increment in value and is not very stable to have a turnaround. </w:t>
      </w:r>
      <w:r w:rsidR="00B50EDC" w:rsidRPr="00F566F6">
        <w:rPr>
          <w:rFonts w:ascii="Arial" w:hAnsi="Arial" w:cs="Arial"/>
          <w:lang w:val="en-GB"/>
        </w:rPr>
        <w:t>It is confirmed by</w:t>
      </w:r>
      <w:r w:rsidRPr="00F566F6">
        <w:rPr>
          <w:rFonts w:ascii="Arial" w:hAnsi="Arial" w:cs="Arial"/>
          <w:lang w:val="en-GB"/>
        </w:rPr>
        <w:t xml:space="preserve"> O’Sullivan (2023)</w:t>
      </w:r>
      <w:r w:rsidR="00B50EDC" w:rsidRPr="00F566F6">
        <w:rPr>
          <w:rFonts w:ascii="Arial" w:hAnsi="Arial" w:cs="Arial"/>
          <w:lang w:val="en-GB"/>
        </w:rPr>
        <w:t xml:space="preserve"> that</w:t>
      </w:r>
      <w:r w:rsidRPr="00F566F6">
        <w:rPr>
          <w:rFonts w:ascii="Arial" w:hAnsi="Arial" w:cs="Arial"/>
          <w:lang w:val="en-GB"/>
        </w:rPr>
        <w:t xml:space="preserve"> the main focus of firms operating in unstable financial contexts should be on safeguarding capital and controlling investment risk. When choosing Project B, General Electronics promotes liquidity recovery, mitigates cash-flow volatility and provides financial stability insurance in times of restructuring. This alternative is the most suitable for the current limitations of this firm, risk tolerance and urgency for predictable performance.</w:t>
      </w:r>
    </w:p>
    <w:p w14:paraId="2516C6F2" w14:textId="77777777" w:rsidR="00B50EDC" w:rsidRPr="00F566F6" w:rsidRDefault="00B50EDC" w:rsidP="00033239">
      <w:pPr>
        <w:rPr>
          <w:rFonts w:ascii="Arial" w:hAnsi="Arial" w:cs="Arial"/>
          <w:lang w:val="en-GB"/>
        </w:rPr>
      </w:pPr>
    </w:p>
    <w:p w14:paraId="439EC85E" w14:textId="77777777" w:rsidR="00D300FA" w:rsidRPr="00F566F6" w:rsidRDefault="00C10957" w:rsidP="00033239">
      <w:pPr>
        <w:pStyle w:val="Heading1"/>
        <w:rPr>
          <w:rFonts w:ascii="Arial" w:hAnsi="Arial" w:cs="Arial"/>
          <w:lang w:val="en-GB"/>
        </w:rPr>
      </w:pPr>
      <w:bookmarkStart w:id="52" w:name="_qap4zklixz46" w:colFirst="0" w:colLast="0"/>
      <w:bookmarkStart w:id="53" w:name="_Toc216188947"/>
      <w:bookmarkEnd w:id="52"/>
      <w:r w:rsidRPr="00F566F6">
        <w:rPr>
          <w:rFonts w:ascii="Arial" w:hAnsi="Arial" w:cs="Arial"/>
          <w:lang w:val="en-GB"/>
        </w:rPr>
        <w:t>6. Conclusion</w:t>
      </w:r>
      <w:bookmarkEnd w:id="53"/>
    </w:p>
    <w:p w14:paraId="3D7987F4" w14:textId="627ABE15" w:rsidR="00D300FA" w:rsidRPr="009804F1" w:rsidRDefault="009804F1" w:rsidP="00033239">
      <w:pPr>
        <w:rPr>
          <w:rFonts w:ascii="Arial" w:hAnsi="Arial" w:cs="Arial"/>
          <w:lang w:val="en-GB"/>
        </w:rPr>
      </w:pPr>
      <w:r w:rsidRPr="00F566F6">
        <w:rPr>
          <w:rFonts w:ascii="Arial" w:hAnsi="Arial" w:cs="Arial"/>
          <w:lang w:val="en-GB"/>
        </w:rPr>
        <w:t xml:space="preserve">Considering above calculations and analysis, it can be concluded that </w:t>
      </w:r>
      <w:r w:rsidR="00C10957" w:rsidRPr="00F566F6">
        <w:rPr>
          <w:rFonts w:ascii="Arial" w:hAnsi="Arial" w:cs="Arial"/>
          <w:lang w:val="en-GB"/>
        </w:rPr>
        <w:t xml:space="preserve">General Electronics is in a </w:t>
      </w:r>
      <w:r w:rsidR="00B50EDC" w:rsidRPr="00F566F6">
        <w:rPr>
          <w:rFonts w:ascii="Arial" w:hAnsi="Arial" w:cs="Arial"/>
          <w:lang w:val="en-GB"/>
        </w:rPr>
        <w:t>dire financial situation</w:t>
      </w:r>
      <w:r w:rsidRPr="00F566F6">
        <w:rPr>
          <w:rFonts w:ascii="Arial" w:hAnsi="Arial" w:cs="Arial"/>
          <w:lang w:val="en-GB"/>
        </w:rPr>
        <w:t>. This requires</w:t>
      </w:r>
      <w:r w:rsidR="00C10957" w:rsidRPr="00F566F6">
        <w:rPr>
          <w:rFonts w:ascii="Arial" w:hAnsi="Arial" w:cs="Arial"/>
          <w:lang w:val="en-GB"/>
        </w:rPr>
        <w:t xml:space="preserve"> urgent restructuring of the company, better working capital management and strategic investment decisions. With the introduction of specific reforms and choosing those projects that would add value, the company will be able to stabilise its operations and restore the trust of stakeholders and place the organisation in the position of sustainable global competitiveness and long-term financial recovery.</w:t>
      </w:r>
      <w:r w:rsidR="00C10957" w:rsidRPr="009804F1">
        <w:rPr>
          <w:rFonts w:ascii="Arial" w:hAnsi="Arial" w:cs="Arial"/>
          <w:lang w:val="en-GB"/>
        </w:rPr>
        <w:br w:type="page"/>
      </w:r>
    </w:p>
    <w:p w14:paraId="7A617241" w14:textId="77777777" w:rsidR="00D300FA" w:rsidRPr="009804F1" w:rsidRDefault="00C10957" w:rsidP="00033239">
      <w:pPr>
        <w:pStyle w:val="Heading1"/>
        <w:rPr>
          <w:rFonts w:ascii="Arial" w:hAnsi="Arial" w:cs="Arial"/>
          <w:lang w:val="en-GB"/>
        </w:rPr>
      </w:pPr>
      <w:bookmarkStart w:id="54" w:name="_g7z70aeeanni" w:colFirst="0" w:colLast="0"/>
      <w:bookmarkStart w:id="55" w:name="_Toc216188948"/>
      <w:bookmarkEnd w:id="54"/>
      <w:r w:rsidRPr="009804F1">
        <w:rPr>
          <w:rFonts w:ascii="Arial" w:hAnsi="Arial" w:cs="Arial"/>
          <w:lang w:val="en-GB"/>
        </w:rPr>
        <w:lastRenderedPageBreak/>
        <w:t>References</w:t>
      </w:r>
      <w:bookmarkEnd w:id="55"/>
    </w:p>
    <w:p w14:paraId="076926EC"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Abdi, J. and </w:t>
      </w:r>
      <w:proofErr w:type="spellStart"/>
      <w:r w:rsidRPr="009804F1">
        <w:rPr>
          <w:rFonts w:ascii="Arial" w:hAnsi="Arial" w:cs="Arial"/>
          <w:color w:val="222222"/>
          <w:shd w:val="clear" w:color="auto" w:fill="FFFFFF"/>
          <w:lang w:val="en-GB"/>
        </w:rPr>
        <w:t>Mang’ana</w:t>
      </w:r>
      <w:proofErr w:type="spellEnd"/>
      <w:r w:rsidRPr="009804F1">
        <w:rPr>
          <w:rFonts w:ascii="Arial" w:hAnsi="Arial" w:cs="Arial"/>
          <w:color w:val="222222"/>
          <w:shd w:val="clear" w:color="auto" w:fill="FFFFFF"/>
          <w:lang w:val="en-GB"/>
        </w:rPr>
        <w:t xml:space="preserve">, R., (2022). Bank restructuring strategies and performance of commercial banks listed on </w:t>
      </w:r>
      <w:proofErr w:type="spellStart"/>
      <w:r w:rsidRPr="009804F1">
        <w:rPr>
          <w:rFonts w:ascii="Arial" w:hAnsi="Arial" w:cs="Arial"/>
          <w:color w:val="222222"/>
          <w:shd w:val="clear" w:color="auto" w:fill="FFFFFF"/>
          <w:lang w:val="en-GB"/>
        </w:rPr>
        <w:t>nairobi</w:t>
      </w:r>
      <w:proofErr w:type="spellEnd"/>
      <w:r w:rsidRPr="009804F1">
        <w:rPr>
          <w:rFonts w:ascii="Arial" w:hAnsi="Arial" w:cs="Arial"/>
          <w:color w:val="222222"/>
          <w:shd w:val="clear" w:color="auto" w:fill="FFFFFF"/>
          <w:lang w:val="en-GB"/>
        </w:rPr>
        <w:t xml:space="preserve"> securities exchange, Kenya. </w:t>
      </w:r>
      <w:r w:rsidRPr="009804F1">
        <w:rPr>
          <w:rFonts w:ascii="Arial" w:hAnsi="Arial" w:cs="Arial"/>
          <w:i/>
          <w:iCs/>
          <w:color w:val="222222"/>
          <w:shd w:val="clear" w:color="auto" w:fill="FFFFFF"/>
          <w:lang w:val="en-GB"/>
        </w:rPr>
        <w:t>International Journal of Social Sciences Management and Entrepreneurship (IJSSME)</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6</w:t>
      </w:r>
      <w:r w:rsidRPr="009804F1">
        <w:rPr>
          <w:rFonts w:ascii="Arial" w:hAnsi="Arial" w:cs="Arial"/>
          <w:color w:val="222222"/>
          <w:shd w:val="clear" w:color="auto" w:fill="FFFFFF"/>
          <w:lang w:val="en-GB"/>
        </w:rPr>
        <w:t xml:space="preserve">(2). </w:t>
      </w:r>
      <w:hyperlink r:id="rId19" w:history="1">
        <w:r w:rsidRPr="009804F1">
          <w:rPr>
            <w:rStyle w:val="Hyperlink"/>
            <w:rFonts w:ascii="Arial" w:hAnsi="Arial" w:cs="Arial"/>
            <w:shd w:val="clear" w:color="auto" w:fill="FFFFFF"/>
            <w:lang w:val="en-GB"/>
          </w:rPr>
          <w:t>https://sagepublishers.com/index.php/ijssme/article/view/155</w:t>
        </w:r>
      </w:hyperlink>
    </w:p>
    <w:p w14:paraId="6806D039"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Ambarwati</w:t>
      </w:r>
      <w:proofErr w:type="spellEnd"/>
      <w:r w:rsidRPr="009804F1">
        <w:rPr>
          <w:rFonts w:ascii="Arial" w:hAnsi="Arial" w:cs="Arial"/>
          <w:color w:val="222222"/>
          <w:shd w:val="clear" w:color="auto" w:fill="FFFFFF"/>
          <w:lang w:val="en-GB"/>
        </w:rPr>
        <w:t xml:space="preserve">, S.D.A. and Haryono, S.T., (2021). Ownership Structure and Corporate Restructuring: Does It Have an </w:t>
      </w:r>
      <w:proofErr w:type="gramStart"/>
      <w:r w:rsidRPr="009804F1">
        <w:rPr>
          <w:rFonts w:ascii="Arial" w:hAnsi="Arial" w:cs="Arial"/>
          <w:color w:val="222222"/>
          <w:shd w:val="clear" w:color="auto" w:fill="FFFFFF"/>
          <w:lang w:val="en-GB"/>
        </w:rPr>
        <w:t>Impact?.</w:t>
      </w:r>
      <w:proofErr w:type="gramEnd"/>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International Journal of Economics, Business and Accounting Research (IJEBAR)</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5</w:t>
      </w:r>
      <w:r w:rsidRPr="009804F1">
        <w:rPr>
          <w:rFonts w:ascii="Arial" w:hAnsi="Arial" w:cs="Arial"/>
          <w:color w:val="222222"/>
          <w:shd w:val="clear" w:color="auto" w:fill="FFFFFF"/>
          <w:lang w:val="en-GB"/>
        </w:rPr>
        <w:t xml:space="preserve">(4). </w:t>
      </w:r>
      <w:hyperlink r:id="rId20" w:history="1">
        <w:r w:rsidRPr="009804F1">
          <w:rPr>
            <w:rStyle w:val="Hyperlink"/>
            <w:rFonts w:ascii="Arial" w:hAnsi="Arial" w:cs="Arial"/>
            <w:shd w:val="clear" w:color="auto" w:fill="FFFFFF"/>
            <w:lang w:val="en-GB"/>
          </w:rPr>
          <w:t>https://jurnal.stie-aas.ac.id/index.php/IJEBAR/article/view/3830</w:t>
        </w:r>
      </w:hyperlink>
    </w:p>
    <w:p w14:paraId="686F0627"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Andanika</w:t>
      </w:r>
      <w:proofErr w:type="spellEnd"/>
      <w:r w:rsidRPr="009804F1">
        <w:rPr>
          <w:rFonts w:ascii="Arial" w:hAnsi="Arial" w:cs="Arial"/>
          <w:color w:val="222222"/>
          <w:shd w:val="clear" w:color="auto" w:fill="FFFFFF"/>
          <w:lang w:val="en-GB"/>
        </w:rPr>
        <w:t>, A., (2024). Measuring the Prospective Efficiency Gains from Restructuring in Mergers and Acquisitions. </w:t>
      </w:r>
      <w:r w:rsidRPr="009804F1">
        <w:rPr>
          <w:rFonts w:ascii="Arial" w:hAnsi="Arial" w:cs="Arial"/>
          <w:i/>
          <w:iCs/>
          <w:color w:val="222222"/>
          <w:shd w:val="clear" w:color="auto" w:fill="FFFFFF"/>
          <w:lang w:val="en-GB"/>
        </w:rPr>
        <w:t>Advances in Management &amp; Financial Reporting</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2</w:t>
      </w:r>
      <w:r w:rsidRPr="009804F1">
        <w:rPr>
          <w:rFonts w:ascii="Arial" w:hAnsi="Arial" w:cs="Arial"/>
          <w:color w:val="222222"/>
          <w:shd w:val="clear" w:color="auto" w:fill="FFFFFF"/>
          <w:lang w:val="en-GB"/>
        </w:rPr>
        <w:t xml:space="preserve">(2), pp.110-121. </w:t>
      </w:r>
      <w:hyperlink r:id="rId21" w:history="1">
        <w:r w:rsidRPr="009804F1">
          <w:rPr>
            <w:rStyle w:val="Hyperlink"/>
            <w:rFonts w:ascii="Arial" w:hAnsi="Arial" w:cs="Arial"/>
            <w:shd w:val="clear" w:color="auto" w:fill="FFFFFF"/>
            <w:lang w:val="en-GB"/>
          </w:rPr>
          <w:t>http://advancesinresearch.id/index.php/AMFR/article/view/310</w:t>
        </w:r>
      </w:hyperlink>
    </w:p>
    <w:p w14:paraId="064BF225"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Barchok</w:t>
      </w:r>
      <w:proofErr w:type="spellEnd"/>
      <w:r w:rsidRPr="009804F1">
        <w:rPr>
          <w:rFonts w:ascii="Arial" w:hAnsi="Arial" w:cs="Arial"/>
          <w:color w:val="222222"/>
          <w:shd w:val="clear" w:color="auto" w:fill="FFFFFF"/>
          <w:lang w:val="en-GB"/>
        </w:rPr>
        <w:t>, S.J. and Wanyoike, D., (2025). Operational Restructuring and the Performance of Insurance Firms in Nakuru County, Kenya. </w:t>
      </w:r>
      <w:r w:rsidRPr="009804F1">
        <w:rPr>
          <w:rFonts w:ascii="Arial" w:hAnsi="Arial" w:cs="Arial"/>
          <w:i/>
          <w:iCs/>
          <w:color w:val="222222"/>
          <w:shd w:val="clear" w:color="auto" w:fill="FFFFFF"/>
          <w:lang w:val="en-GB"/>
        </w:rPr>
        <w:t>International Journal of Research in Social Science and Humanities (IJRSS) ISSN: 2582-6220, DOI: 10.47505/IJRSS</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6</w:t>
      </w:r>
      <w:r w:rsidRPr="009804F1">
        <w:rPr>
          <w:rFonts w:ascii="Arial" w:hAnsi="Arial" w:cs="Arial"/>
          <w:color w:val="222222"/>
          <w:shd w:val="clear" w:color="auto" w:fill="FFFFFF"/>
          <w:lang w:val="en-GB"/>
        </w:rPr>
        <w:t xml:space="preserve">(9), pp.232-243. </w:t>
      </w:r>
      <w:hyperlink r:id="rId22" w:history="1">
        <w:r w:rsidRPr="009804F1">
          <w:rPr>
            <w:rStyle w:val="Hyperlink"/>
            <w:rFonts w:ascii="Arial" w:hAnsi="Arial" w:cs="Arial"/>
            <w:shd w:val="clear" w:color="auto" w:fill="FFFFFF"/>
            <w:lang w:val="en-GB"/>
          </w:rPr>
          <w:t>https://www.ijrss.org/index.php/ijrss/article/view/755</w:t>
        </w:r>
      </w:hyperlink>
    </w:p>
    <w:p w14:paraId="2A951F1A"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Bauer, A., Craig, R., Garrido, J., Kang, K., </w:t>
      </w:r>
      <w:proofErr w:type="spellStart"/>
      <w:r w:rsidRPr="009804F1">
        <w:rPr>
          <w:rFonts w:ascii="Arial" w:hAnsi="Arial" w:cs="Arial"/>
          <w:color w:val="222222"/>
          <w:shd w:val="clear" w:color="auto" w:fill="FFFFFF"/>
          <w:lang w:val="en-GB"/>
        </w:rPr>
        <w:t>Kashiwase</w:t>
      </w:r>
      <w:proofErr w:type="spellEnd"/>
      <w:r w:rsidRPr="009804F1">
        <w:rPr>
          <w:rFonts w:ascii="Arial" w:hAnsi="Arial" w:cs="Arial"/>
          <w:color w:val="222222"/>
          <w:shd w:val="clear" w:color="auto" w:fill="FFFFFF"/>
          <w:lang w:val="en-GB"/>
        </w:rPr>
        <w:t xml:space="preserve">, K., Kim, S., Liu, Y. and Rafiq, S., (2021). Flattening the insolvency curve: promoting corporate restructuring in Asia and the Pacific in the post-C19 recovery. </w:t>
      </w:r>
      <w:hyperlink r:id="rId23" w:history="1">
        <w:r w:rsidRPr="009804F1">
          <w:rPr>
            <w:rStyle w:val="Hyperlink"/>
            <w:rFonts w:ascii="Arial" w:hAnsi="Arial" w:cs="Arial"/>
            <w:shd w:val="clear" w:color="auto" w:fill="FFFFFF"/>
            <w:lang w:val="en-GB"/>
          </w:rPr>
          <w:t>https://papers.ssrn.com/sol3/papers.cfm?abstract_id=3799608</w:t>
        </w:r>
      </w:hyperlink>
    </w:p>
    <w:p w14:paraId="35D701FC"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Bhujel, K., Ansari, I., Azim, K.S., Panchal, S.S. and Ahirrao, Y.S., (2025). Digital Transformation </w:t>
      </w:r>
      <w:proofErr w:type="gramStart"/>
      <w:r w:rsidRPr="009804F1">
        <w:rPr>
          <w:rFonts w:ascii="Arial" w:hAnsi="Arial" w:cs="Arial"/>
          <w:color w:val="222222"/>
          <w:shd w:val="clear" w:color="auto" w:fill="FFFFFF"/>
          <w:lang w:val="en-GB"/>
        </w:rPr>
        <w:t>In</w:t>
      </w:r>
      <w:proofErr w:type="gramEnd"/>
      <w:r w:rsidRPr="009804F1">
        <w:rPr>
          <w:rFonts w:ascii="Arial" w:hAnsi="Arial" w:cs="Arial"/>
          <w:color w:val="222222"/>
          <w:shd w:val="clear" w:color="auto" w:fill="FFFFFF"/>
          <w:lang w:val="en-GB"/>
        </w:rPr>
        <w:t xml:space="preserve"> Corporate Finance: The Strategic Role </w:t>
      </w:r>
      <w:proofErr w:type="gramStart"/>
      <w:r w:rsidRPr="009804F1">
        <w:rPr>
          <w:rFonts w:ascii="Arial" w:hAnsi="Arial" w:cs="Arial"/>
          <w:color w:val="222222"/>
          <w:shd w:val="clear" w:color="auto" w:fill="FFFFFF"/>
          <w:lang w:val="en-GB"/>
        </w:rPr>
        <w:t>Of</w:t>
      </w:r>
      <w:proofErr w:type="gramEnd"/>
      <w:r w:rsidRPr="009804F1">
        <w:rPr>
          <w:rFonts w:ascii="Arial" w:hAnsi="Arial" w:cs="Arial"/>
          <w:color w:val="222222"/>
          <w:shd w:val="clear" w:color="auto" w:fill="FFFFFF"/>
          <w:lang w:val="en-GB"/>
        </w:rPr>
        <w:t xml:space="preserve"> IT In Driving Business Value. </w:t>
      </w:r>
      <w:r w:rsidRPr="009804F1">
        <w:rPr>
          <w:rFonts w:ascii="Arial" w:hAnsi="Arial" w:cs="Arial"/>
          <w:i/>
          <w:iCs/>
          <w:color w:val="222222"/>
          <w:shd w:val="clear" w:color="auto" w:fill="FFFFFF"/>
          <w:lang w:val="en-GB"/>
        </w:rPr>
        <w:t>Emerging Frontiers Library for The American Journal of Engineering and Technology</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7</w:t>
      </w:r>
      <w:r w:rsidRPr="009804F1">
        <w:rPr>
          <w:rFonts w:ascii="Arial" w:hAnsi="Arial" w:cs="Arial"/>
          <w:color w:val="222222"/>
          <w:shd w:val="clear" w:color="auto" w:fill="FFFFFF"/>
          <w:lang w:val="en-GB"/>
        </w:rPr>
        <w:t xml:space="preserve">(09), pp.100-125. </w:t>
      </w:r>
      <w:hyperlink r:id="rId24" w:history="1">
        <w:r w:rsidRPr="009804F1">
          <w:rPr>
            <w:rStyle w:val="Hyperlink"/>
            <w:rFonts w:ascii="Arial" w:hAnsi="Arial" w:cs="Arial"/>
            <w:shd w:val="clear" w:color="auto" w:fill="FFFFFF"/>
            <w:lang w:val="en-GB"/>
          </w:rPr>
          <w:t>http://emergingsociety.org/index.php/efltajet/article/view/290</w:t>
        </w:r>
      </w:hyperlink>
    </w:p>
    <w:p w14:paraId="1473FCB6"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Colliard</w:t>
      </w:r>
      <w:proofErr w:type="spellEnd"/>
      <w:r w:rsidRPr="009804F1">
        <w:rPr>
          <w:rFonts w:ascii="Arial" w:hAnsi="Arial" w:cs="Arial"/>
          <w:color w:val="222222"/>
          <w:shd w:val="clear" w:color="auto" w:fill="FFFFFF"/>
          <w:lang w:val="en-GB"/>
        </w:rPr>
        <w:t xml:space="preserve">, J.E. and </w:t>
      </w:r>
      <w:proofErr w:type="spellStart"/>
      <w:r w:rsidRPr="009804F1">
        <w:rPr>
          <w:rFonts w:ascii="Arial" w:hAnsi="Arial" w:cs="Arial"/>
          <w:color w:val="222222"/>
          <w:shd w:val="clear" w:color="auto" w:fill="FFFFFF"/>
          <w:lang w:val="en-GB"/>
        </w:rPr>
        <w:t>Gromb</w:t>
      </w:r>
      <w:proofErr w:type="spellEnd"/>
      <w:r w:rsidRPr="009804F1">
        <w:rPr>
          <w:rFonts w:ascii="Arial" w:hAnsi="Arial" w:cs="Arial"/>
          <w:color w:val="222222"/>
          <w:shd w:val="clear" w:color="auto" w:fill="FFFFFF"/>
          <w:lang w:val="en-GB"/>
        </w:rPr>
        <w:t>, D., (2025). Financial restructuring and resolution of banks. </w:t>
      </w:r>
      <w:r w:rsidRPr="009804F1">
        <w:rPr>
          <w:rFonts w:ascii="Arial" w:hAnsi="Arial" w:cs="Arial"/>
          <w:i/>
          <w:iCs/>
          <w:color w:val="222222"/>
          <w:shd w:val="clear" w:color="auto" w:fill="FFFFFF"/>
          <w:lang w:val="en-GB"/>
        </w:rPr>
        <w:t>HEC Paris Research Paper No. FIN-2018-1272</w:t>
      </w:r>
      <w:r w:rsidRPr="009804F1">
        <w:rPr>
          <w:rFonts w:ascii="Arial" w:hAnsi="Arial" w:cs="Arial"/>
          <w:color w:val="222222"/>
          <w:shd w:val="clear" w:color="auto" w:fill="FFFFFF"/>
          <w:lang w:val="en-GB"/>
        </w:rPr>
        <w:t xml:space="preserve">. </w:t>
      </w:r>
      <w:hyperlink r:id="rId25" w:history="1">
        <w:r w:rsidRPr="009804F1">
          <w:rPr>
            <w:rStyle w:val="Hyperlink"/>
            <w:rFonts w:ascii="Arial" w:hAnsi="Arial" w:cs="Arial"/>
            <w:shd w:val="clear" w:color="auto" w:fill="FFFFFF"/>
            <w:lang w:val="en-GB"/>
          </w:rPr>
          <w:t>https://papers.ssrn.com/sol3/papers.cfm?abstract_id=3183777</w:t>
        </w:r>
      </w:hyperlink>
    </w:p>
    <w:p w14:paraId="40B295A1"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lastRenderedPageBreak/>
        <w:t>Ellingsæter</w:t>
      </w:r>
      <w:proofErr w:type="spellEnd"/>
      <w:r w:rsidRPr="009804F1">
        <w:rPr>
          <w:rFonts w:ascii="Arial" w:hAnsi="Arial" w:cs="Arial"/>
          <w:color w:val="222222"/>
          <w:shd w:val="clear" w:color="auto" w:fill="FFFFFF"/>
          <w:lang w:val="en-GB"/>
        </w:rPr>
        <w:t>, S.S., (2025). Restructuring Practices in Norway. </w:t>
      </w:r>
      <w:r w:rsidRPr="009804F1">
        <w:rPr>
          <w:rFonts w:ascii="Arial" w:hAnsi="Arial" w:cs="Arial"/>
          <w:i/>
          <w:iCs/>
          <w:color w:val="222222"/>
          <w:shd w:val="clear" w:color="auto" w:fill="FFFFFF"/>
          <w:lang w:val="en-GB"/>
        </w:rPr>
        <w:t>Social and Economic Aspects of Court and Out-of-Court Insolvency Proceedings</w:t>
      </w:r>
      <w:r w:rsidRPr="009804F1">
        <w:rPr>
          <w:rFonts w:ascii="Arial" w:hAnsi="Arial" w:cs="Arial"/>
          <w:color w:val="222222"/>
          <w:shd w:val="clear" w:color="auto" w:fill="FFFFFF"/>
          <w:lang w:val="en-GB"/>
        </w:rPr>
        <w:t xml:space="preserve">, p.23. </w:t>
      </w:r>
      <w:hyperlink r:id="rId26" w:history="1">
        <w:r w:rsidRPr="009804F1">
          <w:rPr>
            <w:rStyle w:val="Hyperlink"/>
            <w:rFonts w:ascii="Arial" w:hAnsi="Arial" w:cs="Arial"/>
            <w:shd w:val="clear" w:color="auto" w:fill="FFFFFF"/>
            <w:lang w:val="en-GB"/>
          </w:rPr>
          <w:t>https://books.google.com/books?hl=en&amp;lr=&amp;id=1-mFEQAAQBAJ&amp;oi=fnd&amp;pg=PA23&amp;dq=Corporate+Financial+Restructuring&amp;ots=yg3E3eaUIz&amp;sig=xhuaf1J_9IojgtUBaRtA-BAlu2Q</w:t>
        </w:r>
      </w:hyperlink>
    </w:p>
    <w:p w14:paraId="1E230E38"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Fahdil</w:t>
      </w:r>
      <w:proofErr w:type="spellEnd"/>
      <w:r w:rsidRPr="009804F1">
        <w:rPr>
          <w:rFonts w:ascii="Arial" w:hAnsi="Arial" w:cs="Arial"/>
          <w:color w:val="222222"/>
          <w:shd w:val="clear" w:color="auto" w:fill="FFFFFF"/>
          <w:lang w:val="en-GB"/>
        </w:rPr>
        <w:t>, H.N., Abdulkarim, M.A., Mohamed, J. and Allah, E.A.M.M., (2024). Corporate bankruptcy and financial restructuring. </w:t>
      </w:r>
      <w:r w:rsidRPr="009804F1">
        <w:rPr>
          <w:rFonts w:ascii="Arial" w:hAnsi="Arial" w:cs="Arial"/>
          <w:i/>
          <w:iCs/>
          <w:color w:val="222222"/>
          <w:shd w:val="clear" w:color="auto" w:fill="FFFFFF"/>
          <w:lang w:val="en-GB"/>
        </w:rPr>
        <w:t xml:space="preserve">Journal of </w:t>
      </w:r>
      <w:proofErr w:type="spellStart"/>
      <w:r w:rsidRPr="009804F1">
        <w:rPr>
          <w:rFonts w:ascii="Arial" w:hAnsi="Arial" w:cs="Arial"/>
          <w:i/>
          <w:iCs/>
          <w:color w:val="222222"/>
          <w:shd w:val="clear" w:color="auto" w:fill="FFFFFF"/>
          <w:lang w:val="en-GB"/>
        </w:rPr>
        <w:t>Ecohumanism</w:t>
      </w:r>
      <w:proofErr w:type="spellEnd"/>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3</w:t>
      </w:r>
      <w:r w:rsidRPr="009804F1">
        <w:rPr>
          <w:rFonts w:ascii="Arial" w:hAnsi="Arial" w:cs="Arial"/>
          <w:color w:val="222222"/>
          <w:shd w:val="clear" w:color="auto" w:fill="FFFFFF"/>
          <w:lang w:val="en-GB"/>
        </w:rPr>
        <w:t xml:space="preserve">(5), pp.234-248. </w:t>
      </w:r>
      <w:hyperlink r:id="rId27" w:history="1">
        <w:r w:rsidRPr="009804F1">
          <w:rPr>
            <w:rStyle w:val="Hyperlink"/>
            <w:rFonts w:ascii="Arial" w:hAnsi="Arial" w:cs="Arial"/>
            <w:shd w:val="clear" w:color="auto" w:fill="FFFFFF"/>
            <w:lang w:val="en-GB"/>
          </w:rPr>
          <w:t>https://www.ceeol.com/search/article-detail?id=1273642</w:t>
        </w:r>
      </w:hyperlink>
    </w:p>
    <w:p w14:paraId="41E52DD2"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Gennaro, A., (2021). Insolvency risk and value maximization: A convergence between financial management and risk management. </w:t>
      </w:r>
      <w:r w:rsidRPr="009804F1">
        <w:rPr>
          <w:rFonts w:ascii="Arial" w:hAnsi="Arial" w:cs="Arial"/>
          <w:i/>
          <w:iCs/>
          <w:color w:val="222222"/>
          <w:shd w:val="clear" w:color="auto" w:fill="FFFFFF"/>
          <w:lang w:val="en-GB"/>
        </w:rPr>
        <w:t>Risks</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9</w:t>
      </w:r>
      <w:r w:rsidRPr="009804F1">
        <w:rPr>
          <w:rFonts w:ascii="Arial" w:hAnsi="Arial" w:cs="Arial"/>
          <w:color w:val="222222"/>
          <w:shd w:val="clear" w:color="auto" w:fill="FFFFFF"/>
          <w:lang w:val="en-GB"/>
        </w:rPr>
        <w:t xml:space="preserve">(6), p.105. </w:t>
      </w:r>
      <w:hyperlink r:id="rId28" w:history="1">
        <w:r w:rsidRPr="009804F1">
          <w:rPr>
            <w:rStyle w:val="Hyperlink"/>
            <w:rFonts w:ascii="Arial" w:hAnsi="Arial" w:cs="Arial"/>
            <w:shd w:val="clear" w:color="auto" w:fill="FFFFFF"/>
            <w:lang w:val="en-GB"/>
          </w:rPr>
          <w:t>https://www.mdpi.com/2227-9091/9/6/105</w:t>
        </w:r>
      </w:hyperlink>
    </w:p>
    <w:p w14:paraId="101BA2F7"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Jouali</w:t>
      </w:r>
      <w:proofErr w:type="spellEnd"/>
      <w:r w:rsidRPr="009804F1">
        <w:rPr>
          <w:rFonts w:ascii="Arial" w:hAnsi="Arial" w:cs="Arial"/>
          <w:color w:val="222222"/>
          <w:shd w:val="clear" w:color="auto" w:fill="FFFFFF"/>
          <w:lang w:val="en-GB"/>
        </w:rPr>
        <w:t xml:space="preserve">, Y., El Aboudi, S., EL AFI, R. and </w:t>
      </w:r>
      <w:proofErr w:type="spellStart"/>
      <w:r w:rsidRPr="009804F1">
        <w:rPr>
          <w:rFonts w:ascii="Arial" w:hAnsi="Arial" w:cs="Arial"/>
          <w:color w:val="222222"/>
          <w:shd w:val="clear" w:color="auto" w:fill="FFFFFF"/>
          <w:lang w:val="en-GB"/>
        </w:rPr>
        <w:t>Jouali</w:t>
      </w:r>
      <w:proofErr w:type="spellEnd"/>
      <w:r w:rsidRPr="009804F1">
        <w:rPr>
          <w:rFonts w:ascii="Arial" w:hAnsi="Arial" w:cs="Arial"/>
          <w:color w:val="222222"/>
          <w:shd w:val="clear" w:color="auto" w:fill="FFFFFF"/>
          <w:lang w:val="en-GB"/>
        </w:rPr>
        <w:t>, J., (2024). Anticipating financial distress: Leveraging financial information, financial ratios, and corporate governance for proactive risk management. </w:t>
      </w:r>
      <w:r w:rsidRPr="009804F1">
        <w:rPr>
          <w:rFonts w:ascii="Arial" w:hAnsi="Arial" w:cs="Arial"/>
          <w:i/>
          <w:iCs/>
          <w:color w:val="222222"/>
          <w:shd w:val="clear" w:color="auto" w:fill="FFFFFF"/>
          <w:lang w:val="en-GB"/>
        </w:rPr>
        <w:t>Edelweiss Applied Science and Technology</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8</w:t>
      </w:r>
      <w:r w:rsidRPr="009804F1">
        <w:rPr>
          <w:rFonts w:ascii="Arial" w:hAnsi="Arial" w:cs="Arial"/>
          <w:color w:val="222222"/>
          <w:shd w:val="clear" w:color="auto" w:fill="FFFFFF"/>
          <w:lang w:val="en-GB"/>
        </w:rPr>
        <w:t xml:space="preserve">(4), pp.683-696. </w:t>
      </w:r>
      <w:hyperlink r:id="rId29" w:history="1">
        <w:r w:rsidRPr="009804F1">
          <w:rPr>
            <w:rStyle w:val="Hyperlink"/>
            <w:rFonts w:ascii="Arial" w:hAnsi="Arial" w:cs="Arial"/>
            <w:shd w:val="clear" w:color="auto" w:fill="FFFFFF"/>
            <w:lang w:val="en-GB"/>
          </w:rPr>
          <w:t>https://www.researchgate.net/profile/Youssef-Jouali/publication/384182150_Anticipating_financial_distress_Leveraging_financial_information_financial_ratios_and_corporate_governance_for_proactive_risk_management/links/66fbc572f599e0392fb0d38a/Anticipating-financial-distress-Leveraging-financial-information-financial-ratios-and-corporate-governance-for-proactive-risk-management.pdf</w:t>
        </w:r>
      </w:hyperlink>
    </w:p>
    <w:p w14:paraId="0F4790C3"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Kaczmarek, J., (2022). The balance of outlays and effects of restructuring hard coal mining companies in terms of energy policy of Poland PEP 2040. </w:t>
      </w:r>
      <w:r w:rsidRPr="009804F1">
        <w:rPr>
          <w:rFonts w:ascii="Arial" w:hAnsi="Arial" w:cs="Arial"/>
          <w:i/>
          <w:iCs/>
          <w:color w:val="222222"/>
          <w:shd w:val="clear" w:color="auto" w:fill="FFFFFF"/>
          <w:lang w:val="en-GB"/>
        </w:rPr>
        <w:t>Energies</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15</w:t>
      </w:r>
      <w:r w:rsidRPr="009804F1">
        <w:rPr>
          <w:rFonts w:ascii="Arial" w:hAnsi="Arial" w:cs="Arial"/>
          <w:color w:val="222222"/>
          <w:shd w:val="clear" w:color="auto" w:fill="FFFFFF"/>
          <w:lang w:val="en-GB"/>
        </w:rPr>
        <w:t xml:space="preserve">(5), p.1853. </w:t>
      </w:r>
      <w:hyperlink r:id="rId30" w:history="1">
        <w:r w:rsidRPr="009804F1">
          <w:rPr>
            <w:rStyle w:val="Hyperlink"/>
            <w:rFonts w:ascii="Arial" w:hAnsi="Arial" w:cs="Arial"/>
            <w:shd w:val="clear" w:color="auto" w:fill="FFFFFF"/>
            <w:lang w:val="en-GB"/>
          </w:rPr>
          <w:t>https://www.mdpi.com/1996-1073/15/5/1853</w:t>
        </w:r>
      </w:hyperlink>
    </w:p>
    <w:p w14:paraId="478930B4"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Klychova</w:t>
      </w:r>
      <w:proofErr w:type="spellEnd"/>
      <w:r w:rsidRPr="009804F1">
        <w:rPr>
          <w:rFonts w:ascii="Arial" w:hAnsi="Arial" w:cs="Arial"/>
          <w:color w:val="222222"/>
          <w:shd w:val="clear" w:color="auto" w:fill="FFFFFF"/>
          <w:lang w:val="en-GB"/>
        </w:rPr>
        <w:t xml:space="preserve">, G., Zakirova, A., </w:t>
      </w:r>
      <w:proofErr w:type="spellStart"/>
      <w:r w:rsidRPr="009804F1">
        <w:rPr>
          <w:rFonts w:ascii="Arial" w:hAnsi="Arial" w:cs="Arial"/>
          <w:color w:val="222222"/>
          <w:shd w:val="clear" w:color="auto" w:fill="FFFFFF"/>
          <w:lang w:val="en-GB"/>
        </w:rPr>
        <w:t>Ostaev</w:t>
      </w:r>
      <w:proofErr w:type="spellEnd"/>
      <w:r w:rsidRPr="009804F1">
        <w:rPr>
          <w:rFonts w:ascii="Arial" w:hAnsi="Arial" w:cs="Arial"/>
          <w:color w:val="222222"/>
          <w:shd w:val="clear" w:color="auto" w:fill="FFFFFF"/>
          <w:lang w:val="en-GB"/>
        </w:rPr>
        <w:t>, G., Sokolov, V. and Nekrasova, E., (2021). Corporate finance in the system of economic analysis management and intensification. In </w:t>
      </w:r>
      <w:r w:rsidRPr="009804F1">
        <w:rPr>
          <w:rFonts w:ascii="Arial" w:hAnsi="Arial" w:cs="Arial"/>
          <w:i/>
          <w:iCs/>
          <w:color w:val="222222"/>
          <w:shd w:val="clear" w:color="auto" w:fill="FFFFFF"/>
          <w:lang w:val="en-GB"/>
        </w:rPr>
        <w:t>E3S Web of Conferences</w:t>
      </w:r>
      <w:r w:rsidRPr="009804F1">
        <w:rPr>
          <w:rFonts w:ascii="Arial" w:hAnsi="Arial" w:cs="Arial"/>
          <w:color w:val="222222"/>
          <w:shd w:val="clear" w:color="auto" w:fill="FFFFFF"/>
          <w:lang w:val="en-GB"/>
        </w:rPr>
        <w:t xml:space="preserve"> (Vol. 273, p. 10037). EDP Sciences. </w:t>
      </w:r>
      <w:hyperlink r:id="rId31" w:history="1">
        <w:r w:rsidRPr="009804F1">
          <w:rPr>
            <w:rStyle w:val="Hyperlink"/>
            <w:rFonts w:ascii="Arial" w:hAnsi="Arial" w:cs="Arial"/>
            <w:shd w:val="clear" w:color="auto" w:fill="FFFFFF"/>
            <w:lang w:val="en-GB"/>
          </w:rPr>
          <w:t>https://www.e3s-conferences.org/articles/e3sconf/abs/2021/49/e3sconf_interagromash2021_10037/e3sconf_interagromash2021_10037.html</w:t>
        </w:r>
      </w:hyperlink>
    </w:p>
    <w:p w14:paraId="751E3524"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lastRenderedPageBreak/>
        <w:t xml:space="preserve">Maher, S. and </w:t>
      </w:r>
      <w:proofErr w:type="spellStart"/>
      <w:r w:rsidRPr="009804F1">
        <w:rPr>
          <w:rFonts w:ascii="Arial" w:hAnsi="Arial" w:cs="Arial"/>
          <w:color w:val="222222"/>
          <w:shd w:val="clear" w:color="auto" w:fill="FFFFFF"/>
          <w:lang w:val="en-GB"/>
        </w:rPr>
        <w:t>Aquanno</w:t>
      </w:r>
      <w:proofErr w:type="spellEnd"/>
      <w:r w:rsidRPr="009804F1">
        <w:rPr>
          <w:rFonts w:ascii="Arial" w:hAnsi="Arial" w:cs="Arial"/>
          <w:color w:val="222222"/>
          <w:shd w:val="clear" w:color="auto" w:fill="FFFFFF"/>
          <w:lang w:val="en-GB"/>
        </w:rPr>
        <w:t>, S.M., (2022). The new finance capital: Corporate governance, financial power, and the state. </w:t>
      </w:r>
      <w:r w:rsidRPr="009804F1">
        <w:rPr>
          <w:rFonts w:ascii="Arial" w:hAnsi="Arial" w:cs="Arial"/>
          <w:i/>
          <w:iCs/>
          <w:color w:val="222222"/>
          <w:shd w:val="clear" w:color="auto" w:fill="FFFFFF"/>
          <w:lang w:val="en-GB"/>
        </w:rPr>
        <w:t>Critical Sociology</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48</w:t>
      </w:r>
      <w:r w:rsidRPr="009804F1">
        <w:rPr>
          <w:rFonts w:ascii="Arial" w:hAnsi="Arial" w:cs="Arial"/>
          <w:color w:val="222222"/>
          <w:shd w:val="clear" w:color="auto" w:fill="FFFFFF"/>
          <w:lang w:val="en-GB"/>
        </w:rPr>
        <w:t xml:space="preserve">(1), pp.55-73. </w:t>
      </w:r>
      <w:hyperlink r:id="rId32" w:history="1">
        <w:r w:rsidRPr="009804F1">
          <w:rPr>
            <w:rStyle w:val="Hyperlink"/>
            <w:rFonts w:ascii="Arial" w:hAnsi="Arial" w:cs="Arial"/>
            <w:shd w:val="clear" w:color="auto" w:fill="FFFFFF"/>
            <w:lang w:val="en-GB"/>
          </w:rPr>
          <w:t>https://journals.sagepub.com/doi/abs/10.1177/0896920521994170</w:t>
        </w:r>
      </w:hyperlink>
    </w:p>
    <w:p w14:paraId="22E9986C"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Makhdoom, Z.H., Gao, Y., Song, X., Khoso, W.M. and Baloch, Z.A., (2023). Linking environmental corporate social responsibility to firm performance: the role of partnership restructure. </w:t>
      </w:r>
      <w:r w:rsidRPr="009804F1">
        <w:rPr>
          <w:rFonts w:ascii="Arial" w:hAnsi="Arial" w:cs="Arial"/>
          <w:i/>
          <w:iCs/>
          <w:color w:val="222222"/>
          <w:shd w:val="clear" w:color="auto" w:fill="FFFFFF"/>
          <w:lang w:val="en-GB"/>
        </w:rPr>
        <w:t>Environmental Science and Pollution Research</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30</w:t>
      </w:r>
      <w:r w:rsidRPr="009804F1">
        <w:rPr>
          <w:rFonts w:ascii="Arial" w:hAnsi="Arial" w:cs="Arial"/>
          <w:color w:val="222222"/>
          <w:shd w:val="clear" w:color="auto" w:fill="FFFFFF"/>
          <w:lang w:val="en-GB"/>
        </w:rPr>
        <w:t xml:space="preserve">(16), pp.48323-48338. </w:t>
      </w:r>
      <w:hyperlink r:id="rId33" w:history="1">
        <w:r w:rsidRPr="009804F1">
          <w:rPr>
            <w:rStyle w:val="Hyperlink"/>
            <w:rFonts w:ascii="Arial" w:hAnsi="Arial" w:cs="Arial"/>
            <w:shd w:val="clear" w:color="auto" w:fill="FFFFFF"/>
            <w:lang w:val="en-GB"/>
          </w:rPr>
          <w:t>https://link.springer.com/article/10.1007/s11356-023-25776-1</w:t>
        </w:r>
      </w:hyperlink>
    </w:p>
    <w:p w14:paraId="768921E6"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Mavlutova</w:t>
      </w:r>
      <w:proofErr w:type="spellEnd"/>
      <w:r w:rsidRPr="009804F1">
        <w:rPr>
          <w:rFonts w:ascii="Arial" w:hAnsi="Arial" w:cs="Arial"/>
          <w:color w:val="222222"/>
          <w:shd w:val="clear" w:color="auto" w:fill="FFFFFF"/>
          <w:lang w:val="en-GB"/>
        </w:rPr>
        <w:t xml:space="preserve">, I., Babenko, V., Dykan, V., Prokopenko, N., </w:t>
      </w:r>
      <w:proofErr w:type="spellStart"/>
      <w:r w:rsidRPr="009804F1">
        <w:rPr>
          <w:rFonts w:ascii="Arial" w:hAnsi="Arial" w:cs="Arial"/>
          <w:color w:val="222222"/>
          <w:shd w:val="clear" w:color="auto" w:fill="FFFFFF"/>
          <w:lang w:val="en-GB"/>
        </w:rPr>
        <w:t>Kalinichenko</w:t>
      </w:r>
      <w:proofErr w:type="spellEnd"/>
      <w:r w:rsidRPr="009804F1">
        <w:rPr>
          <w:rFonts w:ascii="Arial" w:hAnsi="Arial" w:cs="Arial"/>
          <w:color w:val="222222"/>
          <w:shd w:val="clear" w:color="auto" w:fill="FFFFFF"/>
          <w:lang w:val="en-GB"/>
        </w:rPr>
        <w:t xml:space="preserve">, S. and </w:t>
      </w:r>
      <w:proofErr w:type="spellStart"/>
      <w:r w:rsidRPr="009804F1">
        <w:rPr>
          <w:rFonts w:ascii="Arial" w:hAnsi="Arial" w:cs="Arial"/>
          <w:color w:val="222222"/>
          <w:shd w:val="clear" w:color="auto" w:fill="FFFFFF"/>
          <w:lang w:val="en-GB"/>
        </w:rPr>
        <w:t>Tokmakova</w:t>
      </w:r>
      <w:proofErr w:type="spellEnd"/>
      <w:r w:rsidRPr="009804F1">
        <w:rPr>
          <w:rFonts w:ascii="Arial" w:hAnsi="Arial" w:cs="Arial"/>
          <w:color w:val="222222"/>
          <w:shd w:val="clear" w:color="auto" w:fill="FFFFFF"/>
          <w:lang w:val="en-GB"/>
        </w:rPr>
        <w:t xml:space="preserve">, I., (2021). Business restructuring as a method of </w:t>
      </w:r>
      <w:proofErr w:type="spellStart"/>
      <w:r w:rsidRPr="009804F1">
        <w:rPr>
          <w:rFonts w:ascii="Arial" w:hAnsi="Arial" w:cs="Arial"/>
          <w:color w:val="222222"/>
          <w:shd w:val="clear" w:color="auto" w:fill="FFFFFF"/>
          <w:lang w:val="en-GB"/>
        </w:rPr>
        <w:t>strengtening</w:t>
      </w:r>
      <w:proofErr w:type="spellEnd"/>
      <w:r w:rsidRPr="009804F1">
        <w:rPr>
          <w:rFonts w:ascii="Arial" w:hAnsi="Arial" w:cs="Arial"/>
          <w:color w:val="222222"/>
          <w:shd w:val="clear" w:color="auto" w:fill="FFFFFF"/>
          <w:lang w:val="en-GB"/>
        </w:rPr>
        <w:t xml:space="preserve"> company’s financial position. </w:t>
      </w:r>
      <w:r w:rsidRPr="009804F1">
        <w:rPr>
          <w:rFonts w:ascii="Arial" w:hAnsi="Arial" w:cs="Arial"/>
          <w:i/>
          <w:iCs/>
          <w:color w:val="222222"/>
          <w:shd w:val="clear" w:color="auto" w:fill="FFFFFF"/>
          <w:lang w:val="en-GB"/>
        </w:rPr>
        <w:t>Journal of Optimization in Industrial Engineering</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14</w:t>
      </w:r>
      <w:r w:rsidRPr="009804F1">
        <w:rPr>
          <w:rFonts w:ascii="Arial" w:hAnsi="Arial" w:cs="Arial"/>
          <w:color w:val="222222"/>
          <w:shd w:val="clear" w:color="auto" w:fill="FFFFFF"/>
          <w:lang w:val="en-GB"/>
        </w:rPr>
        <w:t xml:space="preserve">(1), pp.129-139. </w:t>
      </w:r>
      <w:hyperlink r:id="rId34" w:history="1">
        <w:r w:rsidRPr="009804F1">
          <w:rPr>
            <w:rStyle w:val="Hyperlink"/>
            <w:rFonts w:ascii="Arial" w:hAnsi="Arial" w:cs="Arial"/>
            <w:shd w:val="clear" w:color="auto" w:fill="FFFFFF"/>
            <w:lang w:val="en-GB"/>
          </w:rPr>
          <w:t>https://www.academia.edu/download/81063588/article_677839_cd06f5c50b09f28acf4802268302e8ba.pdf</w:t>
        </w:r>
      </w:hyperlink>
    </w:p>
    <w:p w14:paraId="05E67D61"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Nishesh, N., Ouimet, P. and </w:t>
      </w:r>
      <w:proofErr w:type="spellStart"/>
      <w:r w:rsidRPr="009804F1">
        <w:rPr>
          <w:rFonts w:ascii="Arial" w:hAnsi="Arial" w:cs="Arial"/>
          <w:color w:val="222222"/>
          <w:shd w:val="clear" w:color="auto" w:fill="FFFFFF"/>
          <w:lang w:val="en-GB"/>
        </w:rPr>
        <w:t>Simintzi</w:t>
      </w:r>
      <w:proofErr w:type="spellEnd"/>
      <w:r w:rsidRPr="009804F1">
        <w:rPr>
          <w:rFonts w:ascii="Arial" w:hAnsi="Arial" w:cs="Arial"/>
          <w:color w:val="222222"/>
          <w:shd w:val="clear" w:color="auto" w:fill="FFFFFF"/>
          <w:lang w:val="en-GB"/>
        </w:rPr>
        <w:t>, E., (2024). Labor and corporate finance. </w:t>
      </w:r>
      <w:r w:rsidRPr="009804F1">
        <w:rPr>
          <w:rFonts w:ascii="Arial" w:hAnsi="Arial" w:cs="Arial"/>
          <w:i/>
          <w:iCs/>
          <w:color w:val="222222"/>
          <w:shd w:val="clear" w:color="auto" w:fill="FFFFFF"/>
          <w:lang w:val="en-GB"/>
        </w:rPr>
        <w:t>Handbook of Corporate Finance</w:t>
      </w:r>
      <w:r w:rsidRPr="009804F1">
        <w:rPr>
          <w:rFonts w:ascii="Arial" w:hAnsi="Arial" w:cs="Arial"/>
          <w:color w:val="222222"/>
          <w:shd w:val="clear" w:color="auto" w:fill="FFFFFF"/>
          <w:lang w:val="en-GB"/>
        </w:rPr>
        <w:t xml:space="preserve">, pp.647-673. </w:t>
      </w:r>
      <w:hyperlink r:id="rId35" w:history="1">
        <w:r w:rsidRPr="009804F1">
          <w:rPr>
            <w:rStyle w:val="Hyperlink"/>
            <w:rFonts w:ascii="Arial" w:hAnsi="Arial" w:cs="Arial"/>
            <w:shd w:val="clear" w:color="auto" w:fill="FFFFFF"/>
            <w:lang w:val="en-GB"/>
          </w:rPr>
          <w:t>https://www.elgaronline.com/edcollchap/book/9781800373891/book-part-9781800373891-27.xml</w:t>
        </w:r>
      </w:hyperlink>
    </w:p>
    <w:p w14:paraId="7664996C"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Nyanchama, J.F. and Wanyoike, D.M., (2024). Effect of managerial restructuring on the performance of selected public universities in Kenya. </w:t>
      </w:r>
      <w:r w:rsidRPr="009804F1">
        <w:rPr>
          <w:rFonts w:ascii="Arial" w:hAnsi="Arial" w:cs="Arial"/>
          <w:i/>
          <w:iCs/>
          <w:color w:val="222222"/>
          <w:shd w:val="clear" w:color="auto" w:fill="FFFFFF"/>
          <w:lang w:val="en-GB"/>
        </w:rPr>
        <w:t>The International Journal of Business Management and Technology</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8</w:t>
      </w:r>
      <w:r w:rsidRPr="009804F1">
        <w:rPr>
          <w:rFonts w:ascii="Arial" w:hAnsi="Arial" w:cs="Arial"/>
          <w:color w:val="222222"/>
          <w:shd w:val="clear" w:color="auto" w:fill="FFFFFF"/>
          <w:lang w:val="en-GB"/>
        </w:rPr>
        <w:t xml:space="preserve">(1), pp.222-237. </w:t>
      </w:r>
      <w:hyperlink r:id="rId36" w:history="1">
        <w:r w:rsidRPr="009804F1">
          <w:rPr>
            <w:rStyle w:val="Hyperlink"/>
            <w:rFonts w:ascii="Arial" w:hAnsi="Arial" w:cs="Arial"/>
            <w:shd w:val="clear" w:color="auto" w:fill="FFFFFF"/>
            <w:lang w:val="en-GB"/>
          </w:rPr>
          <w:t>https://www.theijbmt.com/archive/0955/410445338.pdf</w:t>
        </w:r>
      </w:hyperlink>
    </w:p>
    <w:p w14:paraId="0C5EC45E"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O'Sullivan, L. and Rethel, L., (2023). Financial globalization, local debt markets and new state financial activism in middle</w:t>
      </w:r>
      <w:r w:rsidRPr="009804F1">
        <w:rPr>
          <w:rFonts w:ascii="Cambria Math" w:hAnsi="Cambria Math" w:cs="Cambria Math"/>
          <w:color w:val="222222"/>
          <w:shd w:val="clear" w:color="auto" w:fill="FFFFFF"/>
          <w:lang w:val="en-GB"/>
        </w:rPr>
        <w:t>‐</w:t>
      </w:r>
      <w:r w:rsidRPr="009804F1">
        <w:rPr>
          <w:rFonts w:ascii="Arial" w:hAnsi="Arial" w:cs="Arial"/>
          <w:color w:val="222222"/>
          <w:shd w:val="clear" w:color="auto" w:fill="FFFFFF"/>
          <w:lang w:val="en-GB"/>
        </w:rPr>
        <w:t>income countries. </w:t>
      </w:r>
      <w:r w:rsidRPr="009804F1">
        <w:rPr>
          <w:rFonts w:ascii="Arial" w:hAnsi="Arial" w:cs="Arial"/>
          <w:i/>
          <w:iCs/>
          <w:color w:val="222222"/>
          <w:shd w:val="clear" w:color="auto" w:fill="FFFFFF"/>
          <w:lang w:val="en-GB"/>
        </w:rPr>
        <w:t>Development and Change</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54</w:t>
      </w:r>
      <w:r w:rsidRPr="009804F1">
        <w:rPr>
          <w:rFonts w:ascii="Arial" w:hAnsi="Arial" w:cs="Arial"/>
          <w:color w:val="222222"/>
          <w:shd w:val="clear" w:color="auto" w:fill="FFFFFF"/>
          <w:lang w:val="en-GB"/>
        </w:rPr>
        <w:t xml:space="preserve">(2), pp.304-330. </w:t>
      </w:r>
      <w:hyperlink r:id="rId37" w:history="1">
        <w:r w:rsidRPr="009804F1">
          <w:rPr>
            <w:rStyle w:val="Hyperlink"/>
            <w:rFonts w:ascii="Arial" w:hAnsi="Arial" w:cs="Arial"/>
            <w:shd w:val="clear" w:color="auto" w:fill="FFFFFF"/>
            <w:lang w:val="en-GB"/>
          </w:rPr>
          <w:t>https://onlinelibrary.wiley.com/doi/abs/10.1111/dech.12757</w:t>
        </w:r>
      </w:hyperlink>
    </w:p>
    <w:p w14:paraId="2A9FEEA4"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Oyeyipo</w:t>
      </w:r>
      <w:proofErr w:type="spellEnd"/>
      <w:r w:rsidRPr="009804F1">
        <w:rPr>
          <w:rFonts w:ascii="Arial" w:hAnsi="Arial" w:cs="Arial"/>
          <w:color w:val="222222"/>
          <w:shd w:val="clear" w:color="auto" w:fill="FFFFFF"/>
          <w:lang w:val="en-GB"/>
        </w:rPr>
        <w:t xml:space="preserve">, I., Attipoe, V., Mayienga, B.A., </w:t>
      </w:r>
      <w:proofErr w:type="spellStart"/>
      <w:r w:rsidRPr="009804F1">
        <w:rPr>
          <w:rFonts w:ascii="Arial" w:hAnsi="Arial" w:cs="Arial"/>
          <w:color w:val="222222"/>
          <w:shd w:val="clear" w:color="auto" w:fill="FFFFFF"/>
          <w:lang w:val="en-GB"/>
        </w:rPr>
        <w:t>Onwuzulike</w:t>
      </w:r>
      <w:proofErr w:type="spellEnd"/>
      <w:r w:rsidRPr="009804F1">
        <w:rPr>
          <w:rFonts w:ascii="Arial" w:hAnsi="Arial" w:cs="Arial"/>
          <w:color w:val="222222"/>
          <w:shd w:val="clear" w:color="auto" w:fill="FFFFFF"/>
          <w:lang w:val="en-GB"/>
        </w:rPr>
        <w:t xml:space="preserve">, O.C., Ayodeji, D.C., </w:t>
      </w:r>
      <w:proofErr w:type="spellStart"/>
      <w:r w:rsidRPr="009804F1">
        <w:rPr>
          <w:rFonts w:ascii="Arial" w:hAnsi="Arial" w:cs="Arial"/>
          <w:color w:val="222222"/>
          <w:shd w:val="clear" w:color="auto" w:fill="FFFFFF"/>
          <w:lang w:val="en-GB"/>
        </w:rPr>
        <w:t>Nwaozomudoh</w:t>
      </w:r>
      <w:proofErr w:type="spellEnd"/>
      <w:r w:rsidRPr="009804F1">
        <w:rPr>
          <w:rFonts w:ascii="Arial" w:hAnsi="Arial" w:cs="Arial"/>
          <w:color w:val="222222"/>
          <w:shd w:val="clear" w:color="auto" w:fill="FFFFFF"/>
          <w:lang w:val="en-GB"/>
        </w:rPr>
        <w:t>, M.O., Isibor, N.J. and Ahmadu, J., (2023). A conceptual framework for transforming corporate finance through strategic growth, profitability, and risk optimization. </w:t>
      </w:r>
      <w:r w:rsidRPr="009804F1">
        <w:rPr>
          <w:rFonts w:ascii="Arial" w:hAnsi="Arial" w:cs="Arial"/>
          <w:i/>
          <w:iCs/>
          <w:color w:val="222222"/>
          <w:shd w:val="clear" w:color="auto" w:fill="FFFFFF"/>
          <w:lang w:val="en-GB"/>
        </w:rPr>
        <w:t>International Journal of Advanced Multidisciplinary Research and Studies</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3</w:t>
      </w:r>
      <w:r w:rsidRPr="009804F1">
        <w:rPr>
          <w:rFonts w:ascii="Arial" w:hAnsi="Arial" w:cs="Arial"/>
          <w:color w:val="222222"/>
          <w:shd w:val="clear" w:color="auto" w:fill="FFFFFF"/>
          <w:lang w:val="en-GB"/>
        </w:rPr>
        <w:t xml:space="preserve">(5), pp.1527-1538. </w:t>
      </w:r>
      <w:hyperlink r:id="rId38" w:history="1">
        <w:r w:rsidRPr="009804F1">
          <w:rPr>
            <w:rStyle w:val="Hyperlink"/>
            <w:rFonts w:ascii="Arial" w:hAnsi="Arial" w:cs="Arial"/>
            <w:shd w:val="clear" w:color="auto" w:fill="FFFFFF"/>
            <w:lang w:val="en-GB"/>
          </w:rPr>
          <w:t>https://www.multiresearchjournal.com/admin/uploads/archives/archive-1742807323.pdf</w:t>
        </w:r>
      </w:hyperlink>
    </w:p>
    <w:p w14:paraId="5492CEA9"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Pagano, M. and </w:t>
      </w:r>
      <w:proofErr w:type="spellStart"/>
      <w:r w:rsidRPr="009804F1">
        <w:rPr>
          <w:rFonts w:ascii="Arial" w:hAnsi="Arial" w:cs="Arial"/>
          <w:color w:val="222222"/>
          <w:shd w:val="clear" w:color="auto" w:fill="FFFFFF"/>
          <w:lang w:val="en-GB"/>
        </w:rPr>
        <w:t>Zechner</w:t>
      </w:r>
      <w:proofErr w:type="spellEnd"/>
      <w:r w:rsidRPr="009804F1">
        <w:rPr>
          <w:rFonts w:ascii="Arial" w:hAnsi="Arial" w:cs="Arial"/>
          <w:color w:val="222222"/>
          <w:shd w:val="clear" w:color="auto" w:fill="FFFFFF"/>
          <w:lang w:val="en-GB"/>
        </w:rPr>
        <w:t>, J., (2022). COVID-19 and corporate finance. </w:t>
      </w:r>
      <w:r w:rsidRPr="009804F1">
        <w:rPr>
          <w:rFonts w:ascii="Arial" w:hAnsi="Arial" w:cs="Arial"/>
          <w:i/>
          <w:iCs/>
          <w:color w:val="222222"/>
          <w:shd w:val="clear" w:color="auto" w:fill="FFFFFF"/>
          <w:lang w:val="en-GB"/>
        </w:rPr>
        <w:t>The Review of Corporate Finance Studies</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11</w:t>
      </w:r>
      <w:r w:rsidRPr="009804F1">
        <w:rPr>
          <w:rFonts w:ascii="Arial" w:hAnsi="Arial" w:cs="Arial"/>
          <w:color w:val="222222"/>
          <w:shd w:val="clear" w:color="auto" w:fill="FFFFFF"/>
          <w:lang w:val="en-GB"/>
        </w:rPr>
        <w:t xml:space="preserve">(4), pp.849-879. </w:t>
      </w:r>
      <w:hyperlink r:id="rId39" w:history="1">
        <w:r w:rsidRPr="009804F1">
          <w:rPr>
            <w:rStyle w:val="Hyperlink"/>
            <w:rFonts w:ascii="Arial" w:hAnsi="Arial" w:cs="Arial"/>
            <w:shd w:val="clear" w:color="auto" w:fill="FFFFFF"/>
            <w:lang w:val="en-GB"/>
          </w:rPr>
          <w:t>https://academic.oup.com/rcfs/article-abstract/11/4/849/6665905</w:t>
        </w:r>
      </w:hyperlink>
    </w:p>
    <w:p w14:paraId="1F0F155E"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Payne, J., (2025). Third Party Releases in English Debt Restructuring. </w:t>
      </w:r>
      <w:r w:rsidRPr="009804F1">
        <w:rPr>
          <w:rFonts w:ascii="Arial" w:hAnsi="Arial" w:cs="Arial"/>
          <w:i/>
          <w:iCs/>
          <w:color w:val="222222"/>
          <w:shd w:val="clear" w:color="auto" w:fill="FFFFFF"/>
          <w:lang w:val="en-GB"/>
        </w:rPr>
        <w:t>Forthcoming in Festschrift for Reinhard Bork</w:t>
      </w:r>
      <w:r w:rsidRPr="009804F1">
        <w:rPr>
          <w:rFonts w:ascii="Arial" w:hAnsi="Arial" w:cs="Arial"/>
          <w:color w:val="222222"/>
          <w:shd w:val="clear" w:color="auto" w:fill="FFFFFF"/>
          <w:lang w:val="en-GB"/>
        </w:rPr>
        <w:t xml:space="preserve">. </w:t>
      </w:r>
      <w:hyperlink r:id="rId40" w:history="1">
        <w:r w:rsidRPr="009804F1">
          <w:rPr>
            <w:rStyle w:val="Hyperlink"/>
            <w:rFonts w:ascii="Arial" w:hAnsi="Arial" w:cs="Arial"/>
            <w:shd w:val="clear" w:color="auto" w:fill="FFFFFF"/>
            <w:lang w:val="en-GB"/>
          </w:rPr>
          <w:t>https://papers.ssrn.com/sol3/papers.cfm?abstract_id=5498139</w:t>
        </w:r>
      </w:hyperlink>
    </w:p>
    <w:p w14:paraId="20B3872D"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Prusko, W. and Ehmke, D., (2023). Restructuring lessons from the Covid pandemic: Bail-out vs. Market approach: Country view: Germany. </w:t>
      </w:r>
      <w:r w:rsidRPr="009804F1">
        <w:rPr>
          <w:rFonts w:ascii="Arial" w:hAnsi="Arial" w:cs="Arial"/>
          <w:i/>
          <w:iCs/>
          <w:color w:val="222222"/>
          <w:shd w:val="clear" w:color="auto" w:fill="FFFFFF"/>
          <w:lang w:val="en-GB"/>
        </w:rPr>
        <w:t>European Business Organization Law Review</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24</w:t>
      </w:r>
      <w:r w:rsidRPr="009804F1">
        <w:rPr>
          <w:rFonts w:ascii="Arial" w:hAnsi="Arial" w:cs="Arial"/>
          <w:color w:val="222222"/>
          <w:shd w:val="clear" w:color="auto" w:fill="FFFFFF"/>
          <w:lang w:val="en-GB"/>
        </w:rPr>
        <w:t xml:space="preserve">(2), pp.207-229. </w:t>
      </w:r>
      <w:hyperlink r:id="rId41" w:history="1">
        <w:r w:rsidRPr="009804F1">
          <w:rPr>
            <w:rStyle w:val="Hyperlink"/>
            <w:rFonts w:ascii="Arial" w:hAnsi="Arial" w:cs="Arial"/>
            <w:shd w:val="clear" w:color="auto" w:fill="FFFFFF"/>
            <w:lang w:val="en-GB"/>
          </w:rPr>
          <w:t>https://link.springer.com/article/10.1007/s40804-023-00272-8</w:t>
        </w:r>
      </w:hyperlink>
    </w:p>
    <w:p w14:paraId="22557C87"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t>Puspitarini</w:t>
      </w:r>
      <w:proofErr w:type="spellEnd"/>
      <w:r w:rsidRPr="009804F1">
        <w:rPr>
          <w:rFonts w:ascii="Arial" w:hAnsi="Arial" w:cs="Arial"/>
          <w:color w:val="222222"/>
          <w:shd w:val="clear" w:color="auto" w:fill="FFFFFF"/>
          <w:lang w:val="en-GB"/>
        </w:rPr>
        <w:t xml:space="preserve">, A. and </w:t>
      </w:r>
      <w:proofErr w:type="spellStart"/>
      <w:r w:rsidRPr="009804F1">
        <w:rPr>
          <w:rFonts w:ascii="Arial" w:hAnsi="Arial" w:cs="Arial"/>
          <w:color w:val="222222"/>
          <w:shd w:val="clear" w:color="auto" w:fill="FFFFFF"/>
          <w:lang w:val="en-GB"/>
        </w:rPr>
        <w:t>Prijadi</w:t>
      </w:r>
      <w:proofErr w:type="spellEnd"/>
      <w:r w:rsidRPr="009804F1">
        <w:rPr>
          <w:rFonts w:ascii="Arial" w:hAnsi="Arial" w:cs="Arial"/>
          <w:color w:val="222222"/>
          <w:shd w:val="clear" w:color="auto" w:fill="FFFFFF"/>
          <w:lang w:val="en-GB"/>
        </w:rPr>
        <w:t xml:space="preserve">, R., (2023). Corporate restructuring at one of the energy companies in Indonesia: Does it have an </w:t>
      </w:r>
      <w:proofErr w:type="gramStart"/>
      <w:r w:rsidRPr="009804F1">
        <w:rPr>
          <w:rFonts w:ascii="Arial" w:hAnsi="Arial" w:cs="Arial"/>
          <w:color w:val="222222"/>
          <w:shd w:val="clear" w:color="auto" w:fill="FFFFFF"/>
          <w:lang w:val="en-GB"/>
        </w:rPr>
        <w:t>impact?.</w:t>
      </w:r>
      <w:proofErr w:type="gramEnd"/>
      <w:r w:rsidRPr="009804F1">
        <w:rPr>
          <w:rFonts w:ascii="Arial" w:hAnsi="Arial" w:cs="Arial"/>
          <w:color w:val="222222"/>
          <w:shd w:val="clear" w:color="auto" w:fill="FFFFFF"/>
          <w:lang w:val="en-GB"/>
        </w:rPr>
        <w:t> </w:t>
      </w:r>
      <w:proofErr w:type="spellStart"/>
      <w:r w:rsidRPr="009804F1">
        <w:rPr>
          <w:rFonts w:ascii="Arial" w:hAnsi="Arial" w:cs="Arial"/>
          <w:i/>
          <w:iCs/>
          <w:color w:val="222222"/>
          <w:shd w:val="clear" w:color="auto" w:fill="FFFFFF"/>
          <w:lang w:val="en-GB"/>
        </w:rPr>
        <w:t>Eduvest</w:t>
      </w:r>
      <w:proofErr w:type="spellEnd"/>
      <w:r w:rsidRPr="009804F1">
        <w:rPr>
          <w:rFonts w:ascii="Arial" w:hAnsi="Arial" w:cs="Arial"/>
          <w:i/>
          <w:iCs/>
          <w:color w:val="222222"/>
          <w:shd w:val="clear" w:color="auto" w:fill="FFFFFF"/>
          <w:lang w:val="en-GB"/>
        </w:rPr>
        <w:t>-Journal of Universal Studies</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3</w:t>
      </w:r>
      <w:r w:rsidRPr="009804F1">
        <w:rPr>
          <w:rFonts w:ascii="Arial" w:hAnsi="Arial" w:cs="Arial"/>
          <w:color w:val="222222"/>
          <w:shd w:val="clear" w:color="auto" w:fill="FFFFFF"/>
          <w:lang w:val="en-GB"/>
        </w:rPr>
        <w:t xml:space="preserve">(7), pp.1273-1288. </w:t>
      </w:r>
      <w:hyperlink r:id="rId42" w:history="1">
        <w:r w:rsidRPr="009804F1">
          <w:rPr>
            <w:rStyle w:val="Hyperlink"/>
            <w:rFonts w:ascii="Arial" w:hAnsi="Arial" w:cs="Arial"/>
            <w:shd w:val="clear" w:color="auto" w:fill="FFFFFF"/>
            <w:lang w:val="en-GB"/>
          </w:rPr>
          <w:t>http://eduvest.greenvest.co.id/index.php/edv/article/view/847</w:t>
        </w:r>
      </w:hyperlink>
    </w:p>
    <w:p w14:paraId="4496FCD7"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Seymour, J.M. and Schwarcz, S.L., (2021). Corporate restructuring under relative and absolute priority default rules: a comparative assessment. </w:t>
      </w:r>
      <w:r w:rsidRPr="009804F1">
        <w:rPr>
          <w:rFonts w:ascii="Arial" w:hAnsi="Arial" w:cs="Arial"/>
          <w:i/>
          <w:iCs/>
          <w:color w:val="222222"/>
          <w:shd w:val="clear" w:color="auto" w:fill="FFFFFF"/>
          <w:lang w:val="en-GB"/>
        </w:rPr>
        <w:t>U. Ill. L. Rev.</w:t>
      </w:r>
      <w:r w:rsidRPr="009804F1">
        <w:rPr>
          <w:rFonts w:ascii="Arial" w:hAnsi="Arial" w:cs="Arial"/>
          <w:color w:val="222222"/>
          <w:shd w:val="clear" w:color="auto" w:fill="FFFFFF"/>
          <w:lang w:val="en-GB"/>
        </w:rPr>
        <w:t xml:space="preserve">, p.1. </w:t>
      </w:r>
      <w:hyperlink r:id="rId43" w:history="1">
        <w:r w:rsidRPr="009804F1">
          <w:rPr>
            <w:rStyle w:val="Hyperlink"/>
            <w:rFonts w:ascii="Arial" w:hAnsi="Arial" w:cs="Arial"/>
            <w:shd w:val="clear" w:color="auto" w:fill="FFFFFF"/>
            <w:lang w:val="en-GB"/>
          </w:rPr>
          <w:t>https://heinonline.org/hol-cgi-bin/get_pdf.cgi?handle=hein.journals/unilllr2021&amp;section=5</w:t>
        </w:r>
      </w:hyperlink>
    </w:p>
    <w:p w14:paraId="6F6EADFA"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Shah, S.A.A., Muhammad, N. and Shah, F., (2021). Corporate restructuring and financials </w:t>
      </w:r>
      <w:proofErr w:type="gramStart"/>
      <w:r w:rsidRPr="009804F1">
        <w:rPr>
          <w:rFonts w:ascii="Arial" w:hAnsi="Arial" w:cs="Arial"/>
          <w:color w:val="222222"/>
          <w:shd w:val="clear" w:color="auto" w:fill="FFFFFF"/>
          <w:lang w:val="en-GB"/>
        </w:rPr>
        <w:t>firms</w:t>
      </w:r>
      <w:proofErr w:type="gramEnd"/>
      <w:r w:rsidRPr="009804F1">
        <w:rPr>
          <w:rFonts w:ascii="Arial" w:hAnsi="Arial" w:cs="Arial"/>
          <w:color w:val="222222"/>
          <w:shd w:val="clear" w:color="auto" w:fill="FFFFFF"/>
          <w:lang w:val="en-GB"/>
        </w:rPr>
        <w:t xml:space="preserve"> performance: Evidence from Pakistan. </w:t>
      </w:r>
      <w:hyperlink r:id="rId44" w:history="1">
        <w:r w:rsidRPr="009804F1">
          <w:rPr>
            <w:rStyle w:val="Hyperlink"/>
            <w:rFonts w:ascii="Arial" w:hAnsi="Arial" w:cs="Arial"/>
            <w:shd w:val="clear" w:color="auto" w:fill="FFFFFF"/>
            <w:lang w:val="en-GB"/>
          </w:rPr>
          <w:t>https://readersinsight.net/JPVAI/article/download/2389/1653</w:t>
        </w:r>
      </w:hyperlink>
    </w:p>
    <w:p w14:paraId="041542EA"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Tao, J., (2023). Corporate Social Responsibility and Post-merger Labour Restructuring. </w:t>
      </w:r>
      <w:hyperlink r:id="rId45" w:history="1">
        <w:r w:rsidRPr="009804F1">
          <w:rPr>
            <w:rStyle w:val="Hyperlink"/>
            <w:rFonts w:ascii="Arial" w:hAnsi="Arial" w:cs="Arial"/>
            <w:shd w:val="clear" w:color="auto" w:fill="FFFFFF"/>
            <w:lang w:val="en-GB"/>
          </w:rPr>
          <w:t>https://www.efmaefm.org/0EFMAMEETINGS/EFMA%20ANNUAL%20MEETINGS/2023-UK/papers/EFMA%202023_stage-4455_question-Full%20Paper_id-102.pdf</w:t>
        </w:r>
      </w:hyperlink>
    </w:p>
    <w:p w14:paraId="3EB4BE7C" w14:textId="77777777" w:rsidR="004373FF" w:rsidRPr="009804F1" w:rsidRDefault="004373FF" w:rsidP="00033239">
      <w:pPr>
        <w:spacing w:after="240"/>
        <w:rPr>
          <w:rFonts w:ascii="Arial" w:hAnsi="Arial" w:cs="Arial"/>
          <w:lang w:val="en-GB"/>
        </w:rPr>
      </w:pPr>
      <w:proofErr w:type="spellStart"/>
      <w:r w:rsidRPr="009804F1">
        <w:rPr>
          <w:rFonts w:ascii="Arial" w:hAnsi="Arial" w:cs="Arial"/>
          <w:color w:val="222222"/>
          <w:shd w:val="clear" w:color="auto" w:fill="FFFFFF"/>
          <w:lang w:val="en-GB"/>
        </w:rPr>
        <w:lastRenderedPageBreak/>
        <w:t>Tavakolnia</w:t>
      </w:r>
      <w:proofErr w:type="spellEnd"/>
      <w:r w:rsidRPr="009804F1">
        <w:rPr>
          <w:rFonts w:ascii="Arial" w:hAnsi="Arial" w:cs="Arial"/>
          <w:color w:val="222222"/>
          <w:shd w:val="clear" w:color="auto" w:fill="FFFFFF"/>
          <w:lang w:val="en-GB"/>
        </w:rPr>
        <w:t xml:space="preserve">, A., (2025). Intersections of judicial collective redress and corporate restructuring </w:t>
      </w:r>
      <w:proofErr w:type="gramStart"/>
      <w:r w:rsidRPr="009804F1">
        <w:rPr>
          <w:rFonts w:ascii="Arial" w:hAnsi="Arial" w:cs="Arial"/>
          <w:color w:val="222222"/>
          <w:shd w:val="clear" w:color="auto" w:fill="FFFFFF"/>
          <w:lang w:val="en-GB"/>
        </w:rPr>
        <w:t>law::</w:t>
      </w:r>
      <w:proofErr w:type="gramEnd"/>
      <w:r w:rsidRPr="009804F1">
        <w:rPr>
          <w:rFonts w:ascii="Arial" w:hAnsi="Arial" w:cs="Arial"/>
          <w:color w:val="222222"/>
          <w:shd w:val="clear" w:color="auto" w:fill="FFFFFF"/>
          <w:lang w:val="en-GB"/>
        </w:rPr>
        <w:t xml:space="preserve"> Case studies of English mass tort restructurings. </w:t>
      </w:r>
      <w:r w:rsidRPr="009804F1">
        <w:rPr>
          <w:rFonts w:ascii="Arial" w:hAnsi="Arial" w:cs="Arial"/>
          <w:i/>
          <w:iCs/>
          <w:color w:val="222222"/>
          <w:shd w:val="clear" w:color="auto" w:fill="FFFFFF"/>
          <w:lang w:val="en-GB"/>
        </w:rPr>
        <w:t>European Insolvency and Restructuring Journal</w:t>
      </w:r>
      <w:r w:rsidRPr="009804F1">
        <w:rPr>
          <w:rFonts w:ascii="Arial" w:hAnsi="Arial" w:cs="Arial"/>
          <w:color w:val="222222"/>
          <w:shd w:val="clear" w:color="auto" w:fill="FFFFFF"/>
          <w:lang w:val="en-GB"/>
        </w:rPr>
        <w:t xml:space="preserve">. </w:t>
      </w:r>
      <w:hyperlink r:id="rId46" w:history="1">
        <w:r w:rsidRPr="009804F1">
          <w:rPr>
            <w:rStyle w:val="Hyperlink"/>
            <w:rFonts w:ascii="Arial" w:hAnsi="Arial" w:cs="Arial"/>
            <w:shd w:val="clear" w:color="auto" w:fill="FFFFFF"/>
            <w:lang w:val="en-GB"/>
          </w:rPr>
          <w:t>https://eirjournal.com/article/view/22285</w:t>
        </w:r>
      </w:hyperlink>
    </w:p>
    <w:p w14:paraId="36FC6CB8" w14:textId="77777777" w:rsidR="004373FF"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 xml:space="preserve">Tron, A., </w:t>
      </w:r>
      <w:proofErr w:type="spellStart"/>
      <w:r w:rsidRPr="009804F1">
        <w:rPr>
          <w:rFonts w:ascii="Arial" w:hAnsi="Arial" w:cs="Arial"/>
          <w:color w:val="222222"/>
          <w:shd w:val="clear" w:color="auto" w:fill="FFFFFF"/>
          <w:lang w:val="en-GB"/>
        </w:rPr>
        <w:t>Dallocchio</w:t>
      </w:r>
      <w:proofErr w:type="spellEnd"/>
      <w:r w:rsidRPr="009804F1">
        <w:rPr>
          <w:rFonts w:ascii="Arial" w:hAnsi="Arial" w:cs="Arial"/>
          <w:color w:val="222222"/>
          <w:shd w:val="clear" w:color="auto" w:fill="FFFFFF"/>
          <w:lang w:val="en-GB"/>
        </w:rPr>
        <w:t>, M., Ferri, S. and Colantoni, F., (2023). Corporate governance and financial distress: lessons learned from an unconventional approach. </w:t>
      </w:r>
      <w:r w:rsidRPr="009804F1">
        <w:rPr>
          <w:rFonts w:ascii="Arial" w:hAnsi="Arial" w:cs="Arial"/>
          <w:i/>
          <w:iCs/>
          <w:color w:val="222222"/>
          <w:shd w:val="clear" w:color="auto" w:fill="FFFFFF"/>
          <w:lang w:val="en-GB"/>
        </w:rPr>
        <w:t>Journal of Management and Governance</w:t>
      </w:r>
      <w:r w:rsidRPr="009804F1">
        <w:rPr>
          <w:rFonts w:ascii="Arial" w:hAnsi="Arial" w:cs="Arial"/>
          <w:color w:val="222222"/>
          <w:shd w:val="clear" w:color="auto" w:fill="FFFFFF"/>
          <w:lang w:val="en-GB"/>
        </w:rPr>
        <w:t>, </w:t>
      </w:r>
      <w:r w:rsidRPr="009804F1">
        <w:rPr>
          <w:rFonts w:ascii="Arial" w:hAnsi="Arial" w:cs="Arial"/>
          <w:i/>
          <w:iCs/>
          <w:color w:val="222222"/>
          <w:shd w:val="clear" w:color="auto" w:fill="FFFFFF"/>
          <w:lang w:val="en-GB"/>
        </w:rPr>
        <w:t>27</w:t>
      </w:r>
      <w:r w:rsidRPr="009804F1">
        <w:rPr>
          <w:rFonts w:ascii="Arial" w:hAnsi="Arial" w:cs="Arial"/>
          <w:color w:val="222222"/>
          <w:shd w:val="clear" w:color="auto" w:fill="FFFFFF"/>
          <w:lang w:val="en-GB"/>
        </w:rPr>
        <w:t xml:space="preserve">(2), pp.425-456. </w:t>
      </w:r>
      <w:hyperlink r:id="rId47" w:history="1">
        <w:r w:rsidRPr="009804F1">
          <w:rPr>
            <w:rStyle w:val="Hyperlink"/>
            <w:rFonts w:ascii="Arial" w:hAnsi="Arial" w:cs="Arial"/>
            <w:shd w:val="clear" w:color="auto" w:fill="FFFFFF"/>
            <w:lang w:val="en-GB"/>
          </w:rPr>
          <w:t>https://link.springer.com/article/10.1007/s10997-022-09643-8</w:t>
        </w:r>
      </w:hyperlink>
    </w:p>
    <w:p w14:paraId="0CE3A83D" w14:textId="77777777" w:rsidR="00D300FA" w:rsidRPr="009804F1" w:rsidRDefault="004373FF" w:rsidP="00033239">
      <w:pPr>
        <w:spacing w:after="240"/>
        <w:rPr>
          <w:rFonts w:ascii="Arial" w:hAnsi="Arial" w:cs="Arial"/>
          <w:lang w:val="en-GB"/>
        </w:rPr>
      </w:pPr>
      <w:r w:rsidRPr="009804F1">
        <w:rPr>
          <w:rFonts w:ascii="Arial" w:hAnsi="Arial" w:cs="Arial"/>
          <w:color w:val="222222"/>
          <w:shd w:val="clear" w:color="auto" w:fill="FFFFFF"/>
          <w:lang w:val="en-GB"/>
        </w:rPr>
        <w:t>Udemezue, S., (2022). A Comparative Review of the Regimes and Processes of Mergers and Acquisitions as Corporate Restructuring Options in Nigeria and India. </w:t>
      </w:r>
      <w:r w:rsidRPr="009804F1">
        <w:rPr>
          <w:rFonts w:ascii="Arial" w:hAnsi="Arial" w:cs="Arial"/>
          <w:i/>
          <w:iCs/>
          <w:color w:val="222222"/>
          <w:shd w:val="clear" w:color="auto" w:fill="FFFFFF"/>
          <w:lang w:val="en-GB"/>
        </w:rPr>
        <w:t>Available at SSRN 4053183</w:t>
      </w:r>
      <w:r w:rsidRPr="009804F1">
        <w:rPr>
          <w:rFonts w:ascii="Arial" w:hAnsi="Arial" w:cs="Arial"/>
          <w:color w:val="222222"/>
          <w:shd w:val="clear" w:color="auto" w:fill="FFFFFF"/>
          <w:lang w:val="en-GB"/>
        </w:rPr>
        <w:t xml:space="preserve">. </w:t>
      </w:r>
      <w:hyperlink r:id="rId48" w:history="1">
        <w:r w:rsidRPr="009804F1">
          <w:rPr>
            <w:rStyle w:val="Hyperlink"/>
            <w:rFonts w:ascii="Arial" w:hAnsi="Arial" w:cs="Arial"/>
            <w:shd w:val="clear" w:color="auto" w:fill="FFFFFF"/>
            <w:lang w:val="en-GB"/>
          </w:rPr>
          <w:t>https://papers.ssrn.com/sol3/papers.cfm?abstract_id=4053183</w:t>
        </w:r>
      </w:hyperlink>
      <w:r w:rsidRPr="009804F1">
        <w:rPr>
          <w:rFonts w:ascii="Arial" w:hAnsi="Arial" w:cs="Arial"/>
          <w:lang w:val="en-GB"/>
        </w:rPr>
        <w:br w:type="page"/>
      </w:r>
    </w:p>
    <w:p w14:paraId="14B9D406" w14:textId="77777777" w:rsidR="00D300FA" w:rsidRPr="00E73537" w:rsidRDefault="00C10957" w:rsidP="00033239">
      <w:pPr>
        <w:pStyle w:val="Heading1"/>
        <w:rPr>
          <w:rFonts w:ascii="Arial" w:hAnsi="Arial" w:cs="Arial"/>
          <w:lang w:val="en-GB"/>
        </w:rPr>
      </w:pPr>
      <w:bookmarkStart w:id="56" w:name="_edgqs6qx9df9" w:colFirst="0" w:colLast="0"/>
      <w:bookmarkStart w:id="57" w:name="_Toc216188949"/>
      <w:bookmarkEnd w:id="56"/>
      <w:r w:rsidRPr="00E73537">
        <w:rPr>
          <w:rFonts w:ascii="Arial" w:hAnsi="Arial" w:cs="Arial"/>
          <w:lang w:val="en-GB"/>
        </w:rPr>
        <w:lastRenderedPageBreak/>
        <w:t>Appendices</w:t>
      </w:r>
      <w:bookmarkEnd w:id="57"/>
    </w:p>
    <w:p w14:paraId="3807B5EF" w14:textId="57C176AD" w:rsidR="00D300FA" w:rsidRPr="00E73537" w:rsidRDefault="00C10957" w:rsidP="00033239">
      <w:pPr>
        <w:pStyle w:val="Heading2"/>
        <w:rPr>
          <w:rFonts w:ascii="Arial" w:hAnsi="Arial" w:cs="Arial"/>
          <w:lang w:val="en-GB"/>
        </w:rPr>
      </w:pPr>
      <w:bookmarkStart w:id="58" w:name="_v00f0inmo0w" w:colFirst="0" w:colLast="0"/>
      <w:bookmarkStart w:id="59" w:name="_Toc216188950"/>
      <w:bookmarkEnd w:id="58"/>
      <w:r w:rsidRPr="00E73537">
        <w:rPr>
          <w:rFonts w:ascii="Arial" w:hAnsi="Arial" w:cs="Arial"/>
          <w:lang w:val="en-GB"/>
        </w:rPr>
        <w:t xml:space="preserve">Appendix 1: </w:t>
      </w:r>
      <w:r w:rsidR="009804F1" w:rsidRPr="00E73537">
        <w:rPr>
          <w:rFonts w:ascii="Arial" w:hAnsi="Arial" w:cs="Arial"/>
          <w:lang w:val="en-GB"/>
        </w:rPr>
        <w:t>financial data</w:t>
      </w:r>
      <w:bookmarkEnd w:id="59"/>
    </w:p>
    <w:p w14:paraId="1ADB5DCE" w14:textId="77777777" w:rsidR="00D300FA" w:rsidRPr="00E73537" w:rsidRDefault="00C10957" w:rsidP="00033239">
      <w:pPr>
        <w:jc w:val="center"/>
        <w:rPr>
          <w:rFonts w:ascii="Arial" w:hAnsi="Arial" w:cs="Arial"/>
          <w:lang w:val="en-GB"/>
        </w:rPr>
      </w:pPr>
      <w:r w:rsidRPr="00E73537">
        <w:rPr>
          <w:rFonts w:ascii="Arial" w:hAnsi="Arial" w:cs="Arial"/>
          <w:noProof/>
          <w:lang w:val="en-GB"/>
        </w:rPr>
        <w:drawing>
          <wp:inline distT="114300" distB="114300" distL="114300" distR="114300" wp14:anchorId="5DD8D9BD" wp14:editId="632612BB">
            <wp:extent cx="5731200" cy="27178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9"/>
                    <a:srcRect/>
                    <a:stretch>
                      <a:fillRect/>
                    </a:stretch>
                  </pic:blipFill>
                  <pic:spPr>
                    <a:xfrm>
                      <a:off x="0" y="0"/>
                      <a:ext cx="5731200" cy="2717800"/>
                    </a:xfrm>
                    <a:prstGeom prst="rect">
                      <a:avLst/>
                    </a:prstGeom>
                    <a:ln w="12700">
                      <a:solidFill>
                        <a:srgbClr val="000000"/>
                      </a:solidFill>
                      <a:prstDash val="solid"/>
                    </a:ln>
                  </pic:spPr>
                </pic:pic>
              </a:graphicData>
            </a:graphic>
          </wp:inline>
        </w:drawing>
      </w:r>
    </w:p>
    <w:p w14:paraId="7F347F24" w14:textId="77777777" w:rsidR="009804F1" w:rsidRPr="00E73537" w:rsidRDefault="009804F1" w:rsidP="00033239">
      <w:pPr>
        <w:rPr>
          <w:rFonts w:ascii="Arial" w:hAnsi="Arial" w:cs="Arial"/>
          <w:b/>
          <w:bCs/>
          <w:lang w:val="en-GB"/>
        </w:rPr>
      </w:pPr>
      <w:bookmarkStart w:id="60" w:name="_op9xkb4tql9m" w:colFirst="0" w:colLast="0"/>
      <w:bookmarkEnd w:id="60"/>
      <w:r w:rsidRPr="00E73537">
        <w:rPr>
          <w:rFonts w:ascii="Arial" w:hAnsi="Arial" w:cs="Arial"/>
          <w:lang w:val="en-GB"/>
        </w:rPr>
        <w:br w:type="page"/>
      </w:r>
    </w:p>
    <w:p w14:paraId="5F8C1193" w14:textId="638BBC3E" w:rsidR="00D300FA" w:rsidRPr="00E73537" w:rsidRDefault="00C10957" w:rsidP="00033239">
      <w:pPr>
        <w:pStyle w:val="Heading2"/>
        <w:rPr>
          <w:rFonts w:ascii="Arial" w:hAnsi="Arial" w:cs="Arial"/>
          <w:lang w:val="en-GB"/>
        </w:rPr>
      </w:pPr>
      <w:bookmarkStart w:id="61" w:name="_Toc216188951"/>
      <w:r w:rsidRPr="00E73537">
        <w:rPr>
          <w:rFonts w:ascii="Arial" w:hAnsi="Arial" w:cs="Arial"/>
          <w:lang w:val="en-GB"/>
        </w:rPr>
        <w:lastRenderedPageBreak/>
        <w:t>Appendix 2: Calculator of Ratio Analysis</w:t>
      </w:r>
      <w:bookmarkEnd w:id="61"/>
    </w:p>
    <w:tbl>
      <w:tblPr>
        <w:tblStyle w:val="TableGrid"/>
        <w:tblW w:w="0" w:type="auto"/>
        <w:jc w:val="center"/>
        <w:tblLook w:val="04A0" w:firstRow="1" w:lastRow="0" w:firstColumn="1" w:lastColumn="0" w:noHBand="0" w:noVBand="1"/>
      </w:tblPr>
      <w:tblGrid>
        <w:gridCol w:w="690"/>
        <w:gridCol w:w="573"/>
        <w:gridCol w:w="934"/>
        <w:gridCol w:w="544"/>
        <w:gridCol w:w="934"/>
        <w:gridCol w:w="493"/>
        <w:gridCol w:w="1616"/>
        <w:gridCol w:w="1616"/>
        <w:gridCol w:w="1616"/>
      </w:tblGrid>
      <w:tr w:rsidR="00E73537" w:rsidRPr="00E73537" w14:paraId="3DEC5292" w14:textId="77777777" w:rsidTr="00CA5DBC">
        <w:trPr>
          <w:jc w:val="center"/>
        </w:trPr>
        <w:tc>
          <w:tcPr>
            <w:tcW w:w="1262" w:type="dxa"/>
            <w:hideMark/>
          </w:tcPr>
          <w:p w14:paraId="51210858" w14:textId="77777777" w:rsidR="00394CC2" w:rsidRPr="00E73537" w:rsidRDefault="00394CC2" w:rsidP="00033239">
            <w:pPr>
              <w:spacing w:line="360" w:lineRule="auto"/>
              <w:jc w:val="center"/>
              <w:rPr>
                <w:rFonts w:ascii="Arial" w:hAnsi="Arial" w:cs="Arial"/>
                <w:b/>
                <w:bCs/>
                <w:lang w:val="en-IN"/>
              </w:rPr>
            </w:pPr>
            <w:bookmarkStart w:id="62" w:name="_jqqm13orq9sy" w:colFirst="0" w:colLast="0"/>
            <w:bookmarkEnd w:id="62"/>
            <w:r w:rsidRPr="00E73537">
              <w:rPr>
                <w:rFonts w:ascii="Arial" w:hAnsi="Arial" w:cs="Arial"/>
                <w:b/>
                <w:bCs/>
                <w:lang w:val="en-IN"/>
              </w:rPr>
              <w:t>Ratio</w:t>
            </w:r>
          </w:p>
        </w:tc>
        <w:tc>
          <w:tcPr>
            <w:tcW w:w="0" w:type="auto"/>
            <w:hideMark/>
          </w:tcPr>
          <w:p w14:paraId="7B4A01C4"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Formula</w:t>
            </w:r>
          </w:p>
        </w:tc>
        <w:tc>
          <w:tcPr>
            <w:tcW w:w="0" w:type="auto"/>
            <w:hideMark/>
          </w:tcPr>
          <w:p w14:paraId="6132A853"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2024 Calculation</w:t>
            </w:r>
          </w:p>
        </w:tc>
        <w:tc>
          <w:tcPr>
            <w:tcW w:w="0" w:type="auto"/>
            <w:hideMark/>
          </w:tcPr>
          <w:p w14:paraId="6F70562F"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2024</w:t>
            </w:r>
          </w:p>
        </w:tc>
        <w:tc>
          <w:tcPr>
            <w:tcW w:w="0" w:type="auto"/>
            <w:hideMark/>
          </w:tcPr>
          <w:p w14:paraId="43A747B4"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2023 Calculation</w:t>
            </w:r>
          </w:p>
        </w:tc>
        <w:tc>
          <w:tcPr>
            <w:tcW w:w="493" w:type="dxa"/>
            <w:hideMark/>
          </w:tcPr>
          <w:p w14:paraId="03769D2F"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2023</w:t>
            </w:r>
          </w:p>
        </w:tc>
        <w:tc>
          <w:tcPr>
            <w:tcW w:w="1616" w:type="dxa"/>
            <w:hideMark/>
          </w:tcPr>
          <w:p w14:paraId="7878D0EA"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2022</w:t>
            </w:r>
          </w:p>
        </w:tc>
        <w:tc>
          <w:tcPr>
            <w:tcW w:w="0" w:type="auto"/>
            <w:hideMark/>
          </w:tcPr>
          <w:p w14:paraId="4DF38DBA"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2021</w:t>
            </w:r>
          </w:p>
        </w:tc>
        <w:tc>
          <w:tcPr>
            <w:tcW w:w="0" w:type="auto"/>
            <w:hideMark/>
          </w:tcPr>
          <w:p w14:paraId="139107FE" w14:textId="77777777" w:rsidR="00394CC2" w:rsidRPr="00E73537" w:rsidRDefault="00394CC2" w:rsidP="00033239">
            <w:pPr>
              <w:spacing w:line="360" w:lineRule="auto"/>
              <w:jc w:val="center"/>
              <w:rPr>
                <w:rFonts w:ascii="Arial" w:hAnsi="Arial" w:cs="Arial"/>
                <w:b/>
                <w:bCs/>
                <w:lang w:val="en-IN"/>
              </w:rPr>
            </w:pPr>
            <w:r w:rsidRPr="00E73537">
              <w:rPr>
                <w:rFonts w:ascii="Arial" w:hAnsi="Arial" w:cs="Arial"/>
                <w:b/>
                <w:bCs/>
                <w:lang w:val="en-IN"/>
              </w:rPr>
              <w:t>2020</w:t>
            </w:r>
          </w:p>
        </w:tc>
      </w:tr>
      <w:tr w:rsidR="00E73537" w:rsidRPr="00E73537" w14:paraId="628A92E6" w14:textId="77777777" w:rsidTr="00CA5DBC">
        <w:trPr>
          <w:jc w:val="center"/>
        </w:trPr>
        <w:tc>
          <w:tcPr>
            <w:tcW w:w="1262" w:type="dxa"/>
            <w:hideMark/>
          </w:tcPr>
          <w:p w14:paraId="2E2886D4"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Gross Margin</w:t>
            </w:r>
          </w:p>
        </w:tc>
        <w:tc>
          <w:tcPr>
            <w:tcW w:w="0" w:type="auto"/>
            <w:hideMark/>
          </w:tcPr>
          <w:p w14:paraId="63C93A0C"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GP ÷ NS</w:t>
            </w:r>
          </w:p>
        </w:tc>
        <w:tc>
          <w:tcPr>
            <w:tcW w:w="0" w:type="auto"/>
            <w:hideMark/>
          </w:tcPr>
          <w:p w14:paraId="39C4BFB1"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113,994 ÷ 394,879</w:t>
            </w:r>
          </w:p>
        </w:tc>
        <w:tc>
          <w:tcPr>
            <w:tcW w:w="0" w:type="auto"/>
            <w:hideMark/>
          </w:tcPr>
          <w:p w14:paraId="4BFAC144"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0.289</w:t>
            </w:r>
          </w:p>
        </w:tc>
        <w:tc>
          <w:tcPr>
            <w:tcW w:w="0" w:type="auto"/>
            <w:hideMark/>
          </w:tcPr>
          <w:p w14:paraId="6DD530FB"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97,560 ÷ 420,457</w:t>
            </w:r>
          </w:p>
        </w:tc>
        <w:tc>
          <w:tcPr>
            <w:tcW w:w="493" w:type="dxa"/>
            <w:hideMark/>
          </w:tcPr>
          <w:p w14:paraId="26C500E0"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0.232</w:t>
            </w:r>
          </w:p>
        </w:tc>
        <w:tc>
          <w:tcPr>
            <w:tcW w:w="1616" w:type="dxa"/>
            <w:hideMark/>
          </w:tcPr>
          <w:p w14:paraId="6EBF563B"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152,292 ÷ 542,751 = 0.281</w:t>
            </w:r>
          </w:p>
        </w:tc>
        <w:tc>
          <w:tcPr>
            <w:tcW w:w="0" w:type="auto"/>
            <w:hideMark/>
          </w:tcPr>
          <w:p w14:paraId="3D5C12DD"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173,016 ÷ 601,602 = 0.288</w:t>
            </w:r>
          </w:p>
        </w:tc>
        <w:tc>
          <w:tcPr>
            <w:tcW w:w="0" w:type="auto"/>
            <w:hideMark/>
          </w:tcPr>
          <w:p w14:paraId="104C84AD"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176,256 ÷ 614,680 = 0.287</w:t>
            </w:r>
          </w:p>
        </w:tc>
      </w:tr>
      <w:tr w:rsidR="00E73537" w:rsidRPr="00E73537" w14:paraId="3E03B8A7" w14:textId="77777777" w:rsidTr="00CA5DBC">
        <w:trPr>
          <w:jc w:val="center"/>
        </w:trPr>
        <w:tc>
          <w:tcPr>
            <w:tcW w:w="1262" w:type="dxa"/>
            <w:hideMark/>
          </w:tcPr>
          <w:p w14:paraId="79326847"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Operating Margin</w:t>
            </w:r>
          </w:p>
        </w:tc>
        <w:tc>
          <w:tcPr>
            <w:tcW w:w="0" w:type="auto"/>
            <w:hideMark/>
          </w:tcPr>
          <w:p w14:paraId="1DD76D1F"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OI ÷ NS</w:t>
            </w:r>
          </w:p>
        </w:tc>
        <w:tc>
          <w:tcPr>
            <w:tcW w:w="0" w:type="auto"/>
            <w:hideMark/>
          </w:tcPr>
          <w:p w14:paraId="6C82055E"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-15,297 ÷ 394,879</w:t>
            </w:r>
          </w:p>
        </w:tc>
        <w:tc>
          <w:tcPr>
            <w:tcW w:w="0" w:type="auto"/>
            <w:hideMark/>
          </w:tcPr>
          <w:p w14:paraId="5314CF73"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-0.039</w:t>
            </w:r>
          </w:p>
        </w:tc>
        <w:tc>
          <w:tcPr>
            <w:tcW w:w="0" w:type="auto"/>
            <w:hideMark/>
          </w:tcPr>
          <w:p w14:paraId="6067429F"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-85,301 ÷ 420,457</w:t>
            </w:r>
          </w:p>
        </w:tc>
        <w:tc>
          <w:tcPr>
            <w:tcW w:w="493" w:type="dxa"/>
            <w:hideMark/>
          </w:tcPr>
          <w:p w14:paraId="7473B16A"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-0.203</w:t>
            </w:r>
          </w:p>
        </w:tc>
        <w:tc>
          <w:tcPr>
            <w:tcW w:w="1616" w:type="dxa"/>
            <w:hideMark/>
          </w:tcPr>
          <w:p w14:paraId="156A1FAE"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14,548 ÷ 542,751 = 0.027</w:t>
            </w:r>
          </w:p>
        </w:tc>
        <w:tc>
          <w:tcPr>
            <w:tcW w:w="0" w:type="auto"/>
            <w:hideMark/>
          </w:tcPr>
          <w:p w14:paraId="234E068B"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23,253 ÷ 601,602 = 0.039</w:t>
            </w:r>
          </w:p>
        </w:tc>
        <w:tc>
          <w:tcPr>
            <w:tcW w:w="0" w:type="auto"/>
            <w:hideMark/>
          </w:tcPr>
          <w:p w14:paraId="035DBC0C"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37,267 ÷ 614,680 = 0.061</w:t>
            </w:r>
          </w:p>
        </w:tc>
      </w:tr>
      <w:tr w:rsidR="00E73537" w:rsidRPr="00E73537" w14:paraId="3465060A" w14:textId="77777777" w:rsidTr="00CA5DBC">
        <w:trPr>
          <w:jc w:val="center"/>
        </w:trPr>
        <w:tc>
          <w:tcPr>
            <w:tcW w:w="1262" w:type="dxa"/>
            <w:hideMark/>
          </w:tcPr>
          <w:p w14:paraId="2FCFC386"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Net Margin</w:t>
            </w:r>
          </w:p>
        </w:tc>
        <w:tc>
          <w:tcPr>
            <w:tcW w:w="0" w:type="auto"/>
            <w:hideMark/>
          </w:tcPr>
          <w:p w14:paraId="508CB1E3"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NI ÷ NS</w:t>
            </w:r>
          </w:p>
        </w:tc>
        <w:tc>
          <w:tcPr>
            <w:tcW w:w="0" w:type="auto"/>
            <w:hideMark/>
          </w:tcPr>
          <w:p w14:paraId="409132DF"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-24,029 ÷ 394,879</w:t>
            </w:r>
          </w:p>
        </w:tc>
        <w:tc>
          <w:tcPr>
            <w:tcW w:w="0" w:type="auto"/>
            <w:hideMark/>
          </w:tcPr>
          <w:p w14:paraId="1D5973F3"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-0.061</w:t>
            </w:r>
          </w:p>
        </w:tc>
        <w:tc>
          <w:tcPr>
            <w:tcW w:w="0" w:type="auto"/>
            <w:hideMark/>
          </w:tcPr>
          <w:p w14:paraId="0BC1EA14"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-98,238 ÷ 420,457</w:t>
            </w:r>
          </w:p>
        </w:tc>
        <w:tc>
          <w:tcPr>
            <w:tcW w:w="493" w:type="dxa"/>
            <w:hideMark/>
          </w:tcPr>
          <w:p w14:paraId="293DA89B"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-0.234</w:t>
            </w:r>
          </w:p>
        </w:tc>
        <w:tc>
          <w:tcPr>
            <w:tcW w:w="1616" w:type="dxa"/>
            <w:hideMark/>
          </w:tcPr>
          <w:p w14:paraId="3D7A03A6"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407 ÷ 542,751 = 0.001</w:t>
            </w:r>
          </w:p>
        </w:tc>
        <w:tc>
          <w:tcPr>
            <w:tcW w:w="0" w:type="auto"/>
            <w:hideMark/>
          </w:tcPr>
          <w:p w14:paraId="0CEAB9C5"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5,301 ÷ 601,602 = 0.009</w:t>
            </w:r>
          </w:p>
        </w:tc>
        <w:tc>
          <w:tcPr>
            <w:tcW w:w="0" w:type="auto"/>
            <w:hideMark/>
          </w:tcPr>
          <w:p w14:paraId="23E57277"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38,572 ÷ 614,680 = 0.063</w:t>
            </w:r>
          </w:p>
        </w:tc>
      </w:tr>
      <w:tr w:rsidR="00E73537" w:rsidRPr="00E73537" w14:paraId="2CA459A9" w14:textId="77777777" w:rsidTr="00CA5DBC">
        <w:trPr>
          <w:jc w:val="center"/>
        </w:trPr>
        <w:tc>
          <w:tcPr>
            <w:tcW w:w="1262" w:type="dxa"/>
            <w:hideMark/>
          </w:tcPr>
          <w:p w14:paraId="22A57A10"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Current Ratio</w:t>
            </w:r>
          </w:p>
        </w:tc>
        <w:tc>
          <w:tcPr>
            <w:tcW w:w="0" w:type="auto"/>
            <w:hideMark/>
          </w:tcPr>
          <w:p w14:paraId="414875C7"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CA ÷ CL</w:t>
            </w:r>
          </w:p>
        </w:tc>
        <w:tc>
          <w:tcPr>
            <w:tcW w:w="0" w:type="auto"/>
            <w:hideMark/>
          </w:tcPr>
          <w:p w14:paraId="13DB3574"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242,494 ÷ 158,291</w:t>
            </w:r>
          </w:p>
        </w:tc>
        <w:tc>
          <w:tcPr>
            <w:tcW w:w="0" w:type="auto"/>
            <w:hideMark/>
          </w:tcPr>
          <w:p w14:paraId="5B9E54AB"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1.532</w:t>
            </w:r>
          </w:p>
        </w:tc>
        <w:tc>
          <w:tcPr>
            <w:tcW w:w="0" w:type="auto"/>
            <w:hideMark/>
          </w:tcPr>
          <w:p w14:paraId="6423006E"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258,851 ÷ 161,148</w:t>
            </w:r>
          </w:p>
        </w:tc>
        <w:tc>
          <w:tcPr>
            <w:tcW w:w="493" w:type="dxa"/>
            <w:hideMark/>
          </w:tcPr>
          <w:p w14:paraId="2DD473C6"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1.606</w:t>
            </w:r>
          </w:p>
        </w:tc>
        <w:tc>
          <w:tcPr>
            <w:tcW w:w="1616" w:type="dxa"/>
            <w:hideMark/>
          </w:tcPr>
          <w:p w14:paraId="4A6A376A"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338,040 ÷ 216,473 = 1.562</w:t>
            </w:r>
          </w:p>
        </w:tc>
        <w:tc>
          <w:tcPr>
            <w:tcW w:w="0" w:type="auto"/>
            <w:hideMark/>
          </w:tcPr>
          <w:p w14:paraId="67DCB81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337,146 ÷ 216,787 = 1.555</w:t>
            </w:r>
          </w:p>
        </w:tc>
        <w:tc>
          <w:tcPr>
            <w:tcW w:w="0" w:type="auto"/>
            <w:hideMark/>
          </w:tcPr>
          <w:p w14:paraId="198F61B7"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326,843 ÷ 179,510 = 1.821</w:t>
            </w:r>
          </w:p>
        </w:tc>
      </w:tr>
      <w:tr w:rsidR="00E73537" w:rsidRPr="00E73537" w14:paraId="47EEAE0E" w14:textId="77777777" w:rsidTr="00CA5DBC">
        <w:trPr>
          <w:jc w:val="center"/>
        </w:trPr>
        <w:tc>
          <w:tcPr>
            <w:tcW w:w="1262" w:type="dxa"/>
            <w:hideMark/>
          </w:tcPr>
          <w:p w14:paraId="38107A5E"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Quick Ratio</w:t>
            </w:r>
          </w:p>
        </w:tc>
        <w:tc>
          <w:tcPr>
            <w:tcW w:w="0" w:type="auto"/>
            <w:hideMark/>
          </w:tcPr>
          <w:p w14:paraId="6B33370C"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(CA − INV) ÷ CL</w:t>
            </w:r>
          </w:p>
        </w:tc>
        <w:tc>
          <w:tcPr>
            <w:tcW w:w="0" w:type="auto"/>
            <w:hideMark/>
          </w:tcPr>
          <w:p w14:paraId="26D3AB77"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(242,494−79,355) ÷ 158,291 = 163,139 ÷ 158,291</w:t>
            </w:r>
          </w:p>
        </w:tc>
        <w:tc>
          <w:tcPr>
            <w:tcW w:w="0" w:type="auto"/>
            <w:hideMark/>
          </w:tcPr>
          <w:p w14:paraId="2165C17C"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1.031</w:t>
            </w:r>
          </w:p>
        </w:tc>
        <w:tc>
          <w:tcPr>
            <w:tcW w:w="0" w:type="auto"/>
            <w:hideMark/>
          </w:tcPr>
          <w:p w14:paraId="57BC6FF0"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(258,851−88,273) ÷ 161,148</w:t>
            </w:r>
          </w:p>
        </w:tc>
        <w:tc>
          <w:tcPr>
            <w:tcW w:w="493" w:type="dxa"/>
            <w:hideMark/>
          </w:tcPr>
          <w:p w14:paraId="731F255F"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1.059</w:t>
            </w:r>
          </w:p>
        </w:tc>
        <w:tc>
          <w:tcPr>
            <w:tcW w:w="1616" w:type="dxa"/>
            <w:hideMark/>
          </w:tcPr>
          <w:p w14:paraId="0CE9AFE4"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(338,040−140,181)/216,473=0.914</w:t>
            </w:r>
          </w:p>
        </w:tc>
        <w:tc>
          <w:tcPr>
            <w:tcW w:w="0" w:type="auto"/>
            <w:hideMark/>
          </w:tcPr>
          <w:p w14:paraId="7C0D7366"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(337,146−134,469)/216,787=0.935</w:t>
            </w:r>
          </w:p>
        </w:tc>
        <w:tc>
          <w:tcPr>
            <w:tcW w:w="0" w:type="auto"/>
            <w:hideMark/>
          </w:tcPr>
          <w:p w14:paraId="2B110B63"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(326,843−120,430)/179,510=1.150</w:t>
            </w:r>
          </w:p>
        </w:tc>
      </w:tr>
      <w:tr w:rsidR="00E73537" w:rsidRPr="00E73537" w14:paraId="71C50D44" w14:textId="77777777" w:rsidTr="00CA5DBC">
        <w:trPr>
          <w:jc w:val="center"/>
        </w:trPr>
        <w:tc>
          <w:tcPr>
            <w:tcW w:w="1262" w:type="dxa"/>
            <w:hideMark/>
          </w:tcPr>
          <w:p w14:paraId="2A9827CD"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lastRenderedPageBreak/>
              <w:t>Inventory Days</w:t>
            </w:r>
          </w:p>
        </w:tc>
        <w:tc>
          <w:tcPr>
            <w:tcW w:w="0" w:type="auto"/>
            <w:hideMark/>
          </w:tcPr>
          <w:p w14:paraId="2A3BBFB6"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INV ÷ NS × 365</w:t>
            </w:r>
          </w:p>
        </w:tc>
        <w:tc>
          <w:tcPr>
            <w:tcW w:w="0" w:type="auto"/>
            <w:hideMark/>
          </w:tcPr>
          <w:p w14:paraId="5136739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79,355 ÷ 394,879 × 365</w:t>
            </w:r>
          </w:p>
        </w:tc>
        <w:tc>
          <w:tcPr>
            <w:tcW w:w="0" w:type="auto"/>
            <w:hideMark/>
          </w:tcPr>
          <w:p w14:paraId="30FD7D30"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73.351</w:t>
            </w:r>
          </w:p>
        </w:tc>
        <w:tc>
          <w:tcPr>
            <w:tcW w:w="0" w:type="auto"/>
            <w:hideMark/>
          </w:tcPr>
          <w:p w14:paraId="07B874A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88,273 ÷ 420,457 × 365</w:t>
            </w:r>
          </w:p>
        </w:tc>
        <w:tc>
          <w:tcPr>
            <w:tcW w:w="493" w:type="dxa"/>
            <w:hideMark/>
          </w:tcPr>
          <w:p w14:paraId="4A5FF8D1"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76.630</w:t>
            </w:r>
          </w:p>
        </w:tc>
        <w:tc>
          <w:tcPr>
            <w:tcW w:w="1616" w:type="dxa"/>
            <w:hideMark/>
          </w:tcPr>
          <w:p w14:paraId="5ED95512"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140,181 ÷ 542,751 ×365 = 94.272</w:t>
            </w:r>
          </w:p>
        </w:tc>
        <w:tc>
          <w:tcPr>
            <w:tcW w:w="0" w:type="auto"/>
            <w:hideMark/>
          </w:tcPr>
          <w:p w14:paraId="52A18A00"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134,469 ÷ 601,602 ×365 = 81.584</w:t>
            </w:r>
          </w:p>
        </w:tc>
        <w:tc>
          <w:tcPr>
            <w:tcW w:w="0" w:type="auto"/>
            <w:hideMark/>
          </w:tcPr>
          <w:p w14:paraId="1A380283"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120,430 ÷ 614,680 ×365 = 71.512</w:t>
            </w:r>
          </w:p>
        </w:tc>
      </w:tr>
      <w:tr w:rsidR="00E73537" w:rsidRPr="00E73537" w14:paraId="000B43AB" w14:textId="77777777" w:rsidTr="00CA5DBC">
        <w:trPr>
          <w:jc w:val="center"/>
        </w:trPr>
        <w:tc>
          <w:tcPr>
            <w:tcW w:w="1262" w:type="dxa"/>
            <w:hideMark/>
          </w:tcPr>
          <w:p w14:paraId="2F9AD3F4"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Receivable Days</w:t>
            </w:r>
          </w:p>
        </w:tc>
        <w:tc>
          <w:tcPr>
            <w:tcW w:w="0" w:type="auto"/>
            <w:hideMark/>
          </w:tcPr>
          <w:p w14:paraId="61C200D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AR ÷ NS × 365</w:t>
            </w:r>
          </w:p>
        </w:tc>
        <w:tc>
          <w:tcPr>
            <w:tcW w:w="0" w:type="auto"/>
            <w:hideMark/>
          </w:tcPr>
          <w:p w14:paraId="6AA74A10"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114,182 ÷ 394,879 × 365</w:t>
            </w:r>
          </w:p>
        </w:tc>
        <w:tc>
          <w:tcPr>
            <w:tcW w:w="0" w:type="auto"/>
            <w:hideMark/>
          </w:tcPr>
          <w:p w14:paraId="2ED141B9"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105.542</w:t>
            </w:r>
          </w:p>
        </w:tc>
        <w:tc>
          <w:tcPr>
            <w:tcW w:w="0" w:type="auto"/>
            <w:hideMark/>
          </w:tcPr>
          <w:p w14:paraId="2CD31DFD"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112,596 ÷ 420,457 × 365</w:t>
            </w:r>
          </w:p>
        </w:tc>
        <w:tc>
          <w:tcPr>
            <w:tcW w:w="493" w:type="dxa"/>
            <w:hideMark/>
          </w:tcPr>
          <w:p w14:paraId="3A324D33"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97.745</w:t>
            </w:r>
          </w:p>
        </w:tc>
        <w:tc>
          <w:tcPr>
            <w:tcW w:w="1616" w:type="dxa"/>
            <w:hideMark/>
          </w:tcPr>
          <w:p w14:paraId="36C872A6"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112,346/542,751×365=75.553</w:t>
            </w:r>
          </w:p>
        </w:tc>
        <w:tc>
          <w:tcPr>
            <w:tcW w:w="0" w:type="auto"/>
            <w:hideMark/>
          </w:tcPr>
          <w:p w14:paraId="42E30AF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129,215/601,602×365=78.396</w:t>
            </w:r>
          </w:p>
        </w:tc>
        <w:tc>
          <w:tcPr>
            <w:tcW w:w="0" w:type="auto"/>
            <w:hideMark/>
          </w:tcPr>
          <w:p w14:paraId="1B289C92"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129,433/614,680×365=76.858</w:t>
            </w:r>
          </w:p>
        </w:tc>
      </w:tr>
      <w:tr w:rsidR="00E73537" w:rsidRPr="00E73537" w14:paraId="056F973E" w14:textId="77777777" w:rsidTr="00CA5DBC">
        <w:trPr>
          <w:jc w:val="center"/>
        </w:trPr>
        <w:tc>
          <w:tcPr>
            <w:tcW w:w="1262" w:type="dxa"/>
            <w:hideMark/>
          </w:tcPr>
          <w:p w14:paraId="4B2F9431"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Payable Days</w:t>
            </w:r>
          </w:p>
        </w:tc>
        <w:tc>
          <w:tcPr>
            <w:tcW w:w="0" w:type="auto"/>
            <w:hideMark/>
          </w:tcPr>
          <w:p w14:paraId="7B5507EC"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AP ÷ NS × 365</w:t>
            </w:r>
          </w:p>
        </w:tc>
        <w:tc>
          <w:tcPr>
            <w:tcW w:w="0" w:type="auto"/>
            <w:hideMark/>
          </w:tcPr>
          <w:p w14:paraId="081DD456"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72,031 ÷ 394,879 × 365</w:t>
            </w:r>
          </w:p>
        </w:tc>
        <w:tc>
          <w:tcPr>
            <w:tcW w:w="0" w:type="auto"/>
            <w:hideMark/>
          </w:tcPr>
          <w:p w14:paraId="7B67946C"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66.581</w:t>
            </w:r>
          </w:p>
        </w:tc>
        <w:tc>
          <w:tcPr>
            <w:tcW w:w="0" w:type="auto"/>
            <w:hideMark/>
          </w:tcPr>
          <w:p w14:paraId="4FB5E161"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57,033 ÷ 420,457 × 365</w:t>
            </w:r>
          </w:p>
        </w:tc>
        <w:tc>
          <w:tcPr>
            <w:tcW w:w="493" w:type="dxa"/>
            <w:hideMark/>
          </w:tcPr>
          <w:p w14:paraId="0F942088"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49.511</w:t>
            </w:r>
          </w:p>
        </w:tc>
        <w:tc>
          <w:tcPr>
            <w:tcW w:w="1616" w:type="dxa"/>
            <w:hideMark/>
          </w:tcPr>
          <w:p w14:paraId="40B0B029"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71,373/542,751×365=47.998</w:t>
            </w:r>
          </w:p>
        </w:tc>
        <w:tc>
          <w:tcPr>
            <w:tcW w:w="0" w:type="auto"/>
            <w:hideMark/>
          </w:tcPr>
          <w:p w14:paraId="5562FBEC"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92,707/601,602×365=56.247</w:t>
            </w:r>
          </w:p>
        </w:tc>
        <w:tc>
          <w:tcPr>
            <w:tcW w:w="0" w:type="auto"/>
            <w:hideMark/>
          </w:tcPr>
          <w:p w14:paraId="51675D35"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83,229/614,680×365=49.422</w:t>
            </w:r>
          </w:p>
        </w:tc>
      </w:tr>
      <w:tr w:rsidR="00E73537" w:rsidRPr="00E73537" w14:paraId="08F2BB25" w14:textId="77777777" w:rsidTr="00CA5DBC">
        <w:trPr>
          <w:jc w:val="center"/>
        </w:trPr>
        <w:tc>
          <w:tcPr>
            <w:tcW w:w="1262" w:type="dxa"/>
            <w:hideMark/>
          </w:tcPr>
          <w:p w14:paraId="2509E8F6"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ROA</w:t>
            </w:r>
          </w:p>
        </w:tc>
        <w:tc>
          <w:tcPr>
            <w:tcW w:w="0" w:type="auto"/>
            <w:hideMark/>
          </w:tcPr>
          <w:p w14:paraId="083AEB21"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NI ÷ TA</w:t>
            </w:r>
          </w:p>
        </w:tc>
        <w:tc>
          <w:tcPr>
            <w:tcW w:w="0" w:type="auto"/>
            <w:hideMark/>
          </w:tcPr>
          <w:p w14:paraId="575B0895"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-24,029 ÷ 323,354</w:t>
            </w:r>
          </w:p>
        </w:tc>
        <w:tc>
          <w:tcPr>
            <w:tcW w:w="0" w:type="auto"/>
            <w:hideMark/>
          </w:tcPr>
          <w:p w14:paraId="5A6533CA"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-0.074</w:t>
            </w:r>
          </w:p>
        </w:tc>
        <w:tc>
          <w:tcPr>
            <w:tcW w:w="0" w:type="auto"/>
            <w:hideMark/>
          </w:tcPr>
          <w:p w14:paraId="7780A94A"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-98,238 ÷ 355,872</w:t>
            </w:r>
          </w:p>
        </w:tc>
        <w:tc>
          <w:tcPr>
            <w:tcW w:w="493" w:type="dxa"/>
            <w:hideMark/>
          </w:tcPr>
          <w:p w14:paraId="1DEB8514"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-0.276</w:t>
            </w:r>
          </w:p>
        </w:tc>
        <w:tc>
          <w:tcPr>
            <w:tcW w:w="1616" w:type="dxa"/>
            <w:hideMark/>
          </w:tcPr>
          <w:p w14:paraId="6F5D1A3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407 ÷ 504,163 = 0.001</w:t>
            </w:r>
          </w:p>
        </w:tc>
        <w:tc>
          <w:tcPr>
            <w:tcW w:w="0" w:type="auto"/>
            <w:hideMark/>
          </w:tcPr>
          <w:p w14:paraId="61C3BAE5"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5,301 ÷ 510,348 = 0.010</w:t>
            </w:r>
          </w:p>
        </w:tc>
        <w:tc>
          <w:tcPr>
            <w:tcW w:w="0" w:type="auto"/>
            <w:hideMark/>
          </w:tcPr>
          <w:p w14:paraId="2CE5DA41"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38,572 ÷ 510,290 = 0.076</w:t>
            </w:r>
          </w:p>
        </w:tc>
      </w:tr>
      <w:tr w:rsidR="00E73537" w:rsidRPr="00E73537" w14:paraId="4DA2769C" w14:textId="77777777" w:rsidTr="00CA5DBC">
        <w:trPr>
          <w:jc w:val="center"/>
        </w:trPr>
        <w:tc>
          <w:tcPr>
            <w:tcW w:w="1262" w:type="dxa"/>
            <w:hideMark/>
          </w:tcPr>
          <w:p w14:paraId="63023183"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ROE</w:t>
            </w:r>
          </w:p>
        </w:tc>
        <w:tc>
          <w:tcPr>
            <w:tcW w:w="0" w:type="auto"/>
            <w:hideMark/>
          </w:tcPr>
          <w:p w14:paraId="66325BD5"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NI ÷ TE</w:t>
            </w:r>
          </w:p>
        </w:tc>
        <w:tc>
          <w:tcPr>
            <w:tcW w:w="0" w:type="auto"/>
            <w:hideMark/>
          </w:tcPr>
          <w:p w14:paraId="34F9F423"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-24,029 ÷ 153,105</w:t>
            </w:r>
          </w:p>
        </w:tc>
        <w:tc>
          <w:tcPr>
            <w:tcW w:w="0" w:type="auto"/>
            <w:hideMark/>
          </w:tcPr>
          <w:p w14:paraId="7417C2EB"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-0.157</w:t>
            </w:r>
          </w:p>
        </w:tc>
        <w:tc>
          <w:tcPr>
            <w:tcW w:w="0" w:type="auto"/>
            <w:hideMark/>
          </w:tcPr>
          <w:p w14:paraId="4E9DBA44"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-98,238 ÷ 178,920</w:t>
            </w:r>
          </w:p>
        </w:tc>
        <w:tc>
          <w:tcPr>
            <w:tcW w:w="493" w:type="dxa"/>
            <w:hideMark/>
          </w:tcPr>
          <w:p w14:paraId="13FF9726"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-0.549</w:t>
            </w:r>
          </w:p>
        </w:tc>
        <w:tc>
          <w:tcPr>
            <w:tcW w:w="1616" w:type="dxa"/>
            <w:hideMark/>
          </w:tcPr>
          <w:p w14:paraId="4F565B7B"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407 ÷ 268,406 = 0.002</w:t>
            </w:r>
          </w:p>
        </w:tc>
        <w:tc>
          <w:tcPr>
            <w:tcW w:w="0" w:type="auto"/>
            <w:hideMark/>
          </w:tcPr>
          <w:p w14:paraId="3F004CE2"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5,301 ÷ 275,949 = 0.019</w:t>
            </w:r>
          </w:p>
        </w:tc>
        <w:tc>
          <w:tcPr>
            <w:tcW w:w="0" w:type="auto"/>
            <w:hideMark/>
          </w:tcPr>
          <w:p w14:paraId="099253B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38,572 ÷ 313,301 = 0.123</w:t>
            </w:r>
          </w:p>
        </w:tc>
      </w:tr>
      <w:tr w:rsidR="00E73537" w:rsidRPr="00E73537" w14:paraId="1EEC2B0C" w14:textId="77777777" w:rsidTr="00CA5DBC">
        <w:trPr>
          <w:jc w:val="center"/>
        </w:trPr>
        <w:tc>
          <w:tcPr>
            <w:tcW w:w="1262" w:type="dxa"/>
            <w:hideMark/>
          </w:tcPr>
          <w:p w14:paraId="6CAD246C"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Debt-to-Equity</w:t>
            </w:r>
          </w:p>
        </w:tc>
        <w:tc>
          <w:tcPr>
            <w:tcW w:w="0" w:type="auto"/>
            <w:hideMark/>
          </w:tcPr>
          <w:p w14:paraId="495B36B3"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TL ÷ TE</w:t>
            </w:r>
          </w:p>
        </w:tc>
        <w:tc>
          <w:tcPr>
            <w:tcW w:w="0" w:type="auto"/>
            <w:hideMark/>
          </w:tcPr>
          <w:p w14:paraId="4B4E476B"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170,249 ÷ 153,105</w:t>
            </w:r>
          </w:p>
        </w:tc>
        <w:tc>
          <w:tcPr>
            <w:tcW w:w="0" w:type="auto"/>
            <w:hideMark/>
          </w:tcPr>
          <w:p w14:paraId="1516BE46"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1.112</w:t>
            </w:r>
          </w:p>
        </w:tc>
        <w:tc>
          <w:tcPr>
            <w:tcW w:w="0" w:type="auto"/>
            <w:hideMark/>
          </w:tcPr>
          <w:p w14:paraId="248E3436"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176,952 ÷ 178,920</w:t>
            </w:r>
          </w:p>
        </w:tc>
        <w:tc>
          <w:tcPr>
            <w:tcW w:w="493" w:type="dxa"/>
            <w:hideMark/>
          </w:tcPr>
          <w:p w14:paraId="7E75B89B" w14:textId="77777777" w:rsidR="00394CC2" w:rsidRPr="00E73537" w:rsidRDefault="00394CC2" w:rsidP="00033239">
            <w:pPr>
              <w:spacing w:line="360" w:lineRule="auto"/>
              <w:jc w:val="left"/>
              <w:rPr>
                <w:rFonts w:ascii="Arial" w:hAnsi="Arial" w:cs="Arial"/>
                <w:lang w:val="en-IN"/>
              </w:rPr>
            </w:pPr>
            <w:r w:rsidRPr="00E73537">
              <w:rPr>
                <w:rFonts w:ascii="Arial" w:hAnsi="Arial" w:cs="Arial"/>
                <w:b/>
                <w:bCs/>
                <w:lang w:val="en-IN"/>
              </w:rPr>
              <w:t>0.989</w:t>
            </w:r>
          </w:p>
        </w:tc>
        <w:tc>
          <w:tcPr>
            <w:tcW w:w="1616" w:type="dxa"/>
            <w:hideMark/>
          </w:tcPr>
          <w:p w14:paraId="05380CF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235,757 ÷ 268,406 = 0.878</w:t>
            </w:r>
          </w:p>
        </w:tc>
        <w:tc>
          <w:tcPr>
            <w:tcW w:w="0" w:type="auto"/>
            <w:hideMark/>
          </w:tcPr>
          <w:p w14:paraId="525646E8"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234,399 ÷ 275,949 = 0.849</w:t>
            </w:r>
          </w:p>
        </w:tc>
        <w:tc>
          <w:tcPr>
            <w:tcW w:w="0" w:type="auto"/>
            <w:hideMark/>
          </w:tcPr>
          <w:p w14:paraId="52EB10B1" w14:textId="77777777" w:rsidR="00394CC2" w:rsidRPr="00E73537" w:rsidRDefault="00394CC2" w:rsidP="00033239">
            <w:pPr>
              <w:spacing w:line="360" w:lineRule="auto"/>
              <w:jc w:val="left"/>
              <w:rPr>
                <w:rFonts w:ascii="Arial" w:hAnsi="Arial" w:cs="Arial"/>
                <w:lang w:val="en-IN"/>
              </w:rPr>
            </w:pPr>
            <w:r w:rsidRPr="00E73537">
              <w:rPr>
                <w:rFonts w:ascii="Arial" w:hAnsi="Arial" w:cs="Arial"/>
                <w:lang w:val="en-IN"/>
              </w:rPr>
              <w:t>196,989 ÷ 313,301 = 0.629</w:t>
            </w:r>
          </w:p>
        </w:tc>
      </w:tr>
    </w:tbl>
    <w:p w14:paraId="1B8B3069" w14:textId="1BFE7999" w:rsidR="00D300FA" w:rsidRPr="00E73537" w:rsidRDefault="00C10957" w:rsidP="00033239">
      <w:pPr>
        <w:pStyle w:val="Heading2"/>
        <w:rPr>
          <w:rFonts w:ascii="Arial" w:hAnsi="Arial" w:cs="Arial"/>
          <w:lang w:val="en-GB"/>
        </w:rPr>
      </w:pPr>
      <w:bookmarkStart w:id="63" w:name="_Toc216188952"/>
      <w:r w:rsidRPr="00E73537">
        <w:rPr>
          <w:rFonts w:ascii="Arial" w:hAnsi="Arial" w:cs="Arial"/>
          <w:lang w:val="en-GB"/>
        </w:rPr>
        <w:lastRenderedPageBreak/>
        <w:t>Appendix 3: Calculation of Altman Z Score</w:t>
      </w:r>
      <w:bookmarkEnd w:id="63"/>
    </w:p>
    <w:p w14:paraId="45CCF739" w14:textId="77777777" w:rsidR="00D300FA" w:rsidRPr="00E73537" w:rsidRDefault="00C10957" w:rsidP="00033239">
      <w:pPr>
        <w:jc w:val="center"/>
        <w:rPr>
          <w:rFonts w:ascii="Arial" w:hAnsi="Arial" w:cs="Arial"/>
          <w:lang w:val="en-GB"/>
        </w:rPr>
      </w:pPr>
      <w:r w:rsidRPr="00E73537">
        <w:rPr>
          <w:rFonts w:ascii="Arial" w:hAnsi="Arial" w:cs="Arial"/>
          <w:noProof/>
          <w:lang w:val="en-GB"/>
        </w:rPr>
        <w:drawing>
          <wp:inline distT="114300" distB="114300" distL="114300" distR="114300" wp14:anchorId="2A2751BD" wp14:editId="41778738">
            <wp:extent cx="5731200" cy="5588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0"/>
                    <a:srcRect/>
                    <a:stretch>
                      <a:fillRect/>
                    </a:stretch>
                  </pic:blipFill>
                  <pic:spPr>
                    <a:xfrm>
                      <a:off x="0" y="0"/>
                      <a:ext cx="5731200" cy="558800"/>
                    </a:xfrm>
                    <a:prstGeom prst="rect">
                      <a:avLst/>
                    </a:prstGeom>
                    <a:ln w="12700">
                      <a:solidFill>
                        <a:srgbClr val="000000"/>
                      </a:solidFill>
                      <a:prstDash val="solid"/>
                    </a:ln>
                  </pic:spPr>
                </pic:pic>
              </a:graphicData>
            </a:graphic>
          </wp:inline>
        </w:drawing>
      </w:r>
    </w:p>
    <w:p w14:paraId="390F6154" w14:textId="2554FCCB" w:rsidR="00AE4805" w:rsidRPr="00E73537" w:rsidRDefault="00AE4805" w:rsidP="00033239">
      <w:pPr>
        <w:rPr>
          <w:rFonts w:ascii="Arial" w:hAnsi="Arial" w:cs="Arial"/>
          <w:b/>
          <w:bCs/>
          <w:i/>
          <w:iCs/>
          <w:lang w:val="en-GB"/>
        </w:rPr>
      </w:pPr>
      <w:r w:rsidRPr="00E73537">
        <w:rPr>
          <w:rFonts w:ascii="Arial" w:hAnsi="Arial" w:cs="Arial"/>
          <w:b/>
          <w:bCs/>
          <w:i/>
          <w:iCs/>
          <w:lang w:val="en-GB"/>
        </w:rPr>
        <w:t>2024</w:t>
      </w:r>
    </w:p>
    <w:p w14:paraId="3EA5C4E1" w14:textId="4872BB8E" w:rsidR="00AE4805" w:rsidRPr="00E73537" w:rsidRDefault="00AE4805" w:rsidP="00033239">
      <w:pPr>
        <w:rPr>
          <w:rFonts w:ascii="Arial" w:hAnsi="Arial" w:cs="Arial"/>
          <w:lang w:val="en-GB"/>
        </w:rPr>
      </w:pPr>
      <w:r w:rsidRPr="00E73537">
        <w:rPr>
          <w:rFonts w:ascii="Arial" w:hAnsi="Arial" w:cs="Arial"/>
          <w:lang w:val="en-GB"/>
        </w:rPr>
        <w:t>X1 = 0.260405 → 2.20016714 × 0.260405 = 0.573013111</w:t>
      </w:r>
    </w:p>
    <w:p w14:paraId="33ADA215" w14:textId="74921F2F" w:rsidR="00AE4805" w:rsidRPr="00E73537" w:rsidRDefault="00AE4805" w:rsidP="00033239">
      <w:pPr>
        <w:rPr>
          <w:rFonts w:ascii="Arial" w:hAnsi="Arial" w:cs="Arial"/>
          <w:lang w:val="en-GB"/>
        </w:rPr>
      </w:pPr>
      <w:r w:rsidRPr="00E73537">
        <w:rPr>
          <w:rFonts w:ascii="Arial" w:hAnsi="Arial" w:cs="Arial"/>
          <w:lang w:val="en-GB"/>
        </w:rPr>
        <w:t>X2 = 0.644591 → (−0.27061143) × 0.644591 = −0.174498628</w:t>
      </w:r>
    </w:p>
    <w:p w14:paraId="72185DDE" w14:textId="24C33DCB" w:rsidR="00AE4805" w:rsidRPr="00E73537" w:rsidRDefault="00AE4805" w:rsidP="00033239">
      <w:pPr>
        <w:rPr>
          <w:rFonts w:ascii="Arial" w:hAnsi="Arial" w:cs="Arial"/>
          <w:lang w:val="en-GB"/>
        </w:rPr>
      </w:pPr>
      <w:r w:rsidRPr="00E73537">
        <w:rPr>
          <w:rFonts w:ascii="Arial" w:hAnsi="Arial" w:cs="Arial"/>
          <w:lang w:val="en-GB"/>
        </w:rPr>
        <w:t>X3 = −0.047307 → 4.84125894 × (−0.047307) = −0.228640501</w:t>
      </w:r>
    </w:p>
    <w:p w14:paraId="4A0CE1EA" w14:textId="712667FD" w:rsidR="00AE4805" w:rsidRPr="00E73537" w:rsidRDefault="00AE4805" w:rsidP="00033239">
      <w:pPr>
        <w:rPr>
          <w:rFonts w:ascii="Arial" w:hAnsi="Arial" w:cs="Arial"/>
          <w:lang w:val="en-GB"/>
        </w:rPr>
      </w:pPr>
      <w:r w:rsidRPr="00E73537">
        <w:rPr>
          <w:rFonts w:ascii="Arial" w:hAnsi="Arial" w:cs="Arial"/>
          <w:lang w:val="en-GB"/>
        </w:rPr>
        <w:t>X4 = 0.899300 → 0.58916916 × 0.899300 = 0.529638111</w:t>
      </w:r>
    </w:p>
    <w:p w14:paraId="1BC7B5D0" w14:textId="69704D8B" w:rsidR="00AE4805" w:rsidRPr="00E73537" w:rsidRDefault="00AE4805" w:rsidP="00033239">
      <w:pPr>
        <w:rPr>
          <w:rFonts w:ascii="Arial" w:hAnsi="Arial" w:cs="Arial"/>
          <w:lang w:val="en-GB"/>
        </w:rPr>
      </w:pPr>
      <w:r w:rsidRPr="00E73537">
        <w:rPr>
          <w:rFonts w:ascii="Arial" w:hAnsi="Arial" w:cs="Arial"/>
          <w:lang w:val="en-GB"/>
        </w:rPr>
        <w:t>X5 = 1.221197 → 0.91205413 × 1.221197 = 1.113600291</w:t>
      </w:r>
    </w:p>
    <w:p w14:paraId="47B1BAE0" w14:textId="145BB846" w:rsidR="00AE4805" w:rsidRPr="00E73537" w:rsidRDefault="00AE4805" w:rsidP="00033239">
      <w:pPr>
        <w:rPr>
          <w:rFonts w:ascii="Arial" w:hAnsi="Arial" w:cs="Arial"/>
          <w:lang w:val="en-GB"/>
        </w:rPr>
      </w:pPr>
      <w:r w:rsidRPr="00E73537">
        <w:rPr>
          <w:rFonts w:ascii="Arial" w:hAnsi="Arial" w:cs="Arial"/>
          <w:lang w:val="en-GB"/>
        </w:rPr>
        <w:t>Sum: 0.573013111 − 0.174498628 − 0.228640501 + 0.529638111 + 1.113600291 = 1.813112985</w:t>
      </w:r>
    </w:p>
    <w:p w14:paraId="33F37E1B" w14:textId="77777777" w:rsidR="00AE4805" w:rsidRPr="00E73537" w:rsidRDefault="00AE4805" w:rsidP="00033239">
      <w:pPr>
        <w:rPr>
          <w:rFonts w:ascii="Arial" w:hAnsi="Arial" w:cs="Arial"/>
          <w:lang w:val="en-GB"/>
        </w:rPr>
      </w:pPr>
      <w:r w:rsidRPr="00E73537">
        <w:rPr>
          <w:rFonts w:ascii="Arial" w:hAnsi="Arial" w:cs="Arial"/>
          <w:lang w:val="en-GB"/>
        </w:rPr>
        <w:t>Z (2024) = 1.813112985</w:t>
      </w:r>
    </w:p>
    <w:p w14:paraId="6A6F0AA7" w14:textId="3925663A" w:rsidR="00AE4805" w:rsidRPr="00E73537" w:rsidRDefault="00AE4805" w:rsidP="00033239">
      <w:pPr>
        <w:rPr>
          <w:rFonts w:ascii="Arial" w:hAnsi="Arial" w:cs="Arial"/>
          <w:b/>
          <w:bCs/>
          <w:i/>
          <w:iCs/>
          <w:lang w:val="en-GB"/>
        </w:rPr>
      </w:pPr>
      <w:r w:rsidRPr="00E73537">
        <w:rPr>
          <w:rFonts w:ascii="Arial" w:hAnsi="Arial" w:cs="Arial"/>
          <w:b/>
          <w:bCs/>
          <w:i/>
          <w:iCs/>
          <w:lang w:val="en-GB"/>
        </w:rPr>
        <w:t>2023</w:t>
      </w:r>
    </w:p>
    <w:p w14:paraId="1D0914FB" w14:textId="6ACFA2F3" w:rsidR="00AE4805" w:rsidRPr="00E73537" w:rsidRDefault="00AE4805" w:rsidP="00033239">
      <w:pPr>
        <w:rPr>
          <w:rFonts w:ascii="Arial" w:hAnsi="Arial" w:cs="Arial"/>
          <w:lang w:val="en-GB"/>
        </w:rPr>
      </w:pPr>
      <w:r w:rsidRPr="00E73537">
        <w:rPr>
          <w:rFonts w:ascii="Arial" w:hAnsi="Arial" w:cs="Arial"/>
          <w:lang w:val="en-GB"/>
        </w:rPr>
        <w:t>X1 = 0.274545 → 2.20016714 × 0.274545 = 0.603999760</w:t>
      </w:r>
    </w:p>
    <w:p w14:paraId="63344668" w14:textId="3AAB22FD" w:rsidR="00AE4805" w:rsidRPr="00E73537" w:rsidRDefault="00AE4805" w:rsidP="00033239">
      <w:pPr>
        <w:rPr>
          <w:rFonts w:ascii="Arial" w:hAnsi="Arial" w:cs="Arial"/>
          <w:lang w:val="en-GB"/>
        </w:rPr>
      </w:pPr>
      <w:r w:rsidRPr="00E73537">
        <w:rPr>
          <w:rFonts w:ascii="Arial" w:hAnsi="Arial" w:cs="Arial"/>
          <w:lang w:val="en-GB"/>
        </w:rPr>
        <w:t>X2 = 0.653212 → (−0.27061143) × 0.653212 = −0.176725781</w:t>
      </w:r>
    </w:p>
    <w:p w14:paraId="63D12CB4" w14:textId="526A0E2A" w:rsidR="00AE4805" w:rsidRPr="00E73537" w:rsidRDefault="00AE4805" w:rsidP="00033239">
      <w:pPr>
        <w:rPr>
          <w:rFonts w:ascii="Arial" w:hAnsi="Arial" w:cs="Arial"/>
          <w:lang w:val="en-GB"/>
        </w:rPr>
      </w:pPr>
      <w:r w:rsidRPr="00E73537">
        <w:rPr>
          <w:rFonts w:ascii="Arial" w:hAnsi="Arial" w:cs="Arial"/>
          <w:lang w:val="en-GB"/>
        </w:rPr>
        <w:t>X3 = −0.239696 → 4.84125894 × (−0.239696) = −1.160610541</w:t>
      </w:r>
    </w:p>
    <w:p w14:paraId="075105AA" w14:textId="49AE3B52" w:rsidR="00AE4805" w:rsidRPr="00E73537" w:rsidRDefault="00AE4805" w:rsidP="00033239">
      <w:pPr>
        <w:rPr>
          <w:rFonts w:ascii="Arial" w:hAnsi="Arial" w:cs="Arial"/>
          <w:lang w:val="en-GB"/>
        </w:rPr>
      </w:pPr>
      <w:r w:rsidRPr="00E73537">
        <w:rPr>
          <w:rFonts w:ascii="Arial" w:hAnsi="Arial" w:cs="Arial"/>
          <w:lang w:val="en-GB"/>
        </w:rPr>
        <w:t>X4 = 1.011122 → 0.58916916 × 1.011122 = 0.595051538</w:t>
      </w:r>
    </w:p>
    <w:p w14:paraId="6B94451D" w14:textId="3C269F5E" w:rsidR="00AE4805" w:rsidRPr="00E73537" w:rsidRDefault="00AE4805" w:rsidP="00033239">
      <w:pPr>
        <w:rPr>
          <w:rFonts w:ascii="Arial" w:hAnsi="Arial" w:cs="Arial"/>
          <w:lang w:val="en-GB"/>
        </w:rPr>
      </w:pPr>
      <w:r w:rsidRPr="00E73537">
        <w:rPr>
          <w:rFonts w:ascii="Arial" w:hAnsi="Arial" w:cs="Arial"/>
          <w:lang w:val="en-GB"/>
        </w:rPr>
        <w:t>X5 = 1.181484 → 0.91205413 × 1.181484 = 1.079432134</w:t>
      </w:r>
    </w:p>
    <w:p w14:paraId="322C6937" w14:textId="77777777" w:rsidR="00AE4805" w:rsidRPr="00E73537" w:rsidRDefault="00AE4805" w:rsidP="00033239">
      <w:pPr>
        <w:rPr>
          <w:rFonts w:ascii="Arial" w:hAnsi="Arial" w:cs="Arial"/>
          <w:lang w:val="en-GB"/>
        </w:rPr>
      </w:pPr>
      <w:r w:rsidRPr="00E73537">
        <w:rPr>
          <w:rFonts w:ascii="Arial" w:hAnsi="Arial" w:cs="Arial"/>
          <w:lang w:val="en-GB"/>
        </w:rPr>
        <w:t>Sum: 0.603999760 − 0.176725781 − 1.160610541 + 0.595051538 + 1.079432134 = 0.940147110</w:t>
      </w:r>
    </w:p>
    <w:p w14:paraId="6F57C2DF" w14:textId="643FCFDE" w:rsidR="00AE4805" w:rsidRPr="00E73537" w:rsidRDefault="00AE4805" w:rsidP="00033239">
      <w:pPr>
        <w:rPr>
          <w:rFonts w:ascii="Arial" w:hAnsi="Arial" w:cs="Arial"/>
          <w:lang w:val="en-GB"/>
        </w:rPr>
      </w:pPr>
      <w:r w:rsidRPr="00E73537">
        <w:rPr>
          <w:rFonts w:ascii="Arial" w:hAnsi="Arial" w:cs="Arial"/>
          <w:lang w:val="en-GB"/>
        </w:rPr>
        <w:t>Z (2023) = 0.940147110</w:t>
      </w:r>
    </w:p>
    <w:p w14:paraId="4ECAD0A2" w14:textId="7F165E26" w:rsidR="00AE4805" w:rsidRPr="00E73537" w:rsidRDefault="00AE4805" w:rsidP="00033239">
      <w:pPr>
        <w:rPr>
          <w:rFonts w:ascii="Arial" w:hAnsi="Arial" w:cs="Arial"/>
          <w:b/>
          <w:bCs/>
          <w:i/>
          <w:iCs/>
          <w:lang w:val="en-GB"/>
        </w:rPr>
      </w:pPr>
      <w:r w:rsidRPr="00E73537">
        <w:rPr>
          <w:rFonts w:ascii="Arial" w:hAnsi="Arial" w:cs="Arial"/>
          <w:b/>
          <w:bCs/>
          <w:i/>
          <w:iCs/>
          <w:lang w:val="en-GB"/>
        </w:rPr>
        <w:t>2022</w:t>
      </w:r>
    </w:p>
    <w:p w14:paraId="42487273" w14:textId="1826C43B" w:rsidR="00AE4805" w:rsidRPr="00E73537" w:rsidRDefault="00AE4805" w:rsidP="00033239">
      <w:pPr>
        <w:rPr>
          <w:rFonts w:ascii="Arial" w:hAnsi="Arial" w:cs="Arial"/>
          <w:lang w:val="en-GB"/>
        </w:rPr>
      </w:pPr>
      <w:r w:rsidRPr="00E73537">
        <w:rPr>
          <w:rFonts w:ascii="Arial" w:hAnsi="Arial" w:cs="Arial"/>
          <w:lang w:val="en-GB"/>
        </w:rPr>
        <w:t>X1 = 0.241126 → 2.20016714 × 0.241126 = 0.530477691</w:t>
      </w:r>
    </w:p>
    <w:p w14:paraId="7F7296A1" w14:textId="2242B89E" w:rsidR="00AE4805" w:rsidRPr="00E73537" w:rsidRDefault="00AE4805" w:rsidP="00033239">
      <w:pPr>
        <w:rPr>
          <w:rFonts w:ascii="Arial" w:hAnsi="Arial" w:cs="Arial"/>
          <w:lang w:val="en-GB"/>
        </w:rPr>
      </w:pPr>
      <w:r w:rsidRPr="00E73537">
        <w:rPr>
          <w:rFonts w:ascii="Arial" w:hAnsi="Arial" w:cs="Arial"/>
          <w:lang w:val="en-GB"/>
        </w:rPr>
        <w:t>X2 = 0.655935 → (−0.27061143) × 0.655935 = −0.177481330</w:t>
      </w:r>
    </w:p>
    <w:p w14:paraId="0E813965" w14:textId="74B14D2D" w:rsidR="00AE4805" w:rsidRPr="00E73537" w:rsidRDefault="00AE4805" w:rsidP="00033239">
      <w:pPr>
        <w:rPr>
          <w:rFonts w:ascii="Arial" w:hAnsi="Arial" w:cs="Arial"/>
          <w:lang w:val="en-GB"/>
        </w:rPr>
      </w:pPr>
      <w:r w:rsidRPr="00E73537">
        <w:rPr>
          <w:rFonts w:ascii="Arial" w:hAnsi="Arial" w:cs="Arial"/>
          <w:lang w:val="en-GB"/>
        </w:rPr>
        <w:t>X3 = 0.028856 → 4.84125894 × 0.028856 = 0.139903149</w:t>
      </w:r>
    </w:p>
    <w:p w14:paraId="693C4E3F" w14:textId="50EAB800" w:rsidR="00AE4805" w:rsidRPr="00E73537" w:rsidRDefault="00AE4805" w:rsidP="00033239">
      <w:pPr>
        <w:rPr>
          <w:rFonts w:ascii="Arial" w:hAnsi="Arial" w:cs="Arial"/>
          <w:lang w:val="en-GB"/>
        </w:rPr>
      </w:pPr>
      <w:r w:rsidRPr="00E73537">
        <w:rPr>
          <w:rFonts w:ascii="Arial" w:hAnsi="Arial" w:cs="Arial"/>
          <w:lang w:val="en-GB"/>
        </w:rPr>
        <w:t>X4 = 1.138486 → 0.58916916 × 1.138486 = 0.670015179</w:t>
      </w:r>
    </w:p>
    <w:p w14:paraId="1B1E1ADF" w14:textId="57A1AD31" w:rsidR="00AE4805" w:rsidRPr="00E73537" w:rsidRDefault="00AE4805" w:rsidP="00033239">
      <w:pPr>
        <w:rPr>
          <w:rFonts w:ascii="Arial" w:hAnsi="Arial" w:cs="Arial"/>
          <w:lang w:val="en-GB"/>
        </w:rPr>
      </w:pPr>
      <w:r w:rsidRPr="00E73537">
        <w:rPr>
          <w:rFonts w:ascii="Arial" w:hAnsi="Arial" w:cs="Arial"/>
          <w:lang w:val="en-GB"/>
        </w:rPr>
        <w:t>X5 = 1.076539 → 0.91205413 × 1.076539 = 0.991421357</w:t>
      </w:r>
    </w:p>
    <w:p w14:paraId="6CF99FFF" w14:textId="77777777" w:rsidR="00AE4805" w:rsidRPr="00E73537" w:rsidRDefault="00AE4805" w:rsidP="00033239">
      <w:pPr>
        <w:rPr>
          <w:rFonts w:ascii="Arial" w:hAnsi="Arial" w:cs="Arial"/>
          <w:lang w:val="en-GB"/>
        </w:rPr>
      </w:pPr>
      <w:r w:rsidRPr="00E73537">
        <w:rPr>
          <w:rFonts w:ascii="Arial" w:hAnsi="Arial" w:cs="Arial"/>
          <w:lang w:val="en-GB"/>
        </w:rPr>
        <w:t>Sum: 0.530477691 − 0.177481330 + 0.139903149 + 0.670015179 + 0.991421357 = 2.145336046</w:t>
      </w:r>
    </w:p>
    <w:p w14:paraId="0DAD6FE3" w14:textId="6D52B737" w:rsidR="00AE4805" w:rsidRPr="00E73537" w:rsidRDefault="00AE4805" w:rsidP="00033239">
      <w:pPr>
        <w:rPr>
          <w:rFonts w:ascii="Arial" w:hAnsi="Arial" w:cs="Arial"/>
          <w:lang w:val="en-GB"/>
        </w:rPr>
      </w:pPr>
      <w:r w:rsidRPr="00E73537">
        <w:rPr>
          <w:rFonts w:ascii="Arial" w:hAnsi="Arial" w:cs="Arial"/>
          <w:lang w:val="en-GB"/>
        </w:rPr>
        <w:t>Z (2022) ≈ 2.145336046</w:t>
      </w:r>
    </w:p>
    <w:p w14:paraId="0674EE91" w14:textId="194BB2BE" w:rsidR="00AE4805" w:rsidRPr="00E73537" w:rsidRDefault="00AE4805" w:rsidP="00033239">
      <w:pPr>
        <w:rPr>
          <w:rFonts w:ascii="Arial" w:hAnsi="Arial" w:cs="Arial"/>
          <w:b/>
          <w:bCs/>
          <w:i/>
          <w:iCs/>
          <w:lang w:val="en-GB"/>
        </w:rPr>
      </w:pPr>
      <w:r w:rsidRPr="00E73537">
        <w:rPr>
          <w:rFonts w:ascii="Arial" w:hAnsi="Arial" w:cs="Arial"/>
          <w:b/>
          <w:bCs/>
          <w:i/>
          <w:iCs/>
          <w:lang w:val="en-GB"/>
        </w:rPr>
        <w:t>2021</w:t>
      </w:r>
    </w:p>
    <w:p w14:paraId="0B92B0A7" w14:textId="0814DCF2" w:rsidR="00AE4805" w:rsidRPr="00E73537" w:rsidRDefault="00AE4805" w:rsidP="00033239">
      <w:pPr>
        <w:rPr>
          <w:rFonts w:ascii="Arial" w:hAnsi="Arial" w:cs="Arial"/>
          <w:lang w:val="en-GB"/>
        </w:rPr>
      </w:pPr>
      <w:r w:rsidRPr="00E73537">
        <w:rPr>
          <w:rFonts w:ascii="Arial" w:hAnsi="Arial" w:cs="Arial"/>
          <w:lang w:val="en-GB"/>
        </w:rPr>
        <w:t>X1 = 0.235837 → 2.20016714 × 0.235837 = 0.518821229</w:t>
      </w:r>
    </w:p>
    <w:p w14:paraId="43AD1D0B" w14:textId="236CF30D" w:rsidR="00AE4805" w:rsidRPr="00E73537" w:rsidRDefault="00AE4805" w:rsidP="00033239">
      <w:pPr>
        <w:rPr>
          <w:rFonts w:ascii="Arial" w:hAnsi="Arial" w:cs="Arial"/>
          <w:lang w:val="en-GB"/>
        </w:rPr>
      </w:pPr>
      <w:r w:rsidRPr="00E73537">
        <w:rPr>
          <w:rFonts w:ascii="Arial" w:hAnsi="Arial" w:cs="Arial"/>
          <w:lang w:val="en-GB"/>
        </w:rPr>
        <w:t>X2 = 0.647188 → (−0.27061143) × 0.647188 = −0.175571066</w:t>
      </w:r>
    </w:p>
    <w:p w14:paraId="2C2C7992" w14:textId="25B509F9" w:rsidR="00AE4805" w:rsidRPr="00E73537" w:rsidRDefault="00AE4805" w:rsidP="00033239">
      <w:pPr>
        <w:rPr>
          <w:rFonts w:ascii="Arial" w:hAnsi="Arial" w:cs="Arial"/>
          <w:lang w:val="en-GB"/>
        </w:rPr>
      </w:pPr>
      <w:r w:rsidRPr="00E73537">
        <w:rPr>
          <w:rFonts w:ascii="Arial" w:hAnsi="Arial" w:cs="Arial"/>
          <w:lang w:val="en-GB"/>
        </w:rPr>
        <w:lastRenderedPageBreak/>
        <w:t>X3 = 0.045563 → 4.84125894 × 0.045563 = 0.220626589</w:t>
      </w:r>
    </w:p>
    <w:p w14:paraId="64D9D3C2" w14:textId="2D4C5D8A" w:rsidR="00AE4805" w:rsidRPr="00E73537" w:rsidRDefault="00AE4805" w:rsidP="00033239">
      <w:pPr>
        <w:rPr>
          <w:rFonts w:ascii="Arial" w:hAnsi="Arial" w:cs="Arial"/>
          <w:lang w:val="en-GB"/>
        </w:rPr>
      </w:pPr>
      <w:r w:rsidRPr="00E73537">
        <w:rPr>
          <w:rFonts w:ascii="Arial" w:hAnsi="Arial" w:cs="Arial"/>
          <w:lang w:val="en-GB"/>
        </w:rPr>
        <w:t>X4 = 1.177262 → 0.58916916 × 1.177262 = 0.693292861</w:t>
      </w:r>
    </w:p>
    <w:p w14:paraId="24B55C36" w14:textId="65AD46EE" w:rsidR="00AE4805" w:rsidRPr="00E73537" w:rsidRDefault="00AE4805" w:rsidP="00033239">
      <w:pPr>
        <w:rPr>
          <w:rFonts w:ascii="Arial" w:hAnsi="Arial" w:cs="Arial"/>
          <w:lang w:val="en-GB"/>
        </w:rPr>
      </w:pPr>
      <w:r w:rsidRPr="00E73537">
        <w:rPr>
          <w:rFonts w:ascii="Arial" w:hAnsi="Arial" w:cs="Arial"/>
          <w:lang w:val="en-GB"/>
        </w:rPr>
        <w:t>X5 = 1.178807 → 0.91205413 × 1.178807 = 1.075897269</w:t>
      </w:r>
    </w:p>
    <w:p w14:paraId="40702523" w14:textId="77777777" w:rsidR="00AE4805" w:rsidRPr="00E73537" w:rsidRDefault="00AE4805" w:rsidP="00033239">
      <w:pPr>
        <w:rPr>
          <w:rFonts w:ascii="Arial" w:hAnsi="Arial" w:cs="Arial"/>
          <w:lang w:val="en-GB"/>
        </w:rPr>
      </w:pPr>
      <w:r w:rsidRPr="00E73537">
        <w:rPr>
          <w:rFonts w:ascii="Arial" w:hAnsi="Arial" w:cs="Arial"/>
          <w:lang w:val="en-GB"/>
        </w:rPr>
        <w:t>Sum: 0.518821229 − 0.175571066 + 0.220626589 + 0.693292861 + 1.075897269 = 2.333066881</w:t>
      </w:r>
    </w:p>
    <w:p w14:paraId="1012F211" w14:textId="294D801D" w:rsidR="00AE4805" w:rsidRPr="00E73537" w:rsidRDefault="00AE4805" w:rsidP="00033239">
      <w:pPr>
        <w:rPr>
          <w:rFonts w:ascii="Arial" w:hAnsi="Arial" w:cs="Arial"/>
          <w:lang w:val="en-GB"/>
        </w:rPr>
      </w:pPr>
      <w:r w:rsidRPr="00E73537">
        <w:rPr>
          <w:rFonts w:ascii="Arial" w:hAnsi="Arial" w:cs="Arial"/>
          <w:lang w:val="en-GB"/>
        </w:rPr>
        <w:t>Z (2021) ≈ 2.333068882</w:t>
      </w:r>
    </w:p>
    <w:p w14:paraId="5DE6EE14" w14:textId="1D38AE8E" w:rsidR="00AE4805" w:rsidRPr="00E73537" w:rsidRDefault="00AE4805" w:rsidP="00033239">
      <w:pPr>
        <w:rPr>
          <w:rFonts w:ascii="Arial" w:hAnsi="Arial" w:cs="Arial"/>
          <w:b/>
          <w:bCs/>
          <w:i/>
          <w:iCs/>
          <w:lang w:val="en-GB"/>
        </w:rPr>
      </w:pPr>
      <w:r w:rsidRPr="00E73537">
        <w:rPr>
          <w:rFonts w:ascii="Arial" w:hAnsi="Arial" w:cs="Arial"/>
          <w:b/>
          <w:bCs/>
          <w:i/>
          <w:iCs/>
          <w:lang w:val="en-GB"/>
        </w:rPr>
        <w:t>2020</w:t>
      </w:r>
    </w:p>
    <w:p w14:paraId="15DB7BCB" w14:textId="228D4525" w:rsidR="00AE4805" w:rsidRPr="00E73537" w:rsidRDefault="00AE4805" w:rsidP="00033239">
      <w:pPr>
        <w:rPr>
          <w:rFonts w:ascii="Arial" w:hAnsi="Arial" w:cs="Arial"/>
          <w:lang w:val="en-GB"/>
        </w:rPr>
      </w:pPr>
      <w:r w:rsidRPr="00E73537">
        <w:rPr>
          <w:rFonts w:ascii="Arial" w:hAnsi="Arial" w:cs="Arial"/>
          <w:lang w:val="en-GB"/>
        </w:rPr>
        <w:t>X1 = 0.288724 → 2.20016714 × 0.288724 = 0.635193828</w:t>
      </w:r>
    </w:p>
    <w:p w14:paraId="5756FF92" w14:textId="20A261D4" w:rsidR="00AE4805" w:rsidRPr="00E73537" w:rsidRDefault="00AE4805" w:rsidP="00033239">
      <w:pPr>
        <w:rPr>
          <w:rFonts w:ascii="Arial" w:hAnsi="Arial" w:cs="Arial"/>
          <w:lang w:val="en-GB"/>
        </w:rPr>
      </w:pPr>
      <w:r w:rsidRPr="00E73537">
        <w:rPr>
          <w:rFonts w:ascii="Arial" w:hAnsi="Arial" w:cs="Arial"/>
          <w:lang w:val="en-GB"/>
        </w:rPr>
        <w:t>X2 = 0.636873 → (−0.27061143) × 0.636873 = −0.172665226</w:t>
      </w:r>
    </w:p>
    <w:p w14:paraId="2CA8D608" w14:textId="108FBD23" w:rsidR="00AE4805" w:rsidRPr="00E73537" w:rsidRDefault="00AE4805" w:rsidP="00033239">
      <w:pPr>
        <w:rPr>
          <w:rFonts w:ascii="Arial" w:hAnsi="Arial" w:cs="Arial"/>
          <w:lang w:val="en-GB"/>
        </w:rPr>
      </w:pPr>
      <w:r w:rsidRPr="00E73537">
        <w:rPr>
          <w:rFonts w:ascii="Arial" w:hAnsi="Arial" w:cs="Arial"/>
          <w:lang w:val="en-GB"/>
        </w:rPr>
        <w:t>X3 = 0.073031 → 4.84125894 × 0.073031 = 0.353647080</w:t>
      </w:r>
    </w:p>
    <w:p w14:paraId="65941351" w14:textId="7557A740" w:rsidR="00AE4805" w:rsidRPr="00E73537" w:rsidRDefault="00AE4805" w:rsidP="00033239">
      <w:pPr>
        <w:rPr>
          <w:rFonts w:ascii="Arial" w:hAnsi="Arial" w:cs="Arial"/>
          <w:lang w:val="en-GB"/>
        </w:rPr>
      </w:pPr>
      <w:r w:rsidRPr="00E73537">
        <w:rPr>
          <w:rFonts w:ascii="Arial" w:hAnsi="Arial" w:cs="Arial"/>
          <w:lang w:val="en-GB"/>
        </w:rPr>
        <w:t>X4 = 1.590449 → 0.58916916 × 1.590449 = 0.937316052</w:t>
      </w:r>
    </w:p>
    <w:p w14:paraId="6A2DC8EC" w14:textId="3EB843A7" w:rsidR="00AE4805" w:rsidRPr="00E73537" w:rsidRDefault="00AE4805" w:rsidP="00033239">
      <w:pPr>
        <w:rPr>
          <w:rFonts w:ascii="Arial" w:hAnsi="Arial" w:cs="Arial"/>
          <w:lang w:val="en-GB"/>
        </w:rPr>
      </w:pPr>
      <w:r w:rsidRPr="00E73537">
        <w:rPr>
          <w:rFonts w:ascii="Arial" w:hAnsi="Arial" w:cs="Arial"/>
          <w:lang w:val="en-GB"/>
        </w:rPr>
        <w:t>X5 = 1.204570 → 0.91205413 × 1.204570 = 1.198642733</w:t>
      </w:r>
    </w:p>
    <w:p w14:paraId="7981FEE4" w14:textId="77777777" w:rsidR="00AE4805" w:rsidRPr="00E73537" w:rsidRDefault="00AE4805" w:rsidP="00033239">
      <w:pPr>
        <w:rPr>
          <w:rFonts w:ascii="Arial" w:hAnsi="Arial" w:cs="Arial"/>
          <w:lang w:val="en-GB"/>
        </w:rPr>
      </w:pPr>
      <w:r w:rsidRPr="00E73537">
        <w:rPr>
          <w:rFonts w:ascii="Arial" w:hAnsi="Arial" w:cs="Arial"/>
          <w:lang w:val="en-GB"/>
        </w:rPr>
        <w:t>Sum: 0.635193828 − 0.172665226 + 0.353647080 + 0.937316052 + 1.198642733 = 2.852134467</w:t>
      </w:r>
    </w:p>
    <w:p w14:paraId="57CF2727" w14:textId="3E082BD2" w:rsidR="009804F1" w:rsidRPr="00E73537" w:rsidRDefault="00AE4805" w:rsidP="00033239">
      <w:pPr>
        <w:rPr>
          <w:rFonts w:ascii="Arial" w:hAnsi="Arial" w:cs="Arial"/>
          <w:b/>
          <w:bCs/>
          <w:lang w:val="en-GB"/>
        </w:rPr>
      </w:pPr>
      <w:r w:rsidRPr="00E73537">
        <w:rPr>
          <w:rFonts w:ascii="Arial" w:hAnsi="Arial" w:cs="Arial"/>
          <w:lang w:val="en-GB"/>
        </w:rPr>
        <w:t>Z (2020) = 2.852134467</w:t>
      </w:r>
      <w:r w:rsidR="009804F1" w:rsidRPr="00E73537">
        <w:rPr>
          <w:rFonts w:ascii="Arial" w:hAnsi="Arial" w:cs="Arial"/>
          <w:lang w:val="en-GB"/>
        </w:rPr>
        <w:br w:type="page"/>
      </w:r>
    </w:p>
    <w:p w14:paraId="63351FB2" w14:textId="02C0264D" w:rsidR="00D300FA" w:rsidRPr="00E73537" w:rsidRDefault="00C10957" w:rsidP="00033239">
      <w:pPr>
        <w:pStyle w:val="Heading2"/>
        <w:rPr>
          <w:rFonts w:ascii="Arial" w:hAnsi="Arial" w:cs="Arial"/>
          <w:lang w:val="en-GB"/>
        </w:rPr>
      </w:pPr>
      <w:bookmarkStart w:id="64" w:name="_Toc216188953"/>
      <w:r w:rsidRPr="00E73537">
        <w:rPr>
          <w:rFonts w:ascii="Arial" w:hAnsi="Arial" w:cs="Arial"/>
          <w:lang w:val="en-GB"/>
        </w:rPr>
        <w:lastRenderedPageBreak/>
        <w:t>Appendix 4: Calculat</w:t>
      </w:r>
      <w:r w:rsidR="009804F1" w:rsidRPr="00E73537">
        <w:rPr>
          <w:rFonts w:ascii="Arial" w:hAnsi="Arial" w:cs="Arial"/>
          <w:lang w:val="en-GB"/>
        </w:rPr>
        <w:t>ion</w:t>
      </w:r>
      <w:r w:rsidRPr="00E73537">
        <w:rPr>
          <w:rFonts w:ascii="Arial" w:hAnsi="Arial" w:cs="Arial"/>
          <w:lang w:val="en-GB"/>
        </w:rPr>
        <w:t xml:space="preserve"> of Investment Appraisal</w:t>
      </w:r>
      <w:bookmarkEnd w:id="64"/>
    </w:p>
    <w:p w14:paraId="080DCF47" w14:textId="77777777" w:rsidR="00D300FA" w:rsidRPr="00E73537" w:rsidRDefault="00C10957" w:rsidP="00033239">
      <w:pPr>
        <w:jc w:val="center"/>
        <w:rPr>
          <w:rFonts w:ascii="Arial" w:hAnsi="Arial" w:cs="Arial"/>
          <w:lang w:val="en-GB"/>
        </w:rPr>
      </w:pPr>
      <w:r w:rsidRPr="00E73537">
        <w:rPr>
          <w:rFonts w:ascii="Arial" w:hAnsi="Arial" w:cs="Arial"/>
          <w:noProof/>
          <w:lang w:val="en-GB"/>
        </w:rPr>
        <w:drawing>
          <wp:inline distT="114300" distB="114300" distL="114300" distR="114300" wp14:anchorId="218B34BB" wp14:editId="7472A50D">
            <wp:extent cx="5731200" cy="952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1"/>
                    <a:srcRect/>
                    <a:stretch>
                      <a:fillRect/>
                    </a:stretch>
                  </pic:blipFill>
                  <pic:spPr>
                    <a:xfrm>
                      <a:off x="0" y="0"/>
                      <a:ext cx="5731200" cy="952500"/>
                    </a:xfrm>
                    <a:prstGeom prst="rect">
                      <a:avLst/>
                    </a:prstGeom>
                    <a:ln/>
                  </pic:spPr>
                </pic:pic>
              </a:graphicData>
            </a:graphic>
          </wp:inline>
        </w:drawing>
      </w:r>
    </w:p>
    <w:p w14:paraId="14D58194" w14:textId="77777777" w:rsidR="00D300FA" w:rsidRPr="00E73537" w:rsidRDefault="00C10957" w:rsidP="00033239">
      <w:pPr>
        <w:jc w:val="center"/>
        <w:rPr>
          <w:rFonts w:ascii="Arial" w:hAnsi="Arial" w:cs="Arial"/>
          <w:lang w:val="en-GB"/>
        </w:rPr>
      </w:pPr>
      <w:r w:rsidRPr="00E73537">
        <w:rPr>
          <w:rFonts w:ascii="Arial" w:hAnsi="Arial" w:cs="Arial"/>
          <w:noProof/>
          <w:lang w:val="en-GB"/>
        </w:rPr>
        <w:drawing>
          <wp:inline distT="114300" distB="114300" distL="114300" distR="114300" wp14:anchorId="6D32C99F" wp14:editId="6C9CD906">
            <wp:extent cx="6115050" cy="1266825"/>
            <wp:effectExtent l="19050" t="19050" r="19050" b="2857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2"/>
                    <a:srcRect/>
                    <a:stretch>
                      <a:fillRect/>
                    </a:stretch>
                  </pic:blipFill>
                  <pic:spPr>
                    <a:xfrm>
                      <a:off x="0" y="0"/>
                      <a:ext cx="6115412" cy="1266900"/>
                    </a:xfrm>
                    <a:prstGeom prst="rect">
                      <a:avLst/>
                    </a:prstGeom>
                    <a:ln w="12700">
                      <a:solidFill>
                        <a:srgbClr val="000000"/>
                      </a:solidFill>
                      <a:prstDash val="solid"/>
                    </a:ln>
                  </pic:spPr>
                </pic:pic>
              </a:graphicData>
            </a:graphic>
          </wp:inline>
        </w:drawing>
      </w:r>
    </w:p>
    <w:p w14:paraId="28B2744C" w14:textId="274006A3" w:rsidR="00AE4805" w:rsidRPr="00E73537" w:rsidRDefault="00AE4805" w:rsidP="00033239">
      <w:pPr>
        <w:rPr>
          <w:rFonts w:ascii="Arial" w:hAnsi="Arial" w:cs="Arial"/>
          <w:lang w:val="en-GB"/>
        </w:rPr>
      </w:pPr>
      <w:r w:rsidRPr="00E73537">
        <w:rPr>
          <w:rFonts w:ascii="Arial" w:hAnsi="Arial" w:cs="Arial"/>
          <w:lang w:val="en-GB"/>
        </w:rPr>
        <w:t>Discount rate = 10%</w:t>
      </w:r>
    </w:p>
    <w:p w14:paraId="48B32D5E" w14:textId="5E4B7461" w:rsidR="00AE4805" w:rsidRPr="00E73537" w:rsidRDefault="00AE4805" w:rsidP="00033239">
      <w:pPr>
        <w:rPr>
          <w:rFonts w:ascii="Arial" w:hAnsi="Arial" w:cs="Arial"/>
          <w:lang w:val="en-GB"/>
        </w:rPr>
      </w:pPr>
      <w:r w:rsidRPr="00E73537">
        <w:rPr>
          <w:rFonts w:ascii="Arial" w:hAnsi="Arial" w:cs="Arial"/>
          <w:lang w:val="en-GB"/>
        </w:rPr>
        <w:t>NET PRESENT VALUE (NPV)</w:t>
      </w:r>
    </w:p>
    <w:p w14:paraId="63516419" w14:textId="079608ED" w:rsidR="00AE4805" w:rsidRPr="00E73537" w:rsidRDefault="00AE4805" w:rsidP="00033239">
      <w:pPr>
        <w:rPr>
          <w:rFonts w:ascii="Arial" w:hAnsi="Arial" w:cs="Arial"/>
          <w:lang w:val="en-GB"/>
        </w:rPr>
      </w:pPr>
      <w:r w:rsidRPr="00E73537">
        <w:rPr>
          <w:rFonts w:ascii="Arial" w:hAnsi="Arial" w:cs="Arial"/>
          <w:lang w:val="en-GB"/>
        </w:rPr>
        <w:t>Formula:</w:t>
      </w:r>
      <w:r w:rsidR="00E73537">
        <w:rPr>
          <w:rFonts w:ascii="Arial" w:hAnsi="Arial" w:cs="Arial"/>
          <w:lang w:val="en-GB"/>
        </w:rPr>
        <w:t xml:space="preserve"> </w:t>
      </w:r>
      <w:r w:rsidRPr="00E73537">
        <w:rPr>
          <w:rFonts w:ascii="Arial" w:hAnsi="Arial" w:cs="Arial"/>
          <w:lang w:val="en-GB"/>
        </w:rPr>
        <w:t xml:space="preserve">NPV = Σ [ </w:t>
      </w:r>
      <w:proofErr w:type="spellStart"/>
      <w:r w:rsidRPr="00E73537">
        <w:rPr>
          <w:rFonts w:ascii="Arial" w:hAnsi="Arial" w:cs="Arial"/>
          <w:lang w:val="en-GB"/>
        </w:rPr>
        <w:t>CF_t</w:t>
      </w:r>
      <w:proofErr w:type="spellEnd"/>
      <w:r w:rsidRPr="00E73537">
        <w:rPr>
          <w:rFonts w:ascii="Arial" w:hAnsi="Arial" w:cs="Arial"/>
          <w:lang w:val="en-GB"/>
        </w:rPr>
        <w:t xml:space="preserve"> / (1 + </w:t>
      </w:r>
      <w:proofErr w:type="gramStart"/>
      <w:r w:rsidRPr="00E73537">
        <w:rPr>
          <w:rFonts w:ascii="Arial" w:hAnsi="Arial" w:cs="Arial"/>
          <w:lang w:val="en-GB"/>
        </w:rPr>
        <w:t>r)^t ]</w:t>
      </w:r>
      <w:proofErr w:type="gramEnd"/>
      <w:r w:rsidRPr="00E73537">
        <w:rPr>
          <w:rFonts w:ascii="Arial" w:hAnsi="Arial" w:cs="Arial"/>
          <w:lang w:val="en-GB"/>
        </w:rPr>
        <w:t xml:space="preserve"> – Initial Investment</w:t>
      </w:r>
    </w:p>
    <w:p w14:paraId="16EA0FBC" w14:textId="0FBC8CED" w:rsidR="00AE4805" w:rsidRPr="00E73537" w:rsidRDefault="00AE4805" w:rsidP="00033239">
      <w:pPr>
        <w:rPr>
          <w:rFonts w:ascii="Arial" w:hAnsi="Arial" w:cs="Arial"/>
          <w:lang w:val="en-GB"/>
        </w:rPr>
      </w:pPr>
      <w:r w:rsidRPr="00E73537">
        <w:rPr>
          <w:rFonts w:ascii="Arial" w:hAnsi="Arial" w:cs="Arial"/>
          <w:lang w:val="en-GB"/>
        </w:rPr>
        <w:t>Where r = 0.10 (10%)</w:t>
      </w:r>
    </w:p>
    <w:p w14:paraId="2C6A52C6" w14:textId="77777777" w:rsidR="00AE4805" w:rsidRPr="00E73537" w:rsidRDefault="00AE4805" w:rsidP="00033239">
      <w:pPr>
        <w:rPr>
          <w:rFonts w:ascii="Arial" w:hAnsi="Arial" w:cs="Arial"/>
          <w:lang w:val="en-GB"/>
        </w:rPr>
      </w:pPr>
      <w:r w:rsidRPr="00E73537">
        <w:rPr>
          <w:rFonts w:ascii="Arial" w:hAnsi="Arial" w:cs="Arial"/>
          <w:lang w:val="en-GB"/>
        </w:rPr>
        <w:t>Discount factors:</w:t>
      </w:r>
    </w:p>
    <w:p w14:paraId="05F6479B" w14:textId="77777777" w:rsidR="00AE4805" w:rsidRPr="00E73537" w:rsidRDefault="00AE4805" w:rsidP="00033239">
      <w:pPr>
        <w:rPr>
          <w:rFonts w:ascii="Arial" w:hAnsi="Arial" w:cs="Arial"/>
          <w:lang w:val="en-GB"/>
        </w:rPr>
      </w:pPr>
      <w:r w:rsidRPr="00E73537">
        <w:rPr>
          <w:rFonts w:ascii="Arial" w:hAnsi="Arial" w:cs="Arial"/>
          <w:lang w:val="en-GB"/>
        </w:rPr>
        <w:t>Year 1 → 1.1</w:t>
      </w:r>
    </w:p>
    <w:p w14:paraId="5425B855" w14:textId="77777777" w:rsidR="00AE4805" w:rsidRPr="00E73537" w:rsidRDefault="00AE4805" w:rsidP="00033239">
      <w:pPr>
        <w:rPr>
          <w:rFonts w:ascii="Arial" w:hAnsi="Arial" w:cs="Arial"/>
          <w:lang w:val="en-GB"/>
        </w:rPr>
      </w:pPr>
      <w:r w:rsidRPr="00E73537">
        <w:rPr>
          <w:rFonts w:ascii="Arial" w:hAnsi="Arial" w:cs="Arial"/>
          <w:lang w:val="en-GB"/>
        </w:rPr>
        <w:t>Year 2 → 1.21</w:t>
      </w:r>
    </w:p>
    <w:p w14:paraId="461D8978" w14:textId="77777777" w:rsidR="00AE4805" w:rsidRPr="00E73537" w:rsidRDefault="00AE4805" w:rsidP="00033239">
      <w:pPr>
        <w:rPr>
          <w:rFonts w:ascii="Arial" w:hAnsi="Arial" w:cs="Arial"/>
          <w:lang w:val="en-GB"/>
        </w:rPr>
      </w:pPr>
      <w:r w:rsidRPr="00E73537">
        <w:rPr>
          <w:rFonts w:ascii="Arial" w:hAnsi="Arial" w:cs="Arial"/>
          <w:lang w:val="en-GB"/>
        </w:rPr>
        <w:t>Year 3 → 1.331</w:t>
      </w:r>
    </w:p>
    <w:p w14:paraId="762F8C58" w14:textId="77777777" w:rsidR="00AE4805" w:rsidRPr="00E73537" w:rsidRDefault="00AE4805" w:rsidP="00033239">
      <w:pPr>
        <w:rPr>
          <w:rFonts w:ascii="Arial" w:hAnsi="Arial" w:cs="Arial"/>
          <w:lang w:val="en-GB"/>
        </w:rPr>
      </w:pPr>
      <w:r w:rsidRPr="00E73537">
        <w:rPr>
          <w:rFonts w:ascii="Arial" w:hAnsi="Arial" w:cs="Arial"/>
          <w:lang w:val="en-GB"/>
        </w:rPr>
        <w:t>Year 4 → 1.4641</w:t>
      </w:r>
    </w:p>
    <w:p w14:paraId="2E53FD95" w14:textId="4F7711D9" w:rsidR="00AE4805" w:rsidRDefault="00AE4805" w:rsidP="00033239">
      <w:pPr>
        <w:rPr>
          <w:rFonts w:ascii="Arial" w:hAnsi="Arial" w:cs="Arial"/>
          <w:lang w:val="en-GB"/>
        </w:rPr>
      </w:pPr>
      <w:r w:rsidRPr="00E73537">
        <w:rPr>
          <w:rFonts w:ascii="Arial" w:hAnsi="Arial" w:cs="Arial"/>
          <w:lang w:val="en-GB"/>
        </w:rPr>
        <w:t>Year 5 → 1.61051</w:t>
      </w:r>
    </w:p>
    <w:p w14:paraId="48CCCBBD" w14:textId="77777777" w:rsidR="00E73537" w:rsidRPr="00E73537" w:rsidRDefault="00E73537" w:rsidP="00033239">
      <w:pPr>
        <w:rPr>
          <w:rFonts w:ascii="Arial" w:hAnsi="Arial" w:cs="Arial"/>
          <w:lang w:val="en-GB"/>
        </w:rPr>
      </w:pPr>
    </w:p>
    <w:p w14:paraId="673411A5" w14:textId="77777777" w:rsidR="00AE4805" w:rsidRPr="00E73537" w:rsidRDefault="00AE4805" w:rsidP="00033239">
      <w:pPr>
        <w:rPr>
          <w:rFonts w:ascii="Arial" w:hAnsi="Arial" w:cs="Arial"/>
          <w:b/>
          <w:bCs/>
          <w:i/>
          <w:iCs/>
          <w:lang w:val="en-GB"/>
        </w:rPr>
      </w:pPr>
      <w:r w:rsidRPr="00E73537">
        <w:rPr>
          <w:rFonts w:ascii="Arial" w:hAnsi="Arial" w:cs="Arial"/>
          <w:b/>
          <w:bCs/>
          <w:i/>
          <w:iCs/>
          <w:lang w:val="en-GB"/>
        </w:rPr>
        <w:t>Project A</w:t>
      </w:r>
    </w:p>
    <w:p w14:paraId="5395E2F2" w14:textId="77777777" w:rsidR="00AE4805" w:rsidRPr="00E73537" w:rsidRDefault="00AE4805" w:rsidP="00033239">
      <w:pPr>
        <w:rPr>
          <w:rFonts w:ascii="Arial" w:hAnsi="Arial" w:cs="Arial"/>
          <w:lang w:val="en-GB"/>
        </w:rPr>
      </w:pPr>
      <w:r w:rsidRPr="00E73537">
        <w:rPr>
          <w:rFonts w:ascii="Arial" w:hAnsi="Arial" w:cs="Arial"/>
          <w:lang w:val="en-GB"/>
        </w:rPr>
        <w:t>Initial = 40</w:t>
      </w:r>
    </w:p>
    <w:p w14:paraId="3061300C" w14:textId="25F4A30D" w:rsidR="00AE4805" w:rsidRPr="00E73537" w:rsidRDefault="00AE4805" w:rsidP="00033239">
      <w:pPr>
        <w:rPr>
          <w:rFonts w:ascii="Arial" w:hAnsi="Arial" w:cs="Arial"/>
          <w:lang w:val="en-GB"/>
        </w:rPr>
      </w:pPr>
      <w:r w:rsidRPr="00E73537">
        <w:rPr>
          <w:rFonts w:ascii="Arial" w:hAnsi="Arial" w:cs="Arial"/>
          <w:lang w:val="en-GB"/>
        </w:rPr>
        <w:t>Cash flows = 10, 12, 14, 10, 8</w:t>
      </w:r>
    </w:p>
    <w:p w14:paraId="1B7D1BF8" w14:textId="77777777" w:rsidR="00AE4805" w:rsidRPr="00E73537" w:rsidRDefault="00AE4805" w:rsidP="00033239">
      <w:pPr>
        <w:rPr>
          <w:rFonts w:ascii="Arial" w:hAnsi="Arial" w:cs="Arial"/>
          <w:lang w:val="en-GB"/>
        </w:rPr>
      </w:pPr>
      <w:r w:rsidRPr="00E73537">
        <w:rPr>
          <w:rFonts w:ascii="Arial" w:hAnsi="Arial" w:cs="Arial"/>
          <w:lang w:val="en-GB"/>
        </w:rPr>
        <w:t>PV(Y1) = 10 / 1.1 = 9.090909</w:t>
      </w:r>
    </w:p>
    <w:p w14:paraId="29A6CA3E" w14:textId="77777777" w:rsidR="00AE4805" w:rsidRPr="00E73537" w:rsidRDefault="00AE4805" w:rsidP="00033239">
      <w:pPr>
        <w:rPr>
          <w:rFonts w:ascii="Arial" w:hAnsi="Arial" w:cs="Arial"/>
          <w:lang w:val="en-GB"/>
        </w:rPr>
      </w:pPr>
      <w:r w:rsidRPr="00E73537">
        <w:rPr>
          <w:rFonts w:ascii="Arial" w:hAnsi="Arial" w:cs="Arial"/>
          <w:lang w:val="en-GB"/>
        </w:rPr>
        <w:t>PV(Y2) = 12 / 1.21 = 9.917355</w:t>
      </w:r>
    </w:p>
    <w:p w14:paraId="7EA97B7F" w14:textId="77777777" w:rsidR="00AE4805" w:rsidRPr="00E73537" w:rsidRDefault="00AE4805" w:rsidP="00033239">
      <w:pPr>
        <w:rPr>
          <w:rFonts w:ascii="Arial" w:hAnsi="Arial" w:cs="Arial"/>
          <w:lang w:val="en-GB"/>
        </w:rPr>
      </w:pPr>
      <w:r w:rsidRPr="00E73537">
        <w:rPr>
          <w:rFonts w:ascii="Arial" w:hAnsi="Arial" w:cs="Arial"/>
          <w:lang w:val="en-GB"/>
        </w:rPr>
        <w:t>PV(Y3) = 14 / 1.331 = 10.523881</w:t>
      </w:r>
    </w:p>
    <w:p w14:paraId="46F3A236" w14:textId="77777777" w:rsidR="00AE4805" w:rsidRPr="00E73537" w:rsidRDefault="00AE4805" w:rsidP="00033239">
      <w:pPr>
        <w:rPr>
          <w:rFonts w:ascii="Arial" w:hAnsi="Arial" w:cs="Arial"/>
          <w:lang w:val="en-GB"/>
        </w:rPr>
      </w:pPr>
      <w:r w:rsidRPr="00E73537">
        <w:rPr>
          <w:rFonts w:ascii="Arial" w:hAnsi="Arial" w:cs="Arial"/>
          <w:lang w:val="en-GB"/>
        </w:rPr>
        <w:t>PV(Y4) = 10 / 1.4641 = 6.828372</w:t>
      </w:r>
    </w:p>
    <w:p w14:paraId="7CE5F5E2" w14:textId="351FEECF" w:rsidR="00AE4805" w:rsidRPr="00E73537" w:rsidRDefault="00AE4805" w:rsidP="00033239">
      <w:pPr>
        <w:rPr>
          <w:rFonts w:ascii="Arial" w:hAnsi="Arial" w:cs="Arial"/>
          <w:lang w:val="en-GB"/>
        </w:rPr>
      </w:pPr>
      <w:r w:rsidRPr="00E73537">
        <w:rPr>
          <w:rFonts w:ascii="Arial" w:hAnsi="Arial" w:cs="Arial"/>
          <w:lang w:val="en-GB"/>
        </w:rPr>
        <w:t>PV(Y5) = 8 / 1.61051 = 4.966185</w:t>
      </w:r>
    </w:p>
    <w:p w14:paraId="1D16D903" w14:textId="77777777" w:rsidR="00AE4805" w:rsidRPr="00E73537" w:rsidRDefault="00AE4805" w:rsidP="00033239">
      <w:pPr>
        <w:rPr>
          <w:rFonts w:ascii="Arial" w:hAnsi="Arial" w:cs="Arial"/>
          <w:lang w:val="en-GB"/>
        </w:rPr>
      </w:pPr>
      <w:r w:rsidRPr="00E73537">
        <w:rPr>
          <w:rFonts w:ascii="Arial" w:hAnsi="Arial" w:cs="Arial"/>
          <w:lang w:val="en-GB"/>
        </w:rPr>
        <w:t>Total PV inflows = 41.326702</w:t>
      </w:r>
    </w:p>
    <w:p w14:paraId="01C0982D" w14:textId="251940CF" w:rsidR="00AE4805" w:rsidRPr="00E73537" w:rsidRDefault="00AE4805" w:rsidP="00033239">
      <w:pPr>
        <w:rPr>
          <w:rFonts w:ascii="Arial" w:hAnsi="Arial" w:cs="Arial"/>
          <w:lang w:val="en-GB"/>
        </w:rPr>
      </w:pPr>
      <w:r w:rsidRPr="00E73537">
        <w:rPr>
          <w:rFonts w:ascii="Arial" w:hAnsi="Arial" w:cs="Arial"/>
          <w:lang w:val="en-GB"/>
        </w:rPr>
        <w:t>NPV = 41.326702 – 40 = 1.326702 (≈ 1.33)</w:t>
      </w:r>
    </w:p>
    <w:p w14:paraId="66AEAF01" w14:textId="77777777" w:rsidR="00E73537" w:rsidRDefault="00E73537" w:rsidP="00033239">
      <w:pPr>
        <w:rPr>
          <w:rFonts w:ascii="Arial" w:hAnsi="Arial" w:cs="Arial"/>
          <w:b/>
          <w:bCs/>
          <w:i/>
          <w:iCs/>
          <w:lang w:val="en-GB"/>
        </w:rPr>
      </w:pPr>
    </w:p>
    <w:p w14:paraId="549AA0FB" w14:textId="73B0F4DD" w:rsidR="00AE4805" w:rsidRPr="00E73537" w:rsidRDefault="00AE4805" w:rsidP="00033239">
      <w:pPr>
        <w:rPr>
          <w:rFonts w:ascii="Arial" w:hAnsi="Arial" w:cs="Arial"/>
          <w:b/>
          <w:bCs/>
          <w:i/>
          <w:iCs/>
          <w:lang w:val="en-GB"/>
        </w:rPr>
      </w:pPr>
      <w:r w:rsidRPr="00E73537">
        <w:rPr>
          <w:rFonts w:ascii="Arial" w:hAnsi="Arial" w:cs="Arial"/>
          <w:b/>
          <w:bCs/>
          <w:i/>
          <w:iCs/>
          <w:lang w:val="en-GB"/>
        </w:rPr>
        <w:t>Project B</w:t>
      </w:r>
    </w:p>
    <w:p w14:paraId="4B1EA496" w14:textId="77777777" w:rsidR="00AE4805" w:rsidRPr="00E73537" w:rsidRDefault="00AE4805" w:rsidP="00033239">
      <w:pPr>
        <w:rPr>
          <w:rFonts w:ascii="Arial" w:hAnsi="Arial" w:cs="Arial"/>
          <w:lang w:val="en-GB"/>
        </w:rPr>
      </w:pPr>
      <w:r w:rsidRPr="00E73537">
        <w:rPr>
          <w:rFonts w:ascii="Arial" w:hAnsi="Arial" w:cs="Arial"/>
          <w:lang w:val="en-GB"/>
        </w:rPr>
        <w:lastRenderedPageBreak/>
        <w:t>Initial = 30</w:t>
      </w:r>
    </w:p>
    <w:p w14:paraId="2D0DE518" w14:textId="54D81539" w:rsidR="00AE4805" w:rsidRPr="00E73537" w:rsidRDefault="00AE4805" w:rsidP="00033239">
      <w:pPr>
        <w:rPr>
          <w:rFonts w:ascii="Arial" w:hAnsi="Arial" w:cs="Arial"/>
          <w:lang w:val="en-GB"/>
        </w:rPr>
      </w:pPr>
      <w:r w:rsidRPr="00E73537">
        <w:rPr>
          <w:rFonts w:ascii="Arial" w:hAnsi="Arial" w:cs="Arial"/>
          <w:lang w:val="en-GB"/>
        </w:rPr>
        <w:t>Cash flows = 6, 6, 6, 6, 6</w:t>
      </w:r>
    </w:p>
    <w:p w14:paraId="091A8FEE" w14:textId="77777777" w:rsidR="00AE4805" w:rsidRPr="00E73537" w:rsidRDefault="00AE4805" w:rsidP="00033239">
      <w:pPr>
        <w:rPr>
          <w:rFonts w:ascii="Arial" w:hAnsi="Arial" w:cs="Arial"/>
          <w:lang w:val="en-GB"/>
        </w:rPr>
      </w:pPr>
      <w:r w:rsidRPr="00E73537">
        <w:rPr>
          <w:rFonts w:ascii="Arial" w:hAnsi="Arial" w:cs="Arial"/>
          <w:lang w:val="en-GB"/>
        </w:rPr>
        <w:t>PV(Y1) = 6 / 1.1 = 5.454545</w:t>
      </w:r>
    </w:p>
    <w:p w14:paraId="5B105881" w14:textId="77777777" w:rsidR="00AE4805" w:rsidRPr="00E73537" w:rsidRDefault="00AE4805" w:rsidP="00033239">
      <w:pPr>
        <w:rPr>
          <w:rFonts w:ascii="Arial" w:hAnsi="Arial" w:cs="Arial"/>
          <w:lang w:val="en-GB"/>
        </w:rPr>
      </w:pPr>
      <w:r w:rsidRPr="00E73537">
        <w:rPr>
          <w:rFonts w:ascii="Arial" w:hAnsi="Arial" w:cs="Arial"/>
          <w:lang w:val="en-GB"/>
        </w:rPr>
        <w:t>PV(Y2) = 6 / 1.21 = 4.958678</w:t>
      </w:r>
    </w:p>
    <w:p w14:paraId="1D202BCD" w14:textId="77777777" w:rsidR="00AE4805" w:rsidRPr="00E73537" w:rsidRDefault="00AE4805" w:rsidP="00033239">
      <w:pPr>
        <w:rPr>
          <w:rFonts w:ascii="Arial" w:hAnsi="Arial" w:cs="Arial"/>
          <w:lang w:val="en-GB"/>
        </w:rPr>
      </w:pPr>
      <w:r w:rsidRPr="00E73537">
        <w:rPr>
          <w:rFonts w:ascii="Arial" w:hAnsi="Arial" w:cs="Arial"/>
          <w:lang w:val="en-GB"/>
        </w:rPr>
        <w:t>PV(Y3) = 6 / 1.331 = 4.511000</w:t>
      </w:r>
    </w:p>
    <w:p w14:paraId="763D1044" w14:textId="77777777" w:rsidR="00AE4805" w:rsidRPr="00E73537" w:rsidRDefault="00AE4805" w:rsidP="00033239">
      <w:pPr>
        <w:rPr>
          <w:rFonts w:ascii="Arial" w:hAnsi="Arial" w:cs="Arial"/>
          <w:lang w:val="en-GB"/>
        </w:rPr>
      </w:pPr>
      <w:r w:rsidRPr="00E73537">
        <w:rPr>
          <w:rFonts w:ascii="Arial" w:hAnsi="Arial" w:cs="Arial"/>
          <w:lang w:val="en-GB"/>
        </w:rPr>
        <w:t>PV(Y4) = 6 / 1.4641 = 4.097992</w:t>
      </w:r>
    </w:p>
    <w:p w14:paraId="3CABEAFB" w14:textId="00B30540" w:rsidR="00AE4805" w:rsidRPr="00E73537" w:rsidRDefault="00AE4805" w:rsidP="00033239">
      <w:pPr>
        <w:rPr>
          <w:rFonts w:ascii="Arial" w:hAnsi="Arial" w:cs="Arial"/>
          <w:lang w:val="en-GB"/>
        </w:rPr>
      </w:pPr>
      <w:r w:rsidRPr="00E73537">
        <w:rPr>
          <w:rFonts w:ascii="Arial" w:hAnsi="Arial" w:cs="Arial"/>
          <w:lang w:val="en-GB"/>
        </w:rPr>
        <w:t>PV(Y5) = 6 / 1.61051 = 3.725639</w:t>
      </w:r>
    </w:p>
    <w:p w14:paraId="2A62689D" w14:textId="77777777" w:rsidR="00AE4805" w:rsidRPr="00E73537" w:rsidRDefault="00AE4805" w:rsidP="00033239">
      <w:pPr>
        <w:rPr>
          <w:rFonts w:ascii="Arial" w:hAnsi="Arial" w:cs="Arial"/>
          <w:lang w:val="en-GB"/>
        </w:rPr>
      </w:pPr>
      <w:r w:rsidRPr="00E73537">
        <w:rPr>
          <w:rFonts w:ascii="Arial" w:hAnsi="Arial" w:cs="Arial"/>
          <w:lang w:val="en-GB"/>
        </w:rPr>
        <w:t>Total PV inflows = 22.747854</w:t>
      </w:r>
    </w:p>
    <w:p w14:paraId="63BC6A87" w14:textId="6EDD1E0C" w:rsidR="00AE4805" w:rsidRPr="00E73537" w:rsidRDefault="00AE4805" w:rsidP="00033239">
      <w:pPr>
        <w:rPr>
          <w:rFonts w:ascii="Arial" w:hAnsi="Arial" w:cs="Arial"/>
          <w:lang w:val="en-GB"/>
        </w:rPr>
      </w:pPr>
      <w:r w:rsidRPr="00E73537">
        <w:rPr>
          <w:rFonts w:ascii="Arial" w:hAnsi="Arial" w:cs="Arial"/>
          <w:lang w:val="en-GB"/>
        </w:rPr>
        <w:t>NPV = 22.747854 – 30 = –7.252146 (≈ –7.25)</w:t>
      </w:r>
    </w:p>
    <w:p w14:paraId="0763DE52" w14:textId="77777777" w:rsidR="00E73537" w:rsidRDefault="00E73537" w:rsidP="00033239">
      <w:pPr>
        <w:rPr>
          <w:rFonts w:ascii="Arial" w:hAnsi="Arial" w:cs="Arial"/>
          <w:b/>
          <w:bCs/>
          <w:i/>
          <w:iCs/>
          <w:lang w:val="en-GB"/>
        </w:rPr>
      </w:pPr>
    </w:p>
    <w:p w14:paraId="4E4FAC50" w14:textId="567CA8C8" w:rsidR="00AE4805" w:rsidRPr="00E73537" w:rsidRDefault="00AE4805" w:rsidP="00033239">
      <w:pPr>
        <w:rPr>
          <w:rFonts w:ascii="Arial" w:hAnsi="Arial" w:cs="Arial"/>
          <w:b/>
          <w:bCs/>
          <w:i/>
          <w:iCs/>
          <w:lang w:val="en-GB"/>
        </w:rPr>
      </w:pPr>
      <w:r w:rsidRPr="00E73537">
        <w:rPr>
          <w:rFonts w:ascii="Arial" w:hAnsi="Arial" w:cs="Arial"/>
          <w:b/>
          <w:bCs/>
          <w:i/>
          <w:iCs/>
          <w:lang w:val="en-GB"/>
        </w:rPr>
        <w:t>Project C</w:t>
      </w:r>
    </w:p>
    <w:p w14:paraId="619248C9" w14:textId="77777777" w:rsidR="00AE4805" w:rsidRPr="00E73537" w:rsidRDefault="00AE4805" w:rsidP="00033239">
      <w:pPr>
        <w:rPr>
          <w:rFonts w:ascii="Arial" w:hAnsi="Arial" w:cs="Arial"/>
          <w:lang w:val="en-GB"/>
        </w:rPr>
      </w:pPr>
      <w:r w:rsidRPr="00E73537">
        <w:rPr>
          <w:rFonts w:ascii="Arial" w:hAnsi="Arial" w:cs="Arial"/>
          <w:lang w:val="en-GB"/>
        </w:rPr>
        <w:t>Initial = 50</w:t>
      </w:r>
    </w:p>
    <w:p w14:paraId="2F235802" w14:textId="33D69C3C" w:rsidR="00AE4805" w:rsidRPr="00E73537" w:rsidRDefault="00AE4805" w:rsidP="00033239">
      <w:pPr>
        <w:rPr>
          <w:rFonts w:ascii="Arial" w:hAnsi="Arial" w:cs="Arial"/>
          <w:lang w:val="en-GB"/>
        </w:rPr>
      </w:pPr>
      <w:r w:rsidRPr="00E73537">
        <w:rPr>
          <w:rFonts w:ascii="Arial" w:hAnsi="Arial" w:cs="Arial"/>
          <w:lang w:val="en-GB"/>
        </w:rPr>
        <w:t>Cash flows = 5, 10, 20, 25, 15</w:t>
      </w:r>
    </w:p>
    <w:p w14:paraId="79F406BC" w14:textId="77777777" w:rsidR="00AE4805" w:rsidRPr="00E73537" w:rsidRDefault="00AE4805" w:rsidP="00033239">
      <w:pPr>
        <w:rPr>
          <w:rFonts w:ascii="Arial" w:hAnsi="Arial" w:cs="Arial"/>
          <w:lang w:val="en-GB"/>
        </w:rPr>
      </w:pPr>
      <w:r w:rsidRPr="00E73537">
        <w:rPr>
          <w:rFonts w:ascii="Arial" w:hAnsi="Arial" w:cs="Arial"/>
          <w:lang w:val="en-GB"/>
        </w:rPr>
        <w:t>PV(Y1) = 5 / 1.1 = 4.545455</w:t>
      </w:r>
    </w:p>
    <w:p w14:paraId="21B35B7A" w14:textId="77777777" w:rsidR="00AE4805" w:rsidRPr="00E73537" w:rsidRDefault="00AE4805" w:rsidP="00033239">
      <w:pPr>
        <w:rPr>
          <w:rFonts w:ascii="Arial" w:hAnsi="Arial" w:cs="Arial"/>
          <w:lang w:val="en-GB"/>
        </w:rPr>
      </w:pPr>
      <w:r w:rsidRPr="00E73537">
        <w:rPr>
          <w:rFonts w:ascii="Arial" w:hAnsi="Arial" w:cs="Arial"/>
          <w:lang w:val="en-GB"/>
        </w:rPr>
        <w:t>PV(Y2) = 10 / 1.21 = 8.264463</w:t>
      </w:r>
    </w:p>
    <w:p w14:paraId="78C9107D" w14:textId="77777777" w:rsidR="00AE4805" w:rsidRPr="00E73537" w:rsidRDefault="00AE4805" w:rsidP="00033239">
      <w:pPr>
        <w:rPr>
          <w:rFonts w:ascii="Arial" w:hAnsi="Arial" w:cs="Arial"/>
          <w:lang w:val="en-GB"/>
        </w:rPr>
      </w:pPr>
      <w:r w:rsidRPr="00E73537">
        <w:rPr>
          <w:rFonts w:ascii="Arial" w:hAnsi="Arial" w:cs="Arial"/>
          <w:lang w:val="en-GB"/>
        </w:rPr>
        <w:t>PV(Y3) = 20 / 1.331 = 15.029830</w:t>
      </w:r>
    </w:p>
    <w:p w14:paraId="548A7BF4" w14:textId="77777777" w:rsidR="00AE4805" w:rsidRPr="00E73537" w:rsidRDefault="00AE4805" w:rsidP="00033239">
      <w:pPr>
        <w:rPr>
          <w:rFonts w:ascii="Arial" w:hAnsi="Arial" w:cs="Arial"/>
          <w:lang w:val="en-GB"/>
        </w:rPr>
      </w:pPr>
      <w:r w:rsidRPr="00E73537">
        <w:rPr>
          <w:rFonts w:ascii="Arial" w:hAnsi="Arial" w:cs="Arial"/>
          <w:lang w:val="en-GB"/>
        </w:rPr>
        <w:t>PV(Y4) = 25 / 1.4641 = 17.070931</w:t>
      </w:r>
    </w:p>
    <w:p w14:paraId="3355A0FF" w14:textId="4B3481FD" w:rsidR="00AE4805" w:rsidRPr="00E73537" w:rsidRDefault="00AE4805" w:rsidP="00033239">
      <w:pPr>
        <w:rPr>
          <w:rFonts w:ascii="Arial" w:hAnsi="Arial" w:cs="Arial"/>
          <w:lang w:val="en-GB"/>
        </w:rPr>
      </w:pPr>
      <w:r w:rsidRPr="00E73537">
        <w:rPr>
          <w:rFonts w:ascii="Arial" w:hAnsi="Arial" w:cs="Arial"/>
          <w:lang w:val="en-GB"/>
        </w:rPr>
        <w:t>PV(Y5) = 15 / 1.61051 = 9.324346</w:t>
      </w:r>
    </w:p>
    <w:p w14:paraId="770E2349" w14:textId="77777777" w:rsidR="00AE4805" w:rsidRPr="00E73537" w:rsidRDefault="00AE4805" w:rsidP="00033239">
      <w:pPr>
        <w:rPr>
          <w:rFonts w:ascii="Arial" w:hAnsi="Arial" w:cs="Arial"/>
          <w:lang w:val="en-GB"/>
        </w:rPr>
      </w:pPr>
      <w:r w:rsidRPr="00E73537">
        <w:rPr>
          <w:rFonts w:ascii="Arial" w:hAnsi="Arial" w:cs="Arial"/>
          <w:lang w:val="en-GB"/>
        </w:rPr>
        <w:t>Total PV inflows = 54.235025</w:t>
      </w:r>
    </w:p>
    <w:p w14:paraId="065FE1E9" w14:textId="386B98BC" w:rsidR="00AE4805" w:rsidRPr="00E73537" w:rsidRDefault="00AE4805" w:rsidP="00033239">
      <w:pPr>
        <w:rPr>
          <w:rFonts w:ascii="Arial" w:hAnsi="Arial" w:cs="Arial"/>
          <w:lang w:val="en-GB"/>
        </w:rPr>
      </w:pPr>
      <w:r w:rsidRPr="00E73537">
        <w:rPr>
          <w:rFonts w:ascii="Arial" w:hAnsi="Arial" w:cs="Arial"/>
          <w:lang w:val="en-GB"/>
        </w:rPr>
        <w:t>NPV = 54.235025 – 50 = 4.235025 (≈ 4.24)</w:t>
      </w:r>
    </w:p>
    <w:p w14:paraId="1F2DB134" w14:textId="77777777" w:rsidR="00E73537" w:rsidRDefault="00E73537" w:rsidP="00033239">
      <w:pPr>
        <w:rPr>
          <w:rFonts w:ascii="Arial" w:hAnsi="Arial" w:cs="Arial"/>
          <w:lang w:val="en-GB"/>
        </w:rPr>
      </w:pPr>
    </w:p>
    <w:p w14:paraId="3619C73A" w14:textId="30B4B26C" w:rsidR="00AE4805" w:rsidRPr="00E73537" w:rsidRDefault="00AE4805" w:rsidP="00033239">
      <w:pPr>
        <w:rPr>
          <w:rFonts w:ascii="Arial" w:hAnsi="Arial" w:cs="Arial"/>
          <w:lang w:val="en-GB"/>
        </w:rPr>
      </w:pPr>
      <w:r w:rsidRPr="00E73537">
        <w:rPr>
          <w:rFonts w:ascii="Arial" w:hAnsi="Arial" w:cs="Arial"/>
          <w:lang w:val="en-GB"/>
        </w:rPr>
        <w:t>PROFITABILITY INDEX (PI)</w:t>
      </w:r>
    </w:p>
    <w:p w14:paraId="31E9C251" w14:textId="5352F603" w:rsidR="00AE4805" w:rsidRPr="00E73537" w:rsidRDefault="00AE4805" w:rsidP="00033239">
      <w:pPr>
        <w:rPr>
          <w:rFonts w:ascii="Arial" w:hAnsi="Arial" w:cs="Arial"/>
          <w:lang w:val="en-GB"/>
        </w:rPr>
      </w:pPr>
      <w:r w:rsidRPr="00E73537">
        <w:rPr>
          <w:rFonts w:ascii="Arial" w:hAnsi="Arial" w:cs="Arial"/>
          <w:lang w:val="en-GB"/>
        </w:rPr>
        <w:t>Formula:</w:t>
      </w:r>
      <w:r w:rsidR="00E73537">
        <w:rPr>
          <w:rFonts w:ascii="Arial" w:hAnsi="Arial" w:cs="Arial"/>
          <w:lang w:val="en-GB"/>
        </w:rPr>
        <w:t xml:space="preserve"> </w:t>
      </w:r>
      <w:r w:rsidRPr="00E73537">
        <w:rPr>
          <w:rFonts w:ascii="Arial" w:hAnsi="Arial" w:cs="Arial"/>
          <w:lang w:val="en-GB"/>
        </w:rPr>
        <w:t>PI = PV of inflows / Initial Investment</w:t>
      </w:r>
    </w:p>
    <w:p w14:paraId="6FD077A3" w14:textId="77777777" w:rsidR="00AE4805" w:rsidRPr="00E73537" w:rsidRDefault="00AE4805" w:rsidP="00033239">
      <w:pPr>
        <w:rPr>
          <w:rFonts w:ascii="Arial" w:hAnsi="Arial" w:cs="Arial"/>
          <w:lang w:val="en-GB"/>
        </w:rPr>
      </w:pPr>
      <w:r w:rsidRPr="00E73537">
        <w:rPr>
          <w:rFonts w:ascii="Arial" w:hAnsi="Arial" w:cs="Arial"/>
          <w:lang w:val="en-GB"/>
        </w:rPr>
        <w:t>Project A: 41.326702 / 40 = 1.033</w:t>
      </w:r>
    </w:p>
    <w:p w14:paraId="2B8A9CBB" w14:textId="77777777" w:rsidR="00AE4805" w:rsidRPr="00E73537" w:rsidRDefault="00AE4805" w:rsidP="00033239">
      <w:pPr>
        <w:rPr>
          <w:rFonts w:ascii="Arial" w:hAnsi="Arial" w:cs="Arial"/>
          <w:lang w:val="en-GB"/>
        </w:rPr>
      </w:pPr>
      <w:r w:rsidRPr="00E73537">
        <w:rPr>
          <w:rFonts w:ascii="Arial" w:hAnsi="Arial" w:cs="Arial"/>
          <w:lang w:val="en-GB"/>
        </w:rPr>
        <w:t>Project B: 22.747854 / 30 = 0.758</w:t>
      </w:r>
    </w:p>
    <w:p w14:paraId="6FF920CF" w14:textId="2337D9A8" w:rsidR="00AE4805" w:rsidRPr="00E73537" w:rsidRDefault="00AE4805" w:rsidP="00033239">
      <w:pPr>
        <w:rPr>
          <w:rFonts w:ascii="Arial" w:hAnsi="Arial" w:cs="Arial"/>
          <w:lang w:val="en-GB"/>
        </w:rPr>
      </w:pPr>
      <w:r w:rsidRPr="00E73537">
        <w:rPr>
          <w:rFonts w:ascii="Arial" w:hAnsi="Arial" w:cs="Arial"/>
          <w:lang w:val="en-GB"/>
        </w:rPr>
        <w:t>Project C: 54.235025 / 50 = 1.085</w:t>
      </w:r>
    </w:p>
    <w:p w14:paraId="56A08C91" w14:textId="77777777" w:rsidR="004A1BB2" w:rsidRDefault="004A1BB2" w:rsidP="00033239">
      <w:pPr>
        <w:rPr>
          <w:rFonts w:ascii="Arial" w:hAnsi="Arial" w:cs="Arial"/>
          <w:lang w:val="en-GB"/>
        </w:rPr>
      </w:pPr>
    </w:p>
    <w:p w14:paraId="3A73EDC5" w14:textId="62118ECF" w:rsidR="00AE4805" w:rsidRPr="00E73537" w:rsidRDefault="00AE4805" w:rsidP="00033239">
      <w:pPr>
        <w:rPr>
          <w:rFonts w:ascii="Arial" w:hAnsi="Arial" w:cs="Arial"/>
          <w:lang w:val="en-GB"/>
        </w:rPr>
      </w:pPr>
      <w:r w:rsidRPr="00E73537">
        <w:rPr>
          <w:rFonts w:ascii="Arial" w:hAnsi="Arial" w:cs="Arial"/>
          <w:lang w:val="en-GB"/>
        </w:rPr>
        <w:t>PAYBACK PERIOD (Undiscounted)</w:t>
      </w:r>
    </w:p>
    <w:p w14:paraId="0ED2FF66" w14:textId="170CB565" w:rsidR="00AE4805" w:rsidRPr="00E73537" w:rsidRDefault="00AE4805" w:rsidP="00033239">
      <w:pPr>
        <w:rPr>
          <w:rFonts w:ascii="Arial" w:hAnsi="Arial" w:cs="Arial"/>
          <w:lang w:val="en-GB"/>
        </w:rPr>
      </w:pPr>
      <w:r w:rsidRPr="00E73537">
        <w:rPr>
          <w:rFonts w:ascii="Arial" w:hAnsi="Arial" w:cs="Arial"/>
          <w:lang w:val="en-GB"/>
        </w:rPr>
        <w:t>Formula:</w:t>
      </w:r>
      <w:r w:rsidR="004A1BB2">
        <w:rPr>
          <w:rFonts w:ascii="Arial" w:hAnsi="Arial" w:cs="Arial"/>
          <w:lang w:val="en-GB"/>
        </w:rPr>
        <w:t xml:space="preserve"> </w:t>
      </w:r>
      <w:r w:rsidRPr="00E73537">
        <w:rPr>
          <w:rFonts w:ascii="Arial" w:hAnsi="Arial" w:cs="Arial"/>
          <w:lang w:val="en-GB"/>
        </w:rPr>
        <w:t>PBP = Years until cumulative inflows = Initial</w:t>
      </w:r>
    </w:p>
    <w:p w14:paraId="49A0738C" w14:textId="62CECFC4" w:rsidR="00AE4805" w:rsidRPr="00E73537" w:rsidRDefault="00AE4805" w:rsidP="00033239">
      <w:pPr>
        <w:rPr>
          <w:rFonts w:ascii="Arial" w:hAnsi="Arial" w:cs="Arial"/>
          <w:lang w:val="en-GB"/>
        </w:rPr>
      </w:pPr>
      <w:r w:rsidRPr="00E73537">
        <w:rPr>
          <w:rFonts w:ascii="Arial" w:hAnsi="Arial" w:cs="Arial"/>
          <w:lang w:val="en-GB"/>
        </w:rPr>
        <w:t>If partial year needed → Remaining / Cash flow of next year</w:t>
      </w:r>
    </w:p>
    <w:p w14:paraId="2B7DA777" w14:textId="77777777" w:rsidR="00AE4805" w:rsidRPr="00E73537" w:rsidRDefault="00AE4805" w:rsidP="00033239">
      <w:pPr>
        <w:rPr>
          <w:rFonts w:ascii="Arial" w:hAnsi="Arial" w:cs="Arial"/>
          <w:lang w:val="en-GB"/>
        </w:rPr>
      </w:pPr>
      <w:r w:rsidRPr="00E73537">
        <w:rPr>
          <w:rFonts w:ascii="Arial" w:hAnsi="Arial" w:cs="Arial"/>
          <w:lang w:val="en-GB"/>
        </w:rPr>
        <w:t>Project A cumulative inflows:</w:t>
      </w:r>
    </w:p>
    <w:p w14:paraId="0E8E3F66" w14:textId="77777777" w:rsidR="00AE4805" w:rsidRPr="00E73537" w:rsidRDefault="00AE4805" w:rsidP="00033239">
      <w:pPr>
        <w:rPr>
          <w:rFonts w:ascii="Arial" w:hAnsi="Arial" w:cs="Arial"/>
          <w:lang w:val="en-GB"/>
        </w:rPr>
      </w:pPr>
      <w:r w:rsidRPr="00E73537">
        <w:rPr>
          <w:rFonts w:ascii="Arial" w:hAnsi="Arial" w:cs="Arial"/>
          <w:lang w:val="en-GB"/>
        </w:rPr>
        <w:t>Y1=10, Y2=22, Y3=36, Y4=46 → Payback occurs in Year 4</w:t>
      </w:r>
    </w:p>
    <w:p w14:paraId="0222E441" w14:textId="77777777" w:rsidR="00AE4805" w:rsidRPr="00E73537" w:rsidRDefault="00AE4805" w:rsidP="00033239">
      <w:pPr>
        <w:rPr>
          <w:rFonts w:ascii="Arial" w:hAnsi="Arial" w:cs="Arial"/>
          <w:lang w:val="en-GB"/>
        </w:rPr>
      </w:pPr>
      <w:r w:rsidRPr="00E73537">
        <w:rPr>
          <w:rFonts w:ascii="Arial" w:hAnsi="Arial" w:cs="Arial"/>
          <w:lang w:val="en-GB"/>
        </w:rPr>
        <w:t>Remaining after Y3 = 4</w:t>
      </w:r>
    </w:p>
    <w:p w14:paraId="0F9B4DEF" w14:textId="77777777" w:rsidR="00AE4805" w:rsidRPr="00E73537" w:rsidRDefault="00AE4805" w:rsidP="00033239">
      <w:pPr>
        <w:rPr>
          <w:rFonts w:ascii="Arial" w:hAnsi="Arial" w:cs="Arial"/>
          <w:lang w:val="en-GB"/>
        </w:rPr>
      </w:pPr>
      <w:r w:rsidRPr="00E73537">
        <w:rPr>
          <w:rFonts w:ascii="Arial" w:hAnsi="Arial" w:cs="Arial"/>
          <w:lang w:val="en-GB"/>
        </w:rPr>
        <w:t>Fraction of Y4 = 4 / 10 = 0.4</w:t>
      </w:r>
    </w:p>
    <w:p w14:paraId="0C5DAD0A" w14:textId="33056A78" w:rsidR="00AE4805" w:rsidRPr="00E73537" w:rsidRDefault="00AE4805" w:rsidP="00033239">
      <w:pPr>
        <w:rPr>
          <w:rFonts w:ascii="Arial" w:hAnsi="Arial" w:cs="Arial"/>
          <w:lang w:val="en-GB"/>
        </w:rPr>
      </w:pPr>
      <w:r w:rsidRPr="00E73537">
        <w:rPr>
          <w:rFonts w:ascii="Arial" w:hAnsi="Arial" w:cs="Arial"/>
          <w:lang w:val="en-GB"/>
        </w:rPr>
        <w:lastRenderedPageBreak/>
        <w:t>PBP = 3.4 years</w:t>
      </w:r>
    </w:p>
    <w:p w14:paraId="00C3FD47" w14:textId="77777777" w:rsidR="00AE4805" w:rsidRPr="00E73537" w:rsidRDefault="00AE4805" w:rsidP="00033239">
      <w:pPr>
        <w:rPr>
          <w:rFonts w:ascii="Arial" w:hAnsi="Arial" w:cs="Arial"/>
          <w:lang w:val="en-GB"/>
        </w:rPr>
      </w:pPr>
      <w:r w:rsidRPr="00E73537">
        <w:rPr>
          <w:rFonts w:ascii="Arial" w:hAnsi="Arial" w:cs="Arial"/>
          <w:lang w:val="en-GB"/>
        </w:rPr>
        <w:t>Project B cumulative inflows:</w:t>
      </w:r>
    </w:p>
    <w:p w14:paraId="79D83972" w14:textId="77777777" w:rsidR="00AE4805" w:rsidRPr="00E73537" w:rsidRDefault="00AE4805" w:rsidP="00033239">
      <w:pPr>
        <w:rPr>
          <w:rFonts w:ascii="Arial" w:hAnsi="Arial" w:cs="Arial"/>
          <w:lang w:val="en-GB"/>
        </w:rPr>
      </w:pPr>
      <w:r w:rsidRPr="00E73537">
        <w:rPr>
          <w:rFonts w:ascii="Arial" w:hAnsi="Arial" w:cs="Arial"/>
          <w:lang w:val="en-GB"/>
        </w:rPr>
        <w:t>Y1=6, Y2=12, Y3=18, Y4=24, Y5=30</w:t>
      </w:r>
    </w:p>
    <w:p w14:paraId="7720D481" w14:textId="77777777" w:rsidR="00AE4805" w:rsidRPr="00E73537" w:rsidRDefault="00AE4805" w:rsidP="00033239">
      <w:pPr>
        <w:rPr>
          <w:rFonts w:ascii="Arial" w:hAnsi="Arial" w:cs="Arial"/>
          <w:lang w:val="en-GB"/>
        </w:rPr>
      </w:pPr>
      <w:r w:rsidRPr="00E73537">
        <w:rPr>
          <w:rFonts w:ascii="Arial" w:hAnsi="Arial" w:cs="Arial"/>
          <w:lang w:val="en-GB"/>
        </w:rPr>
        <w:t>Payback occurs exactly at end of Year 5</w:t>
      </w:r>
    </w:p>
    <w:p w14:paraId="3412AEC9" w14:textId="71D25662" w:rsidR="00AE4805" w:rsidRPr="00E73537" w:rsidRDefault="00AE4805" w:rsidP="00033239">
      <w:pPr>
        <w:rPr>
          <w:rFonts w:ascii="Arial" w:hAnsi="Arial" w:cs="Arial"/>
          <w:lang w:val="en-GB"/>
        </w:rPr>
      </w:pPr>
      <w:r w:rsidRPr="00E73537">
        <w:rPr>
          <w:rFonts w:ascii="Arial" w:hAnsi="Arial" w:cs="Arial"/>
          <w:lang w:val="en-GB"/>
        </w:rPr>
        <w:t>PBP = 5.0 years</w:t>
      </w:r>
    </w:p>
    <w:p w14:paraId="4BC82498" w14:textId="77777777" w:rsidR="00AE4805" w:rsidRPr="00E73537" w:rsidRDefault="00AE4805" w:rsidP="00033239">
      <w:pPr>
        <w:rPr>
          <w:rFonts w:ascii="Arial" w:hAnsi="Arial" w:cs="Arial"/>
          <w:lang w:val="en-GB"/>
        </w:rPr>
      </w:pPr>
      <w:r w:rsidRPr="00E73537">
        <w:rPr>
          <w:rFonts w:ascii="Arial" w:hAnsi="Arial" w:cs="Arial"/>
          <w:lang w:val="en-GB"/>
        </w:rPr>
        <w:t>Project C cumulative inflows:</w:t>
      </w:r>
    </w:p>
    <w:p w14:paraId="5830B14F" w14:textId="77777777" w:rsidR="00AE4805" w:rsidRPr="00E73537" w:rsidRDefault="00AE4805" w:rsidP="00033239">
      <w:pPr>
        <w:rPr>
          <w:rFonts w:ascii="Arial" w:hAnsi="Arial" w:cs="Arial"/>
          <w:lang w:val="en-GB"/>
        </w:rPr>
      </w:pPr>
      <w:r w:rsidRPr="00E73537">
        <w:rPr>
          <w:rFonts w:ascii="Arial" w:hAnsi="Arial" w:cs="Arial"/>
          <w:lang w:val="en-GB"/>
        </w:rPr>
        <w:t>Y1=5, Y2=15, Y3=35 → Payback occurs in Year 4</w:t>
      </w:r>
    </w:p>
    <w:p w14:paraId="5F0F1896" w14:textId="77777777" w:rsidR="00AE4805" w:rsidRPr="00E73537" w:rsidRDefault="00AE4805" w:rsidP="00033239">
      <w:pPr>
        <w:rPr>
          <w:rFonts w:ascii="Arial" w:hAnsi="Arial" w:cs="Arial"/>
          <w:lang w:val="en-GB"/>
        </w:rPr>
      </w:pPr>
      <w:r w:rsidRPr="00E73537">
        <w:rPr>
          <w:rFonts w:ascii="Arial" w:hAnsi="Arial" w:cs="Arial"/>
          <w:lang w:val="en-GB"/>
        </w:rPr>
        <w:t>Remaining after Y3 = 15</w:t>
      </w:r>
    </w:p>
    <w:p w14:paraId="612F1A1E" w14:textId="77777777" w:rsidR="00AE4805" w:rsidRPr="00E73537" w:rsidRDefault="00AE4805" w:rsidP="00033239">
      <w:pPr>
        <w:rPr>
          <w:rFonts w:ascii="Arial" w:hAnsi="Arial" w:cs="Arial"/>
          <w:lang w:val="en-GB"/>
        </w:rPr>
      </w:pPr>
      <w:r w:rsidRPr="00E73537">
        <w:rPr>
          <w:rFonts w:ascii="Arial" w:hAnsi="Arial" w:cs="Arial"/>
          <w:lang w:val="en-GB"/>
        </w:rPr>
        <w:t>Fraction of Y4 = 15 / 25 = 0.6</w:t>
      </w:r>
    </w:p>
    <w:p w14:paraId="7EE7187E" w14:textId="2D48D0CF" w:rsidR="00AE4805" w:rsidRPr="00E73537" w:rsidRDefault="00AE4805" w:rsidP="00033239">
      <w:pPr>
        <w:rPr>
          <w:rFonts w:ascii="Arial" w:hAnsi="Arial" w:cs="Arial"/>
          <w:lang w:val="en-GB"/>
        </w:rPr>
      </w:pPr>
      <w:r w:rsidRPr="00E73537">
        <w:rPr>
          <w:rFonts w:ascii="Arial" w:hAnsi="Arial" w:cs="Arial"/>
          <w:lang w:val="en-GB"/>
        </w:rPr>
        <w:t>PBP = 3.6 years</w:t>
      </w:r>
    </w:p>
    <w:p w14:paraId="718A6F7E" w14:textId="77777777" w:rsidR="004A1BB2" w:rsidRDefault="004A1BB2" w:rsidP="00033239">
      <w:pPr>
        <w:rPr>
          <w:rFonts w:ascii="Arial" w:hAnsi="Arial" w:cs="Arial"/>
          <w:lang w:val="en-GB"/>
        </w:rPr>
      </w:pPr>
    </w:p>
    <w:p w14:paraId="566E5EFD" w14:textId="30DB8BAE" w:rsidR="00AE4805" w:rsidRPr="00E73537" w:rsidRDefault="00AE4805" w:rsidP="00033239">
      <w:pPr>
        <w:rPr>
          <w:rFonts w:ascii="Arial" w:hAnsi="Arial" w:cs="Arial"/>
          <w:lang w:val="en-GB"/>
        </w:rPr>
      </w:pPr>
      <w:r w:rsidRPr="00E73537">
        <w:rPr>
          <w:rFonts w:ascii="Arial" w:hAnsi="Arial" w:cs="Arial"/>
          <w:lang w:val="en-GB"/>
        </w:rPr>
        <w:t>ACCOUNTING RATE OF RETURN (ARR)</w:t>
      </w:r>
    </w:p>
    <w:p w14:paraId="7E837FF7" w14:textId="5CA3030D" w:rsidR="00AE4805" w:rsidRPr="00E73537" w:rsidRDefault="00AE4805" w:rsidP="00033239">
      <w:pPr>
        <w:rPr>
          <w:rFonts w:ascii="Arial" w:hAnsi="Arial" w:cs="Arial"/>
          <w:lang w:val="en-GB"/>
        </w:rPr>
      </w:pPr>
      <w:r w:rsidRPr="00E73537">
        <w:rPr>
          <w:rFonts w:ascii="Arial" w:hAnsi="Arial" w:cs="Arial"/>
          <w:lang w:val="en-GB"/>
        </w:rPr>
        <w:t>Formula:</w:t>
      </w:r>
      <w:r w:rsidR="004A1BB2">
        <w:rPr>
          <w:rFonts w:ascii="Arial" w:hAnsi="Arial" w:cs="Arial"/>
          <w:lang w:val="en-GB"/>
        </w:rPr>
        <w:t xml:space="preserve"> </w:t>
      </w:r>
      <w:r w:rsidRPr="00E73537">
        <w:rPr>
          <w:rFonts w:ascii="Arial" w:hAnsi="Arial" w:cs="Arial"/>
          <w:lang w:val="en-GB"/>
        </w:rPr>
        <w:t>ARR = (Average annual accounting profit) / Initial</w:t>
      </w:r>
    </w:p>
    <w:p w14:paraId="14CC6531" w14:textId="79E845ED" w:rsidR="00AE4805" w:rsidRPr="00E73537" w:rsidRDefault="00AE4805" w:rsidP="00033239">
      <w:pPr>
        <w:rPr>
          <w:rFonts w:ascii="Arial" w:hAnsi="Arial" w:cs="Arial"/>
          <w:lang w:val="en-GB"/>
        </w:rPr>
      </w:pPr>
      <w:r w:rsidRPr="00E73537">
        <w:rPr>
          <w:rFonts w:ascii="Arial" w:hAnsi="Arial" w:cs="Arial"/>
          <w:lang w:val="en-GB"/>
        </w:rPr>
        <w:t>Depreciation = Initial / 5</w:t>
      </w:r>
    </w:p>
    <w:p w14:paraId="0052D7C8" w14:textId="77777777" w:rsidR="00AE4805" w:rsidRPr="00E73537" w:rsidRDefault="00AE4805" w:rsidP="00033239">
      <w:pPr>
        <w:rPr>
          <w:rFonts w:ascii="Arial" w:hAnsi="Arial" w:cs="Arial"/>
          <w:lang w:val="en-GB"/>
        </w:rPr>
      </w:pPr>
      <w:r w:rsidRPr="00E73537">
        <w:rPr>
          <w:rFonts w:ascii="Arial" w:hAnsi="Arial" w:cs="Arial"/>
          <w:lang w:val="en-GB"/>
        </w:rPr>
        <w:t>Project A:</w:t>
      </w:r>
    </w:p>
    <w:p w14:paraId="052CB202" w14:textId="77777777" w:rsidR="00AE4805" w:rsidRPr="00E73537" w:rsidRDefault="00AE4805" w:rsidP="00033239">
      <w:pPr>
        <w:rPr>
          <w:rFonts w:ascii="Arial" w:hAnsi="Arial" w:cs="Arial"/>
          <w:lang w:val="en-GB"/>
        </w:rPr>
      </w:pPr>
      <w:r w:rsidRPr="00E73537">
        <w:rPr>
          <w:rFonts w:ascii="Arial" w:hAnsi="Arial" w:cs="Arial"/>
          <w:lang w:val="en-GB"/>
        </w:rPr>
        <w:t>Depreciation = 40 / 5 = 8</w:t>
      </w:r>
    </w:p>
    <w:p w14:paraId="1EB5997F" w14:textId="77777777" w:rsidR="00AE4805" w:rsidRPr="00E73537" w:rsidRDefault="00AE4805" w:rsidP="00033239">
      <w:pPr>
        <w:rPr>
          <w:rFonts w:ascii="Arial" w:hAnsi="Arial" w:cs="Arial"/>
          <w:lang w:val="en-GB"/>
        </w:rPr>
      </w:pPr>
      <w:r w:rsidRPr="00E73537">
        <w:rPr>
          <w:rFonts w:ascii="Arial" w:hAnsi="Arial" w:cs="Arial"/>
          <w:lang w:val="en-GB"/>
        </w:rPr>
        <w:t>Profits = (10–</w:t>
      </w:r>
      <w:proofErr w:type="gramStart"/>
      <w:r w:rsidRPr="00E73537">
        <w:rPr>
          <w:rFonts w:ascii="Arial" w:hAnsi="Arial" w:cs="Arial"/>
          <w:lang w:val="en-GB"/>
        </w:rPr>
        <w:t>8)=</w:t>
      </w:r>
      <w:proofErr w:type="gramEnd"/>
      <w:r w:rsidRPr="00E73537">
        <w:rPr>
          <w:rFonts w:ascii="Arial" w:hAnsi="Arial" w:cs="Arial"/>
          <w:lang w:val="en-GB"/>
        </w:rPr>
        <w:t>2, (12–</w:t>
      </w:r>
      <w:proofErr w:type="gramStart"/>
      <w:r w:rsidRPr="00E73537">
        <w:rPr>
          <w:rFonts w:ascii="Arial" w:hAnsi="Arial" w:cs="Arial"/>
          <w:lang w:val="en-GB"/>
        </w:rPr>
        <w:t>8)=</w:t>
      </w:r>
      <w:proofErr w:type="gramEnd"/>
      <w:r w:rsidRPr="00E73537">
        <w:rPr>
          <w:rFonts w:ascii="Arial" w:hAnsi="Arial" w:cs="Arial"/>
          <w:lang w:val="en-GB"/>
        </w:rPr>
        <w:t>4, (14–</w:t>
      </w:r>
      <w:proofErr w:type="gramStart"/>
      <w:r w:rsidRPr="00E73537">
        <w:rPr>
          <w:rFonts w:ascii="Arial" w:hAnsi="Arial" w:cs="Arial"/>
          <w:lang w:val="en-GB"/>
        </w:rPr>
        <w:t>8)=</w:t>
      </w:r>
      <w:proofErr w:type="gramEnd"/>
      <w:r w:rsidRPr="00E73537">
        <w:rPr>
          <w:rFonts w:ascii="Arial" w:hAnsi="Arial" w:cs="Arial"/>
          <w:lang w:val="en-GB"/>
        </w:rPr>
        <w:t>6, (10–</w:t>
      </w:r>
      <w:proofErr w:type="gramStart"/>
      <w:r w:rsidRPr="00E73537">
        <w:rPr>
          <w:rFonts w:ascii="Arial" w:hAnsi="Arial" w:cs="Arial"/>
          <w:lang w:val="en-GB"/>
        </w:rPr>
        <w:t>8)=</w:t>
      </w:r>
      <w:proofErr w:type="gramEnd"/>
      <w:r w:rsidRPr="00E73537">
        <w:rPr>
          <w:rFonts w:ascii="Arial" w:hAnsi="Arial" w:cs="Arial"/>
          <w:lang w:val="en-GB"/>
        </w:rPr>
        <w:t>2, (8–</w:t>
      </w:r>
      <w:proofErr w:type="gramStart"/>
      <w:r w:rsidRPr="00E73537">
        <w:rPr>
          <w:rFonts w:ascii="Arial" w:hAnsi="Arial" w:cs="Arial"/>
          <w:lang w:val="en-GB"/>
        </w:rPr>
        <w:t>8)=</w:t>
      </w:r>
      <w:proofErr w:type="gramEnd"/>
      <w:r w:rsidRPr="00E73537">
        <w:rPr>
          <w:rFonts w:ascii="Arial" w:hAnsi="Arial" w:cs="Arial"/>
          <w:lang w:val="en-GB"/>
        </w:rPr>
        <w:t>0</w:t>
      </w:r>
    </w:p>
    <w:p w14:paraId="37CE69C6" w14:textId="77777777" w:rsidR="00AE4805" w:rsidRPr="00E73537" w:rsidRDefault="00AE4805" w:rsidP="00033239">
      <w:pPr>
        <w:rPr>
          <w:rFonts w:ascii="Arial" w:hAnsi="Arial" w:cs="Arial"/>
          <w:lang w:val="en-GB"/>
        </w:rPr>
      </w:pPr>
      <w:r w:rsidRPr="00E73537">
        <w:rPr>
          <w:rFonts w:ascii="Arial" w:hAnsi="Arial" w:cs="Arial"/>
          <w:lang w:val="en-GB"/>
        </w:rPr>
        <w:t>Average profit = (2+4+6+2+0)/5 = 2.8</w:t>
      </w:r>
    </w:p>
    <w:p w14:paraId="56365A99" w14:textId="5ECF9227" w:rsidR="00AE4805" w:rsidRPr="00E73537" w:rsidRDefault="00AE4805" w:rsidP="00033239">
      <w:pPr>
        <w:rPr>
          <w:rFonts w:ascii="Arial" w:hAnsi="Arial" w:cs="Arial"/>
          <w:lang w:val="en-GB"/>
        </w:rPr>
      </w:pPr>
      <w:r w:rsidRPr="00E73537">
        <w:rPr>
          <w:rFonts w:ascii="Arial" w:hAnsi="Arial" w:cs="Arial"/>
          <w:lang w:val="en-GB"/>
        </w:rPr>
        <w:t>ARR = 2.8 / 40 = 7%</w:t>
      </w:r>
    </w:p>
    <w:p w14:paraId="7E3E7512" w14:textId="77777777" w:rsidR="00AE4805" w:rsidRPr="00E73537" w:rsidRDefault="00AE4805" w:rsidP="00033239">
      <w:pPr>
        <w:rPr>
          <w:rFonts w:ascii="Arial" w:hAnsi="Arial" w:cs="Arial"/>
          <w:lang w:val="en-GB"/>
        </w:rPr>
      </w:pPr>
      <w:r w:rsidRPr="00E73537">
        <w:rPr>
          <w:rFonts w:ascii="Arial" w:hAnsi="Arial" w:cs="Arial"/>
          <w:lang w:val="en-GB"/>
        </w:rPr>
        <w:t>Project B:</w:t>
      </w:r>
    </w:p>
    <w:p w14:paraId="3D1E3D68" w14:textId="77777777" w:rsidR="00AE4805" w:rsidRPr="00E73537" w:rsidRDefault="00AE4805" w:rsidP="00033239">
      <w:pPr>
        <w:rPr>
          <w:rFonts w:ascii="Arial" w:hAnsi="Arial" w:cs="Arial"/>
          <w:lang w:val="en-GB"/>
        </w:rPr>
      </w:pPr>
      <w:r w:rsidRPr="00E73537">
        <w:rPr>
          <w:rFonts w:ascii="Arial" w:hAnsi="Arial" w:cs="Arial"/>
          <w:lang w:val="en-GB"/>
        </w:rPr>
        <w:t>Depreciation = 30 / 5 = 6</w:t>
      </w:r>
    </w:p>
    <w:p w14:paraId="4C26A103" w14:textId="77777777" w:rsidR="00AE4805" w:rsidRPr="00E73537" w:rsidRDefault="00AE4805" w:rsidP="00033239">
      <w:pPr>
        <w:rPr>
          <w:rFonts w:ascii="Arial" w:hAnsi="Arial" w:cs="Arial"/>
          <w:lang w:val="en-GB"/>
        </w:rPr>
      </w:pPr>
      <w:r w:rsidRPr="00E73537">
        <w:rPr>
          <w:rFonts w:ascii="Arial" w:hAnsi="Arial" w:cs="Arial"/>
          <w:lang w:val="en-GB"/>
        </w:rPr>
        <w:t>Profits = 0 every year</w:t>
      </w:r>
    </w:p>
    <w:p w14:paraId="573F1878" w14:textId="5C26C226" w:rsidR="00AE4805" w:rsidRPr="00E73537" w:rsidRDefault="00AE4805" w:rsidP="00033239">
      <w:pPr>
        <w:rPr>
          <w:rFonts w:ascii="Arial" w:hAnsi="Arial" w:cs="Arial"/>
          <w:lang w:val="en-GB"/>
        </w:rPr>
      </w:pPr>
      <w:r w:rsidRPr="00E73537">
        <w:rPr>
          <w:rFonts w:ascii="Arial" w:hAnsi="Arial" w:cs="Arial"/>
          <w:lang w:val="en-GB"/>
        </w:rPr>
        <w:t>ARR = 0%</w:t>
      </w:r>
    </w:p>
    <w:p w14:paraId="2A9A856B" w14:textId="77777777" w:rsidR="00AE4805" w:rsidRPr="00E73537" w:rsidRDefault="00AE4805" w:rsidP="00033239">
      <w:pPr>
        <w:rPr>
          <w:rFonts w:ascii="Arial" w:hAnsi="Arial" w:cs="Arial"/>
          <w:lang w:val="en-GB"/>
        </w:rPr>
      </w:pPr>
      <w:r w:rsidRPr="00E73537">
        <w:rPr>
          <w:rFonts w:ascii="Arial" w:hAnsi="Arial" w:cs="Arial"/>
          <w:lang w:val="en-GB"/>
        </w:rPr>
        <w:t>Project C:</w:t>
      </w:r>
    </w:p>
    <w:p w14:paraId="04FD264D" w14:textId="77777777" w:rsidR="00AE4805" w:rsidRPr="00E73537" w:rsidRDefault="00AE4805" w:rsidP="00033239">
      <w:pPr>
        <w:rPr>
          <w:rFonts w:ascii="Arial" w:hAnsi="Arial" w:cs="Arial"/>
          <w:lang w:val="en-GB"/>
        </w:rPr>
      </w:pPr>
      <w:r w:rsidRPr="00E73537">
        <w:rPr>
          <w:rFonts w:ascii="Arial" w:hAnsi="Arial" w:cs="Arial"/>
          <w:lang w:val="en-GB"/>
        </w:rPr>
        <w:t>Depreciation = 50 / 5 = 10</w:t>
      </w:r>
    </w:p>
    <w:p w14:paraId="7EB315EF" w14:textId="77777777" w:rsidR="00AE4805" w:rsidRPr="00E73537" w:rsidRDefault="00AE4805" w:rsidP="00033239">
      <w:pPr>
        <w:rPr>
          <w:rFonts w:ascii="Arial" w:hAnsi="Arial" w:cs="Arial"/>
          <w:lang w:val="en-GB"/>
        </w:rPr>
      </w:pPr>
      <w:r w:rsidRPr="00E73537">
        <w:rPr>
          <w:rFonts w:ascii="Arial" w:hAnsi="Arial" w:cs="Arial"/>
          <w:lang w:val="en-GB"/>
        </w:rPr>
        <w:t>Profits = –5, 0, 10, 15, 5</w:t>
      </w:r>
    </w:p>
    <w:p w14:paraId="375D7A58" w14:textId="77777777" w:rsidR="00AE4805" w:rsidRPr="00E73537" w:rsidRDefault="00AE4805" w:rsidP="00033239">
      <w:pPr>
        <w:rPr>
          <w:rFonts w:ascii="Arial" w:hAnsi="Arial" w:cs="Arial"/>
          <w:lang w:val="en-GB"/>
        </w:rPr>
      </w:pPr>
      <w:r w:rsidRPr="00E73537">
        <w:rPr>
          <w:rFonts w:ascii="Arial" w:hAnsi="Arial" w:cs="Arial"/>
          <w:lang w:val="en-GB"/>
        </w:rPr>
        <w:t>Average profit = 25/5 = 5</w:t>
      </w:r>
    </w:p>
    <w:p w14:paraId="5223293C" w14:textId="55F31FCB" w:rsidR="00AE4805" w:rsidRPr="00E73537" w:rsidRDefault="00AE4805" w:rsidP="00033239">
      <w:pPr>
        <w:rPr>
          <w:rFonts w:ascii="Arial" w:hAnsi="Arial" w:cs="Arial"/>
          <w:lang w:val="en-GB"/>
        </w:rPr>
      </w:pPr>
      <w:r w:rsidRPr="00E73537">
        <w:rPr>
          <w:rFonts w:ascii="Arial" w:hAnsi="Arial" w:cs="Arial"/>
          <w:lang w:val="en-GB"/>
        </w:rPr>
        <w:t>ARR = 5 / 50 = 10%</w:t>
      </w:r>
    </w:p>
    <w:p w14:paraId="1FF30BBB" w14:textId="77777777" w:rsidR="004A1BB2" w:rsidRDefault="004A1BB2" w:rsidP="00033239">
      <w:pPr>
        <w:rPr>
          <w:rFonts w:ascii="Arial" w:hAnsi="Arial" w:cs="Arial"/>
          <w:lang w:val="en-GB"/>
        </w:rPr>
      </w:pPr>
    </w:p>
    <w:p w14:paraId="389C995F" w14:textId="5D97B476" w:rsidR="00AE4805" w:rsidRPr="00E73537" w:rsidRDefault="00AE4805" w:rsidP="00033239">
      <w:pPr>
        <w:rPr>
          <w:rFonts w:ascii="Arial" w:hAnsi="Arial" w:cs="Arial"/>
          <w:lang w:val="en-GB"/>
        </w:rPr>
      </w:pPr>
      <w:r w:rsidRPr="00E73537">
        <w:rPr>
          <w:rFonts w:ascii="Arial" w:hAnsi="Arial" w:cs="Arial"/>
          <w:lang w:val="en-GB"/>
        </w:rPr>
        <w:t>INTERNAL RATE OF RETURN (IRR) (Approximation)</w:t>
      </w:r>
    </w:p>
    <w:p w14:paraId="303B2C13" w14:textId="01E82845" w:rsidR="00AE4805" w:rsidRPr="00E73537" w:rsidRDefault="00AE4805" w:rsidP="00033239">
      <w:pPr>
        <w:rPr>
          <w:rFonts w:ascii="Arial" w:hAnsi="Arial" w:cs="Arial"/>
          <w:lang w:val="en-GB"/>
        </w:rPr>
      </w:pPr>
      <w:r w:rsidRPr="00E73537">
        <w:rPr>
          <w:rFonts w:ascii="Arial" w:hAnsi="Arial" w:cs="Arial"/>
          <w:lang w:val="en-GB"/>
        </w:rPr>
        <w:t>IRR is the discount rate that makes NPV = 0.</w:t>
      </w:r>
    </w:p>
    <w:p w14:paraId="6916AB71" w14:textId="77777777" w:rsidR="00AE4805" w:rsidRPr="00E73537" w:rsidRDefault="00AE4805" w:rsidP="00033239">
      <w:pPr>
        <w:rPr>
          <w:rFonts w:ascii="Arial" w:hAnsi="Arial" w:cs="Arial"/>
          <w:lang w:val="en-GB"/>
        </w:rPr>
      </w:pPr>
      <w:r w:rsidRPr="00E73537">
        <w:rPr>
          <w:rFonts w:ascii="Arial" w:hAnsi="Arial" w:cs="Arial"/>
          <w:lang w:val="en-GB"/>
        </w:rPr>
        <w:t>Project A:</w:t>
      </w:r>
    </w:p>
    <w:p w14:paraId="25BC0663" w14:textId="77777777" w:rsidR="00AE4805" w:rsidRPr="00E73537" w:rsidRDefault="00AE4805" w:rsidP="00033239">
      <w:pPr>
        <w:rPr>
          <w:rFonts w:ascii="Arial" w:hAnsi="Arial" w:cs="Arial"/>
          <w:lang w:val="en-GB"/>
        </w:rPr>
      </w:pPr>
      <w:r w:rsidRPr="00E73537">
        <w:rPr>
          <w:rFonts w:ascii="Arial" w:hAnsi="Arial" w:cs="Arial"/>
          <w:lang w:val="en-GB"/>
        </w:rPr>
        <w:t>NPV at 10% = +1.3267</w:t>
      </w:r>
    </w:p>
    <w:p w14:paraId="394DD2DD" w14:textId="77777777" w:rsidR="00AE4805" w:rsidRPr="00E73537" w:rsidRDefault="00AE4805" w:rsidP="00033239">
      <w:pPr>
        <w:rPr>
          <w:rFonts w:ascii="Arial" w:hAnsi="Arial" w:cs="Arial"/>
          <w:lang w:val="en-GB"/>
        </w:rPr>
      </w:pPr>
      <w:r w:rsidRPr="00E73537">
        <w:rPr>
          <w:rFonts w:ascii="Arial" w:hAnsi="Arial" w:cs="Arial"/>
          <w:lang w:val="en-GB"/>
        </w:rPr>
        <w:t>NPV at 12% ≈ –0.639</w:t>
      </w:r>
    </w:p>
    <w:p w14:paraId="799F4C63" w14:textId="77777777" w:rsidR="00AE4805" w:rsidRPr="00E73537" w:rsidRDefault="00AE4805" w:rsidP="00033239">
      <w:pPr>
        <w:rPr>
          <w:rFonts w:ascii="Arial" w:hAnsi="Arial" w:cs="Arial"/>
          <w:lang w:val="en-GB"/>
        </w:rPr>
      </w:pPr>
      <w:r w:rsidRPr="00E73537">
        <w:rPr>
          <w:rFonts w:ascii="Arial" w:hAnsi="Arial" w:cs="Arial"/>
          <w:lang w:val="en-GB"/>
        </w:rPr>
        <w:lastRenderedPageBreak/>
        <w:t>IRR ≈ 10% + [1.3267 / (1.3267 + 0.639)] × 2%</w:t>
      </w:r>
    </w:p>
    <w:p w14:paraId="613FC318" w14:textId="425D9697" w:rsidR="00AE4805" w:rsidRPr="00E73537" w:rsidRDefault="00AE4805" w:rsidP="00033239">
      <w:pPr>
        <w:rPr>
          <w:rFonts w:ascii="Arial" w:hAnsi="Arial" w:cs="Arial"/>
          <w:lang w:val="en-GB"/>
        </w:rPr>
      </w:pPr>
      <w:r w:rsidRPr="00E73537">
        <w:rPr>
          <w:rFonts w:ascii="Arial" w:hAnsi="Arial" w:cs="Arial"/>
          <w:lang w:val="en-GB"/>
        </w:rPr>
        <w:t>IRR ≈ 11.3%</w:t>
      </w:r>
    </w:p>
    <w:p w14:paraId="662C51F3" w14:textId="77777777" w:rsidR="00AE4805" w:rsidRPr="00E73537" w:rsidRDefault="00AE4805" w:rsidP="00033239">
      <w:pPr>
        <w:rPr>
          <w:rFonts w:ascii="Arial" w:hAnsi="Arial" w:cs="Arial"/>
          <w:lang w:val="en-GB"/>
        </w:rPr>
      </w:pPr>
      <w:r w:rsidRPr="00E73537">
        <w:rPr>
          <w:rFonts w:ascii="Arial" w:hAnsi="Arial" w:cs="Arial"/>
          <w:lang w:val="en-GB"/>
        </w:rPr>
        <w:t>Project B:</w:t>
      </w:r>
    </w:p>
    <w:p w14:paraId="4D50B623" w14:textId="77777777" w:rsidR="00AE4805" w:rsidRPr="00E73537" w:rsidRDefault="00AE4805" w:rsidP="00033239">
      <w:pPr>
        <w:rPr>
          <w:rFonts w:ascii="Arial" w:hAnsi="Arial" w:cs="Arial"/>
          <w:lang w:val="en-GB"/>
        </w:rPr>
      </w:pPr>
      <w:r w:rsidRPr="00E73537">
        <w:rPr>
          <w:rFonts w:ascii="Arial" w:hAnsi="Arial" w:cs="Arial"/>
          <w:lang w:val="en-GB"/>
        </w:rPr>
        <w:t>NPV at 10% is negative; undiscounted inflows = initial</w:t>
      </w:r>
    </w:p>
    <w:p w14:paraId="34C27A1B" w14:textId="1B66E930" w:rsidR="00AE4805" w:rsidRPr="00E73537" w:rsidRDefault="00AE4805" w:rsidP="00033239">
      <w:pPr>
        <w:rPr>
          <w:rFonts w:ascii="Arial" w:hAnsi="Arial" w:cs="Arial"/>
          <w:lang w:val="en-GB"/>
        </w:rPr>
      </w:pPr>
      <w:r w:rsidRPr="00E73537">
        <w:rPr>
          <w:rFonts w:ascii="Arial" w:hAnsi="Arial" w:cs="Arial"/>
          <w:lang w:val="en-GB"/>
        </w:rPr>
        <w:t>IRR ≈ 0%</w:t>
      </w:r>
    </w:p>
    <w:p w14:paraId="23D31EC6" w14:textId="77777777" w:rsidR="00AE4805" w:rsidRPr="00E73537" w:rsidRDefault="00AE4805" w:rsidP="00033239">
      <w:pPr>
        <w:rPr>
          <w:rFonts w:ascii="Arial" w:hAnsi="Arial" w:cs="Arial"/>
          <w:lang w:val="en-GB"/>
        </w:rPr>
      </w:pPr>
      <w:r w:rsidRPr="00E73537">
        <w:rPr>
          <w:rFonts w:ascii="Arial" w:hAnsi="Arial" w:cs="Arial"/>
          <w:lang w:val="en-GB"/>
        </w:rPr>
        <w:t>Project C:</w:t>
      </w:r>
    </w:p>
    <w:p w14:paraId="755057E9" w14:textId="77777777" w:rsidR="00AE4805" w:rsidRPr="00E73537" w:rsidRDefault="00AE4805" w:rsidP="00033239">
      <w:pPr>
        <w:rPr>
          <w:rFonts w:ascii="Arial" w:hAnsi="Arial" w:cs="Arial"/>
          <w:lang w:val="en-GB"/>
        </w:rPr>
      </w:pPr>
      <w:r w:rsidRPr="00E73537">
        <w:rPr>
          <w:rFonts w:ascii="Arial" w:hAnsi="Arial" w:cs="Arial"/>
          <w:lang w:val="en-GB"/>
        </w:rPr>
        <w:t>NPV at 10% = +4.235</w:t>
      </w:r>
    </w:p>
    <w:p w14:paraId="26497883" w14:textId="77777777" w:rsidR="00AE4805" w:rsidRPr="00E73537" w:rsidRDefault="00AE4805" w:rsidP="00033239">
      <w:pPr>
        <w:rPr>
          <w:rFonts w:ascii="Arial" w:hAnsi="Arial" w:cs="Arial"/>
          <w:lang w:val="en-GB"/>
        </w:rPr>
      </w:pPr>
      <w:r w:rsidRPr="00E73537">
        <w:rPr>
          <w:rFonts w:ascii="Arial" w:hAnsi="Arial" w:cs="Arial"/>
          <w:lang w:val="en-GB"/>
        </w:rPr>
        <w:t>NPV at 15% ≈ –3.182</w:t>
      </w:r>
    </w:p>
    <w:p w14:paraId="6BA0FE99" w14:textId="77777777" w:rsidR="00AE4805" w:rsidRPr="00E73537" w:rsidRDefault="00AE4805" w:rsidP="00033239">
      <w:pPr>
        <w:rPr>
          <w:rFonts w:ascii="Arial" w:hAnsi="Arial" w:cs="Arial"/>
          <w:lang w:val="en-GB"/>
        </w:rPr>
      </w:pPr>
      <w:r w:rsidRPr="00E73537">
        <w:rPr>
          <w:rFonts w:ascii="Arial" w:hAnsi="Arial" w:cs="Arial"/>
          <w:lang w:val="en-GB"/>
        </w:rPr>
        <w:t>IRR ≈ 10% + [4.235 / (4.235 + 3.182)] × 5%</w:t>
      </w:r>
    </w:p>
    <w:p w14:paraId="273EC159" w14:textId="1A541897" w:rsidR="00AE4805" w:rsidRPr="00E73537" w:rsidRDefault="00AE4805" w:rsidP="00033239">
      <w:pPr>
        <w:rPr>
          <w:rFonts w:ascii="Arial" w:hAnsi="Arial" w:cs="Arial"/>
          <w:lang w:val="en-GB"/>
        </w:rPr>
      </w:pPr>
      <w:r w:rsidRPr="00E73537">
        <w:rPr>
          <w:rFonts w:ascii="Arial" w:hAnsi="Arial" w:cs="Arial"/>
          <w:lang w:val="en-GB"/>
        </w:rPr>
        <w:t>IRR ≈ 12.9%</w:t>
      </w:r>
    </w:p>
    <w:sectPr w:rsidR="00AE4805" w:rsidRPr="00E73537" w:rsidSect="00BF1B47">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7E743" w14:textId="77777777" w:rsidR="00622CDE" w:rsidRDefault="00622CDE" w:rsidP="004373FF">
      <w:pPr>
        <w:spacing w:line="240" w:lineRule="auto"/>
      </w:pPr>
      <w:r>
        <w:separator/>
      </w:r>
    </w:p>
  </w:endnote>
  <w:endnote w:type="continuationSeparator" w:id="0">
    <w:p w14:paraId="4F5286ED" w14:textId="77777777" w:rsidR="00622CDE" w:rsidRDefault="00622CDE" w:rsidP="004373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C1C8776-8635-492F-8763-A2ABBC8AFB6A}"/>
    <w:embedBold r:id="rId2" w:fontKey="{3FB2AE65-2BA7-4CC9-B548-6618CBD7583A}"/>
  </w:font>
  <w:font w:name="Cambria">
    <w:panose1 w:val="02040503050406030204"/>
    <w:charset w:val="00"/>
    <w:family w:val="roman"/>
    <w:pitch w:val="variable"/>
    <w:sig w:usb0="E00006FF" w:usb1="420024FF" w:usb2="02000000" w:usb3="00000000" w:csb0="0000019F" w:csb1="00000000"/>
    <w:embedRegular r:id="rId3" w:fontKey="{B2A89B7C-EF4C-41ED-8C40-2A0FF3FA43B1}"/>
    <w:embedBold r:id="rId4" w:fontKey="{6E6F36A9-428B-4FF9-93E9-FF83C4E3F554}"/>
    <w:embedBoldItalic r:id="rId5" w:fontKey="{89341402-9DDF-43D7-8EA9-49A2C164D7B6}"/>
  </w:font>
  <w:font w:name="Cambria Math">
    <w:panose1 w:val="02040503050406030204"/>
    <w:charset w:val="00"/>
    <w:family w:val="roman"/>
    <w:pitch w:val="variable"/>
    <w:sig w:usb0="E00006FF" w:usb1="420024FF" w:usb2="02000000" w:usb3="00000000" w:csb0="0000019F" w:csb1="00000000"/>
    <w:embedRegular r:id="rId6" w:fontKey="{0FF74A55-447B-4393-B5F1-CA0916928C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0601370"/>
      <w:docPartObj>
        <w:docPartGallery w:val="Page Numbers (Bottom of Page)"/>
        <w:docPartUnique/>
      </w:docPartObj>
    </w:sdtPr>
    <w:sdtContent>
      <w:p w14:paraId="6D600D9E" w14:textId="77777777" w:rsidR="005E6830" w:rsidRDefault="005E6830" w:rsidP="003F4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F75D3D" w14:textId="77777777" w:rsidR="004373FF" w:rsidRDefault="004373FF" w:rsidP="005E68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2534044"/>
      <w:docPartObj>
        <w:docPartGallery w:val="Page Numbers (Bottom of Page)"/>
        <w:docPartUnique/>
      </w:docPartObj>
    </w:sdtPr>
    <w:sdtContent>
      <w:p w14:paraId="4D5DD932" w14:textId="77777777" w:rsidR="005E6830" w:rsidRDefault="005E6830" w:rsidP="003F4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462370C" w14:textId="77777777" w:rsidR="004373FF" w:rsidRDefault="004373FF" w:rsidP="005E683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935A5" w14:textId="77777777" w:rsidR="00394CC2" w:rsidRDefault="00394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D15EA" w14:textId="77777777" w:rsidR="00622CDE" w:rsidRDefault="00622CDE" w:rsidP="004373FF">
      <w:pPr>
        <w:spacing w:line="240" w:lineRule="auto"/>
      </w:pPr>
      <w:r>
        <w:separator/>
      </w:r>
    </w:p>
  </w:footnote>
  <w:footnote w:type="continuationSeparator" w:id="0">
    <w:p w14:paraId="48712328" w14:textId="77777777" w:rsidR="00622CDE" w:rsidRDefault="00622CDE" w:rsidP="004373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A9AB0" w14:textId="77777777" w:rsidR="004373FF" w:rsidRDefault="004373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8222" w14:textId="77777777" w:rsidR="004373FF" w:rsidRDefault="004373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E0D02" w14:textId="77777777" w:rsidR="004373FF" w:rsidRDefault="004373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0FA"/>
    <w:rsid w:val="00033239"/>
    <w:rsid w:val="00082D7C"/>
    <w:rsid w:val="00162ECE"/>
    <w:rsid w:val="001E7B08"/>
    <w:rsid w:val="00394CC2"/>
    <w:rsid w:val="003A2C3C"/>
    <w:rsid w:val="003B6687"/>
    <w:rsid w:val="004373FF"/>
    <w:rsid w:val="004413A3"/>
    <w:rsid w:val="004A1BB2"/>
    <w:rsid w:val="004F1199"/>
    <w:rsid w:val="005023AD"/>
    <w:rsid w:val="005E6830"/>
    <w:rsid w:val="00606BFE"/>
    <w:rsid w:val="00622CDE"/>
    <w:rsid w:val="006D7CEE"/>
    <w:rsid w:val="00742F3C"/>
    <w:rsid w:val="007C5F36"/>
    <w:rsid w:val="007E12DB"/>
    <w:rsid w:val="008D5C85"/>
    <w:rsid w:val="009804F1"/>
    <w:rsid w:val="009D111E"/>
    <w:rsid w:val="00A06021"/>
    <w:rsid w:val="00A527BB"/>
    <w:rsid w:val="00AE4805"/>
    <w:rsid w:val="00B50EDC"/>
    <w:rsid w:val="00BF1B47"/>
    <w:rsid w:val="00C10957"/>
    <w:rsid w:val="00CA48DF"/>
    <w:rsid w:val="00CA5DBC"/>
    <w:rsid w:val="00D300FA"/>
    <w:rsid w:val="00D540EA"/>
    <w:rsid w:val="00D650FD"/>
    <w:rsid w:val="00E12D0B"/>
    <w:rsid w:val="00E73537"/>
    <w:rsid w:val="00EA63BD"/>
    <w:rsid w:val="00F566F6"/>
    <w:rsid w:val="00F753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BD20B"/>
  <w15:docId w15:val="{19F6F32C-44E2-7F49-9AE9-7C613E1B7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373FF"/>
    <w:pPr>
      <w:tabs>
        <w:tab w:val="center" w:pos="4680"/>
        <w:tab w:val="right" w:pos="9360"/>
      </w:tabs>
      <w:spacing w:line="240" w:lineRule="auto"/>
    </w:pPr>
  </w:style>
  <w:style w:type="character" w:customStyle="1" w:styleId="HeaderChar">
    <w:name w:val="Header Char"/>
    <w:basedOn w:val="DefaultParagraphFont"/>
    <w:link w:val="Header"/>
    <w:uiPriority w:val="99"/>
    <w:rsid w:val="004373FF"/>
  </w:style>
  <w:style w:type="paragraph" w:styleId="Footer">
    <w:name w:val="footer"/>
    <w:basedOn w:val="Normal"/>
    <w:link w:val="FooterChar"/>
    <w:uiPriority w:val="99"/>
    <w:unhideWhenUsed/>
    <w:rsid w:val="004373FF"/>
    <w:pPr>
      <w:tabs>
        <w:tab w:val="center" w:pos="4680"/>
        <w:tab w:val="right" w:pos="9360"/>
      </w:tabs>
      <w:spacing w:line="240" w:lineRule="auto"/>
    </w:pPr>
  </w:style>
  <w:style w:type="character" w:customStyle="1" w:styleId="FooterChar">
    <w:name w:val="Footer Char"/>
    <w:basedOn w:val="DefaultParagraphFont"/>
    <w:link w:val="Footer"/>
    <w:uiPriority w:val="99"/>
    <w:rsid w:val="004373FF"/>
  </w:style>
  <w:style w:type="character" w:styleId="Hyperlink">
    <w:name w:val="Hyperlink"/>
    <w:basedOn w:val="DefaultParagraphFont"/>
    <w:uiPriority w:val="99"/>
    <w:unhideWhenUsed/>
    <w:rsid w:val="004373FF"/>
    <w:rPr>
      <w:color w:val="0000FF" w:themeColor="hyperlink"/>
      <w:u w:val="single"/>
    </w:rPr>
  </w:style>
  <w:style w:type="paragraph" w:styleId="TOCHeading">
    <w:name w:val="TOC Heading"/>
    <w:basedOn w:val="Heading1"/>
    <w:next w:val="Normal"/>
    <w:uiPriority w:val="39"/>
    <w:unhideWhenUsed/>
    <w:qFormat/>
    <w:rsid w:val="005E6830"/>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5E6830"/>
    <w:pPr>
      <w:spacing w:before="120"/>
      <w:jc w:val="left"/>
    </w:pPr>
    <w:rPr>
      <w:rFonts w:asciiTheme="minorHAnsi" w:hAnsiTheme="minorHAnsi"/>
      <w:b/>
      <w:bCs/>
      <w:i/>
      <w:iCs/>
    </w:rPr>
  </w:style>
  <w:style w:type="paragraph" w:styleId="TOC2">
    <w:name w:val="toc 2"/>
    <w:basedOn w:val="Normal"/>
    <w:next w:val="Normal"/>
    <w:autoRedefine/>
    <w:uiPriority w:val="39"/>
    <w:unhideWhenUsed/>
    <w:rsid w:val="005E6830"/>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5E6830"/>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5E6830"/>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5E6830"/>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5E6830"/>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5E6830"/>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5E6830"/>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5E6830"/>
    <w:pPr>
      <w:ind w:left="1920"/>
      <w:jc w:val="left"/>
    </w:pPr>
    <w:rPr>
      <w:rFonts w:asciiTheme="minorHAnsi" w:hAnsiTheme="minorHAnsi"/>
      <w:sz w:val="20"/>
      <w:szCs w:val="20"/>
    </w:rPr>
  </w:style>
  <w:style w:type="character" w:styleId="PageNumber">
    <w:name w:val="page number"/>
    <w:basedOn w:val="DefaultParagraphFont"/>
    <w:uiPriority w:val="99"/>
    <w:semiHidden/>
    <w:unhideWhenUsed/>
    <w:rsid w:val="005E6830"/>
  </w:style>
  <w:style w:type="character" w:styleId="Strong">
    <w:name w:val="Strong"/>
    <w:basedOn w:val="DefaultParagraphFont"/>
    <w:uiPriority w:val="22"/>
    <w:qFormat/>
    <w:rsid w:val="00394CC2"/>
    <w:rPr>
      <w:b/>
      <w:bCs/>
    </w:rPr>
  </w:style>
  <w:style w:type="table" w:styleId="TableGrid">
    <w:name w:val="Table Grid"/>
    <w:basedOn w:val="TableNormal"/>
    <w:uiPriority w:val="39"/>
    <w:rsid w:val="00394CC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s://books.google.com/books?hl=en&amp;lr=&amp;id=1-mFEQAAQBAJ&amp;oi=fnd&amp;pg=PA23&amp;dq=Corporate+Financial+Restructuring&amp;ots=yg3E3eaUIz&amp;sig=xhuaf1J_9IojgtUBaRtA-BAlu2Q" TargetMode="External"/><Relationship Id="rId39" Type="http://schemas.openxmlformats.org/officeDocument/2006/relationships/hyperlink" Target="https://academic.oup.com/rcfs/article-abstract/11/4/849/6665905" TargetMode="External"/><Relationship Id="rId21" Type="http://schemas.openxmlformats.org/officeDocument/2006/relationships/hyperlink" Target="http://advancesinresearch.id/index.php/AMFR/article/view/310" TargetMode="External"/><Relationship Id="rId34" Type="http://schemas.openxmlformats.org/officeDocument/2006/relationships/hyperlink" Target="https://www.academia.edu/download/81063588/article_677839_cd06f5c50b09f28acf4802268302e8ba.pdf" TargetMode="External"/><Relationship Id="rId42" Type="http://schemas.openxmlformats.org/officeDocument/2006/relationships/hyperlink" Target="http://eduvest.greenvest.co.id/index.php/edv/article/view/847" TargetMode="External"/><Relationship Id="rId47" Type="http://schemas.openxmlformats.org/officeDocument/2006/relationships/hyperlink" Target="https://link.springer.com/article/10.1007/s10997-022-09643-8" TargetMode="External"/><Relationship Id="rId50" Type="http://schemas.openxmlformats.org/officeDocument/2006/relationships/image" Target="media/image3.png"/><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9.xml"/><Relationship Id="rId29" Type="http://schemas.openxmlformats.org/officeDocument/2006/relationships/hyperlink" Target="https://www.researchgate.net/profile/Youssef-Jouali/publication/384182150_Anticipating_financial_distress_Leveraging_financial_information_financial_ratios_and_corporate_governance_for_proactive_risk_management/links/66fbc572f599e0392fb0d38a/Anticipating-financial-distress-Leveraging-financial-information-financial-ratios-and-corporate-governance-for-proactive-risk-management.pdf" TargetMode="External"/><Relationship Id="rId11" Type="http://schemas.openxmlformats.org/officeDocument/2006/relationships/chart" Target="charts/chart4.xml"/><Relationship Id="rId24" Type="http://schemas.openxmlformats.org/officeDocument/2006/relationships/hyperlink" Target="http://emergingsociety.org/index.php/efltajet/article/view/290" TargetMode="External"/><Relationship Id="rId32" Type="http://schemas.openxmlformats.org/officeDocument/2006/relationships/hyperlink" Target="https://journals.sagepub.com/doi/abs/10.1177/0896920521994170" TargetMode="External"/><Relationship Id="rId37" Type="http://schemas.openxmlformats.org/officeDocument/2006/relationships/hyperlink" Target="https://onlinelibrary.wiley.com/doi/abs/10.1111/dech.12757" TargetMode="External"/><Relationship Id="rId40" Type="http://schemas.openxmlformats.org/officeDocument/2006/relationships/hyperlink" Target="https://papers.ssrn.com/sol3/papers.cfm?abstract_id=5498139" TargetMode="External"/><Relationship Id="rId45" Type="http://schemas.openxmlformats.org/officeDocument/2006/relationships/hyperlink" Target="https://www.efmaefm.org/0EFMAMEETINGS/EFMA%20ANNUAL%20MEETINGS/2023-UK/papers/EFMA%202023_stage-4455_question-Full%20Paper_id-102.pdf"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footnotes" Target="footnotes.xml"/><Relationship Id="rId19" Type="http://schemas.openxmlformats.org/officeDocument/2006/relationships/hyperlink" Target="https://sagepublishers.com/index.php/ijssme/article/view/155"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ijrss.org/index.php/ijrss/article/view/755" TargetMode="External"/><Relationship Id="rId27" Type="http://schemas.openxmlformats.org/officeDocument/2006/relationships/hyperlink" Target="https://www.ceeol.com/search/article-detail?id=1273642" TargetMode="External"/><Relationship Id="rId30" Type="http://schemas.openxmlformats.org/officeDocument/2006/relationships/hyperlink" Target="https://www.mdpi.com/1996-1073/15/5/1853" TargetMode="External"/><Relationship Id="rId35" Type="http://schemas.openxmlformats.org/officeDocument/2006/relationships/hyperlink" Target="https://www.elgaronline.com/edcollchap/book/9781800373891/book-part-9781800373891-27.xml" TargetMode="External"/><Relationship Id="rId43" Type="http://schemas.openxmlformats.org/officeDocument/2006/relationships/hyperlink" Target="https://heinonline.org/hol-cgi-bin/get_pdf.cgi?handle=hein.journals/unilllr2021&amp;section=5" TargetMode="External"/><Relationship Id="rId48" Type="http://schemas.openxmlformats.org/officeDocument/2006/relationships/hyperlink" Target="https://papers.ssrn.com/sol3/papers.cfm?abstract_id=4053183" TargetMode="External"/><Relationship Id="rId56" Type="http://schemas.openxmlformats.org/officeDocument/2006/relationships/footer" Target="footer2.xml"/><Relationship Id="rId8" Type="http://schemas.openxmlformats.org/officeDocument/2006/relationships/chart" Target="charts/chart1.xml"/><Relationship Id="rId51"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papers.ssrn.com/sol3/papers.cfm?abstract_id=3183777" TargetMode="External"/><Relationship Id="rId33" Type="http://schemas.openxmlformats.org/officeDocument/2006/relationships/hyperlink" Target="https://link.springer.com/article/10.1007/s11356-023-25776-1" TargetMode="External"/><Relationship Id="rId38" Type="http://schemas.openxmlformats.org/officeDocument/2006/relationships/hyperlink" Target="https://www.multiresearchjournal.com/admin/uploads/archives/archive-1742807323.pdf" TargetMode="External"/><Relationship Id="rId46" Type="http://schemas.openxmlformats.org/officeDocument/2006/relationships/hyperlink" Target="https://eirjournal.com/article/view/22285" TargetMode="External"/><Relationship Id="rId59" Type="http://schemas.openxmlformats.org/officeDocument/2006/relationships/fontTable" Target="fontTable.xml"/><Relationship Id="rId20" Type="http://schemas.openxmlformats.org/officeDocument/2006/relationships/hyperlink" Target="https://jurnal.stie-aas.ac.id/index.php/IJEBAR/article/view/3830" TargetMode="External"/><Relationship Id="rId41" Type="http://schemas.openxmlformats.org/officeDocument/2006/relationships/hyperlink" Target="https://link.springer.com/article/10.1007/s40804-023-00272-8"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hyperlink" Target="https://papers.ssrn.com/sol3/papers.cfm?abstract_id=3799608" TargetMode="External"/><Relationship Id="rId28" Type="http://schemas.openxmlformats.org/officeDocument/2006/relationships/hyperlink" Target="https://www.mdpi.com/2227-9091/9/6/105" TargetMode="External"/><Relationship Id="rId36" Type="http://schemas.openxmlformats.org/officeDocument/2006/relationships/hyperlink" Target="https://www.theijbmt.com/archive/0955/410445338.pdf" TargetMode="External"/><Relationship Id="rId49" Type="http://schemas.openxmlformats.org/officeDocument/2006/relationships/image" Target="media/image2.png"/><Relationship Id="rId57" Type="http://schemas.openxmlformats.org/officeDocument/2006/relationships/header" Target="header3.xml"/><Relationship Id="rId10" Type="http://schemas.openxmlformats.org/officeDocument/2006/relationships/chart" Target="charts/chart3.xml"/><Relationship Id="rId31" Type="http://schemas.openxmlformats.org/officeDocument/2006/relationships/hyperlink" Target="https://www.e3s-conferences.org/articles/e3sconf/abs/2021/49/e3sconf_interagromash2021_10037/e3sconf_interagromash2021_10037.html" TargetMode="External"/><Relationship Id="rId44" Type="http://schemas.openxmlformats.org/officeDocument/2006/relationships/hyperlink" Target="https://readersinsight.net/JPVAI/article/download/2389/1653" TargetMode="External"/><Relationship Id="rId52" Type="http://schemas.openxmlformats.org/officeDocument/2006/relationships/image" Target="media/image5.png"/><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sepely\Work\my%20work\BR-AP230%20rework%201.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Ratios!$A$2</c:f>
              <c:strCache>
                <c:ptCount val="1"/>
                <c:pt idx="0">
                  <c:v>Gross Margin</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Ratios!$B$1:$F$1</c:f>
              <c:strCache>
                <c:ptCount val="5"/>
                <c:pt idx="0">
                  <c:v>2024</c:v>
                </c:pt>
                <c:pt idx="1">
                  <c:v>2023</c:v>
                </c:pt>
                <c:pt idx="2">
                  <c:v>2022</c:v>
                </c:pt>
                <c:pt idx="3">
                  <c:v>2021</c:v>
                </c:pt>
                <c:pt idx="4">
                  <c:v>2020</c:v>
                </c:pt>
              </c:strCache>
            </c:strRef>
          </c:cat>
          <c:val>
            <c:numRef>
              <c:f>Ratios!$B$2:$F$2</c:f>
              <c:numCache>
                <c:formatCode>0.000</c:formatCode>
                <c:ptCount val="5"/>
                <c:pt idx="0">
                  <c:v>0.28868083640811487</c:v>
                </c:pt>
                <c:pt idx="1">
                  <c:v>0.23203324002216635</c:v>
                </c:pt>
                <c:pt idx="2">
                  <c:v>0.28059275800505207</c:v>
                </c:pt>
                <c:pt idx="3">
                  <c:v>0.28759212901552855</c:v>
                </c:pt>
                <c:pt idx="4">
                  <c:v>0.28674432224897506</c:v>
                </c:pt>
              </c:numCache>
            </c:numRef>
          </c:val>
          <c:extLst>
            <c:ext xmlns:c16="http://schemas.microsoft.com/office/drawing/2014/chart" uri="{C3380CC4-5D6E-409C-BE32-E72D297353CC}">
              <c16:uniqueId val="{00000000-EA89-4127-86C1-DD9B8CB4AB1A}"/>
            </c:ext>
          </c:extLst>
        </c:ser>
        <c:dLbls>
          <c:showLegendKey val="0"/>
          <c:showVal val="0"/>
          <c:showCatName val="0"/>
          <c:showSerName val="0"/>
          <c:showPercent val="0"/>
          <c:showBubbleSize val="0"/>
        </c:dLbls>
        <c:gapWidth val="326"/>
        <c:overlap val="-58"/>
        <c:axId val="1756895072"/>
        <c:axId val="1838775168"/>
      </c:barChart>
      <c:catAx>
        <c:axId val="1756895072"/>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775168"/>
        <c:crosses val="autoZero"/>
        <c:auto val="1"/>
        <c:lblAlgn val="ctr"/>
        <c:lblOffset val="100"/>
        <c:noMultiLvlLbl val="0"/>
      </c:catAx>
      <c:valAx>
        <c:axId val="183877516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6895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Ratios!$A$3</c:f>
              <c:strCache>
                <c:ptCount val="1"/>
                <c:pt idx="0">
                  <c:v>Operating Margin</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Ratios!$B$1:$F$1</c:f>
              <c:strCache>
                <c:ptCount val="5"/>
                <c:pt idx="0">
                  <c:v>2024</c:v>
                </c:pt>
                <c:pt idx="1">
                  <c:v>2023</c:v>
                </c:pt>
                <c:pt idx="2">
                  <c:v>2022</c:v>
                </c:pt>
                <c:pt idx="3">
                  <c:v>2021</c:v>
                </c:pt>
                <c:pt idx="4">
                  <c:v>2020</c:v>
                </c:pt>
              </c:strCache>
            </c:strRef>
          </c:cat>
          <c:val>
            <c:numRef>
              <c:f>Ratios!$B$3:$F$3</c:f>
              <c:numCache>
                <c:formatCode>0.000</c:formatCode>
                <c:ptCount val="5"/>
                <c:pt idx="0">
                  <c:v>-3.8738448993235905E-2</c:v>
                </c:pt>
                <c:pt idx="1">
                  <c:v>-0.20287686969178775</c:v>
                </c:pt>
                <c:pt idx="2">
                  <c:v>2.6804188292605634E-2</c:v>
                </c:pt>
                <c:pt idx="3">
                  <c:v>3.8651799694814845E-2</c:v>
                </c:pt>
                <c:pt idx="4">
                  <c:v>6.0628294397084663E-2</c:v>
                </c:pt>
              </c:numCache>
            </c:numRef>
          </c:val>
          <c:extLst>
            <c:ext xmlns:c16="http://schemas.microsoft.com/office/drawing/2014/chart" uri="{C3380CC4-5D6E-409C-BE32-E72D297353CC}">
              <c16:uniqueId val="{00000000-FBFD-4E69-A723-2C8C1AD75B47}"/>
            </c:ext>
          </c:extLst>
        </c:ser>
        <c:dLbls>
          <c:showLegendKey val="0"/>
          <c:showVal val="0"/>
          <c:showCatName val="0"/>
          <c:showSerName val="0"/>
          <c:showPercent val="0"/>
          <c:showBubbleSize val="0"/>
        </c:dLbls>
        <c:gapWidth val="326"/>
        <c:overlap val="-58"/>
        <c:axId val="254094496"/>
        <c:axId val="254002832"/>
      </c:barChart>
      <c:catAx>
        <c:axId val="254094496"/>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002832"/>
        <c:crosses val="autoZero"/>
        <c:auto val="1"/>
        <c:lblAlgn val="ctr"/>
        <c:lblOffset val="100"/>
        <c:noMultiLvlLbl val="0"/>
      </c:catAx>
      <c:valAx>
        <c:axId val="254002832"/>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094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Ratios!$A$4</c:f>
              <c:strCache>
                <c:ptCount val="1"/>
                <c:pt idx="0">
                  <c:v>Net Margin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Ratios!$B$4:$F$4</c:f>
              <c:numCache>
                <c:formatCode>0.000</c:formatCode>
                <c:ptCount val="5"/>
                <c:pt idx="0">
                  <c:v>-6.0851551994408414E-2</c:v>
                </c:pt>
                <c:pt idx="1">
                  <c:v>-0.23364577114901167</c:v>
                </c:pt>
                <c:pt idx="2">
                  <c:v>7.4988346405626153E-4</c:v>
                </c:pt>
                <c:pt idx="3">
                  <c:v>8.8114733661124791E-3</c:v>
                </c:pt>
                <c:pt idx="4">
                  <c:v>6.2751350296089026E-2</c:v>
                </c:pt>
              </c:numCache>
            </c:numRef>
          </c:val>
          <c:extLst>
            <c:ext xmlns:c16="http://schemas.microsoft.com/office/drawing/2014/chart" uri="{C3380CC4-5D6E-409C-BE32-E72D297353CC}">
              <c16:uniqueId val="{00000000-0E51-4C68-B789-93EBEA9475DC}"/>
            </c:ext>
          </c:extLst>
        </c:ser>
        <c:dLbls>
          <c:dLblPos val="outEnd"/>
          <c:showLegendKey val="0"/>
          <c:showVal val="1"/>
          <c:showCatName val="0"/>
          <c:showSerName val="0"/>
          <c:showPercent val="0"/>
          <c:showBubbleSize val="0"/>
        </c:dLbls>
        <c:gapWidth val="444"/>
        <c:overlap val="-90"/>
        <c:axId val="2076510768"/>
        <c:axId val="2077990064"/>
      </c:barChart>
      <c:catAx>
        <c:axId val="2076510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77990064"/>
        <c:crosses val="autoZero"/>
        <c:auto val="1"/>
        <c:lblAlgn val="ctr"/>
        <c:lblOffset val="100"/>
        <c:noMultiLvlLbl val="0"/>
      </c:catAx>
      <c:valAx>
        <c:axId val="2077990064"/>
        <c:scaling>
          <c:orientation val="minMax"/>
        </c:scaling>
        <c:delete val="1"/>
        <c:axPos val="l"/>
        <c:numFmt formatCode="0.000" sourceLinked="1"/>
        <c:majorTickMark val="none"/>
        <c:minorTickMark val="none"/>
        <c:tickLblPos val="nextTo"/>
        <c:crossAx val="207651076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Ratios!$A$10</c:f>
              <c:strCache>
                <c:ptCount val="1"/>
                <c:pt idx="0">
                  <c:v>ROA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Ratios!$B$10:$F$10</c:f>
              <c:numCache>
                <c:formatCode>0.000</c:formatCode>
                <c:ptCount val="5"/>
                <c:pt idx="0">
                  <c:v>-7.4311745022483097E-2</c:v>
                </c:pt>
                <c:pt idx="1">
                  <c:v>-0.27604869166441864</c:v>
                </c:pt>
                <c:pt idx="2">
                  <c:v>8.0727859838980649E-4</c:v>
                </c:pt>
                <c:pt idx="3">
                  <c:v>1.0387030026570106E-2</c:v>
                </c:pt>
                <c:pt idx="4">
                  <c:v>7.5588390914969925E-2</c:v>
                </c:pt>
              </c:numCache>
            </c:numRef>
          </c:val>
          <c:extLst>
            <c:ext xmlns:c16="http://schemas.microsoft.com/office/drawing/2014/chart" uri="{C3380CC4-5D6E-409C-BE32-E72D297353CC}">
              <c16:uniqueId val="{00000000-315E-4A1C-A2EA-5EBC5238CE6E}"/>
            </c:ext>
          </c:extLst>
        </c:ser>
        <c:dLbls>
          <c:dLblPos val="outEnd"/>
          <c:showLegendKey val="0"/>
          <c:showVal val="1"/>
          <c:showCatName val="0"/>
          <c:showSerName val="0"/>
          <c:showPercent val="0"/>
          <c:showBubbleSize val="0"/>
        </c:dLbls>
        <c:gapWidth val="444"/>
        <c:overlap val="-90"/>
        <c:axId val="2078239728"/>
        <c:axId val="2074038208"/>
      </c:barChart>
      <c:catAx>
        <c:axId val="20782397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74038208"/>
        <c:crosses val="autoZero"/>
        <c:auto val="1"/>
        <c:lblAlgn val="ctr"/>
        <c:lblOffset val="100"/>
        <c:noMultiLvlLbl val="0"/>
      </c:catAx>
      <c:valAx>
        <c:axId val="2074038208"/>
        <c:scaling>
          <c:orientation val="minMax"/>
        </c:scaling>
        <c:delete val="1"/>
        <c:axPos val="l"/>
        <c:numFmt formatCode="0.000" sourceLinked="1"/>
        <c:majorTickMark val="none"/>
        <c:minorTickMark val="none"/>
        <c:tickLblPos val="nextTo"/>
        <c:crossAx val="207823972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Ratios!$A$11</c:f>
              <c:strCache>
                <c:ptCount val="1"/>
                <c:pt idx="0">
                  <c:v>ROE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Ratios!$B$11:$F$11</c:f>
              <c:numCache>
                <c:formatCode>0.000</c:formatCode>
                <c:ptCount val="5"/>
                <c:pt idx="0">
                  <c:v>-0.1569445805166389</c:v>
                </c:pt>
                <c:pt idx="1">
                  <c:v>-0.54906103286384977</c:v>
                </c:pt>
                <c:pt idx="2">
                  <c:v>1.5163595448685946E-3</c:v>
                </c:pt>
                <c:pt idx="3">
                  <c:v>1.9210071426241804E-2</c:v>
                </c:pt>
                <c:pt idx="4">
                  <c:v>0.1231148320624575</c:v>
                </c:pt>
              </c:numCache>
            </c:numRef>
          </c:val>
          <c:extLst>
            <c:ext xmlns:c16="http://schemas.microsoft.com/office/drawing/2014/chart" uri="{C3380CC4-5D6E-409C-BE32-E72D297353CC}">
              <c16:uniqueId val="{00000000-FD91-43BF-BB52-528F22DBA5C2}"/>
            </c:ext>
          </c:extLst>
        </c:ser>
        <c:dLbls>
          <c:dLblPos val="outEnd"/>
          <c:showLegendKey val="0"/>
          <c:showVal val="1"/>
          <c:showCatName val="0"/>
          <c:showSerName val="0"/>
          <c:showPercent val="0"/>
          <c:showBubbleSize val="0"/>
        </c:dLbls>
        <c:gapWidth val="444"/>
        <c:overlap val="-90"/>
        <c:axId val="2083627344"/>
        <c:axId val="492302144"/>
      </c:barChart>
      <c:catAx>
        <c:axId val="20836273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92302144"/>
        <c:crosses val="autoZero"/>
        <c:auto val="1"/>
        <c:lblAlgn val="ctr"/>
        <c:lblOffset val="100"/>
        <c:noMultiLvlLbl val="0"/>
      </c:catAx>
      <c:valAx>
        <c:axId val="492302144"/>
        <c:scaling>
          <c:orientation val="minMax"/>
        </c:scaling>
        <c:delete val="1"/>
        <c:axPos val="l"/>
        <c:numFmt formatCode="0.000" sourceLinked="1"/>
        <c:majorTickMark val="none"/>
        <c:minorTickMark val="none"/>
        <c:tickLblPos val="nextTo"/>
        <c:crossAx val="2083627344"/>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Ratios!$A$5</c:f>
              <c:strCache>
                <c:ptCount val="1"/>
                <c:pt idx="0">
                  <c:v>Current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Ratios!$B$5:$F$5</c:f>
              <c:numCache>
                <c:formatCode>0.000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53B7-455E-8E4A-3C556C2481DF}"/>
            </c:ext>
          </c:extLst>
        </c:ser>
        <c:dLbls>
          <c:dLblPos val="outEnd"/>
          <c:showLegendKey val="0"/>
          <c:showVal val="1"/>
          <c:showCatName val="0"/>
          <c:showSerName val="0"/>
          <c:showPercent val="0"/>
          <c:showBubbleSize val="0"/>
        </c:dLbls>
        <c:gapWidth val="444"/>
        <c:overlap val="-90"/>
        <c:axId val="2026952368"/>
        <c:axId val="2027628672"/>
      </c:barChart>
      <c:catAx>
        <c:axId val="2026952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27628672"/>
        <c:crosses val="autoZero"/>
        <c:auto val="1"/>
        <c:lblAlgn val="ctr"/>
        <c:lblOffset val="100"/>
        <c:noMultiLvlLbl val="0"/>
      </c:catAx>
      <c:valAx>
        <c:axId val="2027628672"/>
        <c:scaling>
          <c:orientation val="minMax"/>
        </c:scaling>
        <c:delete val="1"/>
        <c:axPos val="l"/>
        <c:numFmt formatCode="0.000" sourceLinked="1"/>
        <c:majorTickMark val="none"/>
        <c:minorTickMark val="none"/>
        <c:tickLblPos val="nextTo"/>
        <c:crossAx val="202695236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Ratios!$A$6</c:f>
              <c:strCache>
                <c:ptCount val="1"/>
                <c:pt idx="0">
                  <c:v>Quick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Ratios!$B$6:$F$6</c:f>
              <c:numCache>
                <c:formatCode>0.000</c:formatCode>
                <c:ptCount val="5"/>
                <c:pt idx="0">
                  <c:v>1.0306271360974408</c:v>
                </c:pt>
                <c:pt idx="1">
                  <c:v>1.0585176359619728</c:v>
                </c:pt>
                <c:pt idx="2">
                  <c:v>0.9140123710578224</c:v>
                </c:pt>
                <c:pt idx="3">
                  <c:v>0.93491307135575474</c:v>
                </c:pt>
                <c:pt idx="4">
                  <c:v>1.1498690880730877</c:v>
                </c:pt>
              </c:numCache>
            </c:numRef>
          </c:val>
          <c:extLst>
            <c:ext xmlns:c16="http://schemas.microsoft.com/office/drawing/2014/chart" uri="{C3380CC4-5D6E-409C-BE32-E72D297353CC}">
              <c16:uniqueId val="{00000000-7791-402A-88D4-E51E3FBB35FB}"/>
            </c:ext>
          </c:extLst>
        </c:ser>
        <c:dLbls>
          <c:dLblPos val="outEnd"/>
          <c:showLegendKey val="0"/>
          <c:showVal val="1"/>
          <c:showCatName val="0"/>
          <c:showSerName val="0"/>
          <c:showPercent val="0"/>
          <c:showBubbleSize val="0"/>
        </c:dLbls>
        <c:gapWidth val="444"/>
        <c:overlap val="-90"/>
        <c:axId val="253959392"/>
        <c:axId val="253832048"/>
      </c:barChart>
      <c:catAx>
        <c:axId val="2539593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53832048"/>
        <c:crosses val="autoZero"/>
        <c:auto val="1"/>
        <c:lblAlgn val="ctr"/>
        <c:lblOffset val="100"/>
        <c:noMultiLvlLbl val="0"/>
      </c:catAx>
      <c:valAx>
        <c:axId val="253832048"/>
        <c:scaling>
          <c:orientation val="minMax"/>
        </c:scaling>
        <c:delete val="1"/>
        <c:axPos val="l"/>
        <c:numFmt formatCode="0.000" sourceLinked="1"/>
        <c:majorTickMark val="none"/>
        <c:minorTickMark val="none"/>
        <c:tickLblPos val="nextTo"/>
        <c:crossAx val="25395939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Ratios!$A$7</c:f>
              <c:strCache>
                <c:ptCount val="1"/>
                <c:pt idx="0">
                  <c:v>Inventory Days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Ratios!$B$7:$F$7</c:f>
              <c:numCache>
                <c:formatCode>0.000</c:formatCode>
                <c:ptCount val="5"/>
                <c:pt idx="0">
                  <c:v>73.350507370612263</c:v>
                </c:pt>
                <c:pt idx="1">
                  <c:v>76.63005967316515</c:v>
                </c:pt>
                <c:pt idx="2">
                  <c:v>94.271710231763748</c:v>
                </c:pt>
                <c:pt idx="3">
                  <c:v>81.584145331963654</c:v>
                </c:pt>
                <c:pt idx="4">
                  <c:v>71.511924904015089</c:v>
                </c:pt>
              </c:numCache>
            </c:numRef>
          </c:val>
          <c:extLst>
            <c:ext xmlns:c16="http://schemas.microsoft.com/office/drawing/2014/chart" uri="{C3380CC4-5D6E-409C-BE32-E72D297353CC}">
              <c16:uniqueId val="{00000000-C82E-4E74-A5DB-C3116AE3392D}"/>
            </c:ext>
          </c:extLst>
        </c:ser>
        <c:dLbls>
          <c:dLblPos val="outEnd"/>
          <c:showLegendKey val="0"/>
          <c:showVal val="1"/>
          <c:showCatName val="0"/>
          <c:showSerName val="0"/>
          <c:showPercent val="0"/>
          <c:showBubbleSize val="0"/>
        </c:dLbls>
        <c:gapWidth val="444"/>
        <c:overlap val="-90"/>
        <c:axId val="2095105680"/>
        <c:axId val="2096087056"/>
      </c:barChart>
      <c:catAx>
        <c:axId val="20951056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96087056"/>
        <c:crosses val="autoZero"/>
        <c:auto val="1"/>
        <c:lblAlgn val="ctr"/>
        <c:lblOffset val="100"/>
        <c:noMultiLvlLbl val="0"/>
      </c:catAx>
      <c:valAx>
        <c:axId val="2096087056"/>
        <c:scaling>
          <c:orientation val="minMax"/>
        </c:scaling>
        <c:delete val="1"/>
        <c:axPos val="l"/>
        <c:numFmt formatCode="0.000" sourceLinked="1"/>
        <c:majorTickMark val="none"/>
        <c:minorTickMark val="none"/>
        <c:tickLblPos val="nextTo"/>
        <c:crossAx val="2095105680"/>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Ratios!$A$8</c:f>
              <c:strCache>
                <c:ptCount val="1"/>
                <c:pt idx="0">
                  <c:v>Receivable Days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Ratios!$B$8:$F$8</c:f>
              <c:numCache>
                <c:formatCode>0.000</c:formatCode>
                <c:ptCount val="5"/>
                <c:pt idx="0">
                  <c:v>105.54228004021485</c:v>
                </c:pt>
                <c:pt idx="1">
                  <c:v>97.744929921490183</c:v>
                </c:pt>
                <c:pt idx="2">
                  <c:v>75.552675167802548</c:v>
                </c:pt>
                <c:pt idx="3">
                  <c:v>78.396473083533635</c:v>
                </c:pt>
                <c:pt idx="4">
                  <c:v>76.857950478297639</c:v>
                </c:pt>
              </c:numCache>
            </c:numRef>
          </c:val>
          <c:extLst>
            <c:ext xmlns:c16="http://schemas.microsoft.com/office/drawing/2014/chart" uri="{C3380CC4-5D6E-409C-BE32-E72D297353CC}">
              <c16:uniqueId val="{00000000-7838-4269-8446-D9DF11D81482}"/>
            </c:ext>
          </c:extLst>
        </c:ser>
        <c:dLbls>
          <c:dLblPos val="outEnd"/>
          <c:showLegendKey val="0"/>
          <c:showVal val="1"/>
          <c:showCatName val="0"/>
          <c:showSerName val="0"/>
          <c:showPercent val="0"/>
          <c:showBubbleSize val="0"/>
        </c:dLbls>
        <c:gapWidth val="444"/>
        <c:overlap val="-90"/>
        <c:axId val="1975155248"/>
        <c:axId val="489084432"/>
      </c:barChart>
      <c:catAx>
        <c:axId val="197515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89084432"/>
        <c:crosses val="autoZero"/>
        <c:auto val="1"/>
        <c:lblAlgn val="ctr"/>
        <c:lblOffset val="100"/>
        <c:noMultiLvlLbl val="0"/>
      </c:catAx>
      <c:valAx>
        <c:axId val="489084432"/>
        <c:scaling>
          <c:orientation val="minMax"/>
        </c:scaling>
        <c:delete val="1"/>
        <c:axPos val="l"/>
        <c:numFmt formatCode="0.000" sourceLinked="1"/>
        <c:majorTickMark val="none"/>
        <c:minorTickMark val="none"/>
        <c:tickLblPos val="nextTo"/>
        <c:crossAx val="197515524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Ratios!$A$9</c:f>
              <c:strCache>
                <c:ptCount val="1"/>
                <c:pt idx="0">
                  <c:v>Payable Days</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2024</c:v>
                </c:pt>
                <c:pt idx="1">
                  <c:v>2023</c:v>
                </c:pt>
                <c:pt idx="2">
                  <c:v>2022</c:v>
                </c:pt>
                <c:pt idx="3">
                  <c:v>2021</c:v>
                </c:pt>
                <c:pt idx="4">
                  <c:v>2020</c:v>
                </c:pt>
              </c:strCache>
            </c:strRef>
          </c:cat>
          <c:val>
            <c:numRef>
              <c:f>Ratios!$B$9:$F$9</c:f>
              <c:numCache>
                <c:formatCode>0.000</c:formatCode>
                <c:ptCount val="5"/>
                <c:pt idx="0">
                  <c:v>66.580686742014649</c:v>
                </c:pt>
                <c:pt idx="1">
                  <c:v>49.510520695338641</c:v>
                </c:pt>
                <c:pt idx="2">
                  <c:v>47.998336253641178</c:v>
                </c:pt>
                <c:pt idx="3">
                  <c:v>56.246579964827248</c:v>
                </c:pt>
                <c:pt idx="4">
                  <c:v>49.421788572915986</c:v>
                </c:pt>
              </c:numCache>
            </c:numRef>
          </c:val>
          <c:extLst>
            <c:ext xmlns:c16="http://schemas.microsoft.com/office/drawing/2014/chart" uri="{C3380CC4-5D6E-409C-BE32-E72D297353CC}">
              <c16:uniqueId val="{00000000-A231-494D-895D-FE8548595FF4}"/>
            </c:ext>
          </c:extLst>
        </c:ser>
        <c:dLbls>
          <c:dLblPos val="inEnd"/>
          <c:showLegendKey val="0"/>
          <c:showVal val="1"/>
          <c:showCatName val="0"/>
          <c:showSerName val="0"/>
          <c:showPercent val="0"/>
          <c:showBubbleSize val="0"/>
        </c:dLbls>
        <c:gapWidth val="326"/>
        <c:overlap val="-58"/>
        <c:axId val="1995340672"/>
        <c:axId val="2023343328"/>
      </c:barChart>
      <c:catAx>
        <c:axId val="1995340672"/>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3343328"/>
        <c:crosses val="autoZero"/>
        <c:auto val="1"/>
        <c:lblAlgn val="ctr"/>
        <c:lblOffset val="100"/>
        <c:noMultiLvlLbl val="0"/>
      </c:catAx>
      <c:valAx>
        <c:axId val="202334332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5340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Ratios!$A$12</c:f>
              <c:strCache>
                <c:ptCount val="1"/>
                <c:pt idx="0">
                  <c:v>Debt-to-Equity</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Ratios!$B$1:$F$1</c:f>
              <c:strCache>
                <c:ptCount val="5"/>
                <c:pt idx="0">
                  <c:v>2024</c:v>
                </c:pt>
                <c:pt idx="1">
                  <c:v>2023</c:v>
                </c:pt>
                <c:pt idx="2">
                  <c:v>2022</c:v>
                </c:pt>
                <c:pt idx="3">
                  <c:v>2021</c:v>
                </c:pt>
                <c:pt idx="4">
                  <c:v>2020</c:v>
                </c:pt>
              </c:strCache>
            </c:strRef>
          </c:cat>
          <c:val>
            <c:numRef>
              <c:f>Ratios!$B$12:$F$12</c:f>
              <c:numCache>
                <c:formatCode>0.000</c:formatCode>
                <c:ptCount val="5"/>
                <c:pt idx="0">
                  <c:v>1.1119754416903431</c:v>
                </c:pt>
                <c:pt idx="1">
                  <c:v>0.98900067069081155</c:v>
                </c:pt>
                <c:pt idx="2">
                  <c:v>0.87835964918817011</c:v>
                </c:pt>
                <c:pt idx="3">
                  <c:v>0.84942869878129657</c:v>
                </c:pt>
                <c:pt idx="4">
                  <c:v>0.62875317984941004</c:v>
                </c:pt>
              </c:numCache>
            </c:numRef>
          </c:val>
          <c:extLst>
            <c:ext xmlns:c16="http://schemas.microsoft.com/office/drawing/2014/chart" uri="{C3380CC4-5D6E-409C-BE32-E72D297353CC}">
              <c16:uniqueId val="{00000000-9A91-487D-A065-59CFC081513E}"/>
            </c:ext>
          </c:extLst>
        </c:ser>
        <c:dLbls>
          <c:showLegendKey val="0"/>
          <c:showVal val="0"/>
          <c:showCatName val="0"/>
          <c:showSerName val="0"/>
          <c:showPercent val="0"/>
          <c:showBubbleSize val="0"/>
        </c:dLbls>
        <c:gapWidth val="326"/>
        <c:overlap val="-58"/>
        <c:axId val="2094396192"/>
        <c:axId val="2101626848"/>
      </c:barChart>
      <c:catAx>
        <c:axId val="2094396192"/>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1626848"/>
        <c:crosses val="autoZero"/>
        <c:auto val="1"/>
        <c:lblAlgn val="ctr"/>
        <c:lblOffset val="100"/>
        <c:noMultiLvlLbl val="0"/>
      </c:catAx>
      <c:valAx>
        <c:axId val="210162684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396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3B69D9-CC5A-5C44-94E0-7D15BF3B1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8260</Words>
  <Characters>47085</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dc:creator>
  <cp:lastModifiedBy>PREMIUM</cp:lastModifiedBy>
  <cp:revision>2</cp:revision>
  <dcterms:created xsi:type="dcterms:W3CDTF">2025-12-21T19:49:00Z</dcterms:created>
  <dcterms:modified xsi:type="dcterms:W3CDTF">2025-12-21T19:49:00Z</dcterms:modified>
</cp:coreProperties>
</file>