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B6C34" w14:textId="77777777" w:rsidR="007D19C8" w:rsidRDefault="007D19C8" w:rsidP="007D19C8">
      <w:pPr>
        <w:pStyle w:val="Title"/>
        <w:spacing w:line="360" w:lineRule="auto"/>
      </w:pPr>
      <w:r>
        <w:t>Analysis of results</w:t>
      </w:r>
    </w:p>
    <w:p w14:paraId="2BE2FC74" w14:textId="4D9BABA7"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To answer the question Are Victims of Domestic Violence safeguarded against perpetrators during the police investigation process</w:t>
      </w:r>
      <w:r w:rsidR="00743F0B" w:rsidRPr="00743F0B">
        <w:rPr>
          <w:rFonts w:ascii="Calibri" w:hAnsi="Calibri" w:cs="Calibri"/>
          <w:sz w:val="24"/>
          <w:szCs w:val="24"/>
        </w:rPr>
        <w:t>, t</w:t>
      </w:r>
      <w:r w:rsidRPr="00743F0B">
        <w:rPr>
          <w:rFonts w:ascii="Calibri" w:hAnsi="Calibri" w:cs="Calibri"/>
          <w:sz w:val="24"/>
          <w:szCs w:val="24"/>
        </w:rPr>
        <w:t>he researcher will now analyse the results from the questionnaire completed by current serving response officers of South Wales Police. The aim of the research is to identify gaps in protection of victims within the current system, investigate if further interagency collaboration can monitor perpetrators via electronic tagging system and to identify if the current Domestic Abuse Stalking Harassment (DASH)</w:t>
      </w:r>
      <w:r w:rsidR="00F55CBB">
        <w:rPr>
          <w:rFonts w:ascii="Calibri" w:hAnsi="Calibri" w:cs="Calibri"/>
          <w:sz w:val="24"/>
          <w:szCs w:val="24"/>
        </w:rPr>
        <w:t xml:space="preserve"> </w:t>
      </w:r>
      <w:r w:rsidRPr="00743F0B">
        <w:rPr>
          <w:rFonts w:ascii="Calibri" w:hAnsi="Calibri" w:cs="Calibri"/>
          <w:sz w:val="24"/>
          <w:szCs w:val="24"/>
        </w:rPr>
        <w:t xml:space="preserve">provides sufficient evidence to </w:t>
      </w:r>
      <w:r w:rsidR="00743F0B" w:rsidRPr="00743F0B">
        <w:rPr>
          <w:rFonts w:ascii="Calibri" w:hAnsi="Calibri" w:cs="Calibri"/>
          <w:sz w:val="24"/>
          <w:szCs w:val="24"/>
        </w:rPr>
        <w:t>risk assess</w:t>
      </w:r>
      <w:r w:rsidRPr="00743F0B">
        <w:rPr>
          <w:rFonts w:ascii="Calibri" w:hAnsi="Calibri" w:cs="Calibri"/>
          <w:sz w:val="24"/>
          <w:szCs w:val="24"/>
        </w:rPr>
        <w:t xml:space="preserve"> a perpetrator of domestic abuse.</w:t>
      </w:r>
    </w:p>
    <w:p w14:paraId="3DFBC7C1" w14:textId="77777777" w:rsidR="007D19C8" w:rsidRPr="00743F0B" w:rsidRDefault="007D19C8" w:rsidP="007D19C8">
      <w:pPr>
        <w:spacing w:line="360" w:lineRule="auto"/>
        <w:rPr>
          <w:rFonts w:ascii="Calibri" w:hAnsi="Calibri" w:cs="Calibri"/>
          <w:sz w:val="24"/>
          <w:szCs w:val="24"/>
        </w:rPr>
      </w:pPr>
    </w:p>
    <w:p w14:paraId="7F2B1A3D" w14:textId="77777777" w:rsidR="007D19C8" w:rsidRPr="00793251" w:rsidRDefault="007D19C8" w:rsidP="007D19C8">
      <w:pPr>
        <w:spacing w:line="360" w:lineRule="auto"/>
        <w:rPr>
          <w:sz w:val="56"/>
          <w:szCs w:val="56"/>
        </w:rPr>
      </w:pPr>
      <w:r w:rsidRPr="00793251">
        <w:rPr>
          <w:sz w:val="56"/>
          <w:szCs w:val="56"/>
        </w:rPr>
        <w:t>Results</w:t>
      </w:r>
    </w:p>
    <w:p w14:paraId="339AA247" w14:textId="4177B1AB" w:rsidR="007D19C8" w:rsidRDefault="007D19C8" w:rsidP="007D19C8">
      <w:pPr>
        <w:spacing w:line="360" w:lineRule="auto"/>
      </w:pPr>
      <w:r w:rsidRPr="00743F0B">
        <w:rPr>
          <w:rFonts w:ascii="Calibri" w:hAnsi="Calibri" w:cs="Calibri"/>
          <w:sz w:val="24"/>
          <w:szCs w:val="24"/>
        </w:rPr>
        <w:t xml:space="preserve">The questionnaire identified that on average more than 90% of response officers attend more than 10 emergency calls on average per week related to domestic violence, the outstanding 10% of police officers attend between 0 to 5 calls. </w:t>
      </w:r>
      <w:r w:rsidR="00743F0B" w:rsidRPr="00743F0B">
        <w:rPr>
          <w:rFonts w:ascii="Calibri" w:hAnsi="Calibri" w:cs="Calibri"/>
          <w:sz w:val="24"/>
          <w:szCs w:val="24"/>
        </w:rPr>
        <w:t xml:space="preserve">This information confirms the data provided by the office of National Statistics </w:t>
      </w:r>
      <w:r w:rsidR="00743F0B" w:rsidRPr="00743F0B">
        <w:rPr>
          <w:rFonts w:ascii="Calibri" w:eastAsia="Aptos" w:hAnsi="Calibri" w:cs="Calibri"/>
          <w:kern w:val="2"/>
          <w:sz w:val="24"/>
          <w:szCs w:val="24"/>
          <w14:ligatures w14:val="standardContextual"/>
        </w:rPr>
        <w:t xml:space="preserve"> </w:t>
      </w:r>
      <w:sdt>
        <w:sdtPr>
          <w:rPr>
            <w:rFonts w:ascii="Calibri" w:eastAsia="Aptos" w:hAnsi="Calibri" w:cs="Calibri"/>
            <w:kern w:val="2"/>
            <w:sz w:val="24"/>
            <w:szCs w:val="24"/>
            <w14:ligatures w14:val="standardContextual"/>
          </w:rPr>
          <w:id w:val="1496763944"/>
          <w:citation/>
        </w:sdtPr>
        <w:sdtEndPr/>
        <w:sdtContent>
          <w:r w:rsidR="00743F0B" w:rsidRPr="00743F0B">
            <w:rPr>
              <w:rFonts w:ascii="Calibri" w:eastAsia="Aptos" w:hAnsi="Calibri" w:cs="Calibri"/>
              <w:kern w:val="2"/>
              <w:sz w:val="24"/>
              <w:szCs w:val="24"/>
              <w14:ligatures w14:val="standardContextual"/>
            </w:rPr>
            <w:fldChar w:fldCharType="begin"/>
          </w:r>
          <w:r w:rsidR="00743F0B" w:rsidRPr="00743F0B">
            <w:rPr>
              <w:rFonts w:ascii="Calibri" w:eastAsia="Aptos" w:hAnsi="Calibri" w:cs="Calibri"/>
              <w:kern w:val="2"/>
              <w:sz w:val="24"/>
              <w:szCs w:val="24"/>
              <w14:ligatures w14:val="standardContextual"/>
            </w:rPr>
            <w:instrText xml:space="preserve">CITATION Sta24 \l 2057 </w:instrText>
          </w:r>
          <w:r w:rsidR="00743F0B" w:rsidRPr="00743F0B">
            <w:rPr>
              <w:rFonts w:ascii="Calibri" w:eastAsia="Aptos" w:hAnsi="Calibri" w:cs="Calibri"/>
              <w:kern w:val="2"/>
              <w:sz w:val="24"/>
              <w:szCs w:val="24"/>
              <w14:ligatures w14:val="standardContextual"/>
            </w:rPr>
            <w:fldChar w:fldCharType="separate"/>
          </w:r>
          <w:r w:rsidR="00743F0B" w:rsidRPr="00743F0B">
            <w:rPr>
              <w:rFonts w:ascii="Calibri" w:eastAsia="Aptos" w:hAnsi="Calibri" w:cs="Calibri"/>
              <w:noProof/>
              <w:kern w:val="2"/>
              <w:sz w:val="24"/>
              <w:szCs w:val="24"/>
              <w14:ligatures w14:val="standardContextual"/>
            </w:rPr>
            <w:t>(Office for National Statistics, 2024)</w:t>
          </w:r>
          <w:r w:rsidR="00743F0B" w:rsidRPr="00743F0B">
            <w:rPr>
              <w:rFonts w:ascii="Calibri" w:eastAsia="Aptos" w:hAnsi="Calibri" w:cs="Calibri"/>
              <w:kern w:val="2"/>
              <w:sz w:val="24"/>
              <w:szCs w:val="24"/>
              <w14:ligatures w14:val="standardContextual"/>
            </w:rPr>
            <w:fldChar w:fldCharType="end"/>
          </w:r>
        </w:sdtContent>
      </w:sdt>
      <w:r w:rsidR="00743F0B" w:rsidRPr="00743F0B">
        <w:rPr>
          <w:rFonts w:ascii="Calibri" w:eastAsia="Aptos" w:hAnsi="Calibri" w:cs="Calibri"/>
          <w:kern w:val="2"/>
          <w:sz w:val="24"/>
          <w:szCs w:val="24"/>
          <w14:ligatures w14:val="standardContextual"/>
        </w:rPr>
        <w:t>, highlighting the high volume of victims of Domestic Violence reports resulting in further investigation</w:t>
      </w:r>
      <w:r w:rsidR="00743F0B">
        <w:rPr>
          <w:rFonts w:ascii="Calibri" w:eastAsia="Aptos" w:hAnsi="Calibri" w:cs="Calibri"/>
          <w:kern w:val="2"/>
          <w:sz w:val="24"/>
          <w:szCs w:val="24"/>
          <w14:ligatures w14:val="standardContextual"/>
        </w:rPr>
        <w:t>.</w:t>
      </w:r>
    </w:p>
    <w:p w14:paraId="795BC93F" w14:textId="77777777"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 xml:space="preserve">92% of officer’s carryout the Domestic Abuse Stalking Harassment tool </w:t>
      </w:r>
      <w:bookmarkStart w:id="0" w:name="_Hlk201394311"/>
      <w:r w:rsidRPr="00743F0B">
        <w:rPr>
          <w:rFonts w:ascii="Calibri" w:hAnsi="Calibri" w:cs="Calibri"/>
          <w:sz w:val="24"/>
          <w:szCs w:val="24"/>
        </w:rPr>
        <w:t xml:space="preserve">(DASH), </w:t>
      </w:r>
      <w:bookmarkEnd w:id="0"/>
      <w:r w:rsidRPr="00743F0B">
        <w:rPr>
          <w:rFonts w:ascii="Calibri" w:hAnsi="Calibri" w:cs="Calibri"/>
          <w:sz w:val="24"/>
          <w:szCs w:val="24"/>
        </w:rPr>
        <w:t xml:space="preserve">when attending domestic violence incidents. 8% of officers that stated they do not complete the DASH assessment. </w:t>
      </w:r>
    </w:p>
    <w:p w14:paraId="51447770" w14:textId="77777777"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 xml:space="preserve">Out of the 100% of officers asked how often victims consent to completing the (DASH) risk assessment, only 10% stated all the time. This indicates that 90% of victims refuse to consent </w:t>
      </w:r>
      <w:bookmarkStart w:id="1" w:name="_Hlk201394277"/>
      <w:r w:rsidRPr="00743F0B">
        <w:rPr>
          <w:rFonts w:ascii="Calibri" w:hAnsi="Calibri" w:cs="Calibri"/>
          <w:sz w:val="24"/>
          <w:szCs w:val="24"/>
        </w:rPr>
        <w:t xml:space="preserve">for their details being shared or refuse or are unable to answer the risk assessment to identify sufficient safeguarding requirements. </w:t>
      </w:r>
    </w:p>
    <w:bookmarkEnd w:id="1"/>
    <w:p w14:paraId="4AA6DFC6" w14:textId="4BCDF948"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 xml:space="preserve">When asked about the issuing of Domestic Violence Protection Notice (DVPN) and Domestic Violence Protection Orders (DVPO), only 10% of officers have utilised the order to safeguard a victim. When asked how confident in identifying when a </w:t>
      </w:r>
      <w:bookmarkStart w:id="2" w:name="_Hlk201395257"/>
      <w:r w:rsidRPr="00743F0B">
        <w:rPr>
          <w:rFonts w:ascii="Calibri" w:hAnsi="Calibri" w:cs="Calibri"/>
          <w:sz w:val="24"/>
          <w:szCs w:val="24"/>
        </w:rPr>
        <w:t xml:space="preserve">DVPN </w:t>
      </w:r>
      <w:bookmarkEnd w:id="2"/>
      <w:r w:rsidRPr="00743F0B">
        <w:rPr>
          <w:rFonts w:ascii="Calibri" w:hAnsi="Calibri" w:cs="Calibri"/>
          <w:sz w:val="24"/>
          <w:szCs w:val="24"/>
        </w:rPr>
        <w:t xml:space="preserve">or a DVPO should be issued, 40% of officers stated no confidence in the ability to identify the requirement, 30% </w:t>
      </w:r>
      <w:r w:rsidRPr="00743F0B">
        <w:rPr>
          <w:rFonts w:ascii="Calibri" w:hAnsi="Calibri" w:cs="Calibri"/>
          <w:sz w:val="24"/>
          <w:szCs w:val="24"/>
        </w:rPr>
        <w:lastRenderedPageBreak/>
        <w:t>stated they were somewhat confident and only 30% of serving officers were confident that they could identify</w:t>
      </w:r>
      <w:r w:rsidR="00661888">
        <w:rPr>
          <w:rFonts w:ascii="Calibri" w:hAnsi="Calibri" w:cs="Calibri"/>
          <w:sz w:val="24"/>
          <w:szCs w:val="24"/>
        </w:rPr>
        <w:t xml:space="preserve"> the need</w:t>
      </w:r>
      <w:r w:rsidRPr="00743F0B">
        <w:rPr>
          <w:rFonts w:ascii="Calibri" w:hAnsi="Calibri" w:cs="Calibri"/>
          <w:sz w:val="24"/>
          <w:szCs w:val="24"/>
        </w:rPr>
        <w:t>, apply</w:t>
      </w:r>
      <w:r w:rsidR="00661888">
        <w:rPr>
          <w:rFonts w:ascii="Calibri" w:hAnsi="Calibri" w:cs="Calibri"/>
          <w:sz w:val="24"/>
          <w:szCs w:val="24"/>
        </w:rPr>
        <w:t xml:space="preserve"> for via the courts</w:t>
      </w:r>
      <w:r w:rsidRPr="00743F0B">
        <w:rPr>
          <w:rFonts w:ascii="Calibri" w:hAnsi="Calibri" w:cs="Calibri"/>
          <w:sz w:val="24"/>
          <w:szCs w:val="24"/>
        </w:rPr>
        <w:t xml:space="preserve"> and issue a DVPN and a DVPO. </w:t>
      </w:r>
    </w:p>
    <w:p w14:paraId="7EE391D5" w14:textId="77777777"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 xml:space="preserve">When asked do perpetrators of Domestic Violence breach conditional bail conditions, 33% of the police officers asked stated yes consistently. 67% of officers asked, stated that they have experienced a perpetrator under investigation breaching bail conditions, but not consistently. </w:t>
      </w:r>
    </w:p>
    <w:p w14:paraId="7B5E8F96" w14:textId="77777777"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 xml:space="preserve">Out of 100% of police officers asked if bail conditions for a perpetrator of Domestic Violence are sufficient? 67% stated no, with 17% stating yes and 17% stating they were unsure. </w:t>
      </w:r>
    </w:p>
    <w:p w14:paraId="18EC97EE" w14:textId="0BFC2140"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Officers were asked, do you think victims of Domestic Violence are safeguarded effectively during the investigation process</w:t>
      </w:r>
      <w:r w:rsidR="00661888">
        <w:rPr>
          <w:rFonts w:ascii="Calibri" w:hAnsi="Calibri" w:cs="Calibri"/>
          <w:sz w:val="24"/>
          <w:szCs w:val="24"/>
        </w:rPr>
        <w:t xml:space="preserve">, </w:t>
      </w:r>
      <w:r w:rsidRPr="00743F0B">
        <w:rPr>
          <w:rFonts w:ascii="Calibri" w:hAnsi="Calibri" w:cs="Calibri"/>
          <w:sz w:val="24"/>
          <w:szCs w:val="24"/>
        </w:rPr>
        <w:t xml:space="preserve">42% of current serving response police officers stated that victims of Domestic Violence are safeguarded effectively during the investigation process, with 42% stating that they do not think </w:t>
      </w:r>
      <w:r w:rsidR="00661888">
        <w:rPr>
          <w:rFonts w:ascii="Calibri" w:hAnsi="Calibri" w:cs="Calibri"/>
          <w:sz w:val="24"/>
          <w:szCs w:val="24"/>
        </w:rPr>
        <w:t>victims are safeguarded and</w:t>
      </w:r>
      <w:r w:rsidRPr="00743F0B">
        <w:rPr>
          <w:rFonts w:ascii="Calibri" w:hAnsi="Calibri" w:cs="Calibri"/>
          <w:sz w:val="24"/>
          <w:szCs w:val="24"/>
        </w:rPr>
        <w:t xml:space="preserve"> 17% stated they did not know. </w:t>
      </w:r>
    </w:p>
    <w:p w14:paraId="478D5004" w14:textId="77777777" w:rsidR="007D19C8" w:rsidRPr="00743F0B" w:rsidRDefault="007D19C8" w:rsidP="007D19C8">
      <w:pPr>
        <w:spacing w:line="360" w:lineRule="auto"/>
        <w:rPr>
          <w:rFonts w:ascii="Calibri" w:hAnsi="Calibri" w:cs="Calibri"/>
          <w:sz w:val="24"/>
          <w:szCs w:val="24"/>
        </w:rPr>
      </w:pPr>
      <w:bookmarkStart w:id="3" w:name="_Hlk201674503"/>
      <w:r w:rsidRPr="00743F0B">
        <w:rPr>
          <w:rFonts w:ascii="Calibri" w:hAnsi="Calibri" w:cs="Calibri"/>
          <w:sz w:val="24"/>
          <w:szCs w:val="24"/>
        </w:rPr>
        <w:t xml:space="preserve">Out of the 100% of officers asked if Electronic Monitoring would be effective, 50% stated that electronic tagging would be effective in safeguarding the victim. 33% stated maybe and 17% stated no. </w:t>
      </w:r>
    </w:p>
    <w:bookmarkEnd w:id="3"/>
    <w:p w14:paraId="13437908" w14:textId="77777777" w:rsidR="007D19C8" w:rsidRDefault="007D19C8" w:rsidP="007D19C8">
      <w:pPr>
        <w:spacing w:line="360" w:lineRule="auto"/>
        <w:rPr>
          <w:sz w:val="56"/>
          <w:szCs w:val="56"/>
        </w:rPr>
      </w:pPr>
      <w:r w:rsidRPr="00793251">
        <w:rPr>
          <w:sz w:val="56"/>
          <w:szCs w:val="56"/>
        </w:rPr>
        <w:t xml:space="preserve">Discussion </w:t>
      </w:r>
    </w:p>
    <w:p w14:paraId="360B56BE" w14:textId="6E12E9EB"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Th</w:t>
      </w:r>
      <w:r w:rsidR="00661888">
        <w:rPr>
          <w:rFonts w:ascii="Calibri" w:hAnsi="Calibri" w:cs="Calibri"/>
          <w:sz w:val="24"/>
          <w:szCs w:val="24"/>
        </w:rPr>
        <w:t>e research further identified reasoning why the current system is not providing 100% safeguarding for victims. The most common response was</w:t>
      </w:r>
      <w:r w:rsidRPr="00743F0B">
        <w:rPr>
          <w:rFonts w:ascii="Calibri" w:hAnsi="Calibri" w:cs="Calibri"/>
          <w:sz w:val="24"/>
          <w:szCs w:val="24"/>
        </w:rPr>
        <w:t xml:space="preserve"> that mostly victims want police to remove the perpetrat</w:t>
      </w:r>
      <w:r w:rsidR="00661888">
        <w:rPr>
          <w:rFonts w:ascii="Calibri" w:hAnsi="Calibri" w:cs="Calibri"/>
          <w:sz w:val="24"/>
          <w:szCs w:val="24"/>
        </w:rPr>
        <w:t>or from</w:t>
      </w:r>
      <w:r w:rsidRPr="00743F0B">
        <w:rPr>
          <w:rFonts w:ascii="Calibri" w:hAnsi="Calibri" w:cs="Calibri"/>
          <w:sz w:val="24"/>
          <w:szCs w:val="24"/>
        </w:rPr>
        <w:t xml:space="preserve"> the address</w:t>
      </w:r>
      <w:r w:rsidR="00661888">
        <w:rPr>
          <w:rFonts w:ascii="Calibri" w:hAnsi="Calibri" w:cs="Calibri"/>
          <w:sz w:val="24"/>
          <w:szCs w:val="24"/>
        </w:rPr>
        <w:t xml:space="preserve"> as a temporary safeguarding measure of immediate action. </w:t>
      </w:r>
      <w:r w:rsidRPr="00743F0B">
        <w:rPr>
          <w:rFonts w:ascii="Calibri" w:hAnsi="Calibri" w:cs="Calibri"/>
          <w:sz w:val="24"/>
          <w:szCs w:val="24"/>
        </w:rPr>
        <w:t>Once the</w:t>
      </w:r>
      <w:r w:rsidR="00661888">
        <w:rPr>
          <w:rFonts w:ascii="Calibri" w:hAnsi="Calibri" w:cs="Calibri"/>
          <w:sz w:val="24"/>
          <w:szCs w:val="24"/>
        </w:rPr>
        <w:t xml:space="preserve"> action is carried out victims feel a false sense of security and following the respite; </w:t>
      </w:r>
      <w:r w:rsidRPr="00743F0B">
        <w:rPr>
          <w:rFonts w:ascii="Calibri" w:hAnsi="Calibri" w:cs="Calibri"/>
          <w:sz w:val="24"/>
          <w:szCs w:val="24"/>
        </w:rPr>
        <w:t>to return to the</w:t>
      </w:r>
      <w:r w:rsidR="00661888">
        <w:rPr>
          <w:rFonts w:ascii="Calibri" w:hAnsi="Calibri" w:cs="Calibri"/>
          <w:sz w:val="24"/>
          <w:szCs w:val="24"/>
        </w:rPr>
        <w:t xml:space="preserve"> victim and carryout the </w:t>
      </w:r>
      <w:r w:rsidRPr="00743F0B">
        <w:rPr>
          <w:rFonts w:ascii="Calibri" w:hAnsi="Calibri" w:cs="Calibri"/>
          <w:sz w:val="24"/>
          <w:szCs w:val="24"/>
        </w:rPr>
        <w:t xml:space="preserve">DASH questionnaire </w:t>
      </w:r>
      <w:r w:rsidR="00661888">
        <w:rPr>
          <w:rFonts w:ascii="Calibri" w:hAnsi="Calibri" w:cs="Calibri"/>
          <w:sz w:val="24"/>
          <w:szCs w:val="24"/>
        </w:rPr>
        <w:t xml:space="preserve">mostly results in victims not wishing to share information with services. </w:t>
      </w:r>
      <w:r w:rsidRPr="00743F0B">
        <w:rPr>
          <w:rFonts w:ascii="Calibri" w:hAnsi="Calibri" w:cs="Calibri"/>
          <w:sz w:val="24"/>
          <w:szCs w:val="24"/>
        </w:rPr>
        <w:t>This is dependant of the geographical area and the percentage of people residing in the areas being policed</w:t>
      </w:r>
      <w:r w:rsidR="00F55CBB">
        <w:rPr>
          <w:rFonts w:ascii="Calibri" w:hAnsi="Calibri" w:cs="Calibri"/>
          <w:sz w:val="24"/>
          <w:szCs w:val="24"/>
        </w:rPr>
        <w:t xml:space="preserve">, </w:t>
      </w:r>
      <w:sdt>
        <w:sdtPr>
          <w:rPr>
            <w:rFonts w:ascii="Calibri" w:hAnsi="Calibri" w:cs="Calibri"/>
            <w:sz w:val="24"/>
            <w:szCs w:val="24"/>
          </w:rPr>
          <w:id w:val="525987320"/>
          <w:citation/>
        </w:sdtPr>
        <w:sdtContent>
          <w:r w:rsidR="00F55CBB">
            <w:rPr>
              <w:rFonts w:ascii="Calibri" w:hAnsi="Calibri" w:cs="Calibri"/>
              <w:sz w:val="24"/>
              <w:szCs w:val="24"/>
            </w:rPr>
            <w:fldChar w:fldCharType="begin"/>
          </w:r>
          <w:r w:rsidR="00F55CBB">
            <w:rPr>
              <w:rFonts w:ascii="Calibri" w:hAnsi="Calibri" w:cs="Calibri"/>
              <w:sz w:val="24"/>
              <w:szCs w:val="24"/>
            </w:rPr>
            <w:instrText xml:space="preserve"> CITATION MAR25 \l 2057 </w:instrText>
          </w:r>
          <w:r w:rsidR="00F55CBB">
            <w:rPr>
              <w:rFonts w:ascii="Calibri" w:hAnsi="Calibri" w:cs="Calibri"/>
              <w:sz w:val="24"/>
              <w:szCs w:val="24"/>
            </w:rPr>
            <w:fldChar w:fldCharType="separate"/>
          </w:r>
          <w:r w:rsidR="00F55CBB" w:rsidRPr="00F55CBB">
            <w:rPr>
              <w:rFonts w:ascii="Calibri" w:hAnsi="Calibri" w:cs="Calibri"/>
              <w:noProof/>
              <w:sz w:val="24"/>
              <w:szCs w:val="24"/>
            </w:rPr>
            <w:t>(MARAC datasets 2025, 2025)</w:t>
          </w:r>
          <w:r w:rsidR="00F55CBB">
            <w:rPr>
              <w:rFonts w:ascii="Calibri" w:hAnsi="Calibri" w:cs="Calibri"/>
              <w:sz w:val="24"/>
              <w:szCs w:val="24"/>
            </w:rPr>
            <w:fldChar w:fldCharType="end"/>
          </w:r>
        </w:sdtContent>
      </w:sdt>
      <w:r w:rsidR="00BE4AA8">
        <w:rPr>
          <w:rFonts w:ascii="Calibri" w:hAnsi="Calibri" w:cs="Calibri"/>
          <w:sz w:val="24"/>
          <w:szCs w:val="24"/>
        </w:rPr>
        <w:t xml:space="preserve"> the document identifies in that ending March 2025, Gwent police referred 1,545 victims for a multi-agency risk assessment in comparison to South Wales Police that referred 5,261. </w:t>
      </w:r>
    </w:p>
    <w:p w14:paraId="0FB32EFA" w14:textId="5D7EC11A" w:rsidR="00BE4AA8" w:rsidRDefault="007D19C8" w:rsidP="00BE4AA8">
      <w:pPr>
        <w:spacing w:line="360" w:lineRule="auto"/>
        <w:rPr>
          <w:rFonts w:ascii="Aptos" w:eastAsia="Aptos" w:hAnsi="Aptos" w:cs="Times New Roman"/>
          <w:kern w:val="2"/>
          <w:sz w:val="24"/>
          <w:szCs w:val="24"/>
          <w14:ligatures w14:val="standardContextual"/>
        </w:rPr>
      </w:pPr>
      <w:r w:rsidRPr="00743F0B">
        <w:rPr>
          <w:rFonts w:ascii="Calibri" w:hAnsi="Calibri" w:cs="Calibri"/>
          <w:sz w:val="24"/>
          <w:szCs w:val="24"/>
        </w:rPr>
        <w:lastRenderedPageBreak/>
        <w:t>Between 0-5 of the calls attended relating to domestic violence result in further investigation and arrest. The basis on this is dependent upon the officers’ observations and discretion. For example, the research has identified that if a victim of domestic violence is not supportive of police assistance it is based on how the</w:t>
      </w:r>
      <w:r w:rsidR="00661888">
        <w:rPr>
          <w:rFonts w:ascii="Calibri" w:hAnsi="Calibri" w:cs="Calibri"/>
          <w:sz w:val="24"/>
          <w:szCs w:val="24"/>
        </w:rPr>
        <w:t xml:space="preserve"> police officer identifies how the</w:t>
      </w:r>
      <w:r w:rsidRPr="00743F0B">
        <w:rPr>
          <w:rFonts w:ascii="Calibri" w:hAnsi="Calibri" w:cs="Calibri"/>
          <w:sz w:val="24"/>
          <w:szCs w:val="24"/>
        </w:rPr>
        <w:t xml:space="preserve"> victim presents at time of attendance</w:t>
      </w:r>
      <w:r w:rsidR="00E2172B">
        <w:rPr>
          <w:rFonts w:ascii="Calibri" w:hAnsi="Calibri" w:cs="Calibri"/>
          <w:sz w:val="24"/>
          <w:szCs w:val="24"/>
        </w:rPr>
        <w:t>.</w:t>
      </w:r>
      <w:r w:rsidRPr="00743F0B">
        <w:rPr>
          <w:rFonts w:ascii="Calibri" w:hAnsi="Calibri" w:cs="Calibri"/>
          <w:sz w:val="24"/>
          <w:szCs w:val="24"/>
        </w:rPr>
        <w:t xml:space="preserve"> </w:t>
      </w:r>
      <w:r w:rsidR="00E2172B">
        <w:rPr>
          <w:rFonts w:ascii="Calibri" w:hAnsi="Calibri" w:cs="Calibri"/>
          <w:sz w:val="24"/>
          <w:szCs w:val="24"/>
        </w:rPr>
        <w:t>I</w:t>
      </w:r>
      <w:r w:rsidRPr="00743F0B">
        <w:rPr>
          <w:rFonts w:ascii="Calibri" w:hAnsi="Calibri" w:cs="Calibri"/>
          <w:sz w:val="24"/>
          <w:szCs w:val="24"/>
        </w:rPr>
        <w:t>f a victim is presenting with injury or there has been multiple calls and reports, the option to conduct a victimless prosecution is based on the level of threat harm and risk to the</w:t>
      </w:r>
      <w:r w:rsidR="00BE4AA8">
        <w:rPr>
          <w:rFonts w:ascii="Calibri" w:hAnsi="Calibri" w:cs="Calibri"/>
          <w:sz w:val="24"/>
          <w:szCs w:val="24"/>
        </w:rPr>
        <w:t xml:space="preserve"> victim </w:t>
      </w:r>
      <w:sdt>
        <w:sdtPr>
          <w:rPr>
            <w:rFonts w:ascii="Aptos" w:eastAsia="Aptos" w:hAnsi="Aptos" w:cs="Times New Roman"/>
            <w:kern w:val="2"/>
            <w:sz w:val="24"/>
            <w:szCs w:val="24"/>
            <w14:ligatures w14:val="standardContextual"/>
          </w:rPr>
          <w:id w:val="933179294"/>
          <w:citation/>
        </w:sdtPr>
        <w:sdtContent>
          <w:r w:rsidR="00BE4AA8">
            <w:rPr>
              <w:rFonts w:ascii="Aptos" w:eastAsia="Aptos" w:hAnsi="Aptos" w:cs="Times New Roman"/>
              <w:kern w:val="2"/>
              <w:sz w:val="24"/>
              <w:szCs w:val="24"/>
              <w14:ligatures w14:val="standardContextual"/>
            </w:rPr>
            <w:fldChar w:fldCharType="begin"/>
          </w:r>
          <w:r w:rsidR="00BE4AA8">
            <w:rPr>
              <w:rFonts w:ascii="Aptos" w:eastAsia="Aptos" w:hAnsi="Aptos" w:cs="Times New Roman"/>
              <w:kern w:val="2"/>
              <w:sz w:val="24"/>
              <w:szCs w:val="24"/>
              <w14:ligatures w14:val="standardContextual"/>
            </w:rPr>
            <w:instrText xml:space="preserve">CITATION Sta24 \l 2057 </w:instrText>
          </w:r>
          <w:r w:rsidR="00BE4AA8">
            <w:rPr>
              <w:rFonts w:ascii="Aptos" w:eastAsia="Aptos" w:hAnsi="Aptos" w:cs="Times New Roman"/>
              <w:kern w:val="2"/>
              <w:sz w:val="24"/>
              <w:szCs w:val="24"/>
              <w14:ligatures w14:val="standardContextual"/>
            </w:rPr>
            <w:fldChar w:fldCharType="separate"/>
          </w:r>
          <w:r w:rsidR="00BE4AA8" w:rsidRPr="0081132E">
            <w:rPr>
              <w:rFonts w:ascii="Aptos" w:eastAsia="Aptos" w:hAnsi="Aptos" w:cs="Times New Roman"/>
              <w:noProof/>
              <w:kern w:val="2"/>
              <w:sz w:val="24"/>
              <w:szCs w:val="24"/>
              <w14:ligatures w14:val="standardContextual"/>
            </w:rPr>
            <w:t>(Office for National Statistics, 2024)</w:t>
          </w:r>
          <w:r w:rsidR="00BE4AA8">
            <w:rPr>
              <w:rFonts w:ascii="Aptos" w:eastAsia="Aptos" w:hAnsi="Aptos" w:cs="Times New Roman"/>
              <w:kern w:val="2"/>
              <w:sz w:val="24"/>
              <w:szCs w:val="24"/>
              <w14:ligatures w14:val="standardContextual"/>
            </w:rPr>
            <w:fldChar w:fldCharType="end"/>
          </w:r>
        </w:sdtContent>
      </w:sdt>
      <w:r w:rsidR="00BE4AA8">
        <w:rPr>
          <w:rFonts w:ascii="Aptos" w:eastAsia="Aptos" w:hAnsi="Aptos" w:cs="Times New Roman"/>
          <w:kern w:val="2"/>
          <w:sz w:val="24"/>
          <w:szCs w:val="24"/>
          <w14:ligatures w14:val="standardContextual"/>
        </w:rPr>
        <w:t>.</w:t>
      </w:r>
    </w:p>
    <w:p w14:paraId="0F126A61" w14:textId="62C2E7D2"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92% of officer’s</w:t>
      </w:r>
      <w:r w:rsidR="00E2172B">
        <w:rPr>
          <w:rFonts w:ascii="Calibri" w:hAnsi="Calibri" w:cs="Calibri"/>
          <w:sz w:val="24"/>
          <w:szCs w:val="24"/>
        </w:rPr>
        <w:t xml:space="preserve"> asked stated they</w:t>
      </w:r>
      <w:r w:rsidRPr="00743F0B">
        <w:rPr>
          <w:rFonts w:ascii="Calibri" w:hAnsi="Calibri" w:cs="Calibri"/>
          <w:sz w:val="24"/>
          <w:szCs w:val="24"/>
        </w:rPr>
        <w:t xml:space="preserve"> carryout the DASH risk assessment tool when attending domestic violence incidents</w:t>
      </w:r>
      <w:r w:rsidR="00E2172B">
        <w:rPr>
          <w:rFonts w:ascii="Calibri" w:hAnsi="Calibri" w:cs="Calibri"/>
          <w:sz w:val="24"/>
          <w:szCs w:val="24"/>
        </w:rPr>
        <w:t xml:space="preserve"> and select the option that the victim does not consent to sharing, t</w:t>
      </w:r>
      <w:r w:rsidRPr="00743F0B">
        <w:rPr>
          <w:rFonts w:ascii="Calibri" w:hAnsi="Calibri" w:cs="Calibri"/>
          <w:sz w:val="24"/>
          <w:szCs w:val="24"/>
        </w:rPr>
        <w:t>his is force policy and on the occasion that the DASH questionnaire is not completed a clear rational as to why is required prior to the investigation being concluded.</w:t>
      </w:r>
    </w:p>
    <w:p w14:paraId="03F9B528" w14:textId="2912EC11" w:rsidR="007D19C8" w:rsidRPr="00743F0B" w:rsidRDefault="007D19C8" w:rsidP="007D19C8">
      <w:pPr>
        <w:spacing w:line="360" w:lineRule="auto"/>
        <w:rPr>
          <w:rFonts w:ascii="Calibri" w:eastAsia="Aptos" w:hAnsi="Calibri" w:cs="Calibri"/>
          <w:kern w:val="2"/>
          <w:sz w:val="24"/>
          <w:szCs w:val="24"/>
          <w14:ligatures w14:val="standardContextual"/>
        </w:rPr>
      </w:pPr>
      <w:r w:rsidRPr="00743F0B">
        <w:rPr>
          <w:rFonts w:ascii="Calibri" w:hAnsi="Calibri" w:cs="Calibri"/>
          <w:sz w:val="24"/>
          <w:szCs w:val="24"/>
        </w:rPr>
        <w:t xml:space="preserve">Of the 42% of officers that stated </w:t>
      </w:r>
      <w:r w:rsidR="00BE4AA8">
        <w:rPr>
          <w:rFonts w:ascii="Calibri" w:hAnsi="Calibri" w:cs="Calibri"/>
          <w:sz w:val="24"/>
          <w:szCs w:val="24"/>
        </w:rPr>
        <w:t>n</w:t>
      </w:r>
      <w:r w:rsidRPr="00743F0B">
        <w:rPr>
          <w:rFonts w:ascii="Calibri" w:hAnsi="Calibri" w:cs="Calibri"/>
          <w:sz w:val="24"/>
          <w:szCs w:val="24"/>
        </w:rPr>
        <w:t xml:space="preserve">o to the question, do you think victims of Domestic Violence are safeguarded effectively during the investigation process, the reasoning for answering </w:t>
      </w:r>
      <w:r w:rsidR="00BE4AA8">
        <w:rPr>
          <w:rFonts w:ascii="Calibri" w:hAnsi="Calibri" w:cs="Calibri"/>
          <w:sz w:val="24"/>
          <w:szCs w:val="24"/>
        </w:rPr>
        <w:t>n</w:t>
      </w:r>
      <w:r w:rsidRPr="00743F0B">
        <w:rPr>
          <w:rFonts w:ascii="Calibri" w:hAnsi="Calibri" w:cs="Calibri"/>
          <w:sz w:val="24"/>
          <w:szCs w:val="24"/>
        </w:rPr>
        <w:t>o</w:t>
      </w:r>
      <w:r w:rsidR="00CB2D4A">
        <w:rPr>
          <w:rFonts w:ascii="Calibri" w:hAnsi="Calibri" w:cs="Calibri"/>
          <w:sz w:val="24"/>
          <w:szCs w:val="24"/>
        </w:rPr>
        <w:t>,</w:t>
      </w:r>
      <w:r w:rsidRPr="00743F0B">
        <w:rPr>
          <w:rFonts w:ascii="Calibri" w:hAnsi="Calibri" w:cs="Calibri"/>
          <w:sz w:val="24"/>
          <w:szCs w:val="24"/>
        </w:rPr>
        <w:t xml:space="preserve"> is based on the reliance upon the perpetrator to comply to the conditions through good will and fear of reprimand. This is information supports the view that the perpetrator is </w:t>
      </w:r>
      <w:r w:rsidRPr="00743F0B">
        <w:rPr>
          <w:rFonts w:ascii="Calibri" w:eastAsia="Aptos" w:hAnsi="Calibri" w:cs="Calibri"/>
          <w:kern w:val="2"/>
          <w:sz w:val="24"/>
          <w:szCs w:val="24"/>
          <w14:ligatures w14:val="standardContextual"/>
        </w:rPr>
        <w:t xml:space="preserve">insubordinate and contemptuous and has free will to do the antithesis to what is being instructed </w:t>
      </w:r>
      <w:sdt>
        <w:sdtPr>
          <w:rPr>
            <w:rFonts w:ascii="Calibri" w:eastAsia="Aptos" w:hAnsi="Calibri" w:cs="Calibri"/>
            <w:kern w:val="2"/>
            <w:sz w:val="24"/>
            <w:szCs w:val="24"/>
            <w14:ligatures w14:val="standardContextual"/>
          </w:rPr>
          <w:id w:val="1824229499"/>
          <w:citation/>
        </w:sdtPr>
        <w:sdtEndPr/>
        <w:sdtContent>
          <w:r w:rsidRPr="00743F0B">
            <w:rPr>
              <w:rFonts w:ascii="Calibri" w:eastAsia="Aptos" w:hAnsi="Calibri" w:cs="Calibri"/>
              <w:kern w:val="2"/>
              <w:sz w:val="24"/>
              <w:szCs w:val="24"/>
              <w14:ligatures w14:val="standardContextual"/>
            </w:rPr>
            <w:fldChar w:fldCharType="begin"/>
          </w:r>
          <w:r w:rsidRPr="00743F0B">
            <w:rPr>
              <w:rFonts w:ascii="Calibri" w:eastAsia="Aptos" w:hAnsi="Calibri" w:cs="Calibri"/>
              <w:kern w:val="2"/>
              <w:sz w:val="24"/>
              <w:szCs w:val="24"/>
              <w14:ligatures w14:val="standardContextual"/>
            </w:rPr>
            <w:instrText xml:space="preserve"> CITATION Vic21 \l 2057 </w:instrText>
          </w:r>
          <w:r w:rsidRPr="00743F0B">
            <w:rPr>
              <w:rFonts w:ascii="Calibri" w:eastAsia="Aptos" w:hAnsi="Calibri" w:cs="Calibri"/>
              <w:kern w:val="2"/>
              <w:sz w:val="24"/>
              <w:szCs w:val="24"/>
              <w14:ligatures w14:val="standardContextual"/>
            </w:rPr>
            <w:fldChar w:fldCharType="separate"/>
          </w:r>
          <w:r w:rsidRPr="00743F0B">
            <w:rPr>
              <w:rFonts w:ascii="Calibri" w:eastAsia="Aptos" w:hAnsi="Calibri" w:cs="Calibri"/>
              <w:noProof/>
              <w:kern w:val="2"/>
              <w:sz w:val="24"/>
              <w:szCs w:val="24"/>
              <w14:ligatures w14:val="standardContextual"/>
            </w:rPr>
            <w:t>(Victims Comissioner, 2021)</w:t>
          </w:r>
          <w:r w:rsidRPr="00743F0B">
            <w:rPr>
              <w:rFonts w:ascii="Calibri" w:eastAsia="Aptos" w:hAnsi="Calibri" w:cs="Calibri"/>
              <w:kern w:val="2"/>
              <w:sz w:val="24"/>
              <w:szCs w:val="24"/>
              <w14:ligatures w14:val="standardContextual"/>
            </w:rPr>
            <w:fldChar w:fldCharType="end"/>
          </w:r>
        </w:sdtContent>
      </w:sdt>
      <w:r w:rsidRPr="00743F0B">
        <w:rPr>
          <w:rFonts w:ascii="Calibri" w:eastAsia="Aptos" w:hAnsi="Calibri" w:cs="Calibri"/>
          <w:kern w:val="2"/>
          <w:sz w:val="24"/>
          <w:szCs w:val="24"/>
          <w14:ligatures w14:val="standardContextual"/>
        </w:rPr>
        <w:t>.</w:t>
      </w:r>
      <w:r w:rsidR="00E2172B">
        <w:rPr>
          <w:rFonts w:ascii="Calibri" w:eastAsia="Aptos" w:hAnsi="Calibri" w:cs="Calibri"/>
          <w:kern w:val="2"/>
          <w:sz w:val="24"/>
          <w:szCs w:val="24"/>
          <w14:ligatures w14:val="standardContextual"/>
        </w:rPr>
        <w:t xml:space="preserve"> Officers stated p</w:t>
      </w:r>
      <w:r w:rsidR="00E2172B" w:rsidRPr="00E2172B">
        <w:rPr>
          <w:rFonts w:ascii="Calibri" w:eastAsia="Aptos" w:hAnsi="Calibri" w:cs="Calibri"/>
          <w:kern w:val="2"/>
          <w:sz w:val="24"/>
          <w:szCs w:val="24"/>
          <w14:ligatures w14:val="standardContextual"/>
        </w:rPr>
        <w:t xml:space="preserve">erpetrators do not exercise </w:t>
      </w:r>
      <w:r w:rsidR="00E2172B">
        <w:rPr>
          <w:rFonts w:ascii="Calibri" w:eastAsia="Aptos" w:hAnsi="Calibri" w:cs="Calibri"/>
          <w:kern w:val="2"/>
          <w:sz w:val="24"/>
          <w:szCs w:val="24"/>
          <w14:ligatures w14:val="standardContextual"/>
        </w:rPr>
        <w:t xml:space="preserve">conformity </w:t>
      </w:r>
      <w:r w:rsidR="00E2172B" w:rsidRPr="00E2172B">
        <w:rPr>
          <w:rFonts w:ascii="Calibri" w:eastAsia="Aptos" w:hAnsi="Calibri" w:cs="Calibri"/>
          <w:kern w:val="2"/>
          <w:sz w:val="24"/>
          <w:szCs w:val="24"/>
          <w14:ligatures w14:val="standardContextual"/>
        </w:rPr>
        <w:t>when being investigated, the restrictions</w:t>
      </w:r>
      <w:r w:rsidR="00E2172B">
        <w:rPr>
          <w:rFonts w:ascii="Calibri" w:eastAsia="Aptos" w:hAnsi="Calibri" w:cs="Calibri"/>
          <w:kern w:val="2"/>
          <w:sz w:val="24"/>
          <w:szCs w:val="24"/>
          <w14:ligatures w14:val="standardContextual"/>
        </w:rPr>
        <w:t xml:space="preserve"> have an adverse effect</w:t>
      </w:r>
      <w:r w:rsidR="00E2172B" w:rsidRPr="00E2172B">
        <w:rPr>
          <w:rFonts w:ascii="Calibri" w:eastAsia="Aptos" w:hAnsi="Calibri" w:cs="Calibri"/>
          <w:kern w:val="2"/>
          <w:sz w:val="24"/>
          <w:szCs w:val="24"/>
          <w14:ligatures w14:val="standardContextual"/>
        </w:rPr>
        <w:t xml:space="preserve"> as</w:t>
      </w:r>
      <w:r w:rsidR="00E2172B">
        <w:rPr>
          <w:rFonts w:ascii="Calibri" w:eastAsia="Aptos" w:hAnsi="Calibri" w:cs="Calibri"/>
          <w:kern w:val="2"/>
          <w:sz w:val="24"/>
          <w:szCs w:val="24"/>
          <w14:ligatures w14:val="standardContextual"/>
        </w:rPr>
        <w:t xml:space="preserve"> perpetrators feel</w:t>
      </w:r>
      <w:r w:rsidR="00E2172B" w:rsidRPr="00E2172B">
        <w:rPr>
          <w:rFonts w:ascii="Calibri" w:eastAsia="Aptos" w:hAnsi="Calibri" w:cs="Calibri"/>
          <w:kern w:val="2"/>
          <w:sz w:val="24"/>
          <w:szCs w:val="24"/>
          <w14:ligatures w14:val="standardContextual"/>
        </w:rPr>
        <w:t xml:space="preserve"> they are defying the victims’ requests and that of the police because they do not want to be compliant.</w:t>
      </w:r>
    </w:p>
    <w:p w14:paraId="393C44B2" w14:textId="77777777"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Officers also stated that there is no way to effectively safeguard victims unless they are routinely moved into refuges away from homes. While Critical markers and patrol strategies can help, they do not completely negate the risk of further violence whilst an offender knows where a victim is residing. The perpetrator will have the need to coerce the victim to drop charges. The knowledge that the victim lives in fear and will not support police through the entire investigation.</w:t>
      </w:r>
    </w:p>
    <w:p w14:paraId="582439E7" w14:textId="439763F0"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 xml:space="preserve">When asked to explain why they felt that electronic monitoring would be effective, views of the officers stated that it would provide perpetrators with knowledge that if they breach their bail conditions their movements are tracible and will provide best evidence to assist in the investigation and prove a strong deterrent. The electronic monitoring will provide an </w:t>
      </w:r>
      <w:r w:rsidRPr="00743F0B">
        <w:rPr>
          <w:rFonts w:ascii="Calibri" w:hAnsi="Calibri" w:cs="Calibri"/>
          <w:sz w:val="24"/>
          <w:szCs w:val="24"/>
        </w:rPr>
        <w:lastRenderedPageBreak/>
        <w:t>extra layer of protection for victims. The ability to locate a perpetrator at any given time and track movements to prevent a breach and safeguard serves a benefit to victims</w:t>
      </w:r>
      <w:r w:rsidR="00E2172B">
        <w:rPr>
          <w:rFonts w:ascii="Calibri" w:hAnsi="Calibri" w:cs="Calibri"/>
          <w:sz w:val="24"/>
          <w:szCs w:val="24"/>
        </w:rPr>
        <w:t xml:space="preserve">, this includes supporting evidence for victimless prosecution. </w:t>
      </w:r>
    </w:p>
    <w:p w14:paraId="283F89AC" w14:textId="73008C86" w:rsidR="00DA4DE5" w:rsidRPr="00DA4DE5" w:rsidRDefault="007D19C8" w:rsidP="00DA4DE5">
      <w:pPr>
        <w:spacing w:line="360" w:lineRule="auto"/>
        <w:rPr>
          <w:rFonts w:ascii="Calibri" w:eastAsia="Aptos" w:hAnsi="Calibri" w:cs="Calibri"/>
          <w:kern w:val="2"/>
          <w:sz w:val="24"/>
          <w:szCs w:val="24"/>
          <w14:ligatures w14:val="standardContextual"/>
        </w:rPr>
      </w:pPr>
      <w:r w:rsidRPr="00743F0B">
        <w:rPr>
          <w:rFonts w:ascii="Calibri" w:hAnsi="Calibri" w:cs="Calibri"/>
          <w:sz w:val="24"/>
          <w:szCs w:val="24"/>
        </w:rPr>
        <w:t>The reasons provided by the officers that stated no, electronic tagging would not be effective provided the reasons for this</w:t>
      </w:r>
      <w:r w:rsidR="00E2172B">
        <w:rPr>
          <w:rFonts w:ascii="Calibri" w:hAnsi="Calibri" w:cs="Calibri"/>
          <w:sz w:val="24"/>
          <w:szCs w:val="24"/>
        </w:rPr>
        <w:t>,</w:t>
      </w:r>
      <w:r w:rsidRPr="00743F0B">
        <w:rPr>
          <w:rFonts w:ascii="Calibri" w:hAnsi="Calibri" w:cs="Calibri"/>
          <w:sz w:val="24"/>
          <w:szCs w:val="24"/>
        </w:rPr>
        <w:t xml:space="preserve"> the perpetrator will still be able to move freely and attend the victims address or continue harassment/stalking via electronic means. The perpetrator can still carry out a serious assault on victims and prevention may be too late.</w:t>
      </w:r>
      <w:r w:rsidR="00E2172B">
        <w:rPr>
          <w:rFonts w:ascii="Calibri" w:hAnsi="Calibri" w:cs="Calibri"/>
          <w:sz w:val="24"/>
          <w:szCs w:val="24"/>
        </w:rPr>
        <w:t xml:space="preserve"> This supports the data presented by the office of national statistics in relation to the numbers of victims of homicide from partners under investigation</w:t>
      </w:r>
      <w:r w:rsidR="00E2172B" w:rsidRPr="00DA4DE5">
        <w:rPr>
          <w:rFonts w:ascii="Calibri" w:hAnsi="Calibri" w:cs="Calibri"/>
          <w:sz w:val="24"/>
          <w:szCs w:val="24"/>
        </w:rPr>
        <w:t xml:space="preserve">, </w:t>
      </w:r>
      <w:r w:rsidR="00DA4DE5" w:rsidRPr="00DA4DE5">
        <w:rPr>
          <w:rFonts w:ascii="Calibri" w:hAnsi="Calibri" w:cs="Calibri"/>
          <w:sz w:val="24"/>
          <w:szCs w:val="24"/>
        </w:rPr>
        <w:t>f</w:t>
      </w:r>
      <w:r w:rsidR="00DA4DE5" w:rsidRPr="00DA4DE5">
        <w:rPr>
          <w:rFonts w:ascii="Calibri" w:eastAsia="Aptos" w:hAnsi="Calibri" w:cs="Calibri"/>
          <w:kern w:val="2"/>
          <w:sz w:val="24"/>
          <w:szCs w:val="24"/>
          <w14:ligatures w14:val="standardContextual"/>
        </w:rPr>
        <w:t xml:space="preserve">igure 2 </w:t>
      </w:r>
      <w:sdt>
        <w:sdtPr>
          <w:rPr>
            <w:rFonts w:ascii="Calibri" w:eastAsia="Aptos" w:hAnsi="Calibri" w:cs="Calibri"/>
            <w:kern w:val="2"/>
            <w:sz w:val="24"/>
            <w:szCs w:val="24"/>
            <w14:ligatures w14:val="standardContextual"/>
          </w:rPr>
          <w:id w:val="2033838224"/>
          <w:citation/>
        </w:sdtPr>
        <w:sdtEndPr/>
        <w:sdtContent>
          <w:r w:rsidR="00DA4DE5" w:rsidRPr="00DA4DE5">
            <w:rPr>
              <w:rFonts w:ascii="Calibri" w:eastAsia="Aptos" w:hAnsi="Calibri" w:cs="Calibri"/>
              <w:kern w:val="2"/>
              <w:sz w:val="24"/>
              <w:szCs w:val="24"/>
              <w14:ligatures w14:val="standardContextual"/>
            </w:rPr>
            <w:fldChar w:fldCharType="begin"/>
          </w:r>
          <w:r w:rsidR="00DA4DE5" w:rsidRPr="00DA4DE5">
            <w:rPr>
              <w:rFonts w:ascii="Calibri" w:eastAsia="Aptos" w:hAnsi="Calibri" w:cs="Calibri"/>
              <w:kern w:val="2"/>
              <w:sz w:val="24"/>
              <w:szCs w:val="24"/>
              <w14:ligatures w14:val="standardContextual"/>
            </w:rPr>
            <w:instrText xml:space="preserve">CITATION Sta24 \l 2057 </w:instrText>
          </w:r>
          <w:r w:rsidR="00DA4DE5" w:rsidRPr="00DA4DE5">
            <w:rPr>
              <w:rFonts w:ascii="Calibri" w:eastAsia="Aptos" w:hAnsi="Calibri" w:cs="Calibri"/>
              <w:kern w:val="2"/>
              <w:sz w:val="24"/>
              <w:szCs w:val="24"/>
              <w14:ligatures w14:val="standardContextual"/>
            </w:rPr>
            <w:fldChar w:fldCharType="separate"/>
          </w:r>
          <w:r w:rsidR="00DA4DE5" w:rsidRPr="00DA4DE5">
            <w:rPr>
              <w:rFonts w:ascii="Calibri" w:eastAsia="Aptos" w:hAnsi="Calibri" w:cs="Calibri"/>
              <w:noProof/>
              <w:kern w:val="2"/>
              <w:sz w:val="24"/>
              <w:szCs w:val="24"/>
              <w14:ligatures w14:val="standardContextual"/>
            </w:rPr>
            <w:t>(Office for National Statistics, 2024)</w:t>
          </w:r>
          <w:r w:rsidR="00DA4DE5" w:rsidRPr="00DA4DE5">
            <w:rPr>
              <w:rFonts w:ascii="Calibri" w:eastAsia="Aptos" w:hAnsi="Calibri" w:cs="Calibri"/>
              <w:kern w:val="2"/>
              <w:sz w:val="24"/>
              <w:szCs w:val="24"/>
              <w14:ligatures w14:val="standardContextual"/>
            </w:rPr>
            <w:fldChar w:fldCharType="end"/>
          </w:r>
        </w:sdtContent>
      </w:sdt>
      <w:r w:rsidR="00DA4DE5" w:rsidRPr="00DA4DE5">
        <w:rPr>
          <w:rFonts w:ascii="Calibri" w:eastAsia="Aptos" w:hAnsi="Calibri" w:cs="Calibri"/>
          <w:kern w:val="2"/>
          <w:sz w:val="24"/>
          <w:szCs w:val="24"/>
          <w14:ligatures w14:val="standardContextual"/>
        </w:rPr>
        <w:t>.</w:t>
      </w:r>
    </w:p>
    <w:p w14:paraId="02836A0A" w14:textId="1B5FAB83" w:rsidR="007D19C8" w:rsidRPr="00743F0B" w:rsidRDefault="007D19C8" w:rsidP="007D19C8">
      <w:pPr>
        <w:spacing w:line="360" w:lineRule="auto"/>
        <w:rPr>
          <w:rFonts w:ascii="Calibri" w:eastAsia="Aptos" w:hAnsi="Calibri" w:cs="Calibri"/>
          <w:kern w:val="2"/>
          <w:sz w:val="24"/>
          <w:szCs w:val="24"/>
          <w14:ligatures w14:val="standardContextual"/>
        </w:rPr>
      </w:pPr>
      <w:r w:rsidRPr="00743F0B">
        <w:rPr>
          <w:rFonts w:ascii="Calibri" w:hAnsi="Calibri" w:cs="Calibri"/>
          <w:sz w:val="24"/>
          <w:szCs w:val="24"/>
        </w:rPr>
        <w:t xml:space="preserve">The 33% </w:t>
      </w:r>
      <w:r w:rsidR="00DA4DE5">
        <w:rPr>
          <w:rFonts w:ascii="Calibri" w:hAnsi="Calibri" w:cs="Calibri"/>
          <w:sz w:val="24"/>
          <w:szCs w:val="24"/>
        </w:rPr>
        <w:t xml:space="preserve">of </w:t>
      </w:r>
      <w:r w:rsidRPr="00743F0B">
        <w:rPr>
          <w:rFonts w:ascii="Calibri" w:hAnsi="Calibri" w:cs="Calibri"/>
          <w:sz w:val="24"/>
          <w:szCs w:val="24"/>
        </w:rPr>
        <w:t xml:space="preserve">officers that submitted maybe stated that there would be a requirement of overwhelming evidence prior to issuing EMS allowing the infringement of human rights. It is a great tool to add evidence to an investigation but only if the victim makes a report of a breach. This point leads back to the idea of a victim seeking temporary relief from a perpetrator and breaches of bail conditions going unreported by the victim due to the thought process that it will not enhance their safety </w:t>
      </w:r>
      <w:sdt>
        <w:sdtPr>
          <w:rPr>
            <w:rFonts w:ascii="Calibri" w:eastAsia="Aptos" w:hAnsi="Calibri" w:cs="Calibri"/>
            <w:kern w:val="2"/>
            <w:sz w:val="24"/>
            <w:szCs w:val="24"/>
            <w14:ligatures w14:val="standardContextual"/>
          </w:rPr>
          <w:id w:val="419993051"/>
          <w:citation/>
        </w:sdtPr>
        <w:sdtEndPr/>
        <w:sdtContent>
          <w:r w:rsidRPr="00743F0B">
            <w:rPr>
              <w:rFonts w:ascii="Calibri" w:eastAsia="Aptos" w:hAnsi="Calibri" w:cs="Calibri"/>
              <w:kern w:val="2"/>
              <w:sz w:val="24"/>
              <w:szCs w:val="24"/>
              <w14:ligatures w14:val="standardContextual"/>
            </w:rPr>
            <w:fldChar w:fldCharType="begin"/>
          </w:r>
          <w:r w:rsidRPr="00743F0B">
            <w:rPr>
              <w:rFonts w:ascii="Calibri" w:eastAsia="Aptos" w:hAnsi="Calibri" w:cs="Calibri"/>
              <w:kern w:val="2"/>
              <w:sz w:val="24"/>
              <w:szCs w:val="24"/>
              <w14:ligatures w14:val="standardContextual"/>
            </w:rPr>
            <w:instrText xml:space="preserve"> CITATION Cen21 \l 2057 </w:instrText>
          </w:r>
          <w:r w:rsidRPr="00743F0B">
            <w:rPr>
              <w:rFonts w:ascii="Calibri" w:eastAsia="Aptos" w:hAnsi="Calibri" w:cs="Calibri"/>
              <w:kern w:val="2"/>
              <w:sz w:val="24"/>
              <w:szCs w:val="24"/>
              <w14:ligatures w14:val="standardContextual"/>
            </w:rPr>
            <w:fldChar w:fldCharType="separate"/>
          </w:r>
          <w:r w:rsidRPr="00743F0B">
            <w:rPr>
              <w:rFonts w:ascii="Calibri" w:eastAsia="Aptos" w:hAnsi="Calibri" w:cs="Calibri"/>
              <w:noProof/>
              <w:kern w:val="2"/>
              <w:sz w:val="24"/>
              <w:szCs w:val="24"/>
              <w14:ligatures w14:val="standardContextual"/>
            </w:rPr>
            <w:t>(Centre for Womens Justice, 2021)</w:t>
          </w:r>
          <w:r w:rsidRPr="00743F0B">
            <w:rPr>
              <w:rFonts w:ascii="Calibri" w:eastAsia="Aptos" w:hAnsi="Calibri" w:cs="Calibri"/>
              <w:kern w:val="2"/>
              <w:sz w:val="24"/>
              <w:szCs w:val="24"/>
              <w14:ligatures w14:val="standardContextual"/>
            </w:rPr>
            <w:fldChar w:fldCharType="end"/>
          </w:r>
        </w:sdtContent>
      </w:sdt>
      <w:r w:rsidRPr="00743F0B">
        <w:rPr>
          <w:rFonts w:ascii="Calibri" w:eastAsia="Aptos" w:hAnsi="Calibri" w:cs="Calibri"/>
          <w:kern w:val="2"/>
          <w:sz w:val="24"/>
          <w:szCs w:val="24"/>
          <w14:ligatures w14:val="standardContextual"/>
        </w:rPr>
        <w:t>.</w:t>
      </w:r>
    </w:p>
    <w:p w14:paraId="0687A681" w14:textId="77777777" w:rsidR="007D19C8" w:rsidRPr="00743F0B" w:rsidRDefault="007D19C8" w:rsidP="007D19C8">
      <w:pPr>
        <w:spacing w:line="360" w:lineRule="auto"/>
        <w:rPr>
          <w:rFonts w:ascii="Calibri" w:hAnsi="Calibri" w:cs="Calibri"/>
          <w:sz w:val="24"/>
          <w:szCs w:val="24"/>
        </w:rPr>
      </w:pPr>
    </w:p>
    <w:p w14:paraId="1D0B4990" w14:textId="77777777" w:rsidR="007D19C8" w:rsidRPr="00793251" w:rsidRDefault="007D19C8" w:rsidP="007D19C8">
      <w:pPr>
        <w:spacing w:line="360" w:lineRule="auto"/>
        <w:rPr>
          <w:sz w:val="56"/>
          <w:szCs w:val="56"/>
        </w:rPr>
      </w:pPr>
      <w:r w:rsidRPr="00793251">
        <w:rPr>
          <w:sz w:val="56"/>
          <w:szCs w:val="56"/>
        </w:rPr>
        <w:t>I</w:t>
      </w:r>
      <w:r>
        <w:rPr>
          <w:sz w:val="56"/>
          <w:szCs w:val="56"/>
        </w:rPr>
        <w:t>ssues identified</w:t>
      </w:r>
    </w:p>
    <w:p w14:paraId="5511E855" w14:textId="77777777"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 xml:space="preserve">The participating officers in the research all police different geographical areas, with vast differences in population within each area. A fairer response would have been from officers policing one specific area. </w:t>
      </w:r>
    </w:p>
    <w:p w14:paraId="2B0AEF81" w14:textId="77777777" w:rsidR="007D19C8" w:rsidRPr="00743F0B" w:rsidRDefault="007D19C8" w:rsidP="007D19C8">
      <w:pPr>
        <w:spacing w:line="360" w:lineRule="auto"/>
        <w:rPr>
          <w:rFonts w:ascii="Calibri" w:hAnsi="Calibri" w:cs="Calibri"/>
          <w:sz w:val="24"/>
          <w:szCs w:val="24"/>
        </w:rPr>
      </w:pPr>
      <w:r w:rsidRPr="00743F0B">
        <w:rPr>
          <w:rFonts w:ascii="Calibri" w:hAnsi="Calibri" w:cs="Calibri"/>
          <w:sz w:val="24"/>
          <w:szCs w:val="24"/>
        </w:rPr>
        <w:t xml:space="preserve">No all officers shared the questionnaire meaning the snowballing sampling method was unsuccessful. </w:t>
      </w:r>
    </w:p>
    <w:p w14:paraId="5D92ED8C" w14:textId="577108C0" w:rsidR="007D19C8" w:rsidRDefault="007D19C8" w:rsidP="007D19C8">
      <w:pPr>
        <w:spacing w:line="360" w:lineRule="auto"/>
        <w:rPr>
          <w:rFonts w:ascii="Calibri" w:eastAsia="Aptos" w:hAnsi="Calibri" w:cs="Calibri"/>
          <w:kern w:val="2"/>
          <w:sz w:val="24"/>
          <w:szCs w:val="24"/>
          <w14:ligatures w14:val="standardContextual"/>
        </w:rPr>
      </w:pPr>
      <w:r w:rsidRPr="00743F0B">
        <w:rPr>
          <w:rFonts w:ascii="Calibri" w:hAnsi="Calibri" w:cs="Calibri"/>
          <w:sz w:val="24"/>
          <w:szCs w:val="24"/>
        </w:rPr>
        <w:t>The DASH assessment tool is a newer model that more time served police officers do not utilise</w:t>
      </w:r>
      <w:r w:rsidR="00DA4DE5">
        <w:rPr>
          <w:rFonts w:ascii="Calibri" w:hAnsi="Calibri" w:cs="Calibri"/>
          <w:sz w:val="24"/>
          <w:szCs w:val="24"/>
        </w:rPr>
        <w:t xml:space="preserve"> consistently; this is d</w:t>
      </w:r>
      <w:r w:rsidR="00DA4DE5" w:rsidRPr="00743F0B">
        <w:rPr>
          <w:rFonts w:ascii="Calibri" w:hAnsi="Calibri" w:cs="Calibri"/>
          <w:sz w:val="24"/>
          <w:szCs w:val="24"/>
        </w:rPr>
        <w:t>ependent</w:t>
      </w:r>
      <w:r w:rsidRPr="00743F0B">
        <w:rPr>
          <w:rFonts w:ascii="Calibri" w:hAnsi="Calibri" w:cs="Calibri"/>
          <w:sz w:val="24"/>
          <w:szCs w:val="24"/>
        </w:rPr>
        <w:t xml:space="preserve"> </w:t>
      </w:r>
      <w:r w:rsidR="00DA4DE5">
        <w:rPr>
          <w:rFonts w:ascii="Calibri" w:hAnsi="Calibri" w:cs="Calibri"/>
          <w:sz w:val="24"/>
          <w:szCs w:val="24"/>
        </w:rPr>
        <w:t>up</w:t>
      </w:r>
      <w:r w:rsidRPr="00743F0B">
        <w:rPr>
          <w:rFonts w:ascii="Calibri" w:hAnsi="Calibri" w:cs="Calibri"/>
          <w:sz w:val="24"/>
          <w:szCs w:val="24"/>
        </w:rPr>
        <w:t>on</w:t>
      </w:r>
      <w:r w:rsidR="00DA4DE5">
        <w:rPr>
          <w:rFonts w:ascii="Calibri" w:hAnsi="Calibri" w:cs="Calibri"/>
          <w:sz w:val="24"/>
          <w:szCs w:val="24"/>
        </w:rPr>
        <w:t xml:space="preserve"> the</w:t>
      </w:r>
      <w:r w:rsidRPr="00743F0B">
        <w:rPr>
          <w:rFonts w:ascii="Calibri" w:hAnsi="Calibri" w:cs="Calibri"/>
          <w:sz w:val="24"/>
          <w:szCs w:val="24"/>
        </w:rPr>
        <w:t xml:space="preserve"> confidence drawn from level of experience and how time served</w:t>
      </w:r>
      <w:r w:rsidR="00DA4DE5">
        <w:rPr>
          <w:rFonts w:ascii="Calibri" w:hAnsi="Calibri" w:cs="Calibri"/>
          <w:sz w:val="24"/>
          <w:szCs w:val="24"/>
        </w:rPr>
        <w:t xml:space="preserve"> each officer has</w:t>
      </w:r>
      <w:r w:rsidRPr="00743F0B">
        <w:rPr>
          <w:rFonts w:ascii="Calibri" w:hAnsi="Calibri" w:cs="Calibri"/>
          <w:sz w:val="24"/>
          <w:szCs w:val="24"/>
        </w:rPr>
        <w:t xml:space="preserve">. This </w:t>
      </w:r>
      <w:r w:rsidR="00DA4DE5">
        <w:rPr>
          <w:rFonts w:ascii="Calibri" w:hAnsi="Calibri" w:cs="Calibri"/>
          <w:sz w:val="24"/>
          <w:szCs w:val="24"/>
        </w:rPr>
        <w:t xml:space="preserve">result of this indicates that </w:t>
      </w:r>
      <w:r w:rsidRPr="00743F0B">
        <w:rPr>
          <w:rFonts w:ascii="Calibri" w:hAnsi="Calibri" w:cs="Calibri"/>
          <w:sz w:val="24"/>
          <w:szCs w:val="24"/>
        </w:rPr>
        <w:t xml:space="preserve">different levels of discretion </w:t>
      </w:r>
      <w:r w:rsidR="00DA4DE5">
        <w:rPr>
          <w:rFonts w:ascii="Calibri" w:hAnsi="Calibri" w:cs="Calibri"/>
          <w:sz w:val="24"/>
          <w:szCs w:val="24"/>
        </w:rPr>
        <w:t xml:space="preserve">is </w:t>
      </w:r>
      <w:r w:rsidRPr="00743F0B">
        <w:rPr>
          <w:rFonts w:ascii="Calibri" w:hAnsi="Calibri" w:cs="Calibri"/>
          <w:sz w:val="24"/>
          <w:szCs w:val="24"/>
        </w:rPr>
        <w:t xml:space="preserve">being utilised in the decision-making process as to if a Domestic Violence call results in further investigation. Newer officers feel deeper shock to incidents impacting on </w:t>
      </w:r>
      <w:r w:rsidRPr="00743F0B">
        <w:rPr>
          <w:rFonts w:ascii="Calibri" w:hAnsi="Calibri" w:cs="Calibri"/>
          <w:sz w:val="24"/>
          <w:szCs w:val="24"/>
        </w:rPr>
        <w:lastRenderedPageBreak/>
        <w:t xml:space="preserve">how they respond, whereas older officers have witnessed trauma on deeper levels and </w:t>
      </w:r>
      <w:r w:rsidR="00DA4DE5">
        <w:rPr>
          <w:rFonts w:ascii="Calibri" w:hAnsi="Calibri" w:cs="Calibri"/>
          <w:sz w:val="24"/>
          <w:szCs w:val="24"/>
        </w:rPr>
        <w:t>do</w:t>
      </w:r>
      <w:r w:rsidRPr="00743F0B">
        <w:rPr>
          <w:rFonts w:ascii="Calibri" w:hAnsi="Calibri" w:cs="Calibri"/>
          <w:sz w:val="24"/>
          <w:szCs w:val="24"/>
        </w:rPr>
        <w:t xml:space="preserve"> not feel an incident would require the same level of investigation. This feeds back to the review on the variable degree of training and the outlooks of officers concerning domestic abuse and risk </w:t>
      </w:r>
      <w:sdt>
        <w:sdtPr>
          <w:rPr>
            <w:rFonts w:ascii="Calibri" w:eastAsia="Aptos" w:hAnsi="Calibri" w:cs="Calibri"/>
            <w:kern w:val="2"/>
            <w:sz w:val="24"/>
            <w:szCs w:val="24"/>
            <w14:ligatures w14:val="standardContextual"/>
          </w:rPr>
          <w:id w:val="80184335"/>
          <w:citation/>
        </w:sdtPr>
        <w:sdtEndPr/>
        <w:sdtContent>
          <w:r w:rsidRPr="00743F0B">
            <w:rPr>
              <w:rFonts w:ascii="Calibri" w:eastAsia="Aptos" w:hAnsi="Calibri" w:cs="Calibri"/>
              <w:kern w:val="2"/>
              <w:sz w:val="24"/>
              <w:szCs w:val="24"/>
              <w14:ligatures w14:val="standardContextual"/>
            </w:rPr>
            <w:fldChar w:fldCharType="begin"/>
          </w:r>
          <w:r w:rsidRPr="00743F0B">
            <w:rPr>
              <w:rFonts w:ascii="Calibri" w:eastAsia="Aptos" w:hAnsi="Calibri" w:cs="Calibri"/>
              <w:kern w:val="2"/>
              <w:sz w:val="24"/>
              <w:szCs w:val="24"/>
              <w14:ligatures w14:val="standardContextual"/>
            </w:rPr>
            <w:instrText xml:space="preserve"> CITATION Rob16 \l 2057 </w:instrText>
          </w:r>
          <w:r w:rsidRPr="00743F0B">
            <w:rPr>
              <w:rFonts w:ascii="Calibri" w:eastAsia="Aptos" w:hAnsi="Calibri" w:cs="Calibri"/>
              <w:kern w:val="2"/>
              <w:sz w:val="24"/>
              <w:szCs w:val="24"/>
              <w14:ligatures w14:val="standardContextual"/>
            </w:rPr>
            <w:fldChar w:fldCharType="separate"/>
          </w:r>
          <w:r w:rsidRPr="00743F0B">
            <w:rPr>
              <w:rFonts w:ascii="Calibri" w:eastAsia="Aptos" w:hAnsi="Calibri" w:cs="Calibri"/>
              <w:noProof/>
              <w:kern w:val="2"/>
              <w:sz w:val="24"/>
              <w:szCs w:val="24"/>
              <w14:ligatures w14:val="standardContextual"/>
            </w:rPr>
            <w:t>(Robinson, et al., 2016)</w:t>
          </w:r>
          <w:r w:rsidRPr="00743F0B">
            <w:rPr>
              <w:rFonts w:ascii="Calibri" w:eastAsia="Aptos" w:hAnsi="Calibri" w:cs="Calibri"/>
              <w:kern w:val="2"/>
              <w:sz w:val="24"/>
              <w:szCs w:val="24"/>
              <w14:ligatures w14:val="standardContextual"/>
            </w:rPr>
            <w:fldChar w:fldCharType="end"/>
          </w:r>
        </w:sdtContent>
      </w:sdt>
      <w:r w:rsidRPr="00743F0B">
        <w:rPr>
          <w:rFonts w:ascii="Calibri" w:eastAsia="Aptos" w:hAnsi="Calibri" w:cs="Calibri"/>
          <w:kern w:val="2"/>
          <w:sz w:val="24"/>
          <w:szCs w:val="24"/>
          <w14:ligatures w14:val="standardContextual"/>
        </w:rPr>
        <w:t>.</w:t>
      </w:r>
    </w:p>
    <w:p w14:paraId="0B7CC126" w14:textId="7CA6F3C5" w:rsidR="00AC3CB7" w:rsidRPr="00743F0B" w:rsidRDefault="00AC3CB7" w:rsidP="007D19C8">
      <w:pPr>
        <w:spacing w:line="360" w:lineRule="auto"/>
        <w:rPr>
          <w:rFonts w:ascii="Calibri" w:eastAsia="Aptos" w:hAnsi="Calibri" w:cs="Calibri"/>
          <w:kern w:val="2"/>
          <w:sz w:val="24"/>
          <w:szCs w:val="24"/>
          <w14:ligatures w14:val="standardContextual"/>
        </w:rPr>
      </w:pPr>
      <w:r>
        <w:rPr>
          <w:rFonts w:ascii="Calibri" w:eastAsia="Aptos" w:hAnsi="Calibri" w:cs="Calibri"/>
          <w:kern w:val="2"/>
          <w:sz w:val="24"/>
          <w:szCs w:val="24"/>
          <w14:ligatures w14:val="standardContextual"/>
        </w:rPr>
        <w:t xml:space="preserve">The results confirm what the researcher initially identified that victims of domestic violence are not currently safeguarded effectively whilst a perpetrator is under investigation. </w:t>
      </w:r>
    </w:p>
    <w:p w14:paraId="33ADD47E" w14:textId="77777777" w:rsidR="000E7369" w:rsidRDefault="000E7369"/>
    <w:sectPr w:rsidR="000E73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C8"/>
    <w:rsid w:val="000E7369"/>
    <w:rsid w:val="00143EE4"/>
    <w:rsid w:val="002B7B90"/>
    <w:rsid w:val="004B1DD6"/>
    <w:rsid w:val="00661888"/>
    <w:rsid w:val="00743F0B"/>
    <w:rsid w:val="007D19C8"/>
    <w:rsid w:val="00AC3CB7"/>
    <w:rsid w:val="00BE4AA8"/>
    <w:rsid w:val="00CB2D4A"/>
    <w:rsid w:val="00D02DA0"/>
    <w:rsid w:val="00DA4DE5"/>
    <w:rsid w:val="00E2172B"/>
    <w:rsid w:val="00EF1065"/>
    <w:rsid w:val="00F55CBB"/>
    <w:rsid w:val="00FA2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225C"/>
  <w15:chartTrackingRefBased/>
  <w15:docId w15:val="{D2F5CD59-090B-4AD9-916C-6F1626C80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9C8"/>
    <w:rPr>
      <w:kern w:val="0"/>
      <w14:ligatures w14:val="none"/>
    </w:rPr>
  </w:style>
  <w:style w:type="paragraph" w:styleId="Heading1">
    <w:name w:val="heading 1"/>
    <w:basedOn w:val="Normal"/>
    <w:next w:val="Normal"/>
    <w:link w:val="Heading1Char"/>
    <w:uiPriority w:val="9"/>
    <w:qFormat/>
    <w:rsid w:val="007D19C8"/>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D19C8"/>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D19C8"/>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D19C8"/>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D19C8"/>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D19C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D19C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D19C8"/>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D19C8"/>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9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9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9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9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9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9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9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9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9C8"/>
    <w:rPr>
      <w:rFonts w:eastAsiaTheme="majorEastAsia" w:cstheme="majorBidi"/>
      <w:color w:val="272727" w:themeColor="text1" w:themeTint="D8"/>
    </w:rPr>
  </w:style>
  <w:style w:type="paragraph" w:styleId="Title">
    <w:name w:val="Title"/>
    <w:basedOn w:val="Normal"/>
    <w:next w:val="Normal"/>
    <w:link w:val="TitleChar"/>
    <w:uiPriority w:val="10"/>
    <w:qFormat/>
    <w:rsid w:val="007D19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D19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9C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D19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9C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D19C8"/>
    <w:rPr>
      <w:i/>
      <w:iCs/>
      <w:color w:val="404040" w:themeColor="text1" w:themeTint="BF"/>
    </w:rPr>
  </w:style>
  <w:style w:type="paragraph" w:styleId="ListParagraph">
    <w:name w:val="List Paragraph"/>
    <w:basedOn w:val="Normal"/>
    <w:uiPriority w:val="34"/>
    <w:qFormat/>
    <w:rsid w:val="007D19C8"/>
    <w:pPr>
      <w:ind w:left="720"/>
      <w:contextualSpacing/>
    </w:pPr>
    <w:rPr>
      <w:kern w:val="2"/>
      <w14:ligatures w14:val="standardContextual"/>
    </w:rPr>
  </w:style>
  <w:style w:type="character" w:styleId="IntenseEmphasis">
    <w:name w:val="Intense Emphasis"/>
    <w:basedOn w:val="DefaultParagraphFont"/>
    <w:uiPriority w:val="21"/>
    <w:qFormat/>
    <w:rsid w:val="007D19C8"/>
    <w:rPr>
      <w:i/>
      <w:iCs/>
      <w:color w:val="0F4761" w:themeColor="accent1" w:themeShade="BF"/>
    </w:rPr>
  </w:style>
  <w:style w:type="paragraph" w:styleId="IntenseQuote">
    <w:name w:val="Intense Quote"/>
    <w:basedOn w:val="Normal"/>
    <w:next w:val="Normal"/>
    <w:link w:val="IntenseQuoteChar"/>
    <w:uiPriority w:val="30"/>
    <w:qFormat/>
    <w:rsid w:val="007D19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D19C8"/>
    <w:rPr>
      <w:i/>
      <w:iCs/>
      <w:color w:val="0F4761" w:themeColor="accent1" w:themeShade="BF"/>
    </w:rPr>
  </w:style>
  <w:style w:type="character" w:styleId="IntenseReference">
    <w:name w:val="Intense Reference"/>
    <w:basedOn w:val="DefaultParagraphFont"/>
    <w:uiPriority w:val="32"/>
    <w:qFormat/>
    <w:rsid w:val="007D19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9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Vic21</b:Tag>
    <b:SourceType>ArticleInAPeriodical</b:SourceType>
    <b:Guid>{2C48A008-17D2-40CF-B4F2-B64FDFB75A03}</b:Guid>
    <b:Author>
      <b:Author>
        <b:Corporate>Victims Comissioner</b:Corporate>
      </b:Author>
    </b:Author>
    <b:Title>Lack of bail conditions put domestic abuse victims at risk, finds new HMICFRS report</b:Title>
    <b:Year>2021</b:Year>
    <b:Pages>3</b:Pages>
    <b:Publisher>Victims Commisioner</b:Publisher>
    <b:City>London</b:City>
    <b:YearAccessed>2025</b:YearAccessed>
    <b:MonthAccessed>February</b:MonthAccessed>
    <b:DayAccessed>14</b:DayAccessed>
    <b:URL>https://victimscommissioner.org.uk/news/pre-charge-bail-hmicfrs-report/</b:URL>
    <b:PeriodicalTitle>Lack of bail conditions put domestic abuse victims at risk, finds new HMICFRS report</b:PeriodicalTitle>
    <b:Month>August</b:Month>
    <b:Day>24</b:Day>
    <b:RefOrder>3</b:RefOrder>
  </b:Source>
  <b:Source>
    <b:Tag>Cen21</b:Tag>
    <b:SourceType>DocumentFromInternetSite</b:SourceType>
    <b:Guid>{83AA6F07-0447-4D44-A0BB-7799AE4802D4}</b:Guid>
    <b:Author>
      <b:Author>
        <b:Corporate>Centre for Womens Justice</b:Corporate>
      </b:Author>
    </b:Author>
    <b:Title>Centre for Women’s Justice briefing on pre-charge bail</b:Title>
    <b:Year>2021</b:Year>
    <b:Month>May</b:Month>
    <b:Day>21</b:Day>
    <b:YearAccessed>2025</b:YearAccessed>
    <b:MonthAccessed>April</b:MonthAccessed>
    <b:DayAccessed>17</b:DayAccessed>
    <b:URL>https://bills.parliament.uk/publications/41700/documents/335</b:URL>
    <b:RefOrder>4</b:RefOrder>
  </b:Source>
  <b:Source>
    <b:Tag>Rob16</b:Tag>
    <b:SourceType>JournalArticle</b:SourceType>
    <b:Guid>{1394CAC0-5146-459C-A575-9BA45CE1F629}</b:Guid>
    <b:Title>A small constellation: risk factors informing police perceptions of domestic abuse</b:Title>
    <b:Year>2016</b:Year>
    <b:YearAccessed>2025</b:YearAccessed>
    <b:MonthAccessed>February</b:MonthAccessed>
    <b:DayAccessed>28</b:DayAccessed>
    <b:URL>https://www.tandfonline.com/doi/full/10.1080/10439463.2016.1151881</b:URL>
    <b:JournalName>Taylor and Francis Online</b:JournalName>
    <b:Pages>189-204</b:Pages>
    <b:Volume>28</b:Volume>
    <b:Issue>2</b:Issue>
    <b:Author>
      <b:Author>
        <b:NameList>
          <b:Person>
            <b:Last>Robinson</b:Last>
            <b:Middle>L</b:Middle>
            <b:First>Amanda</b:First>
          </b:Person>
          <b:Person>
            <b:Last>Pinchevsky</b:Last>
            <b:Middle>M</b:Middle>
            <b:First>Gillian</b:First>
          </b:Person>
          <b:Person>
            <b:Last>Guthrie</b:Last>
            <b:Middle>A</b:Middle>
            <b:First>Jennifer</b:First>
          </b:Person>
        </b:NameList>
      </b:Author>
    </b:Author>
    <b:Month>Feb</b:Month>
    <b:Day>29</b:Day>
    <b:DOI>https://doi.org/10.1080/10439463.2016.1151881</b:DOI>
    <b:RefOrder>5</b:RefOrder>
  </b:Source>
  <b:Source>
    <b:Tag>Sta24</b:Tag>
    <b:SourceType>InternetSite</b:SourceType>
    <b:Guid>{98BBD3A1-04E9-4927-8023-B94ADF34C084}</b:Guid>
    <b:Author>
      <b:Author>
        <b:Corporate>Office for National Statistics</b:Corporate>
      </b:Author>
    </b:Author>
    <b:Title>ons.gov</b:Title>
    <b:Year>2024</b:Year>
    <b:YearAccessed>2025</b:YearAccessed>
    <b:MonthAccessed>February</b:MonthAccessed>
    <b:DayAccessed>16</b:DayAccessed>
    <b:URL>https://www.ons.gov.uk/peoplepopulationandcommunity/crimeandjustice/bulletins/domesticabuseinenglandandwalesoverview/november2024</b:URL>
    <b:RefOrder>1</b:RefOrder>
  </b:Source>
  <b:Source>
    <b:Tag>MAR25</b:Tag>
    <b:SourceType>DocumentFromInternetSite</b:SourceType>
    <b:Guid>{0472EC40-390F-4E54-B066-90CD904BCECA}</b:Guid>
    <b:Author>
      <b:Author>
        <b:Corporate>MARAC datasets 2025</b:Corporate>
      </b:Author>
    </b:Author>
    <b:Title>safelives.org.uk</b:Title>
    <b:Year>2025</b:Year>
    <b:Month>July</b:Month>
    <b:Day>11</b:Day>
    <b:YearAccessed>2025</b:YearAccessed>
    <b:MonthAccessed>July</b:MonthAccessed>
    <b:DayAccessed>21</b:DayAccessed>
    <b:URL>https://safelives.org.uk/research-policy/practitioner-datasets/marac-data/</b:URL>
    <b:InternetSiteTitle>Safe Lives Ending Domestic Abuse</b:InternetSiteTitle>
    <b:ShortTitle>Marac data – Key findings</b:ShortTitle>
    <b:RefOrder>2</b:RefOrder>
  </b:Source>
</b:Sources>
</file>

<file path=customXml/itemProps1.xml><?xml version="1.0" encoding="utf-8"?>
<ds:datastoreItem xmlns:ds="http://schemas.openxmlformats.org/officeDocument/2006/customXml" ds:itemID="{B78D9A5D-1298-4C40-BEBE-D6CFD63DD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1405</Words>
  <Characters>8010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Jones,Carmen swp8577</dc:creator>
  <cp:keywords/>
  <dc:description/>
  <cp:lastModifiedBy>Jones,Carmen swp8577</cp:lastModifiedBy>
  <cp:revision>4</cp:revision>
  <dcterms:created xsi:type="dcterms:W3CDTF">2025-07-01T15:09:00Z</dcterms:created>
  <dcterms:modified xsi:type="dcterms:W3CDTF">2025-07-27T15:04:00Z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2025-07-01T15:10:48Z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bbc35aca-700f-4c3d-8865-33d65c95f803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