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61EB6" w14:textId="77777777" w:rsidR="00BF3385" w:rsidRDefault="00BF3385" w:rsidP="00A65C78">
      <w:pPr>
        <w:spacing w:line="360" w:lineRule="auto"/>
        <w:rPr>
          <w:rFonts w:ascii="ADLaM Display" w:hAnsi="ADLaM Display" w:cs="ADLaM Display"/>
          <w:b/>
          <w:bCs/>
          <w:i/>
          <w:iCs/>
          <w:color w:val="4C94D8" w:themeColor="text2" w:themeTint="80"/>
          <w:sz w:val="22"/>
          <w:szCs w:val="22"/>
          <w:u w:val="single"/>
        </w:rPr>
      </w:pPr>
    </w:p>
    <w:p w14:paraId="754AE76F" w14:textId="7F4C6F3F" w:rsidR="00E872FD" w:rsidRDefault="00E872FD" w:rsidP="00A65C78">
      <w:pPr>
        <w:spacing w:line="360" w:lineRule="auto"/>
        <w:rPr>
          <w:rFonts w:ascii="ADLaM Display" w:hAnsi="ADLaM Display" w:cs="ADLaM Display"/>
          <w:b/>
          <w:bCs/>
          <w:i/>
          <w:iCs/>
          <w:color w:val="4C94D8" w:themeColor="text2" w:themeTint="80"/>
          <w:sz w:val="22"/>
          <w:szCs w:val="22"/>
          <w:u w:val="single"/>
        </w:rPr>
      </w:pPr>
    </w:p>
    <w:p w14:paraId="02049D1B" w14:textId="77777777" w:rsidR="00CF5F4A" w:rsidRDefault="00CF5F4A" w:rsidP="00E71E03">
      <w:pPr>
        <w:spacing w:line="360" w:lineRule="auto"/>
        <w:jc w:val="center"/>
        <w:rPr>
          <w:rFonts w:ascii="Arial" w:hAnsi="Arial" w:cs="Arial"/>
          <w:sz w:val="22"/>
          <w:szCs w:val="22"/>
        </w:rPr>
      </w:pPr>
      <w:r>
        <w:rPr>
          <w:rFonts w:ascii="Arial" w:hAnsi="Arial" w:cs="Arial"/>
          <w:sz w:val="22"/>
          <w:szCs w:val="22"/>
        </w:rPr>
        <w:t>Mariyaa Iqbal</w:t>
      </w:r>
    </w:p>
    <w:p w14:paraId="060BC43E" w14:textId="77777777" w:rsidR="00CF5F4A" w:rsidRDefault="00CF5F4A" w:rsidP="00E71E03">
      <w:pPr>
        <w:spacing w:line="360" w:lineRule="auto"/>
        <w:jc w:val="center"/>
        <w:rPr>
          <w:rFonts w:ascii="Arial" w:hAnsi="Arial" w:cs="Arial"/>
          <w:sz w:val="22"/>
          <w:szCs w:val="22"/>
        </w:rPr>
      </w:pPr>
      <w:r>
        <w:rPr>
          <w:rFonts w:ascii="Arial" w:hAnsi="Arial" w:cs="Arial"/>
          <w:sz w:val="22"/>
          <w:szCs w:val="22"/>
        </w:rPr>
        <w:t>2056503</w:t>
      </w:r>
    </w:p>
    <w:p w14:paraId="0C74312E" w14:textId="77777777" w:rsidR="00CF5F4A" w:rsidRDefault="00CF5F4A" w:rsidP="00E71E03">
      <w:pPr>
        <w:spacing w:line="360" w:lineRule="auto"/>
        <w:jc w:val="center"/>
        <w:rPr>
          <w:rFonts w:ascii="Arial" w:hAnsi="Arial" w:cs="Arial"/>
          <w:sz w:val="22"/>
          <w:szCs w:val="22"/>
        </w:rPr>
      </w:pPr>
      <w:r>
        <w:rPr>
          <w:rFonts w:ascii="Arial" w:hAnsi="Arial" w:cs="Arial"/>
          <w:sz w:val="22"/>
          <w:szCs w:val="22"/>
        </w:rPr>
        <w:t>Introduction to health and social care</w:t>
      </w:r>
    </w:p>
    <w:p w14:paraId="608F7417" w14:textId="77777777" w:rsidR="00CF5F4A" w:rsidRDefault="00CF5F4A" w:rsidP="00E71E03">
      <w:pPr>
        <w:spacing w:line="360" w:lineRule="auto"/>
        <w:jc w:val="center"/>
        <w:rPr>
          <w:rFonts w:ascii="Arial" w:hAnsi="Arial" w:cs="Arial"/>
          <w:sz w:val="22"/>
          <w:szCs w:val="22"/>
        </w:rPr>
      </w:pPr>
      <w:r>
        <w:rPr>
          <w:rFonts w:ascii="Arial" w:hAnsi="Arial" w:cs="Arial"/>
          <w:sz w:val="22"/>
          <w:szCs w:val="22"/>
        </w:rPr>
        <w:t>LCHS4003_BIRM</w:t>
      </w:r>
    </w:p>
    <w:p w14:paraId="7A658C62" w14:textId="4EE3E5D6" w:rsidR="00CF5F4A" w:rsidRDefault="00A025C5" w:rsidP="00E71E03">
      <w:pPr>
        <w:spacing w:line="360" w:lineRule="auto"/>
        <w:jc w:val="center"/>
        <w:rPr>
          <w:rFonts w:ascii="Arial" w:hAnsi="Arial" w:cs="Arial"/>
          <w:sz w:val="22"/>
          <w:szCs w:val="22"/>
        </w:rPr>
      </w:pPr>
      <w:r>
        <w:rPr>
          <w:rFonts w:ascii="Arial" w:hAnsi="Arial" w:cs="Arial"/>
          <w:sz w:val="22"/>
          <w:szCs w:val="22"/>
        </w:rPr>
        <w:t>Wafa nasir</w:t>
      </w:r>
    </w:p>
    <w:p w14:paraId="58A54A19" w14:textId="77777777" w:rsidR="00BF3385" w:rsidRDefault="00BF3385" w:rsidP="00A65C78">
      <w:pPr>
        <w:spacing w:line="360" w:lineRule="auto"/>
        <w:rPr>
          <w:rFonts w:ascii="ADLaM Display" w:hAnsi="ADLaM Display" w:cs="ADLaM Display"/>
          <w:b/>
          <w:bCs/>
          <w:i/>
          <w:iCs/>
          <w:color w:val="4C94D8" w:themeColor="text2" w:themeTint="80"/>
          <w:sz w:val="22"/>
          <w:szCs w:val="22"/>
          <w:u w:val="single"/>
        </w:rPr>
      </w:pPr>
    </w:p>
    <w:p w14:paraId="41D3D781" w14:textId="77777777" w:rsidR="00BF3385" w:rsidRDefault="00BF3385" w:rsidP="00A65C78">
      <w:pPr>
        <w:spacing w:line="360" w:lineRule="auto"/>
        <w:rPr>
          <w:rFonts w:ascii="ADLaM Display" w:hAnsi="ADLaM Display" w:cs="ADLaM Display"/>
          <w:b/>
          <w:bCs/>
          <w:i/>
          <w:iCs/>
          <w:color w:val="4C94D8" w:themeColor="text2" w:themeTint="80"/>
          <w:sz w:val="22"/>
          <w:szCs w:val="22"/>
          <w:u w:val="single"/>
        </w:rPr>
      </w:pPr>
    </w:p>
    <w:p w14:paraId="3BC983E8" w14:textId="77777777" w:rsidR="00BF3385" w:rsidRDefault="00BF3385" w:rsidP="00A65C78">
      <w:pPr>
        <w:spacing w:line="360" w:lineRule="auto"/>
        <w:rPr>
          <w:rFonts w:ascii="ADLaM Display" w:hAnsi="ADLaM Display" w:cs="ADLaM Display"/>
          <w:b/>
          <w:bCs/>
          <w:i/>
          <w:iCs/>
          <w:color w:val="4C94D8" w:themeColor="text2" w:themeTint="80"/>
          <w:sz w:val="22"/>
          <w:szCs w:val="22"/>
          <w:u w:val="single"/>
        </w:rPr>
      </w:pPr>
    </w:p>
    <w:p w14:paraId="001FBF2E" w14:textId="77777777" w:rsidR="00BF3385" w:rsidRDefault="00BF3385" w:rsidP="00A65C78">
      <w:pPr>
        <w:spacing w:line="360" w:lineRule="auto"/>
        <w:rPr>
          <w:rFonts w:ascii="ADLaM Display" w:hAnsi="ADLaM Display" w:cs="ADLaM Display"/>
          <w:b/>
          <w:bCs/>
          <w:i/>
          <w:iCs/>
          <w:color w:val="4C94D8" w:themeColor="text2" w:themeTint="80"/>
          <w:sz w:val="22"/>
          <w:szCs w:val="22"/>
          <w:u w:val="single"/>
        </w:rPr>
      </w:pPr>
    </w:p>
    <w:p w14:paraId="26E1C34D" w14:textId="40C3B995" w:rsidR="00E8221F" w:rsidRPr="00A6432A" w:rsidRDefault="002B35E9" w:rsidP="00A6432A">
      <w:pPr>
        <w:spacing w:line="360" w:lineRule="auto"/>
        <w:rPr>
          <w:rFonts w:ascii="ADLaM Display" w:hAnsi="ADLaM Display" w:cs="ADLaM Display"/>
          <w:b/>
          <w:bCs/>
          <w:i/>
          <w:iCs/>
          <w:color w:val="4C94D8" w:themeColor="text2" w:themeTint="80"/>
          <w:sz w:val="22"/>
          <w:szCs w:val="22"/>
          <w:u w:val="single"/>
        </w:rPr>
      </w:pPr>
      <w:r>
        <w:rPr>
          <w:rFonts w:ascii="Arial" w:hAnsi="Arial" w:cs="Arial"/>
          <w:noProof/>
          <w:sz w:val="22"/>
          <w:szCs w:val="22"/>
        </w:rPr>
        <w:lastRenderedPageBreak/>
        <mc:AlternateContent>
          <mc:Choice Requires="wps">
            <w:drawing>
              <wp:anchor distT="45720" distB="45720" distL="114300" distR="114300" simplePos="0" relativeHeight="251681792" behindDoc="0" locked="0" layoutInCell="1" allowOverlap="1" wp14:anchorId="63A0B21F" wp14:editId="3E540EB7">
                <wp:simplePos x="0" y="0"/>
                <wp:positionH relativeFrom="column">
                  <wp:posOffset>4882515</wp:posOffset>
                </wp:positionH>
                <wp:positionV relativeFrom="paragraph">
                  <wp:posOffset>2299970</wp:posOffset>
                </wp:positionV>
                <wp:extent cx="4484370" cy="1885315"/>
                <wp:effectExtent l="0" t="0" r="11430" b="6985"/>
                <wp:wrapSquare wrapText="bothSides"/>
                <wp:docPr id="454288947" name="Text Box 4"/>
                <wp:cNvGraphicFramePr/>
                <a:graphic xmlns:a="http://schemas.openxmlformats.org/drawingml/2006/main">
                  <a:graphicData uri="http://schemas.microsoft.com/office/word/2010/wordprocessingShape">
                    <wps:wsp>
                      <wps:cNvSpPr txBox="1"/>
                      <wps:spPr>
                        <a:xfrm>
                          <a:off x="0" y="0"/>
                          <a:ext cx="4484370" cy="1885315"/>
                        </a:xfrm>
                        <a:prstGeom prst="rect">
                          <a:avLst/>
                        </a:prstGeom>
                        <a:solidFill>
                          <a:prstClr val="white"/>
                        </a:solidFill>
                        <a:ln w="6350">
                          <a:solidFill>
                            <a:prstClr val="black"/>
                          </a:solidFill>
                        </a:ln>
                      </wps:spPr>
                      <wps:txbx>
                        <w:txbxContent>
                          <w:p w14:paraId="783EB3DF" w14:textId="77777777" w:rsidR="00E434E1" w:rsidRDefault="00D30997" w:rsidP="00E434E1">
                            <w:pPr>
                              <w:pStyle w:val="p1"/>
                              <w:rPr>
                                <w:rStyle w:val="s2"/>
                                <w:rFonts w:ascii="Arial" w:hAnsi="Arial" w:cs="Arial"/>
                                <w:i/>
                                <w:iCs/>
                                <w:color w:val="D86DCB" w:themeColor="accent5" w:themeTint="99"/>
                                <w:sz w:val="16"/>
                                <w:szCs w:val="16"/>
                                <w:u w:val="single"/>
                              </w:rPr>
                            </w:pPr>
                            <w:r w:rsidRPr="00BB7E1B">
                              <w:rPr>
                                <w:rStyle w:val="s2"/>
                                <w:rFonts w:ascii="Arial" w:hAnsi="Arial" w:cs="Arial"/>
                                <w:i/>
                                <w:iCs/>
                                <w:color w:val="D86DCB" w:themeColor="accent5" w:themeTint="99"/>
                                <w:sz w:val="16"/>
                                <w:szCs w:val="16"/>
                                <w:u w:val="single"/>
                              </w:rPr>
                              <w:t>Challenge</w:t>
                            </w:r>
                            <w:r w:rsidR="00650F7A">
                              <w:rPr>
                                <w:rStyle w:val="s2"/>
                                <w:rFonts w:ascii="Arial" w:hAnsi="Arial" w:cs="Arial"/>
                                <w:i/>
                                <w:iCs/>
                                <w:color w:val="D86DCB" w:themeColor="accent5" w:themeTint="99"/>
                                <w:sz w:val="16"/>
                                <w:szCs w:val="16"/>
                                <w:u w:val="single"/>
                              </w:rPr>
                              <w:t xml:space="preserve"> with staff </w:t>
                            </w:r>
                            <w:r w:rsidRPr="00BB7E1B">
                              <w:rPr>
                                <w:rStyle w:val="s2"/>
                                <w:rFonts w:ascii="Arial" w:hAnsi="Arial" w:cs="Arial"/>
                                <w:i/>
                                <w:iCs/>
                                <w:color w:val="D86DCB" w:themeColor="accent5" w:themeTint="99"/>
                                <w:sz w:val="16"/>
                                <w:szCs w:val="16"/>
                                <w:u w:val="single"/>
                              </w:rPr>
                              <w:t xml:space="preserve">Shortages </w:t>
                            </w:r>
                          </w:p>
                          <w:p w14:paraId="03392CF7" w14:textId="10E446FB" w:rsidR="00BE1F44" w:rsidRPr="00BE1F44" w:rsidRDefault="00BE1F44" w:rsidP="002B35E9">
                            <w:pPr>
                              <w:pStyle w:val="p1"/>
                              <w:spacing w:line="360" w:lineRule="auto"/>
                              <w:rPr>
                                <w:rFonts w:ascii="Arial" w:hAnsi="Arial" w:cs="Arial"/>
                                <w:b/>
                                <w:bCs/>
                                <w:i/>
                                <w:iCs/>
                                <w:color w:val="D86DCB" w:themeColor="accent5" w:themeTint="99"/>
                                <w:sz w:val="16"/>
                                <w:szCs w:val="16"/>
                                <w:u w:val="single"/>
                              </w:rPr>
                            </w:pPr>
                            <w:r w:rsidRPr="00BE1F44">
                              <w:rPr>
                                <w:rFonts w:ascii="Arial" w:hAnsi="Arial" w:cs="Arial"/>
                                <w:sz w:val="16"/>
                                <w:szCs w:val="16"/>
                              </w:rPr>
                              <w:t xml:space="preserve">Workforce shortages </w:t>
                            </w:r>
                            <w:r w:rsidR="008440DE" w:rsidRPr="00BE1F44">
                              <w:rPr>
                                <w:rFonts w:ascii="Arial" w:hAnsi="Arial" w:cs="Arial"/>
                                <w:sz w:val="16"/>
                                <w:szCs w:val="16"/>
                              </w:rPr>
                              <w:t>are</w:t>
                            </w:r>
                            <w:r w:rsidRPr="00BE1F44">
                              <w:rPr>
                                <w:rFonts w:ascii="Arial" w:hAnsi="Arial" w:cs="Arial"/>
                                <w:sz w:val="16"/>
                                <w:szCs w:val="16"/>
                              </w:rPr>
                              <w:t xml:space="preserve"> one of the most pressing challenges within residential care. The adult social care sector continues to experience high vacancy and turnover rates (Skills for Care, 2023).</w:t>
                            </w:r>
                            <w:r w:rsidR="0080141A">
                              <w:rPr>
                                <w:rFonts w:ascii="Arial" w:hAnsi="Arial" w:cs="Arial"/>
                                <w:sz w:val="16"/>
                                <w:szCs w:val="16"/>
                              </w:rPr>
                              <w:t xml:space="preserve"> </w:t>
                            </w:r>
                            <w:r w:rsidRPr="00BE1F44">
                              <w:rPr>
                                <w:rFonts w:ascii="Arial" w:hAnsi="Arial" w:cs="Arial"/>
                                <w:sz w:val="16"/>
                                <w:szCs w:val="16"/>
                              </w:rPr>
                              <w:t xml:space="preserve">Contributing factors include </w:t>
                            </w:r>
                            <w:r w:rsidR="00AC4499" w:rsidRPr="00BE1F44">
                              <w:rPr>
                                <w:rFonts w:ascii="Arial" w:hAnsi="Arial" w:cs="Arial"/>
                                <w:sz w:val="16"/>
                                <w:szCs w:val="16"/>
                              </w:rPr>
                              <w:t>low</w:t>
                            </w:r>
                            <w:r w:rsidRPr="00BE1F44">
                              <w:rPr>
                                <w:rFonts w:ascii="Arial" w:hAnsi="Arial" w:cs="Arial"/>
                                <w:sz w:val="16"/>
                                <w:szCs w:val="16"/>
                              </w:rPr>
                              <w:t xml:space="preserve"> pay, demanding workloads, limited career progression, and the emotional intensity of care work. Staffing instability can disrupt continuity of care and reduce opportunities for meaningful, person-centred interaction. High workload pressures may also increase the risk of burnout and negatively affect staff wellbeing. Skills for Care (2023) emphasises the need for improved workforce planning, enhanced professional recognition, and sustainable funding to stabilise the sector.</w:t>
                            </w:r>
                            <w:r w:rsidR="0080141A">
                              <w:rPr>
                                <w:rFonts w:ascii="Arial" w:hAnsi="Arial" w:cs="Arial"/>
                                <w:sz w:val="16"/>
                                <w:szCs w:val="16"/>
                              </w:rPr>
                              <w:t xml:space="preserve"> </w:t>
                            </w:r>
                            <w:r w:rsidRPr="00BE1F44">
                              <w:rPr>
                                <w:rFonts w:ascii="Arial" w:hAnsi="Arial" w:cs="Arial"/>
                                <w:sz w:val="16"/>
                                <w:szCs w:val="16"/>
                              </w:rPr>
                              <w:t xml:space="preserve">Without strategic investment in workforce development, service quality and safety may </w:t>
                            </w:r>
                            <w:bookmarkStart w:id="0" w:name="_Int_0yHNbd3d"/>
                            <w:r w:rsidRPr="00BE1F44">
                              <w:rPr>
                                <w:rFonts w:ascii="Arial" w:hAnsi="Arial" w:cs="Arial"/>
                                <w:sz w:val="16"/>
                                <w:szCs w:val="16"/>
                              </w:rPr>
                              <w:t>be compromised (Skills for Care, 2023)</w:t>
                            </w:r>
                            <w:bookmarkEnd w:id="0"/>
                            <w:r w:rsidRPr="00BE1F44">
                              <w:rPr>
                                <w:rFonts w:ascii="Arial" w:hAnsi="Arial" w:cs="Arial"/>
                                <w:sz w:val="16"/>
                                <w:szCs w:val="16"/>
                              </w:rPr>
                              <w:t>.</w:t>
                            </w:r>
                          </w:p>
                          <w:p w14:paraId="372E5164" w14:textId="4276802A" w:rsidR="00D30997" w:rsidRPr="00BE1F44" w:rsidRDefault="00D30997">
                            <w:pPr>
                              <w:pStyle w:val="p1"/>
                              <w:rPr>
                                <w:rFonts w:ascii="Arial" w:hAnsi="Arial" w:cs="Arial"/>
                                <w:sz w:val="16"/>
                                <w:szCs w:val="16"/>
                              </w:rPr>
                            </w:pPr>
                          </w:p>
                          <w:p w14:paraId="06F535D5" w14:textId="77777777" w:rsidR="00D30997" w:rsidRPr="00BE1F44" w:rsidRDefault="00D30997">
                            <w:pPr>
                              <w:rPr>
                                <w:rFonts w:ascii="Arial" w:hAnsi="Arial" w:cs="Arial"/>
                                <w:sz w:val="16"/>
                                <w:szCs w:val="16"/>
                              </w:rPr>
                            </w:pPr>
                          </w:p>
                          <w:p w14:paraId="081EF151" w14:textId="77777777" w:rsidR="00D30997" w:rsidRDefault="00D30997"/>
                          <w:p w14:paraId="261C6819" w14:textId="77777777" w:rsidR="00D30997" w:rsidRDefault="00D30997"/>
                          <w:p w14:paraId="78CBB2B8" w14:textId="77777777" w:rsidR="00D30997" w:rsidRDefault="00D309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A0B21F" id="_x0000_t202" coordsize="21600,21600" o:spt="202" path="m,l,21600r21600,l21600,xe">
                <v:stroke joinstyle="miter"/>
                <v:path gradientshapeok="t" o:connecttype="rect"/>
              </v:shapetype>
              <v:shape id="Text Box 4" o:spid="_x0000_s1026" type="#_x0000_t202" style="position:absolute;margin-left:384.45pt;margin-top:181.1pt;width:353.1pt;height:148.4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" strokeweight=".5pt">
                <v:textbox>
                  <w:txbxContent>
                    <w:p w14:paraId="783EB3DF" w14:textId="77777777" w:rsidR="00E434E1" w:rsidRDefault="00D30997" w:rsidP="00E434E1">
                      <w:pPr>
                        <w:pStyle w:val="p1"/>
                        <w:rPr>
                          <w:rStyle w:val="s2"/>
                          <w:rFonts w:ascii="Arial" w:hAnsi="Arial" w:cs="Arial"/>
                          <w:i/>
                          <w:iCs/>
                          <w:color w:val="D86DCB" w:themeColor="accent5" w:themeTint="99"/>
                          <w:sz w:val="16"/>
                          <w:szCs w:val="16"/>
                          <w:u w:val="single"/>
                        </w:rPr>
                      </w:pPr>
                      <w:r w:rsidRPr="00BB7E1B">
                        <w:rPr>
                          <w:rStyle w:val="s2"/>
                          <w:rFonts w:ascii="Arial" w:hAnsi="Arial" w:cs="Arial"/>
                          <w:i/>
                          <w:iCs/>
                          <w:color w:val="D86DCB" w:themeColor="accent5" w:themeTint="99"/>
                          <w:sz w:val="16"/>
                          <w:szCs w:val="16"/>
                          <w:u w:val="single"/>
                        </w:rPr>
                        <w:t>Challenge</w:t>
                      </w:r>
                      <w:r w:rsidR="00650F7A">
                        <w:rPr>
                          <w:rStyle w:val="s2"/>
                          <w:rFonts w:ascii="Arial" w:hAnsi="Arial" w:cs="Arial"/>
                          <w:i/>
                          <w:iCs/>
                          <w:color w:val="D86DCB" w:themeColor="accent5" w:themeTint="99"/>
                          <w:sz w:val="16"/>
                          <w:szCs w:val="16"/>
                          <w:u w:val="single"/>
                        </w:rPr>
                        <w:t xml:space="preserve"> with staff </w:t>
                      </w:r>
                      <w:r w:rsidRPr="00BB7E1B">
                        <w:rPr>
                          <w:rStyle w:val="s2"/>
                          <w:rFonts w:ascii="Arial" w:hAnsi="Arial" w:cs="Arial"/>
                          <w:i/>
                          <w:iCs/>
                          <w:color w:val="D86DCB" w:themeColor="accent5" w:themeTint="99"/>
                          <w:sz w:val="16"/>
                          <w:szCs w:val="16"/>
                          <w:u w:val="single"/>
                        </w:rPr>
                        <w:t xml:space="preserve">Shortages </w:t>
                      </w:r>
                    </w:p>
                    <w:p w14:paraId="03392CF7" w14:textId="10E446FB" w:rsidR="00BE1F44" w:rsidRPr="00BE1F44" w:rsidRDefault="00BE1F44" w:rsidP="002B35E9">
                      <w:pPr>
                        <w:pStyle w:val="p1"/>
                        <w:spacing w:line="360" w:lineRule="auto"/>
                        <w:rPr>
                          <w:rFonts w:ascii="Arial" w:hAnsi="Arial" w:cs="Arial"/>
                          <w:b/>
                          <w:bCs/>
                          <w:i/>
                          <w:iCs/>
                          <w:color w:val="D86DCB" w:themeColor="accent5" w:themeTint="99"/>
                          <w:sz w:val="16"/>
                          <w:szCs w:val="16"/>
                          <w:u w:val="single"/>
                        </w:rPr>
                      </w:pPr>
                      <w:r w:rsidRPr="00BE1F44">
                        <w:rPr>
                          <w:rFonts w:ascii="Arial" w:hAnsi="Arial" w:cs="Arial"/>
                          <w:sz w:val="16"/>
                          <w:szCs w:val="16"/>
                        </w:rPr>
                        <w:t xml:space="preserve">Workforce shortages </w:t>
                      </w:r>
                      <w:r w:rsidR="008440DE" w:rsidRPr="00BE1F44">
                        <w:rPr>
                          <w:rFonts w:ascii="Arial" w:hAnsi="Arial" w:cs="Arial"/>
                          <w:sz w:val="16"/>
                          <w:szCs w:val="16"/>
                        </w:rPr>
                        <w:t>are</w:t>
                      </w:r>
                      <w:r w:rsidRPr="00BE1F44">
                        <w:rPr>
                          <w:rFonts w:ascii="Arial" w:hAnsi="Arial" w:cs="Arial"/>
                          <w:sz w:val="16"/>
                          <w:szCs w:val="16"/>
                        </w:rPr>
                        <w:t xml:space="preserve"> one of the most pressing challenges within residential care. The adult social care sector continues to experience high vacancy and turnover rates (Skills for Care, 2023).</w:t>
                      </w:r>
                      <w:r w:rsidR="0080141A">
                        <w:rPr>
                          <w:rFonts w:ascii="Arial" w:hAnsi="Arial" w:cs="Arial"/>
                          <w:sz w:val="16"/>
                          <w:szCs w:val="16"/>
                        </w:rPr>
                        <w:t xml:space="preserve"> </w:t>
                      </w:r>
                      <w:r w:rsidRPr="00BE1F44">
                        <w:rPr>
                          <w:rFonts w:ascii="Arial" w:hAnsi="Arial" w:cs="Arial"/>
                          <w:sz w:val="16"/>
                          <w:szCs w:val="16"/>
                        </w:rPr>
                        <w:t xml:space="preserve">Contributing factors include </w:t>
                      </w:r>
                      <w:r w:rsidR="00AC4499" w:rsidRPr="00BE1F44">
                        <w:rPr>
                          <w:rFonts w:ascii="Arial" w:hAnsi="Arial" w:cs="Arial"/>
                          <w:sz w:val="16"/>
                          <w:szCs w:val="16"/>
                        </w:rPr>
                        <w:t>low</w:t>
                      </w:r>
                      <w:r w:rsidRPr="00BE1F44">
                        <w:rPr>
                          <w:rFonts w:ascii="Arial" w:hAnsi="Arial" w:cs="Arial"/>
                          <w:sz w:val="16"/>
                          <w:szCs w:val="16"/>
                        </w:rPr>
                        <w:t xml:space="preserve"> pay, demanding workloads, limited career progression, and the emotional intensity of care work. Staffing instability can disrupt continuity of care and reduce opportunities for meaningful, person-centred interaction. High workload pressures may also increase the risk of burnout and negatively affect staff wellbeing. Skills for Care (2023) emphasises the need for improved workforce planning, enhanced professional recognition, and sustainable funding to stabilise the sector.</w:t>
                      </w:r>
                      <w:r w:rsidR="0080141A">
                        <w:rPr>
                          <w:rFonts w:ascii="Arial" w:hAnsi="Arial" w:cs="Arial"/>
                          <w:sz w:val="16"/>
                          <w:szCs w:val="16"/>
                        </w:rPr>
                        <w:t xml:space="preserve"> </w:t>
                      </w:r>
                      <w:r w:rsidRPr="00BE1F44">
                        <w:rPr>
                          <w:rFonts w:ascii="Arial" w:hAnsi="Arial" w:cs="Arial"/>
                          <w:sz w:val="16"/>
                          <w:szCs w:val="16"/>
                        </w:rPr>
                        <w:t xml:space="preserve">Without strategic investment in workforce development, service quality and safety may </w:t>
                      </w:r>
                      <w:bookmarkStart w:id="1" w:name="_Int_0yHNbd3d"/>
                      <w:r w:rsidRPr="00BE1F44">
                        <w:rPr>
                          <w:rFonts w:ascii="Arial" w:hAnsi="Arial" w:cs="Arial"/>
                          <w:sz w:val="16"/>
                          <w:szCs w:val="16"/>
                        </w:rPr>
                        <w:t>be compromised (Skills for Care, 2023)</w:t>
                      </w:r>
                      <w:bookmarkEnd w:id="1"/>
                      <w:r w:rsidRPr="00BE1F44">
                        <w:rPr>
                          <w:rFonts w:ascii="Arial" w:hAnsi="Arial" w:cs="Arial"/>
                          <w:sz w:val="16"/>
                          <w:szCs w:val="16"/>
                        </w:rPr>
                        <w:t>.</w:t>
                      </w:r>
                    </w:p>
                    <w:p w14:paraId="372E5164" w14:textId="4276802A" w:rsidR="00D30997" w:rsidRPr="00BE1F44" w:rsidRDefault="00D30997">
                      <w:pPr>
                        <w:pStyle w:val="p1"/>
                        <w:rPr>
                          <w:rFonts w:ascii="Arial" w:hAnsi="Arial" w:cs="Arial"/>
                          <w:sz w:val="16"/>
                          <w:szCs w:val="16"/>
                        </w:rPr>
                      </w:pPr>
                    </w:p>
                    <w:p w14:paraId="06F535D5" w14:textId="77777777" w:rsidR="00D30997" w:rsidRPr="00BE1F44" w:rsidRDefault="00D30997">
                      <w:pPr>
                        <w:rPr>
                          <w:rFonts w:ascii="Arial" w:hAnsi="Arial" w:cs="Arial"/>
                          <w:sz w:val="16"/>
                          <w:szCs w:val="16"/>
                        </w:rPr>
                      </w:pPr>
                    </w:p>
                    <w:p w14:paraId="081EF151" w14:textId="77777777" w:rsidR="00D30997" w:rsidRDefault="00D30997"/>
                    <w:p w14:paraId="261C6819" w14:textId="77777777" w:rsidR="00D30997" w:rsidRDefault="00D30997"/>
                    <w:p w14:paraId="78CBB2B8" w14:textId="77777777" w:rsidR="00D30997" w:rsidRDefault="00D30997"/>
                  </w:txbxContent>
                </v:textbox>
                <w10:wrap type="square"/>
              </v:shape>
            </w:pict>
          </mc:Fallback>
        </mc:AlternateContent>
      </w:r>
      <w:r w:rsidR="00E434E1">
        <w:rPr>
          <w:noProof/>
        </w:rPr>
        <w:drawing>
          <wp:anchor distT="0" distB="0" distL="114300" distR="114300" simplePos="0" relativeHeight="251687936" behindDoc="0" locked="0" layoutInCell="1" allowOverlap="1" wp14:anchorId="78864D23" wp14:editId="2FB36F68">
            <wp:simplePos x="0" y="0"/>
            <wp:positionH relativeFrom="column">
              <wp:posOffset>4949072</wp:posOffset>
            </wp:positionH>
            <wp:positionV relativeFrom="paragraph">
              <wp:posOffset>4286937</wp:posOffset>
            </wp:positionV>
            <wp:extent cx="3272465" cy="1441450"/>
            <wp:effectExtent l="0" t="0" r="4445" b="0"/>
            <wp:wrapTopAndBottom/>
            <wp:docPr id="1854025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025705" name=""/>
                    <pic:cNvPicPr/>
                  </pic:nvPicPr>
                  <pic:blipFill>
                    <a:blip r:embed="rId7"/>
                    <a:stretch>
                      <a:fillRect/>
                    </a:stretch>
                  </pic:blipFill>
                  <pic:spPr>
                    <a:xfrm>
                      <a:off x="0" y="0"/>
                      <a:ext cx="3272465" cy="1441450"/>
                    </a:xfrm>
                    <a:prstGeom prst="rect">
                      <a:avLst/>
                    </a:prstGeom>
                  </pic:spPr>
                </pic:pic>
              </a:graphicData>
            </a:graphic>
            <wp14:sizeRelH relativeFrom="margin">
              <wp14:pctWidth>0</wp14:pctWidth>
            </wp14:sizeRelH>
            <wp14:sizeRelV relativeFrom="margin">
              <wp14:pctHeight>0</wp14:pctHeight>
            </wp14:sizeRelV>
          </wp:anchor>
        </w:drawing>
      </w:r>
      <w:r w:rsidR="00CC4C1E">
        <w:rPr>
          <w:rFonts w:ascii="Arial" w:hAnsi="Arial" w:cs="Arial"/>
          <w:noProof/>
          <w:sz w:val="22"/>
          <w:szCs w:val="22"/>
        </w:rPr>
        <mc:AlternateContent>
          <mc:Choice Requires="wps">
            <w:drawing>
              <wp:anchor distT="45720" distB="45720" distL="114300" distR="114300" simplePos="0" relativeHeight="251685888" behindDoc="0" locked="0" layoutInCell="1" allowOverlap="1" wp14:anchorId="14103C49" wp14:editId="24702884">
                <wp:simplePos x="0" y="0"/>
                <wp:positionH relativeFrom="column">
                  <wp:posOffset>-603885</wp:posOffset>
                </wp:positionH>
                <wp:positionV relativeFrom="paragraph">
                  <wp:posOffset>4062730</wp:posOffset>
                </wp:positionV>
                <wp:extent cx="5486400" cy="1545590"/>
                <wp:effectExtent l="0" t="0" r="12700" b="16510"/>
                <wp:wrapSquare wrapText="bothSides"/>
                <wp:docPr id="361734210" name="Text Box 5"/>
                <wp:cNvGraphicFramePr/>
                <a:graphic xmlns:a="http://schemas.openxmlformats.org/drawingml/2006/main">
                  <a:graphicData uri="http://schemas.microsoft.com/office/word/2010/wordprocessingShape">
                    <wps:wsp>
                      <wps:cNvSpPr txBox="1"/>
                      <wps:spPr>
                        <a:xfrm>
                          <a:off x="0" y="0"/>
                          <a:ext cx="5486400" cy="1545590"/>
                        </a:xfrm>
                        <a:prstGeom prst="rect">
                          <a:avLst/>
                        </a:prstGeom>
                        <a:solidFill>
                          <a:prstClr val="white"/>
                        </a:solidFill>
                        <a:ln w="6350">
                          <a:solidFill>
                            <a:prstClr val="black"/>
                          </a:solidFill>
                        </a:ln>
                      </wps:spPr>
                      <wps:txbx>
                        <w:txbxContent>
                          <w:p w14:paraId="13C55611" w14:textId="77777777" w:rsidR="00FA746F" w:rsidRPr="00DB2C9D" w:rsidRDefault="00FA746F" w:rsidP="00DB2C9D">
                            <w:pPr>
                              <w:pStyle w:val="p1"/>
                              <w:spacing w:line="360" w:lineRule="auto"/>
                              <w:rPr>
                                <w:rStyle w:val="s1"/>
                                <w:rFonts w:ascii="Arial" w:hAnsi="Arial" w:cs="Arial"/>
                                <w:sz w:val="16"/>
                                <w:szCs w:val="16"/>
                                <w:u w:val="single"/>
                              </w:rPr>
                            </w:pPr>
                            <w:r w:rsidRPr="00DB2C9D">
                              <w:rPr>
                                <w:rStyle w:val="s1"/>
                                <w:rFonts w:ascii="Arial" w:hAnsi="Arial" w:cs="Arial"/>
                                <w:color w:val="3A7C22" w:themeColor="accent6" w:themeShade="BF"/>
                                <w:sz w:val="16"/>
                                <w:szCs w:val="16"/>
                                <w:u w:val="single"/>
                              </w:rPr>
                              <w:t>Challenge with Rising cost</w:t>
                            </w:r>
                          </w:p>
                          <w:p w14:paraId="4C365CAC" w14:textId="3901994B" w:rsidR="00CC4C1E" w:rsidRDefault="00CC4C1E" w:rsidP="00DB2C9D">
                            <w:pPr>
                              <w:pStyle w:val="p1"/>
                              <w:spacing w:line="360" w:lineRule="auto"/>
                            </w:pPr>
                            <w:r w:rsidRPr="00DB2C9D">
                              <w:rPr>
                                <w:rStyle w:val="s1"/>
                                <w:rFonts w:ascii="Arial" w:hAnsi="Arial" w:cs="Arial"/>
                                <w:sz w:val="16"/>
                                <w:szCs w:val="16"/>
                              </w:rPr>
                              <w:t xml:space="preserve">Financial sustainability is a significant concern for residential care homes, which face rising operational costs, including staffing, energy, food, equipment, and regulatory compliance (Age UK, 2023). Funding from local authorities often does not cover the full cost of care provision, leading many providers to rely on private contributions, which can create inequalities in access and affordability (Age UK, 2023). This financial instability has contributed to service closures and reduced capacity in certain regions, raising concerns about the long-term sustainability of the adult social care funding model (Age UK, 2023). Addressing funding disparities and improving integration between health and social care budgets are essential steps to ensure </w:t>
                            </w:r>
                            <w:r w:rsidR="008440DE" w:rsidRPr="00DB2C9D">
                              <w:rPr>
                                <w:rStyle w:val="s1"/>
                                <w:rFonts w:ascii="Arial" w:hAnsi="Arial" w:cs="Arial"/>
                                <w:sz w:val="16"/>
                                <w:szCs w:val="16"/>
                              </w:rPr>
                              <w:t>fair</w:t>
                            </w:r>
                            <w:r w:rsidRPr="00DB2C9D">
                              <w:rPr>
                                <w:rStyle w:val="s1"/>
                                <w:rFonts w:ascii="Arial" w:hAnsi="Arial" w:cs="Arial"/>
                                <w:sz w:val="16"/>
                                <w:szCs w:val="16"/>
                              </w:rPr>
                              <w:t xml:space="preserve"> and high-quality service provision (Age UK, 2023).</w:t>
                            </w:r>
                          </w:p>
                          <w:p w14:paraId="3890B2FF" w14:textId="77777777" w:rsidR="00FA746F" w:rsidRPr="00A874E9" w:rsidRDefault="00FA746F" w:rsidP="00B3706A">
                            <w:pPr>
                              <w:pStyle w:val="p1"/>
                              <w:rPr>
                                <w:rStyle w:val="s1"/>
                                <w:rFonts w:ascii="Arial" w:hAnsi="Arial" w:cs="Arial"/>
                                <w:sz w:val="20"/>
                                <w:szCs w:val="20"/>
                              </w:rPr>
                            </w:pPr>
                          </w:p>
                          <w:p w14:paraId="222FBC80" w14:textId="77777777" w:rsidR="00FA746F" w:rsidRDefault="00FA746F" w:rsidP="00B3706A">
                            <w:pPr>
                              <w:pStyle w:val="p2"/>
                            </w:pPr>
                          </w:p>
                          <w:p w14:paraId="1C5F4881" w14:textId="77777777" w:rsidR="00FA746F" w:rsidRDefault="00FA746F"/>
                          <w:p w14:paraId="0E6D33B7" w14:textId="77777777" w:rsidR="00FA746F" w:rsidRDefault="00FA746F"/>
                          <w:p w14:paraId="0E65A576" w14:textId="77777777" w:rsidR="00FA746F" w:rsidRDefault="00FA746F"/>
                          <w:p w14:paraId="6C895943" w14:textId="77777777" w:rsidR="00FA746F" w:rsidRDefault="00FA746F"/>
                          <w:p w14:paraId="6C323E6C" w14:textId="77777777" w:rsidR="00FA746F" w:rsidRDefault="00FA74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103C49" id="Text Box 5" o:spid="_x0000_s1027" type="#_x0000_t202" style="position:absolute;margin-left:-47.55pt;margin-top:319.9pt;width:6in;height:121.7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" strokeweight=".5pt">
                <v:textbox>
                  <w:txbxContent>
                    <w:p w14:paraId="13C55611" w14:textId="77777777" w:rsidR="00FA746F" w:rsidRPr="00DB2C9D" w:rsidRDefault="00FA746F" w:rsidP="00DB2C9D">
                      <w:pPr>
                        <w:pStyle w:val="p1"/>
                        <w:spacing w:line="360" w:lineRule="auto"/>
                        <w:rPr>
                          <w:rStyle w:val="s1"/>
                          <w:rFonts w:ascii="Arial" w:hAnsi="Arial" w:cs="Arial"/>
                          <w:sz w:val="16"/>
                          <w:szCs w:val="16"/>
                          <w:u w:val="single"/>
                        </w:rPr>
                      </w:pPr>
                      <w:r w:rsidRPr="00DB2C9D">
                        <w:rPr>
                          <w:rStyle w:val="s1"/>
                          <w:rFonts w:ascii="Arial" w:hAnsi="Arial" w:cs="Arial"/>
                          <w:color w:val="3A7C22" w:themeColor="accent6" w:themeShade="BF"/>
                          <w:sz w:val="16"/>
                          <w:szCs w:val="16"/>
                          <w:u w:val="single"/>
                        </w:rPr>
                        <w:t>Challenge with Rising cost</w:t>
                      </w:r>
                    </w:p>
                    <w:p w14:paraId="4C365CAC" w14:textId="3901994B" w:rsidR="00CC4C1E" w:rsidRDefault="00CC4C1E" w:rsidP="00DB2C9D">
                      <w:pPr>
                        <w:pStyle w:val="p1"/>
                        <w:spacing w:line="360" w:lineRule="auto"/>
                      </w:pPr>
                      <w:r w:rsidRPr="00DB2C9D">
                        <w:rPr>
                          <w:rStyle w:val="s1"/>
                          <w:rFonts w:ascii="Arial" w:hAnsi="Arial" w:cs="Arial"/>
                          <w:sz w:val="16"/>
                          <w:szCs w:val="16"/>
                        </w:rPr>
                        <w:t xml:space="preserve">Financial sustainability is a significant concern for residential care homes, which face rising operational costs, including staffing, energy, food, equipment, and regulatory compliance (Age UK, 2023). Funding from local authorities often does not cover the full cost of care provision, leading many providers to rely on private contributions, which can create inequalities in access and affordability (Age UK, 2023). This financial instability has contributed to service closures and reduced capacity in certain regions, raising concerns about the long-term sustainability of the adult social care funding model (Age UK, 2023). Addressing funding disparities and improving integration between health and social care budgets are essential steps to ensure </w:t>
                      </w:r>
                      <w:r w:rsidR="008440DE" w:rsidRPr="00DB2C9D">
                        <w:rPr>
                          <w:rStyle w:val="s1"/>
                          <w:rFonts w:ascii="Arial" w:hAnsi="Arial" w:cs="Arial"/>
                          <w:sz w:val="16"/>
                          <w:szCs w:val="16"/>
                        </w:rPr>
                        <w:t>fair</w:t>
                      </w:r>
                      <w:r w:rsidRPr="00DB2C9D">
                        <w:rPr>
                          <w:rStyle w:val="s1"/>
                          <w:rFonts w:ascii="Arial" w:hAnsi="Arial" w:cs="Arial"/>
                          <w:sz w:val="16"/>
                          <w:szCs w:val="16"/>
                        </w:rPr>
                        <w:t xml:space="preserve"> and high-quality service provision (Age UK, 2023).</w:t>
                      </w:r>
                    </w:p>
                    <w:p w14:paraId="3890B2FF" w14:textId="77777777" w:rsidR="00FA746F" w:rsidRPr="00A874E9" w:rsidRDefault="00FA746F" w:rsidP="00B3706A">
                      <w:pPr>
                        <w:pStyle w:val="p1"/>
                        <w:rPr>
                          <w:rStyle w:val="s1"/>
                          <w:rFonts w:ascii="Arial" w:hAnsi="Arial" w:cs="Arial"/>
                          <w:sz w:val="20"/>
                          <w:szCs w:val="20"/>
                        </w:rPr>
                      </w:pPr>
                    </w:p>
                    <w:p w14:paraId="222FBC80" w14:textId="77777777" w:rsidR="00FA746F" w:rsidRDefault="00FA746F" w:rsidP="00B3706A">
                      <w:pPr>
                        <w:pStyle w:val="p2"/>
                      </w:pPr>
                    </w:p>
                    <w:p w14:paraId="1C5F4881" w14:textId="77777777" w:rsidR="00FA746F" w:rsidRDefault="00FA746F"/>
                    <w:p w14:paraId="0E6D33B7" w14:textId="77777777" w:rsidR="00FA746F" w:rsidRDefault="00FA746F"/>
                    <w:p w14:paraId="0E65A576" w14:textId="77777777" w:rsidR="00FA746F" w:rsidRDefault="00FA746F"/>
                    <w:p w14:paraId="6C895943" w14:textId="77777777" w:rsidR="00FA746F" w:rsidRDefault="00FA746F"/>
                    <w:p w14:paraId="6C323E6C" w14:textId="77777777" w:rsidR="00FA746F" w:rsidRDefault="00FA746F"/>
                  </w:txbxContent>
                </v:textbox>
                <w10:wrap type="square"/>
              </v:shape>
            </w:pict>
          </mc:Fallback>
        </mc:AlternateContent>
      </w:r>
      <w:r w:rsidR="00815752">
        <w:rPr>
          <w:rFonts w:ascii="Arial" w:hAnsi="Arial" w:cs="Arial"/>
          <w:noProof/>
          <w:sz w:val="22"/>
          <w:szCs w:val="22"/>
        </w:rPr>
        <mc:AlternateContent>
          <mc:Choice Requires="wps">
            <w:drawing>
              <wp:anchor distT="45720" distB="45720" distL="114300" distR="114300" simplePos="0" relativeHeight="251683840" behindDoc="0" locked="0" layoutInCell="1" allowOverlap="1" wp14:anchorId="2FE06F8D" wp14:editId="073CDE85">
                <wp:simplePos x="0" y="0"/>
                <wp:positionH relativeFrom="column">
                  <wp:posOffset>-605155</wp:posOffset>
                </wp:positionH>
                <wp:positionV relativeFrom="paragraph">
                  <wp:posOffset>1505585</wp:posOffset>
                </wp:positionV>
                <wp:extent cx="5459095" cy="2393315"/>
                <wp:effectExtent l="0" t="0" r="14605" b="6985"/>
                <wp:wrapSquare wrapText="bothSides"/>
                <wp:docPr id="426779357" name="Text Box 2"/>
                <wp:cNvGraphicFramePr/>
                <a:graphic xmlns:a="http://schemas.openxmlformats.org/drawingml/2006/main">
                  <a:graphicData uri="http://schemas.microsoft.com/office/word/2010/wordprocessingShape">
                    <wps:wsp>
                      <wps:cNvSpPr txBox="1"/>
                      <wps:spPr>
                        <a:xfrm>
                          <a:off x="0" y="0"/>
                          <a:ext cx="5459095" cy="2393315"/>
                        </a:xfrm>
                        <a:prstGeom prst="rect">
                          <a:avLst/>
                        </a:prstGeom>
                        <a:solidFill>
                          <a:prstClr val="white"/>
                        </a:solidFill>
                        <a:ln w="6350">
                          <a:solidFill>
                            <a:prstClr val="black"/>
                          </a:solidFill>
                        </a:ln>
                      </wps:spPr>
                      <wps:txbx>
                        <w:txbxContent>
                          <w:p w14:paraId="5320CB4B" w14:textId="77777777" w:rsidR="00815752" w:rsidRPr="00760EA8" w:rsidRDefault="00815752" w:rsidP="001C1B02">
                            <w:pPr>
                              <w:rPr>
                                <w:rFonts w:ascii="Arial" w:hAnsi="Arial" w:cs="Arial"/>
                                <w:b/>
                                <w:bCs/>
                                <w:i/>
                                <w:iCs/>
                                <w:color w:val="F1A983" w:themeColor="accent2" w:themeTint="99"/>
                                <w:sz w:val="16"/>
                                <w:szCs w:val="16"/>
                                <w:u w:val="single"/>
                              </w:rPr>
                            </w:pPr>
                            <w:r w:rsidRPr="00760EA8">
                              <w:rPr>
                                <w:rFonts w:ascii="Arial" w:hAnsi="Arial" w:cs="Arial"/>
                                <w:b/>
                                <w:bCs/>
                                <w:i/>
                                <w:iCs/>
                                <w:color w:val="F1A983" w:themeColor="accent2" w:themeTint="99"/>
                                <w:sz w:val="16"/>
                                <w:szCs w:val="16"/>
                                <w:u w:val="single"/>
                              </w:rPr>
                              <w:t>Brief history of residential homes</w:t>
                            </w:r>
                          </w:p>
                          <w:p w14:paraId="2C23CE25" w14:textId="77777777" w:rsidR="00815752" w:rsidRPr="00760EA8" w:rsidRDefault="00815752" w:rsidP="00CD3528">
                            <w:pPr>
                              <w:pStyle w:val="p1"/>
                              <w:spacing w:line="360" w:lineRule="auto"/>
                              <w:rPr>
                                <w:rFonts w:ascii="Arial" w:hAnsi="Arial" w:cs="Arial"/>
                                <w:sz w:val="16"/>
                                <w:szCs w:val="16"/>
                              </w:rPr>
                            </w:pPr>
                            <w:r w:rsidRPr="00760EA8">
                              <w:rPr>
                                <w:rStyle w:val="s1"/>
                                <w:rFonts w:ascii="Arial" w:hAnsi="Arial" w:cs="Arial"/>
                                <w:sz w:val="16"/>
                                <w:szCs w:val="16"/>
                              </w:rPr>
                              <w:t xml:space="preserve">The development of residential care homes reflects significant demographic and policy changes. In the early twentieth century, care </w:t>
                            </w:r>
                            <w:bookmarkStart w:id="2" w:name="_Int_jIJYA0g8"/>
                            <w:r w:rsidRPr="00760EA8">
                              <w:rPr>
                                <w:rStyle w:val="s1"/>
                                <w:rFonts w:ascii="Arial" w:hAnsi="Arial" w:cs="Arial"/>
                                <w:sz w:val="16"/>
                                <w:szCs w:val="16"/>
                              </w:rPr>
                              <w:t>was provided</w:t>
                            </w:r>
                            <w:bookmarkEnd w:id="2"/>
                            <w:r w:rsidRPr="00760EA8">
                              <w:rPr>
                                <w:rStyle w:val="s1"/>
                                <w:rFonts w:ascii="Arial" w:hAnsi="Arial" w:cs="Arial"/>
                                <w:sz w:val="16"/>
                                <w:szCs w:val="16"/>
                              </w:rPr>
                              <w:t xml:space="preserve"> informally by families or charitable organisations. However, increased life expectancy, urbanisation, and changing family structures reduced the capacity for informal care (Thane, 2000).</w:t>
                            </w:r>
                          </w:p>
                          <w:p w14:paraId="74A8295F" w14:textId="77777777" w:rsidR="00815752" w:rsidRPr="00760EA8" w:rsidRDefault="00815752" w:rsidP="00CD3528">
                            <w:pPr>
                              <w:pStyle w:val="p1"/>
                              <w:spacing w:line="360" w:lineRule="auto"/>
                              <w:rPr>
                                <w:rStyle w:val="s1"/>
                                <w:rFonts w:ascii="Arial" w:hAnsi="Arial" w:cs="Arial"/>
                                <w:sz w:val="16"/>
                                <w:szCs w:val="16"/>
                              </w:rPr>
                            </w:pPr>
                            <w:r w:rsidRPr="00760EA8">
                              <w:rPr>
                                <w:rStyle w:val="s1"/>
                                <w:rFonts w:ascii="Arial" w:hAnsi="Arial" w:cs="Arial"/>
                                <w:sz w:val="16"/>
                                <w:szCs w:val="16"/>
                              </w:rPr>
                              <w:t xml:space="preserve">The </w:t>
                            </w:r>
                            <w:r w:rsidRPr="00760EA8">
                              <w:rPr>
                                <w:rStyle w:val="s2"/>
                                <w:rFonts w:ascii="Arial" w:hAnsi="Arial" w:cs="Arial"/>
                                <w:b w:val="0"/>
                                <w:bCs w:val="0"/>
                                <w:sz w:val="16"/>
                                <w:szCs w:val="16"/>
                              </w:rPr>
                              <w:t>National Assistance Act 1948</w:t>
                            </w:r>
                            <w:r w:rsidRPr="00760EA8">
                              <w:rPr>
                                <w:rStyle w:val="s1"/>
                                <w:rFonts w:ascii="Arial" w:hAnsi="Arial" w:cs="Arial"/>
                                <w:sz w:val="16"/>
                                <w:szCs w:val="16"/>
                              </w:rPr>
                              <w:t xml:space="preserve"> proved local authority responsibility for residential accommodation, marking a shift towards formalised state-supported provision (National Assistance Act, 1948). Over time, the sector expanded to include private and voluntary providers, reflecting broader restructuring within the welfare state and social care system (Means and Smith, 1998).</w:t>
                            </w:r>
                          </w:p>
                          <w:p w14:paraId="724809BC" w14:textId="77777777" w:rsidR="00815752" w:rsidRPr="00FC5521" w:rsidRDefault="00815752" w:rsidP="00CD3528">
                            <w:pPr>
                              <w:pStyle w:val="p1"/>
                              <w:spacing w:line="360" w:lineRule="auto"/>
                              <w:rPr>
                                <w:rFonts w:ascii="Arial" w:hAnsi="Arial" w:cs="Arial"/>
                                <w:sz w:val="20"/>
                                <w:szCs w:val="20"/>
                              </w:rPr>
                            </w:pPr>
                            <w:r w:rsidRPr="00760EA8">
                              <w:rPr>
                                <w:rStyle w:val="s1"/>
                                <w:rFonts w:ascii="Arial" w:hAnsi="Arial" w:cs="Arial"/>
                                <w:sz w:val="16"/>
                                <w:szCs w:val="16"/>
                              </w:rPr>
                              <w:t>More recently, legislation such as the Health and Social Care Act 2008 and the Care Act 2014 strengthened regulatory frameworks and emphasised safeguarding, quality assurance, and person-centred practice. The Care Quality Commission (CQC) now regulates and inspects care homes in England to ensure they meet fundamental standards of safety and quality (CQC, 2022). This historical progression reflects a shift from informal, unregulated provision to structured, accountable service delivery within an integrated health and social care system.</w:t>
                            </w:r>
                          </w:p>
                          <w:p w14:paraId="50AA649C" w14:textId="77777777" w:rsidR="00815752" w:rsidRPr="00791D47" w:rsidRDefault="00815752" w:rsidP="00791D47">
                            <w:pPr>
                              <w:rPr>
                                <w:rFonts w:ascii="ADLaM Display" w:hAnsi="ADLaM Display" w:cs="ADLaM Display"/>
                                <w:b/>
                                <w:bCs/>
                                <w:i/>
                                <w:iCs/>
                                <w:color w:val="F1A983" w:themeColor="accent2" w:themeTint="99"/>
                                <w:sz w:val="30"/>
                                <w:szCs w:val="30"/>
                                <w:u w:val="single"/>
                              </w:rPr>
                            </w:pPr>
                          </w:p>
                          <w:p w14:paraId="33E2A37E" w14:textId="77777777" w:rsidR="00815752" w:rsidRDefault="00815752">
                            <w:pPr>
                              <w:rPr>
                                <w:rFonts w:ascii="ADLaM Display" w:hAnsi="ADLaM Display" w:cs="ADLaM Display"/>
                                <w:b/>
                                <w:bCs/>
                                <w:i/>
                                <w:iCs/>
                                <w:color w:val="F1A983" w:themeColor="accent2" w:themeTint="99"/>
                                <w:sz w:val="30"/>
                                <w:szCs w:val="30"/>
                                <w:u w:val="single"/>
                              </w:rPr>
                            </w:pPr>
                          </w:p>
                          <w:p w14:paraId="18A6E50E" w14:textId="77777777" w:rsidR="00815752" w:rsidRDefault="00815752">
                            <w:pPr>
                              <w:rPr>
                                <w:rFonts w:ascii="ADLaM Display" w:hAnsi="ADLaM Display" w:cs="ADLaM Display"/>
                                <w:b/>
                                <w:bCs/>
                                <w:i/>
                                <w:iCs/>
                                <w:color w:val="F1A983" w:themeColor="accent2" w:themeTint="99"/>
                                <w:sz w:val="30"/>
                                <w:szCs w:val="30"/>
                                <w:u w:val="single"/>
                              </w:rPr>
                            </w:pPr>
                          </w:p>
                          <w:p w14:paraId="55ADFA1D" w14:textId="77777777" w:rsidR="00815752" w:rsidRPr="00B75C30" w:rsidRDefault="00815752">
                            <w:pPr>
                              <w:rPr>
                                <w:rFonts w:ascii="ADLaM Display" w:hAnsi="ADLaM Display" w:cs="ADLaM Display"/>
                                <w:b/>
                                <w:bCs/>
                                <w:i/>
                                <w:iCs/>
                                <w:sz w:val="30"/>
                                <w:szCs w:val="30"/>
                                <w:u w:val="single"/>
                              </w:rPr>
                            </w:pPr>
                            <w:r w:rsidRPr="00B75C30">
                              <w:rPr>
                                <w:rFonts w:ascii="ADLaM Display" w:hAnsi="ADLaM Display" w:cs="ADLaM Display"/>
                                <w:b/>
                                <w:bCs/>
                                <w:i/>
                                <w:iCs/>
                                <w:sz w:val="30"/>
                                <w:szCs w:val="30"/>
                                <w:u w:val="single"/>
                              </w:rPr>
                              <w:t xml:space="preserve"> </w:t>
                            </w:r>
                          </w:p>
                          <w:p w14:paraId="0E6114F0" w14:textId="77777777" w:rsidR="00815752" w:rsidRDefault="00815752"/>
                          <w:p w14:paraId="3D6CEBF7" w14:textId="77777777" w:rsidR="00815752" w:rsidRDefault="00815752"/>
                          <w:p w14:paraId="16A54617" w14:textId="77777777" w:rsidR="00815752" w:rsidRDefault="00815752"/>
                          <w:p w14:paraId="5D7E8E49" w14:textId="77777777" w:rsidR="00815752" w:rsidRDefault="00815752"/>
                          <w:p w14:paraId="5B256D9F" w14:textId="77777777" w:rsidR="00815752" w:rsidRDefault="00815752"/>
                          <w:p w14:paraId="45EB4434" w14:textId="77777777" w:rsidR="00815752" w:rsidRDefault="00815752"/>
                          <w:p w14:paraId="6DA457C1" w14:textId="77777777" w:rsidR="00815752" w:rsidRDefault="00815752"/>
                          <w:p w14:paraId="54C77149" w14:textId="77777777" w:rsidR="00815752" w:rsidRDefault="00815752"/>
                          <w:p w14:paraId="0251E633" w14:textId="77777777" w:rsidR="00815752" w:rsidRDefault="00815752"/>
                          <w:p w14:paraId="1AF8DC7D" w14:textId="77777777" w:rsidR="00815752" w:rsidRDefault="008157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E06F8D" id="Text Box 2" o:spid="_x0000_s1028" type="#_x0000_t202" style="position:absolute;margin-left:-47.65pt;margin-top:118.55pt;width:429.85pt;height:188.4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" strokeweight=".5pt">
                <v:textbox>
                  <w:txbxContent>
                    <w:p w14:paraId="5320CB4B" w14:textId="77777777" w:rsidR="00815752" w:rsidRPr="00760EA8" w:rsidRDefault="00815752" w:rsidP="001C1B02">
                      <w:pPr>
                        <w:rPr>
                          <w:rFonts w:ascii="Arial" w:hAnsi="Arial" w:cs="Arial"/>
                          <w:b/>
                          <w:bCs/>
                          <w:i/>
                          <w:iCs/>
                          <w:color w:val="F1A983" w:themeColor="accent2" w:themeTint="99"/>
                          <w:sz w:val="16"/>
                          <w:szCs w:val="16"/>
                          <w:u w:val="single"/>
                        </w:rPr>
                      </w:pPr>
                      <w:r w:rsidRPr="00760EA8">
                        <w:rPr>
                          <w:rFonts w:ascii="Arial" w:hAnsi="Arial" w:cs="Arial"/>
                          <w:b/>
                          <w:bCs/>
                          <w:i/>
                          <w:iCs/>
                          <w:color w:val="F1A983" w:themeColor="accent2" w:themeTint="99"/>
                          <w:sz w:val="16"/>
                          <w:szCs w:val="16"/>
                          <w:u w:val="single"/>
                        </w:rPr>
                        <w:t>Brief history of residential homes</w:t>
                      </w:r>
                    </w:p>
                    <w:p w14:paraId="2C23CE25" w14:textId="77777777" w:rsidR="00815752" w:rsidRPr="00760EA8" w:rsidRDefault="00815752" w:rsidP="00CD3528">
                      <w:pPr>
                        <w:pStyle w:val="p1"/>
                        <w:spacing w:line="360" w:lineRule="auto"/>
                        <w:rPr>
                          <w:rFonts w:ascii="Arial" w:hAnsi="Arial" w:cs="Arial"/>
                          <w:sz w:val="16"/>
                          <w:szCs w:val="16"/>
                        </w:rPr>
                      </w:pPr>
                      <w:r w:rsidRPr="00760EA8">
                        <w:rPr>
                          <w:rStyle w:val="s1"/>
                          <w:rFonts w:ascii="Arial" w:hAnsi="Arial" w:cs="Arial"/>
                          <w:sz w:val="16"/>
                          <w:szCs w:val="16"/>
                        </w:rPr>
                        <w:t xml:space="preserve">The development of residential care homes reflects significant demographic and policy changes. In the early twentieth century, care </w:t>
                      </w:r>
                      <w:bookmarkStart w:id="3" w:name="_Int_jIJYA0g8"/>
                      <w:r w:rsidRPr="00760EA8">
                        <w:rPr>
                          <w:rStyle w:val="s1"/>
                          <w:rFonts w:ascii="Arial" w:hAnsi="Arial" w:cs="Arial"/>
                          <w:sz w:val="16"/>
                          <w:szCs w:val="16"/>
                        </w:rPr>
                        <w:t>was provided</w:t>
                      </w:r>
                      <w:bookmarkEnd w:id="3"/>
                      <w:r w:rsidRPr="00760EA8">
                        <w:rPr>
                          <w:rStyle w:val="s1"/>
                          <w:rFonts w:ascii="Arial" w:hAnsi="Arial" w:cs="Arial"/>
                          <w:sz w:val="16"/>
                          <w:szCs w:val="16"/>
                        </w:rPr>
                        <w:t xml:space="preserve"> informally by families or charitable organisations. However, increased life expectancy, urbanisation, and changing family structures reduced the capacity for informal care (Thane, 2000).</w:t>
                      </w:r>
                    </w:p>
                    <w:p w14:paraId="74A8295F" w14:textId="77777777" w:rsidR="00815752" w:rsidRPr="00760EA8" w:rsidRDefault="00815752" w:rsidP="00CD3528">
                      <w:pPr>
                        <w:pStyle w:val="p1"/>
                        <w:spacing w:line="360" w:lineRule="auto"/>
                        <w:rPr>
                          <w:rStyle w:val="s1"/>
                          <w:rFonts w:ascii="Arial" w:hAnsi="Arial" w:cs="Arial"/>
                          <w:sz w:val="16"/>
                          <w:szCs w:val="16"/>
                        </w:rPr>
                      </w:pPr>
                      <w:r w:rsidRPr="00760EA8">
                        <w:rPr>
                          <w:rStyle w:val="s1"/>
                          <w:rFonts w:ascii="Arial" w:hAnsi="Arial" w:cs="Arial"/>
                          <w:sz w:val="16"/>
                          <w:szCs w:val="16"/>
                        </w:rPr>
                        <w:t xml:space="preserve">The </w:t>
                      </w:r>
                      <w:r w:rsidRPr="00760EA8">
                        <w:rPr>
                          <w:rStyle w:val="s2"/>
                          <w:rFonts w:ascii="Arial" w:hAnsi="Arial" w:cs="Arial"/>
                          <w:b w:val="0"/>
                          <w:bCs w:val="0"/>
                          <w:sz w:val="16"/>
                          <w:szCs w:val="16"/>
                        </w:rPr>
                        <w:t>National Assistance Act 1948</w:t>
                      </w:r>
                      <w:r w:rsidRPr="00760EA8">
                        <w:rPr>
                          <w:rStyle w:val="s1"/>
                          <w:rFonts w:ascii="Arial" w:hAnsi="Arial" w:cs="Arial"/>
                          <w:sz w:val="16"/>
                          <w:szCs w:val="16"/>
                        </w:rPr>
                        <w:t xml:space="preserve"> proved local authority responsibility for residential accommodation, marking a shift towards formalised state-supported provision (National Assistance Act, 1948). Over time, the sector expanded to include private and voluntary providers, reflecting broader restructuring within the welfare state and social care system (Means and Smith, 1998).</w:t>
                      </w:r>
                    </w:p>
                    <w:p w14:paraId="724809BC" w14:textId="77777777" w:rsidR="00815752" w:rsidRPr="00FC5521" w:rsidRDefault="00815752" w:rsidP="00CD3528">
                      <w:pPr>
                        <w:pStyle w:val="p1"/>
                        <w:spacing w:line="360" w:lineRule="auto"/>
                        <w:rPr>
                          <w:rFonts w:ascii="Arial" w:hAnsi="Arial" w:cs="Arial"/>
                          <w:sz w:val="20"/>
                          <w:szCs w:val="20"/>
                        </w:rPr>
                      </w:pPr>
                      <w:r w:rsidRPr="00760EA8">
                        <w:rPr>
                          <w:rStyle w:val="s1"/>
                          <w:rFonts w:ascii="Arial" w:hAnsi="Arial" w:cs="Arial"/>
                          <w:sz w:val="16"/>
                          <w:szCs w:val="16"/>
                        </w:rPr>
                        <w:t>More recently, legislation such as the Health and Social Care Act 2008 and the Care Act 2014 strengthened regulatory frameworks and emphasised safeguarding, quality assurance, and person-centred practice. The Care Quality Commission (CQC) now regulates and inspects care homes in England to ensure they meet fundamental standards of safety and quality (CQC, 2022). This historical progression reflects a shift from informal, unregulated provision to structured, accountable service delivery within an integrated health and social care system.</w:t>
                      </w:r>
                    </w:p>
                    <w:p w14:paraId="50AA649C" w14:textId="77777777" w:rsidR="00815752" w:rsidRPr="00791D47" w:rsidRDefault="00815752" w:rsidP="00791D47">
                      <w:pPr>
                        <w:rPr>
                          <w:rFonts w:ascii="ADLaM Display" w:hAnsi="ADLaM Display" w:cs="ADLaM Display"/>
                          <w:b/>
                          <w:bCs/>
                          <w:i/>
                          <w:iCs/>
                          <w:color w:val="F1A983" w:themeColor="accent2" w:themeTint="99"/>
                          <w:sz w:val="30"/>
                          <w:szCs w:val="30"/>
                          <w:u w:val="single"/>
                        </w:rPr>
                      </w:pPr>
                    </w:p>
                    <w:p w14:paraId="33E2A37E" w14:textId="77777777" w:rsidR="00815752" w:rsidRDefault="00815752">
                      <w:pPr>
                        <w:rPr>
                          <w:rFonts w:ascii="ADLaM Display" w:hAnsi="ADLaM Display" w:cs="ADLaM Display"/>
                          <w:b/>
                          <w:bCs/>
                          <w:i/>
                          <w:iCs/>
                          <w:color w:val="F1A983" w:themeColor="accent2" w:themeTint="99"/>
                          <w:sz w:val="30"/>
                          <w:szCs w:val="30"/>
                          <w:u w:val="single"/>
                        </w:rPr>
                      </w:pPr>
                    </w:p>
                    <w:p w14:paraId="18A6E50E" w14:textId="77777777" w:rsidR="00815752" w:rsidRDefault="00815752">
                      <w:pPr>
                        <w:rPr>
                          <w:rFonts w:ascii="ADLaM Display" w:hAnsi="ADLaM Display" w:cs="ADLaM Display"/>
                          <w:b/>
                          <w:bCs/>
                          <w:i/>
                          <w:iCs/>
                          <w:color w:val="F1A983" w:themeColor="accent2" w:themeTint="99"/>
                          <w:sz w:val="30"/>
                          <w:szCs w:val="30"/>
                          <w:u w:val="single"/>
                        </w:rPr>
                      </w:pPr>
                    </w:p>
                    <w:p w14:paraId="55ADFA1D" w14:textId="77777777" w:rsidR="00815752" w:rsidRPr="00B75C30" w:rsidRDefault="00815752">
                      <w:pPr>
                        <w:rPr>
                          <w:rFonts w:ascii="ADLaM Display" w:hAnsi="ADLaM Display" w:cs="ADLaM Display"/>
                          <w:b/>
                          <w:bCs/>
                          <w:i/>
                          <w:iCs/>
                          <w:sz w:val="30"/>
                          <w:szCs w:val="30"/>
                          <w:u w:val="single"/>
                        </w:rPr>
                      </w:pPr>
                      <w:r w:rsidRPr="00B75C30">
                        <w:rPr>
                          <w:rFonts w:ascii="ADLaM Display" w:hAnsi="ADLaM Display" w:cs="ADLaM Display"/>
                          <w:b/>
                          <w:bCs/>
                          <w:i/>
                          <w:iCs/>
                          <w:sz w:val="30"/>
                          <w:szCs w:val="30"/>
                          <w:u w:val="single"/>
                        </w:rPr>
                        <w:t xml:space="preserve"> </w:t>
                      </w:r>
                    </w:p>
                    <w:p w14:paraId="0E6114F0" w14:textId="77777777" w:rsidR="00815752" w:rsidRDefault="00815752"/>
                    <w:p w14:paraId="3D6CEBF7" w14:textId="77777777" w:rsidR="00815752" w:rsidRDefault="00815752"/>
                    <w:p w14:paraId="16A54617" w14:textId="77777777" w:rsidR="00815752" w:rsidRDefault="00815752"/>
                    <w:p w14:paraId="5D7E8E49" w14:textId="77777777" w:rsidR="00815752" w:rsidRDefault="00815752"/>
                    <w:p w14:paraId="5B256D9F" w14:textId="77777777" w:rsidR="00815752" w:rsidRDefault="00815752"/>
                    <w:p w14:paraId="45EB4434" w14:textId="77777777" w:rsidR="00815752" w:rsidRDefault="00815752"/>
                    <w:p w14:paraId="6DA457C1" w14:textId="77777777" w:rsidR="00815752" w:rsidRDefault="00815752"/>
                    <w:p w14:paraId="54C77149" w14:textId="77777777" w:rsidR="00815752" w:rsidRDefault="00815752"/>
                    <w:p w14:paraId="0251E633" w14:textId="77777777" w:rsidR="00815752" w:rsidRDefault="00815752"/>
                    <w:p w14:paraId="1AF8DC7D" w14:textId="77777777" w:rsidR="00815752" w:rsidRDefault="00815752"/>
                  </w:txbxContent>
                </v:textbox>
                <w10:wrap type="square"/>
              </v:shape>
            </w:pict>
          </mc:Fallback>
        </mc:AlternateContent>
      </w:r>
      <w:r w:rsidR="00815752">
        <w:rPr>
          <w:rFonts w:ascii="ADLaM Display" w:hAnsi="ADLaM Display" w:cs="ADLaM Display"/>
          <w:b/>
          <w:bCs/>
          <w:i/>
          <w:iCs/>
          <w:noProof/>
          <w:sz w:val="22"/>
          <w:szCs w:val="22"/>
          <w:u w:val="single"/>
        </w:rPr>
        <mc:AlternateContent>
          <mc:Choice Requires="wps">
            <w:drawing>
              <wp:anchor distT="45720" distB="45720" distL="114300" distR="114300" simplePos="0" relativeHeight="251672576" behindDoc="0" locked="0" layoutInCell="1" allowOverlap="1" wp14:anchorId="208C3E63" wp14:editId="7BCF19E1">
                <wp:simplePos x="0" y="0"/>
                <wp:positionH relativeFrom="column">
                  <wp:posOffset>-605155</wp:posOffset>
                </wp:positionH>
                <wp:positionV relativeFrom="paragraph">
                  <wp:posOffset>66675</wp:posOffset>
                </wp:positionV>
                <wp:extent cx="5459095" cy="1438275"/>
                <wp:effectExtent l="0" t="0" r="14605" b="9525"/>
                <wp:wrapSquare wrapText="bothSides"/>
                <wp:docPr id="1155479886" name="Text Box 1"/>
                <wp:cNvGraphicFramePr/>
                <a:graphic xmlns:a="http://schemas.openxmlformats.org/drawingml/2006/main">
                  <a:graphicData uri="http://schemas.microsoft.com/office/word/2010/wordprocessingShape">
                    <wps:wsp>
                      <wps:cNvSpPr txBox="1"/>
                      <wps:spPr>
                        <a:xfrm>
                          <a:off x="0" y="0"/>
                          <a:ext cx="5459095" cy="1438275"/>
                        </a:xfrm>
                        <a:prstGeom prst="rect">
                          <a:avLst/>
                        </a:prstGeom>
                        <a:solidFill>
                          <a:prstClr val="white"/>
                        </a:solidFill>
                        <a:ln w="6350">
                          <a:solidFill>
                            <a:prstClr val="black"/>
                          </a:solidFill>
                        </a:ln>
                      </wps:spPr>
                      <wps:txbx>
                        <w:txbxContent>
                          <w:p w14:paraId="0D9EC13F" w14:textId="098CD865" w:rsidR="0083257B" w:rsidRPr="00FC5521" w:rsidRDefault="0083257B" w:rsidP="00B01392">
                            <w:pPr>
                              <w:pStyle w:val="p1"/>
                              <w:spacing w:line="360" w:lineRule="auto"/>
                              <w:rPr>
                                <w:rStyle w:val="s1"/>
                                <w:rFonts w:ascii="Arial" w:hAnsi="Arial" w:cs="Arial"/>
                                <w:sz w:val="20"/>
                                <w:szCs w:val="20"/>
                              </w:rPr>
                            </w:pPr>
                            <w:r w:rsidRPr="00FC5521">
                              <w:rPr>
                                <w:rFonts w:ascii="Arial" w:hAnsi="Arial" w:cs="Arial"/>
                                <w:b/>
                                <w:bCs/>
                                <w:i/>
                                <w:iCs/>
                                <w:color w:val="4C94D8" w:themeColor="text2" w:themeTint="80"/>
                                <w:sz w:val="20"/>
                                <w:szCs w:val="20"/>
                                <w:u w:val="single"/>
                              </w:rPr>
                              <w:t xml:space="preserve">What is </w:t>
                            </w:r>
                            <w:r w:rsidR="008440DE" w:rsidRPr="00FC5521">
                              <w:rPr>
                                <w:rFonts w:ascii="Arial" w:hAnsi="Arial" w:cs="Arial"/>
                                <w:b/>
                                <w:bCs/>
                                <w:i/>
                                <w:iCs/>
                                <w:color w:val="4C94D8" w:themeColor="text2" w:themeTint="80"/>
                                <w:sz w:val="20"/>
                                <w:szCs w:val="20"/>
                                <w:u w:val="single"/>
                              </w:rPr>
                              <w:t>residential</w:t>
                            </w:r>
                            <w:r w:rsidRPr="00FC5521">
                              <w:rPr>
                                <w:rFonts w:ascii="Arial" w:hAnsi="Arial" w:cs="Arial"/>
                                <w:b/>
                                <w:bCs/>
                                <w:i/>
                                <w:iCs/>
                                <w:color w:val="4C94D8" w:themeColor="text2" w:themeTint="80"/>
                                <w:sz w:val="20"/>
                                <w:szCs w:val="20"/>
                                <w:u w:val="single"/>
                              </w:rPr>
                              <w:t xml:space="preserve"> care home</w:t>
                            </w:r>
                          </w:p>
                          <w:p w14:paraId="1E683873" w14:textId="1C4C0E45" w:rsidR="0083257B" w:rsidRPr="00054FFF" w:rsidRDefault="0083257B" w:rsidP="00B01392">
                            <w:pPr>
                              <w:pStyle w:val="p1"/>
                              <w:spacing w:line="360" w:lineRule="auto"/>
                              <w:rPr>
                                <w:rFonts w:ascii="Arial" w:hAnsi="Arial" w:cs="Arial"/>
                                <w:sz w:val="16"/>
                                <w:szCs w:val="16"/>
                              </w:rPr>
                            </w:pPr>
                            <w:r w:rsidRPr="00054FFF">
                              <w:rPr>
                                <w:rStyle w:val="s1"/>
                                <w:rFonts w:ascii="Arial" w:hAnsi="Arial" w:cs="Arial"/>
                                <w:sz w:val="16"/>
                                <w:szCs w:val="16"/>
                              </w:rPr>
                              <w:t xml:space="preserve">Residential care homes form a fundamental </w:t>
                            </w:r>
                            <w:r w:rsidR="004C4010" w:rsidRPr="00054FFF">
                              <w:rPr>
                                <w:rStyle w:val="s1"/>
                                <w:rFonts w:ascii="Arial" w:hAnsi="Arial" w:cs="Arial"/>
                                <w:sz w:val="16"/>
                                <w:szCs w:val="16"/>
                              </w:rPr>
                              <w:t>part</w:t>
                            </w:r>
                            <w:r w:rsidRPr="00054FFF">
                              <w:rPr>
                                <w:rStyle w:val="s1"/>
                                <w:rFonts w:ascii="Arial" w:hAnsi="Arial" w:cs="Arial"/>
                                <w:sz w:val="16"/>
                                <w:szCs w:val="16"/>
                              </w:rPr>
                              <w:t xml:space="preserve"> of the adult health and social care system in the United Kingdom. They provide accommodation and personal care for individuals who are unable to live independently due to age, disability, frailty, or long-term health conditions. Unlike nursing homes, residential care homes do not typically provide continuous on-site registered nursing care, but they do offer 24-hour support with activities of daily living. Within the broader context of health and social care, residential care homes aim to promote dignity, independence, safety, and wellbeing while ensuring that vulnerable adults receive </w:t>
                            </w:r>
                            <w:r w:rsidR="00F72B4C" w:rsidRPr="00054FFF">
                              <w:rPr>
                                <w:rStyle w:val="s1"/>
                                <w:rFonts w:ascii="Arial" w:hAnsi="Arial" w:cs="Arial"/>
                                <w:sz w:val="16"/>
                                <w:szCs w:val="16"/>
                              </w:rPr>
                              <w:t>right</w:t>
                            </w:r>
                            <w:r w:rsidRPr="00054FFF">
                              <w:rPr>
                                <w:rStyle w:val="s1"/>
                                <w:rFonts w:ascii="Arial" w:hAnsi="Arial" w:cs="Arial"/>
                                <w:sz w:val="16"/>
                                <w:szCs w:val="16"/>
                              </w:rPr>
                              <w:t xml:space="preserve"> and person-centred support (NHS, 2023).</w:t>
                            </w:r>
                          </w:p>
                          <w:p w14:paraId="1F4A595A" w14:textId="77777777" w:rsidR="0083257B" w:rsidRPr="00FC5521" w:rsidRDefault="0083257B">
                            <w:pPr>
                              <w:rPr>
                                <w:rFonts w:ascii="Arial" w:hAnsi="Arial" w:cs="Arial"/>
                                <w:sz w:val="20"/>
                                <w:szCs w:val="20"/>
                              </w:rPr>
                            </w:pPr>
                          </w:p>
                          <w:p w14:paraId="02528B0F" w14:textId="77777777" w:rsidR="0083257B" w:rsidRPr="00FC5521" w:rsidRDefault="0083257B">
                            <w:pPr>
                              <w:rPr>
                                <w:rFonts w:ascii="Arial" w:hAnsi="Arial" w:cs="Arial"/>
                                <w:sz w:val="20"/>
                                <w:szCs w:val="20"/>
                              </w:rPr>
                            </w:pPr>
                          </w:p>
                          <w:p w14:paraId="33AD6081" w14:textId="77777777" w:rsidR="0083257B" w:rsidRDefault="0083257B"/>
                          <w:p w14:paraId="1D5C10D8" w14:textId="77777777" w:rsidR="0083257B" w:rsidRDefault="0083257B"/>
                          <w:p w14:paraId="012F1661" w14:textId="77777777" w:rsidR="006741F1" w:rsidRDefault="006741F1"/>
                          <w:p w14:paraId="43959C18" w14:textId="77777777" w:rsidR="006741F1" w:rsidRDefault="006741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8C3E63" id="Text Box 1" o:spid="_x0000_s1029" type="#_x0000_t202" style="position:absolute;margin-left:-47.65pt;margin-top:5.25pt;width:429.85pt;height:113.2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" strokeweight=".5pt">
                <v:textbox>
                  <w:txbxContent>
                    <w:p w14:paraId="0D9EC13F" w14:textId="098CD865" w:rsidR="0083257B" w:rsidRPr="00FC5521" w:rsidRDefault="0083257B" w:rsidP="00B01392">
                      <w:pPr>
                        <w:pStyle w:val="p1"/>
                        <w:spacing w:line="360" w:lineRule="auto"/>
                        <w:rPr>
                          <w:rStyle w:val="s1"/>
                          <w:rFonts w:ascii="Arial" w:hAnsi="Arial" w:cs="Arial"/>
                          <w:sz w:val="20"/>
                          <w:szCs w:val="20"/>
                        </w:rPr>
                      </w:pPr>
                      <w:r w:rsidRPr="00FC5521">
                        <w:rPr>
                          <w:rFonts w:ascii="Arial" w:hAnsi="Arial" w:cs="Arial"/>
                          <w:b/>
                          <w:bCs/>
                          <w:i/>
                          <w:iCs/>
                          <w:color w:val="4C94D8" w:themeColor="text2" w:themeTint="80"/>
                          <w:sz w:val="20"/>
                          <w:szCs w:val="20"/>
                          <w:u w:val="single"/>
                        </w:rPr>
                        <w:t xml:space="preserve">What is </w:t>
                      </w:r>
                      <w:r w:rsidR="008440DE" w:rsidRPr="00FC5521">
                        <w:rPr>
                          <w:rFonts w:ascii="Arial" w:hAnsi="Arial" w:cs="Arial"/>
                          <w:b/>
                          <w:bCs/>
                          <w:i/>
                          <w:iCs/>
                          <w:color w:val="4C94D8" w:themeColor="text2" w:themeTint="80"/>
                          <w:sz w:val="20"/>
                          <w:szCs w:val="20"/>
                          <w:u w:val="single"/>
                        </w:rPr>
                        <w:t>residential</w:t>
                      </w:r>
                      <w:r w:rsidRPr="00FC5521">
                        <w:rPr>
                          <w:rFonts w:ascii="Arial" w:hAnsi="Arial" w:cs="Arial"/>
                          <w:b/>
                          <w:bCs/>
                          <w:i/>
                          <w:iCs/>
                          <w:color w:val="4C94D8" w:themeColor="text2" w:themeTint="80"/>
                          <w:sz w:val="20"/>
                          <w:szCs w:val="20"/>
                          <w:u w:val="single"/>
                        </w:rPr>
                        <w:t xml:space="preserve"> care home</w:t>
                      </w:r>
                    </w:p>
                    <w:p w14:paraId="1E683873" w14:textId="1C4C0E45" w:rsidR="0083257B" w:rsidRPr="00054FFF" w:rsidRDefault="0083257B" w:rsidP="00B01392">
                      <w:pPr>
                        <w:pStyle w:val="p1"/>
                        <w:spacing w:line="360" w:lineRule="auto"/>
                        <w:rPr>
                          <w:rFonts w:ascii="Arial" w:hAnsi="Arial" w:cs="Arial"/>
                          <w:sz w:val="16"/>
                          <w:szCs w:val="16"/>
                        </w:rPr>
                      </w:pPr>
                      <w:r w:rsidRPr="00054FFF">
                        <w:rPr>
                          <w:rStyle w:val="s1"/>
                          <w:rFonts w:ascii="Arial" w:hAnsi="Arial" w:cs="Arial"/>
                          <w:sz w:val="16"/>
                          <w:szCs w:val="16"/>
                        </w:rPr>
                        <w:t xml:space="preserve">Residential care homes form a fundamental </w:t>
                      </w:r>
                      <w:r w:rsidR="004C4010" w:rsidRPr="00054FFF">
                        <w:rPr>
                          <w:rStyle w:val="s1"/>
                          <w:rFonts w:ascii="Arial" w:hAnsi="Arial" w:cs="Arial"/>
                          <w:sz w:val="16"/>
                          <w:szCs w:val="16"/>
                        </w:rPr>
                        <w:t>part</w:t>
                      </w:r>
                      <w:r w:rsidRPr="00054FFF">
                        <w:rPr>
                          <w:rStyle w:val="s1"/>
                          <w:rFonts w:ascii="Arial" w:hAnsi="Arial" w:cs="Arial"/>
                          <w:sz w:val="16"/>
                          <w:szCs w:val="16"/>
                        </w:rPr>
                        <w:t xml:space="preserve"> of the adult health and social care system in the United Kingdom. They provide accommodation and personal care for individuals who are unable to live independently due to age, disability, frailty, or long-term health conditions. Unlike nursing homes, residential care homes do not typically provide continuous on-site registered nursing care, but they do offer 24-hour support with activities of daily living. Within the broader context of health and social care, residential care homes aim to promote dignity, independence, safety, and wellbeing while ensuring that vulnerable adults receive </w:t>
                      </w:r>
                      <w:r w:rsidR="00F72B4C" w:rsidRPr="00054FFF">
                        <w:rPr>
                          <w:rStyle w:val="s1"/>
                          <w:rFonts w:ascii="Arial" w:hAnsi="Arial" w:cs="Arial"/>
                          <w:sz w:val="16"/>
                          <w:szCs w:val="16"/>
                        </w:rPr>
                        <w:t>right</w:t>
                      </w:r>
                      <w:r w:rsidRPr="00054FFF">
                        <w:rPr>
                          <w:rStyle w:val="s1"/>
                          <w:rFonts w:ascii="Arial" w:hAnsi="Arial" w:cs="Arial"/>
                          <w:sz w:val="16"/>
                          <w:szCs w:val="16"/>
                        </w:rPr>
                        <w:t xml:space="preserve"> and person-centred support (NHS, 2023).</w:t>
                      </w:r>
                    </w:p>
                    <w:p w14:paraId="1F4A595A" w14:textId="77777777" w:rsidR="0083257B" w:rsidRPr="00FC5521" w:rsidRDefault="0083257B">
                      <w:pPr>
                        <w:rPr>
                          <w:rFonts w:ascii="Arial" w:hAnsi="Arial" w:cs="Arial"/>
                          <w:sz w:val="20"/>
                          <w:szCs w:val="20"/>
                        </w:rPr>
                      </w:pPr>
                    </w:p>
                    <w:p w14:paraId="02528B0F" w14:textId="77777777" w:rsidR="0083257B" w:rsidRPr="00FC5521" w:rsidRDefault="0083257B">
                      <w:pPr>
                        <w:rPr>
                          <w:rFonts w:ascii="Arial" w:hAnsi="Arial" w:cs="Arial"/>
                          <w:sz w:val="20"/>
                          <w:szCs w:val="20"/>
                        </w:rPr>
                      </w:pPr>
                    </w:p>
                    <w:p w14:paraId="33AD6081" w14:textId="77777777" w:rsidR="0083257B" w:rsidRDefault="0083257B"/>
                    <w:p w14:paraId="1D5C10D8" w14:textId="77777777" w:rsidR="0083257B" w:rsidRDefault="0083257B"/>
                    <w:p w14:paraId="012F1661" w14:textId="77777777" w:rsidR="006741F1" w:rsidRDefault="006741F1"/>
                    <w:p w14:paraId="43959C18" w14:textId="77777777" w:rsidR="006741F1" w:rsidRDefault="006741F1"/>
                  </w:txbxContent>
                </v:textbox>
                <w10:wrap type="square"/>
              </v:shape>
            </w:pict>
          </mc:Fallback>
        </mc:AlternateContent>
      </w:r>
      <w:r w:rsidR="001A3D99">
        <w:rPr>
          <w:rFonts w:ascii="Arial" w:hAnsi="Arial" w:cs="Arial"/>
          <w:noProof/>
          <w:sz w:val="22"/>
          <w:szCs w:val="22"/>
        </w:rPr>
        <mc:AlternateContent>
          <mc:Choice Requires="wps">
            <w:drawing>
              <wp:anchor distT="45720" distB="45720" distL="114300" distR="114300" simplePos="0" relativeHeight="251668480" behindDoc="0" locked="0" layoutInCell="1" allowOverlap="1" wp14:anchorId="30A64181" wp14:editId="3F3083FE">
                <wp:simplePos x="0" y="0"/>
                <wp:positionH relativeFrom="column">
                  <wp:posOffset>5029200</wp:posOffset>
                </wp:positionH>
                <wp:positionV relativeFrom="paragraph">
                  <wp:posOffset>0</wp:posOffset>
                </wp:positionV>
                <wp:extent cx="4337050" cy="2406650"/>
                <wp:effectExtent l="0" t="0" r="19050" b="19050"/>
                <wp:wrapSquare wrapText="bothSides"/>
                <wp:docPr id="265734836" name="Text Box 3"/>
                <wp:cNvGraphicFramePr/>
                <a:graphic xmlns:a="http://schemas.openxmlformats.org/drawingml/2006/main">
                  <a:graphicData uri="http://schemas.microsoft.com/office/word/2010/wordprocessingShape">
                    <wps:wsp>
                      <wps:cNvSpPr txBox="1"/>
                      <wps:spPr>
                        <a:xfrm>
                          <a:off x="0" y="0"/>
                          <a:ext cx="4337050" cy="2406650"/>
                        </a:xfrm>
                        <a:prstGeom prst="rect">
                          <a:avLst/>
                        </a:prstGeom>
                        <a:solidFill>
                          <a:prstClr val="white"/>
                        </a:solidFill>
                        <a:ln w="6350">
                          <a:solidFill>
                            <a:prstClr val="black"/>
                          </a:solidFill>
                        </a:ln>
                      </wps:spPr>
                      <wps:txbx>
                        <w:txbxContent>
                          <w:p w14:paraId="49F9D348" w14:textId="77777777" w:rsidR="006E7302" w:rsidRPr="004B7D5C" w:rsidRDefault="00F73698" w:rsidP="006E7302">
                            <w:pPr>
                              <w:rPr>
                                <w:rFonts w:ascii="Arial" w:hAnsi="Arial" w:cs="Arial"/>
                                <w:color w:val="D86DCB" w:themeColor="accent5" w:themeTint="99"/>
                                <w:sz w:val="16"/>
                                <w:szCs w:val="16"/>
                                <w:u w:val="single"/>
                              </w:rPr>
                            </w:pPr>
                            <w:r w:rsidRPr="004B7D5C">
                              <w:rPr>
                                <w:rFonts w:ascii="Arial" w:hAnsi="Arial" w:cs="Arial"/>
                                <w:color w:val="D86DCB" w:themeColor="accent5" w:themeTint="99"/>
                                <w:sz w:val="16"/>
                                <w:szCs w:val="16"/>
                                <w:u w:val="single"/>
                              </w:rPr>
                              <w:t>How residential homes are functioning in service</w:t>
                            </w:r>
                          </w:p>
                          <w:p w14:paraId="292948E3" w14:textId="31B101EC" w:rsidR="00BD4758" w:rsidRPr="004B7D5C" w:rsidRDefault="006E7302" w:rsidP="00247AB0">
                            <w:pPr>
                              <w:rPr>
                                <w:rFonts w:ascii="Arial" w:hAnsi="Arial" w:cs="Arial"/>
                                <w:color w:val="D86DCB" w:themeColor="accent5" w:themeTint="99"/>
                                <w:sz w:val="16"/>
                                <w:szCs w:val="16"/>
                                <w:u w:val="single"/>
                              </w:rPr>
                            </w:pPr>
                            <w:r w:rsidRPr="004B7D5C">
                              <w:rPr>
                                <w:rStyle w:val="s1"/>
                                <w:rFonts w:ascii="Arial" w:hAnsi="Arial" w:cs="Arial"/>
                                <w:sz w:val="16"/>
                                <w:szCs w:val="16"/>
                              </w:rPr>
                              <w:t>R</w:t>
                            </w:r>
                            <w:r w:rsidR="00BD4758" w:rsidRPr="004B7D5C">
                              <w:rPr>
                                <w:rStyle w:val="s1"/>
                                <w:rFonts w:ascii="Arial" w:hAnsi="Arial" w:cs="Arial"/>
                                <w:sz w:val="16"/>
                                <w:szCs w:val="16"/>
                              </w:rPr>
                              <w:t xml:space="preserve">esidential care homes </w:t>
                            </w:r>
                            <w:r w:rsidR="008440DE" w:rsidRPr="004B7D5C">
                              <w:rPr>
                                <w:rStyle w:val="s1"/>
                                <w:rFonts w:ascii="Arial" w:hAnsi="Arial" w:cs="Arial"/>
                                <w:sz w:val="16"/>
                                <w:szCs w:val="16"/>
                              </w:rPr>
                              <w:t>work</w:t>
                            </w:r>
                            <w:r w:rsidR="00BD4758" w:rsidRPr="004B7D5C">
                              <w:rPr>
                                <w:rStyle w:val="s1"/>
                                <w:rFonts w:ascii="Arial" w:hAnsi="Arial" w:cs="Arial"/>
                                <w:sz w:val="16"/>
                                <w:szCs w:val="16"/>
                              </w:rPr>
                              <w:t xml:space="preserve"> within a structured regulatory framework. Providers must register with the Care Quality Commission (CQC) and </w:t>
                            </w:r>
                            <w:r w:rsidR="00AC4499" w:rsidRPr="004B7D5C">
                              <w:rPr>
                                <w:rStyle w:val="s1"/>
                                <w:rFonts w:ascii="Arial" w:hAnsi="Arial" w:cs="Arial"/>
                                <w:sz w:val="16"/>
                                <w:szCs w:val="16"/>
                              </w:rPr>
                              <w:t>prove</w:t>
                            </w:r>
                            <w:r w:rsidR="00BD4758" w:rsidRPr="004B7D5C">
                              <w:rPr>
                                <w:rStyle w:val="s1"/>
                                <w:rFonts w:ascii="Arial" w:hAnsi="Arial" w:cs="Arial"/>
                                <w:sz w:val="16"/>
                                <w:szCs w:val="16"/>
                              </w:rPr>
                              <w:t xml:space="preserve"> compliance with the fundamental standards of safety, effectiveness, responsiveness, caring, and leadership (Care Quality Commission, 2022). Inspection reports are publicly available, promoting transparency, accountability, and service improvement.</w:t>
                            </w:r>
                          </w:p>
                          <w:p w14:paraId="2FDDEA0F" w14:textId="77777777" w:rsidR="00BD4758" w:rsidRPr="004B7D5C" w:rsidRDefault="00BD4758">
                            <w:pPr>
                              <w:pStyle w:val="p1"/>
                              <w:rPr>
                                <w:rFonts w:ascii="Arial" w:hAnsi="Arial" w:cs="Arial"/>
                                <w:sz w:val="16"/>
                                <w:szCs w:val="16"/>
                              </w:rPr>
                            </w:pPr>
                            <w:r w:rsidRPr="004B7D5C">
                              <w:rPr>
                                <w:rStyle w:val="s1"/>
                                <w:rFonts w:ascii="Arial" w:hAnsi="Arial" w:cs="Arial"/>
                                <w:sz w:val="16"/>
                                <w:szCs w:val="16"/>
                              </w:rPr>
                              <w:t>Staff work in shifts to ensure continuous 24-hour care provision. Mandatory training requirements include safeguarding vulnerable adults, infection prevention and control, moving and handling, and medication management, in line with statutory regulations and best practice guidance (Health and Social Care Act 2008; Skills for Care, 2023).</w:t>
                            </w:r>
                          </w:p>
                          <w:p w14:paraId="6F6900C3" w14:textId="77777777" w:rsidR="00BD4758" w:rsidRPr="004B7D5C" w:rsidRDefault="00BD4758">
                            <w:pPr>
                              <w:pStyle w:val="p2"/>
                              <w:rPr>
                                <w:rFonts w:ascii="Arial" w:hAnsi="Arial" w:cs="Arial"/>
                                <w:sz w:val="16"/>
                                <w:szCs w:val="16"/>
                              </w:rPr>
                            </w:pPr>
                          </w:p>
                          <w:p w14:paraId="2A4F2556" w14:textId="77777777" w:rsidR="00BD4758" w:rsidRPr="004B7D5C" w:rsidRDefault="00BD4758">
                            <w:pPr>
                              <w:pStyle w:val="p1"/>
                              <w:rPr>
                                <w:sz w:val="16"/>
                                <w:szCs w:val="16"/>
                              </w:rPr>
                            </w:pPr>
                            <w:r w:rsidRPr="004B7D5C">
                              <w:rPr>
                                <w:rStyle w:val="s1"/>
                                <w:rFonts w:ascii="Arial" w:hAnsi="Arial" w:cs="Arial"/>
                                <w:sz w:val="16"/>
                                <w:szCs w:val="16"/>
                              </w:rPr>
                              <w:t>Care planning is central to residential practice. Individualised risk assessments and regular care reviews support safe and effective service delivery. Structured activities promote mental stimulation, social engagement, and overall wellbeing, reflecting the person-centred principles outlined within national guidance (NHS, 2023; Department of Health and Social Care, 2014).</w:t>
                            </w:r>
                          </w:p>
                          <w:p w14:paraId="0EECD8C4" w14:textId="39582EAE" w:rsidR="005825F3" w:rsidRPr="004B7D5C" w:rsidRDefault="005825F3" w:rsidP="003E001E">
                            <w:pPr>
                              <w:pStyle w:val="p2"/>
                              <w:rPr>
                                <w:rFonts w:ascii="Arial" w:hAnsi="Arial" w:cs="Arial"/>
                                <w:sz w:val="16"/>
                                <w:szCs w:val="16"/>
                              </w:rPr>
                            </w:pPr>
                          </w:p>
                          <w:p w14:paraId="0D21304E" w14:textId="2CC8ABE2" w:rsidR="00F73698" w:rsidRPr="004B7D5C" w:rsidRDefault="00F73698" w:rsidP="00951838">
                            <w:pPr>
                              <w:pStyle w:val="p1"/>
                              <w:rPr>
                                <w:rFonts w:ascii="Arial" w:hAnsi="Arial" w:cs="Arial"/>
                                <w:sz w:val="16"/>
                                <w:szCs w:val="16"/>
                              </w:rPr>
                            </w:pPr>
                          </w:p>
                          <w:p w14:paraId="4D46D4DC" w14:textId="77777777" w:rsidR="00F73698" w:rsidRPr="004B7D5C" w:rsidRDefault="00F73698">
                            <w:pPr>
                              <w:rPr>
                                <w:rFonts w:ascii="Arial" w:hAnsi="Arial" w:cs="Arial"/>
                                <w:color w:val="D86DCB" w:themeColor="accent5" w:themeTint="99"/>
                                <w:sz w:val="16"/>
                                <w:szCs w:val="16"/>
                                <w:u w:val="single"/>
                              </w:rPr>
                            </w:pPr>
                          </w:p>
                          <w:p w14:paraId="3160E26D" w14:textId="77777777" w:rsidR="00F73698" w:rsidRPr="004B7D5C" w:rsidRDefault="00F73698">
                            <w:pPr>
                              <w:rPr>
                                <w:sz w:val="16"/>
                                <w:szCs w:val="16"/>
                              </w:rPr>
                            </w:pPr>
                          </w:p>
                          <w:p w14:paraId="36E00B6E" w14:textId="77777777" w:rsidR="006741F1" w:rsidRPr="004B7D5C" w:rsidRDefault="006741F1">
                            <w:pPr>
                              <w:rPr>
                                <w:sz w:val="16"/>
                                <w:szCs w:val="16"/>
                              </w:rPr>
                            </w:pPr>
                          </w:p>
                          <w:p w14:paraId="771B7785" w14:textId="77777777" w:rsidR="00B37FB8" w:rsidRPr="004B7D5C" w:rsidRDefault="00B37FB8">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A64181" id="Text Box 3" o:spid="_x0000_s1030" type="#_x0000_t202" style="position:absolute;margin-left:396pt;margin-top:0;width:341.5pt;height:189.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" strokeweight=".5pt">
                <v:textbox>
                  <w:txbxContent>
                    <w:p w14:paraId="49F9D348" w14:textId="77777777" w:rsidR="006E7302" w:rsidRPr="004B7D5C" w:rsidRDefault="00F73698" w:rsidP="006E7302">
                      <w:pPr>
                        <w:rPr>
                          <w:rFonts w:ascii="Arial" w:hAnsi="Arial" w:cs="Arial"/>
                          <w:color w:val="D86DCB" w:themeColor="accent5" w:themeTint="99"/>
                          <w:sz w:val="16"/>
                          <w:szCs w:val="16"/>
                          <w:u w:val="single"/>
                        </w:rPr>
                      </w:pPr>
                      <w:r w:rsidRPr="004B7D5C">
                        <w:rPr>
                          <w:rFonts w:ascii="Arial" w:hAnsi="Arial" w:cs="Arial"/>
                          <w:color w:val="D86DCB" w:themeColor="accent5" w:themeTint="99"/>
                          <w:sz w:val="16"/>
                          <w:szCs w:val="16"/>
                          <w:u w:val="single"/>
                        </w:rPr>
                        <w:t>How residential homes are functioning in service</w:t>
                      </w:r>
                    </w:p>
                    <w:p w14:paraId="292948E3" w14:textId="31B101EC" w:rsidR="00BD4758" w:rsidRPr="004B7D5C" w:rsidRDefault="006E7302" w:rsidP="00247AB0">
                      <w:pPr>
                        <w:rPr>
                          <w:rFonts w:ascii="Arial" w:hAnsi="Arial" w:cs="Arial"/>
                          <w:color w:val="D86DCB" w:themeColor="accent5" w:themeTint="99"/>
                          <w:sz w:val="16"/>
                          <w:szCs w:val="16"/>
                          <w:u w:val="single"/>
                        </w:rPr>
                      </w:pPr>
                      <w:r w:rsidRPr="004B7D5C">
                        <w:rPr>
                          <w:rStyle w:val="s1"/>
                          <w:rFonts w:ascii="Arial" w:hAnsi="Arial" w:cs="Arial"/>
                          <w:sz w:val="16"/>
                          <w:szCs w:val="16"/>
                        </w:rPr>
                        <w:t>R</w:t>
                      </w:r>
                      <w:r w:rsidR="00BD4758" w:rsidRPr="004B7D5C">
                        <w:rPr>
                          <w:rStyle w:val="s1"/>
                          <w:rFonts w:ascii="Arial" w:hAnsi="Arial" w:cs="Arial"/>
                          <w:sz w:val="16"/>
                          <w:szCs w:val="16"/>
                        </w:rPr>
                        <w:t xml:space="preserve">esidential care homes </w:t>
                      </w:r>
                      <w:r w:rsidR="008440DE" w:rsidRPr="004B7D5C">
                        <w:rPr>
                          <w:rStyle w:val="s1"/>
                          <w:rFonts w:ascii="Arial" w:hAnsi="Arial" w:cs="Arial"/>
                          <w:sz w:val="16"/>
                          <w:szCs w:val="16"/>
                        </w:rPr>
                        <w:t>work</w:t>
                      </w:r>
                      <w:r w:rsidR="00BD4758" w:rsidRPr="004B7D5C">
                        <w:rPr>
                          <w:rStyle w:val="s1"/>
                          <w:rFonts w:ascii="Arial" w:hAnsi="Arial" w:cs="Arial"/>
                          <w:sz w:val="16"/>
                          <w:szCs w:val="16"/>
                        </w:rPr>
                        <w:t xml:space="preserve"> within a structured regulatory framework. Providers must register with the Care Quality Commission (CQC) and </w:t>
                      </w:r>
                      <w:r w:rsidR="00AC4499" w:rsidRPr="004B7D5C">
                        <w:rPr>
                          <w:rStyle w:val="s1"/>
                          <w:rFonts w:ascii="Arial" w:hAnsi="Arial" w:cs="Arial"/>
                          <w:sz w:val="16"/>
                          <w:szCs w:val="16"/>
                        </w:rPr>
                        <w:t>prove</w:t>
                      </w:r>
                      <w:r w:rsidR="00BD4758" w:rsidRPr="004B7D5C">
                        <w:rPr>
                          <w:rStyle w:val="s1"/>
                          <w:rFonts w:ascii="Arial" w:hAnsi="Arial" w:cs="Arial"/>
                          <w:sz w:val="16"/>
                          <w:szCs w:val="16"/>
                        </w:rPr>
                        <w:t xml:space="preserve"> compliance with the fundamental standards of safety, effectiveness, responsiveness, caring, and leadership (Care Quality Commission, 2022). Inspection reports are publicly available, promoting transparency, accountability, and service improvement.</w:t>
                      </w:r>
                    </w:p>
                    <w:p w14:paraId="2FDDEA0F" w14:textId="77777777" w:rsidR="00BD4758" w:rsidRPr="004B7D5C" w:rsidRDefault="00BD4758">
                      <w:pPr>
                        <w:pStyle w:val="p1"/>
                        <w:rPr>
                          <w:rFonts w:ascii="Arial" w:hAnsi="Arial" w:cs="Arial"/>
                          <w:sz w:val="16"/>
                          <w:szCs w:val="16"/>
                        </w:rPr>
                      </w:pPr>
                      <w:r w:rsidRPr="004B7D5C">
                        <w:rPr>
                          <w:rStyle w:val="s1"/>
                          <w:rFonts w:ascii="Arial" w:hAnsi="Arial" w:cs="Arial"/>
                          <w:sz w:val="16"/>
                          <w:szCs w:val="16"/>
                        </w:rPr>
                        <w:t>Staff work in shifts to ensure continuous 24-hour care provision. Mandatory training requirements include safeguarding vulnerable adults, infection prevention and control, moving and handling, and medication management, in line with statutory regulations and best practice guidance (Health and Social Care Act 2008; Skills for Care, 2023).</w:t>
                      </w:r>
                    </w:p>
                    <w:p w14:paraId="6F6900C3" w14:textId="77777777" w:rsidR="00BD4758" w:rsidRPr="004B7D5C" w:rsidRDefault="00BD4758">
                      <w:pPr>
                        <w:pStyle w:val="p2"/>
                        <w:rPr>
                          <w:rFonts w:ascii="Arial" w:hAnsi="Arial" w:cs="Arial"/>
                          <w:sz w:val="16"/>
                          <w:szCs w:val="16"/>
                        </w:rPr>
                      </w:pPr>
                    </w:p>
                    <w:p w14:paraId="2A4F2556" w14:textId="77777777" w:rsidR="00BD4758" w:rsidRPr="004B7D5C" w:rsidRDefault="00BD4758">
                      <w:pPr>
                        <w:pStyle w:val="p1"/>
                        <w:rPr>
                          <w:sz w:val="16"/>
                          <w:szCs w:val="16"/>
                        </w:rPr>
                      </w:pPr>
                      <w:r w:rsidRPr="004B7D5C">
                        <w:rPr>
                          <w:rStyle w:val="s1"/>
                          <w:rFonts w:ascii="Arial" w:hAnsi="Arial" w:cs="Arial"/>
                          <w:sz w:val="16"/>
                          <w:szCs w:val="16"/>
                        </w:rPr>
                        <w:t>Care planning is central to residential practice. Individualised risk assessments and regular care reviews support safe and effective service delivery. Structured activities promote mental stimulation, social engagement, and overall wellbeing, reflecting the person-centred principles outlined within national guidance (NHS, 2023; Department of Health and Social Care, 2014).</w:t>
                      </w:r>
                    </w:p>
                    <w:p w14:paraId="0EECD8C4" w14:textId="39582EAE" w:rsidR="005825F3" w:rsidRPr="004B7D5C" w:rsidRDefault="005825F3" w:rsidP="003E001E">
                      <w:pPr>
                        <w:pStyle w:val="p2"/>
                        <w:rPr>
                          <w:rFonts w:ascii="Arial" w:hAnsi="Arial" w:cs="Arial"/>
                          <w:sz w:val="16"/>
                          <w:szCs w:val="16"/>
                        </w:rPr>
                      </w:pPr>
                    </w:p>
                    <w:p w14:paraId="0D21304E" w14:textId="2CC8ABE2" w:rsidR="00F73698" w:rsidRPr="004B7D5C" w:rsidRDefault="00F73698" w:rsidP="00951838">
                      <w:pPr>
                        <w:pStyle w:val="p1"/>
                        <w:rPr>
                          <w:rFonts w:ascii="Arial" w:hAnsi="Arial" w:cs="Arial"/>
                          <w:sz w:val="16"/>
                          <w:szCs w:val="16"/>
                        </w:rPr>
                      </w:pPr>
                    </w:p>
                    <w:p w14:paraId="4D46D4DC" w14:textId="77777777" w:rsidR="00F73698" w:rsidRPr="004B7D5C" w:rsidRDefault="00F73698">
                      <w:pPr>
                        <w:rPr>
                          <w:rFonts w:ascii="Arial" w:hAnsi="Arial" w:cs="Arial"/>
                          <w:color w:val="D86DCB" w:themeColor="accent5" w:themeTint="99"/>
                          <w:sz w:val="16"/>
                          <w:szCs w:val="16"/>
                          <w:u w:val="single"/>
                        </w:rPr>
                      </w:pPr>
                    </w:p>
                    <w:p w14:paraId="3160E26D" w14:textId="77777777" w:rsidR="00F73698" w:rsidRPr="004B7D5C" w:rsidRDefault="00F73698">
                      <w:pPr>
                        <w:rPr>
                          <w:sz w:val="16"/>
                          <w:szCs w:val="16"/>
                        </w:rPr>
                      </w:pPr>
                    </w:p>
                    <w:p w14:paraId="36E00B6E" w14:textId="77777777" w:rsidR="006741F1" w:rsidRPr="004B7D5C" w:rsidRDefault="006741F1">
                      <w:pPr>
                        <w:rPr>
                          <w:sz w:val="16"/>
                          <w:szCs w:val="16"/>
                        </w:rPr>
                      </w:pPr>
                    </w:p>
                    <w:p w14:paraId="771B7785" w14:textId="77777777" w:rsidR="00B37FB8" w:rsidRPr="004B7D5C" w:rsidRDefault="00B37FB8">
                      <w:pPr>
                        <w:rPr>
                          <w:sz w:val="16"/>
                          <w:szCs w:val="16"/>
                        </w:rPr>
                      </w:pPr>
                    </w:p>
                  </w:txbxContent>
                </v:textbox>
                <w10:wrap type="square"/>
              </v:shape>
            </w:pict>
          </mc:Fallback>
        </mc:AlternateContent>
      </w:r>
      <w:r w:rsidR="0007741D" w:rsidRPr="001B6F86">
        <w:rPr>
          <w:rFonts w:ascii="ADLaM Display" w:hAnsi="ADLaM Display" w:cs="ADLaM Display"/>
          <w:b/>
          <w:bCs/>
          <w:i/>
          <w:iCs/>
          <w:color w:val="4C94D8" w:themeColor="text2" w:themeTint="80"/>
          <w:sz w:val="22"/>
          <w:szCs w:val="22"/>
          <w:u w:val="single"/>
        </w:rPr>
        <w:t xml:space="preserve"> </w:t>
      </w:r>
    </w:p>
    <w:p w14:paraId="42189910" w14:textId="31457181" w:rsidR="00E8221F" w:rsidRDefault="00E8221F" w:rsidP="002A2C26">
      <w:pPr>
        <w:pStyle w:val="p2"/>
        <w:spacing w:line="360" w:lineRule="auto"/>
        <w:rPr>
          <w:rFonts w:ascii="Arial" w:hAnsi="Arial" w:cs="Arial"/>
          <w:sz w:val="22"/>
          <w:szCs w:val="22"/>
        </w:rPr>
      </w:pPr>
    </w:p>
    <w:p w14:paraId="0F4F56BB" w14:textId="77777777" w:rsidR="00127263" w:rsidRDefault="00127263" w:rsidP="002A2C26">
      <w:pPr>
        <w:pStyle w:val="p2"/>
        <w:spacing w:line="360" w:lineRule="auto"/>
        <w:rPr>
          <w:rFonts w:ascii="Arial" w:hAnsi="Arial" w:cs="Arial"/>
          <w:sz w:val="22"/>
          <w:szCs w:val="22"/>
        </w:rPr>
      </w:pPr>
    </w:p>
    <w:p w14:paraId="5FED9B47" w14:textId="23300A80" w:rsidR="00005EF7" w:rsidRPr="00005EF7" w:rsidRDefault="00005EF7" w:rsidP="00005EF7">
      <w:pPr>
        <w:spacing w:line="360" w:lineRule="auto"/>
        <w:rPr>
          <w:rFonts w:ascii="Arial" w:hAnsi="Arial" w:cs="Arial"/>
          <w:sz w:val="22"/>
          <w:szCs w:val="22"/>
        </w:rPr>
      </w:pPr>
      <w:r w:rsidRPr="00005EF7">
        <w:rPr>
          <w:rFonts w:ascii="Arial" w:hAnsi="Arial" w:cs="Arial"/>
          <w:b/>
          <w:bCs/>
          <w:i/>
          <w:iCs/>
          <w:kern w:val="0"/>
          <w:sz w:val="22"/>
          <w:szCs w:val="22"/>
          <w:u w:val="single"/>
          <w14:ligatures w14:val="none"/>
        </w:rPr>
        <w:t>Community antenatal midwifery services</w:t>
      </w:r>
      <w:r w:rsidRPr="00005EF7">
        <w:rPr>
          <w:rFonts w:ascii="Arial" w:hAnsi="Arial" w:cs="Arial"/>
          <w:kern w:val="0"/>
          <w:sz w:val="22"/>
          <w:szCs w:val="22"/>
          <w14:ligatures w14:val="none"/>
        </w:rPr>
        <w:t>.</w:t>
      </w:r>
    </w:p>
    <w:p w14:paraId="396AEEBA" w14:textId="77777777" w:rsidR="00005EF7" w:rsidRPr="00005EF7" w:rsidRDefault="00005EF7" w:rsidP="00005EF7">
      <w:pPr>
        <w:spacing w:line="360" w:lineRule="auto"/>
        <w:rPr>
          <w:rFonts w:ascii="Arial" w:hAnsi="Arial" w:cs="Arial"/>
          <w:sz w:val="22"/>
          <w:szCs w:val="22"/>
        </w:rPr>
      </w:pPr>
      <w:r w:rsidRPr="00005EF7">
        <w:rPr>
          <w:rFonts w:ascii="Arial" w:hAnsi="Arial" w:cs="Arial"/>
          <w:sz w:val="22"/>
          <w:szCs w:val="22"/>
        </w:rPr>
        <w:t xml:space="preserve">Community antenatal midwifery services provide care and support to women during pregnancy within community settings such as GP practices, children’s centres, and home environments. The service focuses on monitoring maternal and fetal wellbeing, promoting health education, and </w:t>
      </w:r>
      <w:bookmarkStart w:id="4" w:name="_Int_nFCU05jA"/>
      <w:r w:rsidRPr="00005EF7">
        <w:rPr>
          <w:rFonts w:ascii="Arial" w:hAnsi="Arial" w:cs="Arial"/>
          <w:sz w:val="22"/>
          <w:szCs w:val="22"/>
        </w:rPr>
        <w:t>identifying</w:t>
      </w:r>
      <w:bookmarkEnd w:id="4"/>
      <w:r w:rsidRPr="00005EF7">
        <w:rPr>
          <w:rFonts w:ascii="Arial" w:hAnsi="Arial" w:cs="Arial"/>
          <w:sz w:val="22"/>
          <w:szCs w:val="22"/>
        </w:rPr>
        <w:t xml:space="preserve"> complications early. Antenatal care </w:t>
      </w:r>
      <w:bookmarkStart w:id="5" w:name="_Int_1SGSXZHZ"/>
      <w:r w:rsidRPr="00005EF7">
        <w:rPr>
          <w:rFonts w:ascii="Arial" w:hAnsi="Arial" w:cs="Arial"/>
          <w:sz w:val="22"/>
          <w:szCs w:val="22"/>
        </w:rPr>
        <w:t>is recognised</w:t>
      </w:r>
      <w:bookmarkEnd w:id="5"/>
      <w:r w:rsidRPr="00005EF7">
        <w:rPr>
          <w:rFonts w:ascii="Arial" w:hAnsi="Arial" w:cs="Arial"/>
          <w:sz w:val="22"/>
          <w:szCs w:val="22"/>
        </w:rPr>
        <w:t xml:space="preserve"> as a key part of public health, aiming to improve outcomes for both mother and baby (NICE, 2021). This essay explores the historical origins of community antenatal midwifery, evaluates how the service functions today, and discusses its significance in enhancing the quality of life for service users.</w:t>
      </w:r>
    </w:p>
    <w:p w14:paraId="565519AE" w14:textId="77777777" w:rsidR="00005EF7" w:rsidRPr="00005EF7" w:rsidRDefault="00005EF7" w:rsidP="00005EF7">
      <w:pPr>
        <w:spacing w:line="360" w:lineRule="auto"/>
        <w:rPr>
          <w:rFonts w:ascii="Arial" w:hAnsi="Arial" w:cs="Arial"/>
          <w:sz w:val="22"/>
          <w:szCs w:val="22"/>
        </w:rPr>
      </w:pPr>
      <w:r w:rsidRPr="00005EF7">
        <w:rPr>
          <w:rFonts w:ascii="Arial" w:hAnsi="Arial" w:cs="Arial"/>
          <w:sz w:val="22"/>
          <w:szCs w:val="22"/>
        </w:rPr>
        <w:t>Midwifery has existed for centuries, originally provided informally by traditional birth attendants within communities. However, during the 19th century, maternal and infant mortality rates in Britain were extremely high due to poor sanitation, poverty, and lack of trained practitioners (Loudon, 1992). Growing public concern led to the Midwives Act 1902, which introduced regulation, training, and supervision of midwives, marking a turning point in professionalising maternity care. The establishment of the National Health Service (NHS) in 1948 further transformed maternity services by making carefree at the point of delivery, significantly improving access for women regardless of social class (NHS England, 2019).</w:t>
      </w:r>
    </w:p>
    <w:p w14:paraId="19C70653" w14:textId="77777777" w:rsidR="00005EF7" w:rsidRPr="00005EF7" w:rsidRDefault="00005EF7" w:rsidP="00005EF7">
      <w:pPr>
        <w:spacing w:line="360" w:lineRule="auto"/>
        <w:rPr>
          <w:rFonts w:ascii="Arial" w:hAnsi="Arial" w:cs="Arial"/>
          <w:sz w:val="22"/>
          <w:szCs w:val="22"/>
        </w:rPr>
      </w:pPr>
      <w:r w:rsidRPr="00005EF7">
        <w:rPr>
          <w:rFonts w:ascii="Arial" w:hAnsi="Arial" w:cs="Arial"/>
          <w:sz w:val="22"/>
          <w:szCs w:val="22"/>
        </w:rPr>
        <w:t>During the mid-20th century, childbirth became increasingly medicalised, with more women giving birth in hospitals rather than at home. While this reduced mortality in high-risk cases, critics argued it diminished continuity of care and women’s autonomy (Scamell, 2011). In response, recent policy reforms such as Better Births emphasise woman-centred care and continuity of carer models within community settings (NHS England, 2016). This reflects recognition that pregnancy is not solely a medical event but also a social and psychological experience requiring holistic support.</w:t>
      </w:r>
    </w:p>
    <w:p w14:paraId="034A5707" w14:textId="77777777" w:rsidR="00005EF7" w:rsidRPr="00005EF7" w:rsidRDefault="00005EF7" w:rsidP="00005EF7">
      <w:pPr>
        <w:spacing w:line="360" w:lineRule="auto"/>
        <w:rPr>
          <w:rFonts w:ascii="Arial" w:hAnsi="Arial" w:cs="Arial"/>
          <w:sz w:val="22"/>
          <w:szCs w:val="22"/>
        </w:rPr>
      </w:pPr>
      <w:r w:rsidRPr="00005EF7">
        <w:rPr>
          <w:rFonts w:ascii="Arial" w:hAnsi="Arial" w:cs="Arial"/>
          <w:sz w:val="22"/>
          <w:szCs w:val="22"/>
        </w:rPr>
        <w:t xml:space="preserve">Today, community antenatal midwives provide care beginning with the booking appointment at around 8–12 weeks of pregnancy. This includes risk assessments, screening tests, safeguarding enquiries, and health promotion advice in line with NICE (2021) guidelines. Regular appointments </w:t>
      </w:r>
      <w:bookmarkStart w:id="6" w:name="_Int_E0PP6gfY"/>
      <w:r w:rsidRPr="00005EF7">
        <w:rPr>
          <w:rFonts w:ascii="Arial" w:hAnsi="Arial" w:cs="Arial"/>
          <w:sz w:val="22"/>
          <w:szCs w:val="22"/>
        </w:rPr>
        <w:t>monitor</w:t>
      </w:r>
      <w:bookmarkEnd w:id="6"/>
      <w:r w:rsidRPr="00005EF7">
        <w:rPr>
          <w:rFonts w:ascii="Arial" w:hAnsi="Arial" w:cs="Arial"/>
          <w:sz w:val="22"/>
          <w:szCs w:val="22"/>
        </w:rPr>
        <w:t xml:space="preserve"> fetal growth, blood pressure, and overall wellbeing to detect complications such as gestational diabetes or pre-</w:t>
      </w:r>
      <w:r w:rsidRPr="00005EF7">
        <w:rPr>
          <w:rFonts w:ascii="Arial" w:hAnsi="Arial" w:cs="Arial"/>
          <w:sz w:val="22"/>
          <w:szCs w:val="22"/>
        </w:rPr>
        <w:lastRenderedPageBreak/>
        <w:t>eclampsia. The community setting improves accessibility and allows midwives to build trusting relationships with women, which is associated with improved satisfaction and outcomes (Sandall et al., 2016).</w:t>
      </w:r>
    </w:p>
    <w:p w14:paraId="55F955D9" w14:textId="77777777" w:rsidR="00005EF7" w:rsidRPr="00005EF7" w:rsidRDefault="00005EF7" w:rsidP="00005EF7">
      <w:pPr>
        <w:spacing w:line="360" w:lineRule="auto"/>
        <w:rPr>
          <w:rFonts w:ascii="Arial" w:hAnsi="Arial" w:cs="Arial"/>
          <w:sz w:val="22"/>
          <w:szCs w:val="22"/>
        </w:rPr>
      </w:pPr>
      <w:r w:rsidRPr="00005EF7">
        <w:rPr>
          <w:rFonts w:ascii="Arial" w:hAnsi="Arial" w:cs="Arial"/>
          <w:sz w:val="22"/>
          <w:szCs w:val="22"/>
        </w:rPr>
        <w:t xml:space="preserve">A major strength of community antenatal services is their preventative and holistic focus. Continuity of midwifery care has </w:t>
      </w:r>
      <w:bookmarkStart w:id="7" w:name="_Int_DPLkJ7Qg"/>
      <w:r w:rsidRPr="00005EF7">
        <w:rPr>
          <w:rFonts w:ascii="Arial" w:hAnsi="Arial" w:cs="Arial"/>
          <w:sz w:val="22"/>
          <w:szCs w:val="22"/>
        </w:rPr>
        <w:t>been shown</w:t>
      </w:r>
      <w:bookmarkEnd w:id="7"/>
      <w:r w:rsidRPr="00005EF7">
        <w:rPr>
          <w:rFonts w:ascii="Arial" w:hAnsi="Arial" w:cs="Arial"/>
          <w:sz w:val="22"/>
          <w:szCs w:val="22"/>
        </w:rPr>
        <w:t xml:space="preserve"> to reduce preterm birth and increase positive birth experiences (Sandall et al., 2016). Midwives also play a safeguarding role, </w:t>
      </w:r>
      <w:bookmarkStart w:id="8" w:name="_Int_8ZgHdFIE"/>
      <w:r w:rsidRPr="00005EF7">
        <w:rPr>
          <w:rFonts w:ascii="Arial" w:hAnsi="Arial" w:cs="Arial"/>
          <w:sz w:val="22"/>
          <w:szCs w:val="22"/>
        </w:rPr>
        <w:t>identifying</w:t>
      </w:r>
      <w:bookmarkEnd w:id="8"/>
      <w:r w:rsidRPr="00005EF7">
        <w:rPr>
          <w:rFonts w:ascii="Arial" w:hAnsi="Arial" w:cs="Arial"/>
          <w:sz w:val="22"/>
          <w:szCs w:val="22"/>
        </w:rPr>
        <w:t xml:space="preserve"> domestic abuse, mental health concerns or social vulnerability and referring women to right services. However, despite these strengths, significant challenges </w:t>
      </w:r>
      <w:bookmarkStart w:id="9" w:name="_Int_d3Vybciw"/>
      <w:r w:rsidRPr="00005EF7">
        <w:rPr>
          <w:rFonts w:ascii="Arial" w:hAnsi="Arial" w:cs="Arial"/>
          <w:sz w:val="22"/>
          <w:szCs w:val="22"/>
        </w:rPr>
        <w:t>remain</w:t>
      </w:r>
      <w:bookmarkEnd w:id="9"/>
      <w:r w:rsidRPr="00005EF7">
        <w:rPr>
          <w:rFonts w:ascii="Arial" w:hAnsi="Arial" w:cs="Arial"/>
          <w:sz w:val="22"/>
          <w:szCs w:val="22"/>
        </w:rPr>
        <w:t>. The Royal College of Midwives (2022) reports ongoing workforce shortages, high caseloads, and burnout among midwives, which can limit continuity of care. Furthermore, inequalities persist: Black women in the UK are statistically more likely to experience adverse maternal outcomes compared to White women (MBRRACE-UK, 2022). This highlights that while the service aims to promote equity, structural and social determinants of health continue to affect outcomes.</w:t>
      </w:r>
    </w:p>
    <w:p w14:paraId="595F496A" w14:textId="77777777" w:rsidR="00005EF7" w:rsidRPr="00005EF7" w:rsidRDefault="00005EF7" w:rsidP="00005EF7">
      <w:pPr>
        <w:spacing w:line="360" w:lineRule="auto"/>
        <w:rPr>
          <w:rFonts w:ascii="Arial" w:hAnsi="Arial" w:cs="Arial"/>
          <w:sz w:val="22"/>
          <w:szCs w:val="22"/>
        </w:rPr>
      </w:pPr>
      <w:r w:rsidRPr="00005EF7">
        <w:rPr>
          <w:rFonts w:ascii="Arial" w:hAnsi="Arial" w:cs="Arial"/>
          <w:sz w:val="22"/>
          <w:szCs w:val="22"/>
        </w:rPr>
        <w:t>Community antenatal midwifery services significantly enhance quality of life for service users. Physically, early detection of complications reduces morbidity and mortality. Emotionally, consistent support can reduce anxiety and improve confidence during pregnancy (NICE, 2021). Socially, health education empowers women to make informed choices about birth planning and infant feeding, promoting autonomy and self-efficacy. Additionally, promoting smoking cessation, nutrition and mental wellbeing contribute to long-term public health benefits for children and families.</w:t>
      </w:r>
    </w:p>
    <w:p w14:paraId="37904159" w14:textId="77777777" w:rsidR="00005EF7" w:rsidRPr="00005EF7" w:rsidRDefault="00005EF7" w:rsidP="00005EF7">
      <w:pPr>
        <w:spacing w:line="360" w:lineRule="auto"/>
        <w:rPr>
          <w:rFonts w:ascii="Arial" w:hAnsi="Arial" w:cs="Arial"/>
          <w:sz w:val="22"/>
          <w:szCs w:val="22"/>
        </w:rPr>
      </w:pPr>
      <w:r w:rsidRPr="00005EF7">
        <w:rPr>
          <w:rFonts w:ascii="Arial" w:hAnsi="Arial" w:cs="Arial"/>
          <w:sz w:val="22"/>
          <w:szCs w:val="22"/>
        </w:rPr>
        <w:t xml:space="preserve">In conclusion, community antenatal midwifery services developed in response to historically high maternal mortality and the need for regulated, accessible care. Although modern services provide holistic and preventative support aligned with national policy, workforce pressures and health inequalities present ongoing challenges. Nevertheless, community antenatal midwifery </w:t>
      </w:r>
      <w:bookmarkStart w:id="10" w:name="_Int_lCP7JSsU"/>
      <w:r w:rsidRPr="00005EF7">
        <w:rPr>
          <w:rFonts w:ascii="Arial" w:hAnsi="Arial" w:cs="Arial"/>
          <w:sz w:val="22"/>
          <w:szCs w:val="22"/>
        </w:rPr>
        <w:t>remains</w:t>
      </w:r>
      <w:bookmarkEnd w:id="10"/>
      <w:r w:rsidRPr="00005EF7">
        <w:rPr>
          <w:rFonts w:ascii="Arial" w:hAnsi="Arial" w:cs="Arial"/>
          <w:sz w:val="22"/>
          <w:szCs w:val="22"/>
        </w:rPr>
        <w:t xml:space="preserve"> fundamental to improving maternal and infant health and enhancing overall quality of life.</w:t>
      </w:r>
    </w:p>
    <w:p w14:paraId="3427C501" w14:textId="77777777" w:rsidR="00005EF7" w:rsidRPr="00005EF7" w:rsidRDefault="00005EF7" w:rsidP="00005EF7">
      <w:pPr>
        <w:spacing w:line="360" w:lineRule="auto"/>
        <w:rPr>
          <w:rFonts w:ascii="Arial" w:hAnsi="Arial" w:cs="Arial"/>
          <w:sz w:val="22"/>
          <w:szCs w:val="22"/>
        </w:rPr>
      </w:pPr>
    </w:p>
    <w:p w14:paraId="188B0F78" w14:textId="77777777" w:rsidR="00005EF7" w:rsidRPr="00005EF7" w:rsidRDefault="00005EF7" w:rsidP="00005EF7">
      <w:pPr>
        <w:spacing w:line="360" w:lineRule="auto"/>
        <w:rPr>
          <w:rFonts w:ascii="Arial" w:hAnsi="Arial" w:cs="Arial"/>
          <w:sz w:val="22"/>
          <w:szCs w:val="22"/>
        </w:rPr>
      </w:pPr>
    </w:p>
    <w:p w14:paraId="503FB2B2" w14:textId="77777777" w:rsidR="006C4499" w:rsidRPr="00321CBC" w:rsidRDefault="006C4499" w:rsidP="00005EF7">
      <w:pPr>
        <w:spacing w:line="360" w:lineRule="auto"/>
        <w:rPr>
          <w:rFonts w:ascii="Arial" w:hAnsi="Arial" w:cs="Arial"/>
          <w:sz w:val="22"/>
          <w:szCs w:val="22"/>
        </w:rPr>
      </w:pPr>
    </w:p>
    <w:p w14:paraId="2D569054" w14:textId="77777777" w:rsidR="006C4499" w:rsidRPr="00321CBC" w:rsidRDefault="006C4499" w:rsidP="00005EF7">
      <w:pPr>
        <w:spacing w:line="360" w:lineRule="auto"/>
        <w:rPr>
          <w:rFonts w:ascii="Arial" w:hAnsi="Arial" w:cs="Arial"/>
          <w:sz w:val="22"/>
          <w:szCs w:val="22"/>
        </w:rPr>
      </w:pPr>
    </w:p>
    <w:p w14:paraId="1054CF3C" w14:textId="77777777" w:rsidR="00321CBC" w:rsidRPr="00321CBC" w:rsidRDefault="00321CBC" w:rsidP="00504B0B">
      <w:pPr>
        <w:pStyle w:val="p1"/>
        <w:spacing w:line="360" w:lineRule="auto"/>
        <w:rPr>
          <w:rFonts w:ascii="Arial" w:hAnsi="Arial" w:cs="Arial"/>
          <w:sz w:val="22"/>
          <w:szCs w:val="22"/>
        </w:rPr>
      </w:pPr>
    </w:p>
    <w:p w14:paraId="365B56AE" w14:textId="0FC7A505" w:rsidR="00760EA8" w:rsidRDefault="00760EA8" w:rsidP="002A2C26">
      <w:pPr>
        <w:pStyle w:val="p1"/>
        <w:spacing w:line="360" w:lineRule="auto"/>
        <w:rPr>
          <w:rFonts w:ascii="Arial" w:hAnsi="Arial" w:cs="Arial"/>
          <w:sz w:val="22"/>
          <w:szCs w:val="22"/>
        </w:rPr>
      </w:pPr>
    </w:p>
    <w:p w14:paraId="02622842" w14:textId="414173F0" w:rsidR="00760EA8" w:rsidRDefault="00760EA8" w:rsidP="004D5A74">
      <w:pPr>
        <w:pStyle w:val="p1"/>
        <w:rPr>
          <w:rFonts w:ascii="Arial" w:hAnsi="Arial" w:cs="Arial"/>
          <w:sz w:val="22"/>
          <w:szCs w:val="22"/>
        </w:rPr>
      </w:pPr>
    </w:p>
    <w:p w14:paraId="790EF111" w14:textId="5DE1A679" w:rsidR="00760EA8" w:rsidRDefault="00760EA8" w:rsidP="004D5A74">
      <w:pPr>
        <w:pStyle w:val="p1"/>
        <w:rPr>
          <w:rFonts w:ascii="Arial" w:hAnsi="Arial" w:cs="Arial"/>
          <w:sz w:val="22"/>
          <w:szCs w:val="22"/>
        </w:rPr>
      </w:pPr>
    </w:p>
    <w:p w14:paraId="1EB5FC11" w14:textId="386E6261" w:rsidR="00760EA8" w:rsidRDefault="00760EA8" w:rsidP="004D5A74">
      <w:pPr>
        <w:pStyle w:val="p1"/>
        <w:rPr>
          <w:rFonts w:ascii="Arial" w:hAnsi="Arial" w:cs="Arial"/>
          <w:sz w:val="22"/>
          <w:szCs w:val="22"/>
        </w:rPr>
      </w:pPr>
    </w:p>
    <w:p w14:paraId="315CDBCB" w14:textId="52334DEA" w:rsidR="00760EA8" w:rsidRDefault="00760EA8" w:rsidP="004D5A74">
      <w:pPr>
        <w:pStyle w:val="p1"/>
        <w:rPr>
          <w:rFonts w:ascii="Arial" w:hAnsi="Arial" w:cs="Arial"/>
          <w:sz w:val="22"/>
          <w:szCs w:val="22"/>
        </w:rPr>
      </w:pPr>
    </w:p>
    <w:p w14:paraId="1B4E690E" w14:textId="44649B59" w:rsidR="00760EA8" w:rsidRDefault="00760EA8" w:rsidP="004D5A74">
      <w:pPr>
        <w:pStyle w:val="p1"/>
        <w:rPr>
          <w:rFonts w:ascii="Arial" w:hAnsi="Arial" w:cs="Arial"/>
          <w:sz w:val="22"/>
          <w:szCs w:val="22"/>
        </w:rPr>
      </w:pPr>
    </w:p>
    <w:p w14:paraId="4D55CDAE" w14:textId="57A4F90D" w:rsidR="00760EA8" w:rsidRDefault="00760EA8" w:rsidP="004D5A74">
      <w:pPr>
        <w:pStyle w:val="p1"/>
        <w:rPr>
          <w:rFonts w:ascii="Arial" w:hAnsi="Arial" w:cs="Arial"/>
          <w:sz w:val="22"/>
          <w:szCs w:val="22"/>
        </w:rPr>
      </w:pPr>
    </w:p>
    <w:p w14:paraId="46734BBA" w14:textId="33226FF8" w:rsidR="00760EA8" w:rsidRDefault="00760EA8" w:rsidP="004D5A74">
      <w:pPr>
        <w:pStyle w:val="p1"/>
        <w:rPr>
          <w:rFonts w:ascii="Arial" w:hAnsi="Arial" w:cs="Arial"/>
          <w:sz w:val="22"/>
          <w:szCs w:val="22"/>
        </w:rPr>
      </w:pPr>
    </w:p>
    <w:p w14:paraId="6784EE5A" w14:textId="07D273C0" w:rsidR="00760EA8" w:rsidRDefault="00760EA8" w:rsidP="004D5A74">
      <w:pPr>
        <w:pStyle w:val="p1"/>
        <w:rPr>
          <w:rFonts w:ascii="Arial" w:hAnsi="Arial" w:cs="Arial"/>
          <w:sz w:val="22"/>
          <w:szCs w:val="22"/>
        </w:rPr>
      </w:pPr>
    </w:p>
    <w:p w14:paraId="0B940EAD" w14:textId="77777777" w:rsidR="00760EA8" w:rsidRPr="004D5A74" w:rsidRDefault="00760EA8" w:rsidP="004D5A74">
      <w:pPr>
        <w:pStyle w:val="p1"/>
        <w:rPr>
          <w:rFonts w:ascii="Arial" w:hAnsi="Arial" w:cs="Arial"/>
          <w:sz w:val="22"/>
          <w:szCs w:val="22"/>
        </w:rPr>
      </w:pPr>
    </w:p>
    <w:sectPr w:rsidR="00760EA8" w:rsidRPr="004D5A74" w:rsidSect="00F34A80">
      <w:pgSz w:w="16838" w:h="11906" w:orient="landscape"/>
      <w:pgMar w:top="1440" w:right="1440" w:bottom="1440" w:left="1440" w:header="708" w:footer="708" w:gutter="0"/>
      <w:pgBorders w:offsetFrom="page">
        <w:top w:val="threeDEmboss" w:sz="12" w:space="24" w:color="auto"/>
        <w:left w:val="threeDEmboss" w:sz="12" w:space="24" w:color="auto"/>
        <w:bottom w:val="threeDEmboss" w:sz="12" w:space="24" w:color="auto"/>
        <w:right w:val="threeDEmboss"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672CC" w14:textId="77777777" w:rsidR="00BA31FD" w:rsidRDefault="00BA31FD" w:rsidP="00812AFF">
      <w:pPr>
        <w:spacing w:after="0" w:line="240" w:lineRule="auto"/>
      </w:pPr>
      <w:r>
        <w:separator/>
      </w:r>
    </w:p>
  </w:endnote>
  <w:endnote w:type="continuationSeparator" w:id="0">
    <w:p w14:paraId="06FC1437" w14:textId="77777777" w:rsidR="00BA31FD" w:rsidRDefault="00BA31FD" w:rsidP="00812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F UI">
    <w:altName w:val="Cambria"/>
    <w:panose1 w:val="020B0604020202020204"/>
    <w:charset w:val="00"/>
    <w:family w:val="roman"/>
    <w:pitch w:val="default"/>
  </w:font>
  <w:font w:name=".SFUI-Regular">
    <w:altName w:val="Cambria"/>
    <w:panose1 w:val="020B0604020202020204"/>
    <w:charset w:val="00"/>
    <w:family w:val="roman"/>
    <w:pitch w:val="default"/>
  </w:font>
  <w:font w:name=".SFUI-Semibold">
    <w:altName w:val="Cambria"/>
    <w:panose1 w:val="020B0604020202020204"/>
    <w:charset w:val="00"/>
    <w:family w:val="roman"/>
    <w:pitch w:val="default"/>
  </w:font>
  <w:font w:name=".SFUI-RegularItalic">
    <w:altName w:val="Cambria"/>
    <w:panose1 w:val="020B0604020202020204"/>
    <w:charset w:val="00"/>
    <w:family w:val="roman"/>
    <w:pitch w:val="default"/>
  </w:font>
  <w:font w:name="ADLaM Display">
    <w:panose1 w:val="02010000000000000000"/>
    <w:charset w:val="4D"/>
    <w:family w:val="auto"/>
    <w:pitch w:val="variable"/>
    <w:sig w:usb0="8000206F" w:usb1="4200004A"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C4967" w14:textId="77777777" w:rsidR="00BA31FD" w:rsidRDefault="00BA31FD" w:rsidP="00812AFF">
      <w:pPr>
        <w:spacing w:after="0" w:line="240" w:lineRule="auto"/>
      </w:pPr>
      <w:r>
        <w:separator/>
      </w:r>
    </w:p>
  </w:footnote>
  <w:footnote w:type="continuationSeparator" w:id="0">
    <w:p w14:paraId="777F02AF" w14:textId="77777777" w:rsidR="00BA31FD" w:rsidRDefault="00BA31FD" w:rsidP="00812AF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jIJYA0g8" int2:invalidationBookmarkName="" int2:hashCode="VJ+jKO2ek6dMNF" int2:id="V4ZpWKyT">
      <int2:state int2:value="Rejected" int2:type="style"/>
    </int2:bookmark>
    <int2:bookmark int2:bookmarkName="_Int_0yHNbd3d" int2:invalidationBookmarkName="" int2:hashCode="Lh3wLrx9VbKBxz" int2:id="JmrjRATu">
      <int2:state int2:value="Rejected" int2:type="style"/>
    </int2:bookmark>
    <int2:bookmark int2:bookmarkName="_Int_1SGSXZHZ" int2:invalidationBookmarkName="" int2:hashCode="822G2YT1BzW/KR" int2:id="inGVhRB3">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B7DFA"/>
    <w:multiLevelType w:val="hybridMultilevel"/>
    <w:tmpl w:val="65FA930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667269"/>
    <w:multiLevelType w:val="hybridMultilevel"/>
    <w:tmpl w:val="EDB4C92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num w:numId="1" w16cid:durableId="716399410">
    <w:abstractNumId w:val="1"/>
  </w:num>
  <w:num w:numId="2" w16cid:durableId="4375235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A7F"/>
    <w:rsid w:val="00005EF7"/>
    <w:rsid w:val="00020522"/>
    <w:rsid w:val="00043068"/>
    <w:rsid w:val="00051F70"/>
    <w:rsid w:val="00054870"/>
    <w:rsid w:val="00054FFF"/>
    <w:rsid w:val="00060C03"/>
    <w:rsid w:val="00070B58"/>
    <w:rsid w:val="000761CA"/>
    <w:rsid w:val="00076D5A"/>
    <w:rsid w:val="0007741D"/>
    <w:rsid w:val="000775A9"/>
    <w:rsid w:val="00077E14"/>
    <w:rsid w:val="000935BE"/>
    <w:rsid w:val="000B49DD"/>
    <w:rsid w:val="000C0294"/>
    <w:rsid w:val="000D14DC"/>
    <w:rsid w:val="00127263"/>
    <w:rsid w:val="00141D88"/>
    <w:rsid w:val="001610C9"/>
    <w:rsid w:val="001913A3"/>
    <w:rsid w:val="00192E4A"/>
    <w:rsid w:val="00193608"/>
    <w:rsid w:val="00196DD5"/>
    <w:rsid w:val="001A3D99"/>
    <w:rsid w:val="001A3EA2"/>
    <w:rsid w:val="001B352D"/>
    <w:rsid w:val="001B45B9"/>
    <w:rsid w:val="001B57C5"/>
    <w:rsid w:val="001B6F86"/>
    <w:rsid w:val="001B711A"/>
    <w:rsid w:val="001C1B02"/>
    <w:rsid w:val="001E0549"/>
    <w:rsid w:val="001F7F6F"/>
    <w:rsid w:val="002237BA"/>
    <w:rsid w:val="00223DE2"/>
    <w:rsid w:val="002321A8"/>
    <w:rsid w:val="00244EF1"/>
    <w:rsid w:val="002479E4"/>
    <w:rsid w:val="00247AB0"/>
    <w:rsid w:val="00253C6C"/>
    <w:rsid w:val="002A00B1"/>
    <w:rsid w:val="002A2C26"/>
    <w:rsid w:val="002B35E9"/>
    <w:rsid w:val="002F0144"/>
    <w:rsid w:val="002F37F3"/>
    <w:rsid w:val="00321CBC"/>
    <w:rsid w:val="003375E0"/>
    <w:rsid w:val="00337935"/>
    <w:rsid w:val="0034109B"/>
    <w:rsid w:val="0037575A"/>
    <w:rsid w:val="003A60D8"/>
    <w:rsid w:val="003D7E15"/>
    <w:rsid w:val="003E001E"/>
    <w:rsid w:val="003E4F5C"/>
    <w:rsid w:val="003E5C0E"/>
    <w:rsid w:val="00421F6C"/>
    <w:rsid w:val="00426631"/>
    <w:rsid w:val="00487508"/>
    <w:rsid w:val="00487CAA"/>
    <w:rsid w:val="0049400D"/>
    <w:rsid w:val="004A7EA0"/>
    <w:rsid w:val="004B7D5C"/>
    <w:rsid w:val="004C4010"/>
    <w:rsid w:val="004D5A74"/>
    <w:rsid w:val="004E09A3"/>
    <w:rsid w:val="004F7773"/>
    <w:rsid w:val="00512E57"/>
    <w:rsid w:val="00544F97"/>
    <w:rsid w:val="005475D4"/>
    <w:rsid w:val="005541E6"/>
    <w:rsid w:val="00570A31"/>
    <w:rsid w:val="00582197"/>
    <w:rsid w:val="005825F3"/>
    <w:rsid w:val="00614730"/>
    <w:rsid w:val="00650F7A"/>
    <w:rsid w:val="00653C07"/>
    <w:rsid w:val="00662613"/>
    <w:rsid w:val="00663173"/>
    <w:rsid w:val="006741F1"/>
    <w:rsid w:val="00676B1A"/>
    <w:rsid w:val="006A4455"/>
    <w:rsid w:val="006B7A54"/>
    <w:rsid w:val="006C4499"/>
    <w:rsid w:val="006D18C9"/>
    <w:rsid w:val="006D4466"/>
    <w:rsid w:val="006D58A0"/>
    <w:rsid w:val="006D778E"/>
    <w:rsid w:val="006D7F14"/>
    <w:rsid w:val="006E1C17"/>
    <w:rsid w:val="006E30A3"/>
    <w:rsid w:val="006E7302"/>
    <w:rsid w:val="0072273C"/>
    <w:rsid w:val="00760EA8"/>
    <w:rsid w:val="00791D47"/>
    <w:rsid w:val="007A2D45"/>
    <w:rsid w:val="007C0C33"/>
    <w:rsid w:val="007C25F0"/>
    <w:rsid w:val="007E0C97"/>
    <w:rsid w:val="007E1992"/>
    <w:rsid w:val="007E7F35"/>
    <w:rsid w:val="0080141A"/>
    <w:rsid w:val="00812AFF"/>
    <w:rsid w:val="00815752"/>
    <w:rsid w:val="0083257B"/>
    <w:rsid w:val="00841D00"/>
    <w:rsid w:val="008440DE"/>
    <w:rsid w:val="0086162A"/>
    <w:rsid w:val="00867525"/>
    <w:rsid w:val="0089314F"/>
    <w:rsid w:val="008B30F9"/>
    <w:rsid w:val="008F5752"/>
    <w:rsid w:val="009237A4"/>
    <w:rsid w:val="009278E9"/>
    <w:rsid w:val="00933758"/>
    <w:rsid w:val="00947645"/>
    <w:rsid w:val="00951838"/>
    <w:rsid w:val="00957EA4"/>
    <w:rsid w:val="00995E6F"/>
    <w:rsid w:val="009A5852"/>
    <w:rsid w:val="009C2A6B"/>
    <w:rsid w:val="009E37D7"/>
    <w:rsid w:val="00A025C5"/>
    <w:rsid w:val="00A21892"/>
    <w:rsid w:val="00A3195F"/>
    <w:rsid w:val="00A34A03"/>
    <w:rsid w:val="00A6432A"/>
    <w:rsid w:val="00A65C78"/>
    <w:rsid w:val="00A818FF"/>
    <w:rsid w:val="00A874E9"/>
    <w:rsid w:val="00A95ECB"/>
    <w:rsid w:val="00AA7EB9"/>
    <w:rsid w:val="00AB36D6"/>
    <w:rsid w:val="00AC4499"/>
    <w:rsid w:val="00AD6C1D"/>
    <w:rsid w:val="00AE34BD"/>
    <w:rsid w:val="00B01392"/>
    <w:rsid w:val="00B10FEA"/>
    <w:rsid w:val="00B37FB8"/>
    <w:rsid w:val="00B40251"/>
    <w:rsid w:val="00B75C30"/>
    <w:rsid w:val="00B841AD"/>
    <w:rsid w:val="00B8547A"/>
    <w:rsid w:val="00BA31FD"/>
    <w:rsid w:val="00BB7E1B"/>
    <w:rsid w:val="00BC2784"/>
    <w:rsid w:val="00BC3044"/>
    <w:rsid w:val="00BC71DF"/>
    <w:rsid w:val="00BD4758"/>
    <w:rsid w:val="00BD5FE6"/>
    <w:rsid w:val="00BE1F44"/>
    <w:rsid w:val="00BE5A2D"/>
    <w:rsid w:val="00BF0076"/>
    <w:rsid w:val="00BF210E"/>
    <w:rsid w:val="00BF3385"/>
    <w:rsid w:val="00C2677E"/>
    <w:rsid w:val="00C85170"/>
    <w:rsid w:val="00CB6E44"/>
    <w:rsid w:val="00CC4C1E"/>
    <w:rsid w:val="00CD3528"/>
    <w:rsid w:val="00CE055B"/>
    <w:rsid w:val="00CF5F4A"/>
    <w:rsid w:val="00D016D9"/>
    <w:rsid w:val="00D01BCA"/>
    <w:rsid w:val="00D248DA"/>
    <w:rsid w:val="00D25584"/>
    <w:rsid w:val="00D30997"/>
    <w:rsid w:val="00D444D0"/>
    <w:rsid w:val="00D75150"/>
    <w:rsid w:val="00D77A6C"/>
    <w:rsid w:val="00D817BE"/>
    <w:rsid w:val="00D84346"/>
    <w:rsid w:val="00D8603A"/>
    <w:rsid w:val="00D9088C"/>
    <w:rsid w:val="00D90ABF"/>
    <w:rsid w:val="00DB2C9D"/>
    <w:rsid w:val="00DB3535"/>
    <w:rsid w:val="00DC7F57"/>
    <w:rsid w:val="00DE00D7"/>
    <w:rsid w:val="00E168B6"/>
    <w:rsid w:val="00E36725"/>
    <w:rsid w:val="00E434E1"/>
    <w:rsid w:val="00E44D8B"/>
    <w:rsid w:val="00E45875"/>
    <w:rsid w:val="00E66C14"/>
    <w:rsid w:val="00E8221F"/>
    <w:rsid w:val="00E82DF7"/>
    <w:rsid w:val="00E872FD"/>
    <w:rsid w:val="00EA43A9"/>
    <w:rsid w:val="00EC0742"/>
    <w:rsid w:val="00ED3D2E"/>
    <w:rsid w:val="00F25E41"/>
    <w:rsid w:val="00F34A80"/>
    <w:rsid w:val="00F4209E"/>
    <w:rsid w:val="00F72B4C"/>
    <w:rsid w:val="00F73698"/>
    <w:rsid w:val="00F85892"/>
    <w:rsid w:val="00FA3C79"/>
    <w:rsid w:val="00FA63F9"/>
    <w:rsid w:val="00FA746F"/>
    <w:rsid w:val="00FB77D8"/>
    <w:rsid w:val="00FC3A7F"/>
    <w:rsid w:val="00FC5521"/>
    <w:rsid w:val="00FE05E3"/>
    <w:rsid w:val="00FE7F02"/>
    <w:rsid w:val="00FF2396"/>
    <w:rsid w:val="00FF2DCE"/>
    <w:rsid w:val="00FF4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FC9FBC0"/>
  <w15:chartTrackingRefBased/>
  <w15:docId w15:val="{12B50B82-230D-7441-9904-71EC55288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3A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3A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3A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3A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3A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3A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3A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3A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3A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3A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3A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3A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3A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3A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3A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3A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3A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3A7F"/>
    <w:rPr>
      <w:rFonts w:eastAsiaTheme="majorEastAsia" w:cstheme="majorBidi"/>
      <w:color w:val="272727" w:themeColor="text1" w:themeTint="D8"/>
    </w:rPr>
  </w:style>
  <w:style w:type="paragraph" w:styleId="Title">
    <w:name w:val="Title"/>
    <w:basedOn w:val="Normal"/>
    <w:next w:val="Normal"/>
    <w:link w:val="TitleChar"/>
    <w:uiPriority w:val="10"/>
    <w:qFormat/>
    <w:rsid w:val="00FC3A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3A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3A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3A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3A7F"/>
    <w:pPr>
      <w:spacing w:before="160"/>
      <w:jc w:val="center"/>
    </w:pPr>
    <w:rPr>
      <w:i/>
      <w:iCs/>
      <w:color w:val="404040" w:themeColor="text1" w:themeTint="BF"/>
    </w:rPr>
  </w:style>
  <w:style w:type="character" w:customStyle="1" w:styleId="QuoteChar">
    <w:name w:val="Quote Char"/>
    <w:basedOn w:val="DefaultParagraphFont"/>
    <w:link w:val="Quote"/>
    <w:uiPriority w:val="29"/>
    <w:rsid w:val="00FC3A7F"/>
    <w:rPr>
      <w:i/>
      <w:iCs/>
      <w:color w:val="404040" w:themeColor="text1" w:themeTint="BF"/>
    </w:rPr>
  </w:style>
  <w:style w:type="paragraph" w:styleId="ListParagraph">
    <w:name w:val="List Paragraph"/>
    <w:basedOn w:val="Normal"/>
    <w:link w:val="ListParagraphChar"/>
    <w:uiPriority w:val="34"/>
    <w:qFormat/>
    <w:rsid w:val="00FC3A7F"/>
    <w:pPr>
      <w:ind w:left="720"/>
      <w:contextualSpacing/>
    </w:pPr>
  </w:style>
  <w:style w:type="character" w:styleId="IntenseEmphasis">
    <w:name w:val="Intense Emphasis"/>
    <w:basedOn w:val="DefaultParagraphFont"/>
    <w:uiPriority w:val="21"/>
    <w:qFormat/>
    <w:rsid w:val="00FC3A7F"/>
    <w:rPr>
      <w:i/>
      <w:iCs/>
      <w:color w:val="0F4761" w:themeColor="accent1" w:themeShade="BF"/>
    </w:rPr>
  </w:style>
  <w:style w:type="paragraph" w:styleId="IntenseQuote">
    <w:name w:val="Intense Quote"/>
    <w:basedOn w:val="Normal"/>
    <w:next w:val="Normal"/>
    <w:link w:val="IntenseQuoteChar"/>
    <w:uiPriority w:val="30"/>
    <w:qFormat/>
    <w:rsid w:val="00FC3A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3A7F"/>
    <w:rPr>
      <w:i/>
      <w:iCs/>
      <w:color w:val="0F4761" w:themeColor="accent1" w:themeShade="BF"/>
    </w:rPr>
  </w:style>
  <w:style w:type="character" w:styleId="IntenseReference">
    <w:name w:val="Intense Reference"/>
    <w:basedOn w:val="DefaultParagraphFont"/>
    <w:uiPriority w:val="32"/>
    <w:qFormat/>
    <w:rsid w:val="00FC3A7F"/>
    <w:rPr>
      <w:b/>
      <w:bCs/>
      <w:smallCaps/>
      <w:color w:val="0F4761" w:themeColor="accent1" w:themeShade="BF"/>
      <w:spacing w:val="5"/>
    </w:rPr>
  </w:style>
  <w:style w:type="character" w:customStyle="1" w:styleId="ListParagraphChar">
    <w:name w:val="List Paragraph Char"/>
    <w:link w:val="ListParagraph"/>
    <w:uiPriority w:val="34"/>
    <w:locked/>
    <w:rsid w:val="00043068"/>
  </w:style>
  <w:style w:type="character" w:customStyle="1" w:styleId="ui-provider">
    <w:name w:val="ui-provider"/>
    <w:basedOn w:val="DefaultParagraphFont"/>
    <w:rsid w:val="00043068"/>
  </w:style>
  <w:style w:type="character" w:customStyle="1" w:styleId="apple-converted-space">
    <w:name w:val="apple-converted-space"/>
    <w:basedOn w:val="DefaultParagraphFont"/>
    <w:rsid w:val="00043068"/>
  </w:style>
  <w:style w:type="character" w:styleId="Strong">
    <w:name w:val="Strong"/>
    <w:basedOn w:val="DefaultParagraphFont"/>
    <w:uiPriority w:val="22"/>
    <w:qFormat/>
    <w:rsid w:val="00043068"/>
    <w:rPr>
      <w:b/>
      <w:bCs/>
    </w:rPr>
  </w:style>
  <w:style w:type="paragraph" w:customStyle="1" w:styleId="p1">
    <w:name w:val="p1"/>
    <w:basedOn w:val="Normal"/>
    <w:rsid w:val="00E8221F"/>
    <w:pPr>
      <w:spacing w:after="0" w:line="240" w:lineRule="auto"/>
    </w:pPr>
    <w:rPr>
      <w:rFonts w:ascii=".SF UI" w:hAnsi=".SF UI" w:cs="Times New Roman"/>
      <w:kern w:val="0"/>
      <w:sz w:val="23"/>
      <w:szCs w:val="23"/>
      <w14:ligatures w14:val="none"/>
    </w:rPr>
  </w:style>
  <w:style w:type="paragraph" w:customStyle="1" w:styleId="p2">
    <w:name w:val="p2"/>
    <w:basedOn w:val="Normal"/>
    <w:rsid w:val="00E8221F"/>
    <w:pPr>
      <w:spacing w:after="0" w:line="240" w:lineRule="auto"/>
    </w:pPr>
    <w:rPr>
      <w:rFonts w:ascii=".SF UI" w:hAnsi=".SF UI" w:cs="Times New Roman"/>
      <w:kern w:val="0"/>
      <w:sz w:val="23"/>
      <w:szCs w:val="23"/>
      <w14:ligatures w14:val="none"/>
    </w:rPr>
  </w:style>
  <w:style w:type="character" w:customStyle="1" w:styleId="s1">
    <w:name w:val="s1"/>
    <w:basedOn w:val="DefaultParagraphFont"/>
    <w:rsid w:val="00E8221F"/>
    <w:rPr>
      <w:rFonts w:ascii=".SFUI-Regular" w:hAnsi=".SFUI-Regular" w:hint="default"/>
      <w:b w:val="0"/>
      <w:bCs w:val="0"/>
      <w:i w:val="0"/>
      <w:iCs w:val="0"/>
      <w:sz w:val="23"/>
      <w:szCs w:val="23"/>
    </w:rPr>
  </w:style>
  <w:style w:type="character" w:customStyle="1" w:styleId="s2">
    <w:name w:val="s2"/>
    <w:basedOn w:val="DefaultParagraphFont"/>
    <w:rsid w:val="00E8221F"/>
    <w:rPr>
      <w:rFonts w:ascii=".SFUI-Semibold" w:hAnsi=".SFUI-Semibold" w:hint="default"/>
      <w:b/>
      <w:bCs/>
      <w:i w:val="0"/>
      <w:iCs w:val="0"/>
      <w:sz w:val="23"/>
      <w:szCs w:val="23"/>
    </w:rPr>
  </w:style>
  <w:style w:type="character" w:customStyle="1" w:styleId="s3">
    <w:name w:val="s3"/>
    <w:basedOn w:val="DefaultParagraphFont"/>
    <w:rsid w:val="00E8221F"/>
    <w:rPr>
      <w:rFonts w:ascii=".SFUI-RegularItalic" w:hAnsi=".SFUI-RegularItalic" w:hint="default"/>
      <w:b w:val="0"/>
      <w:bCs w:val="0"/>
      <w:i/>
      <w:iCs/>
      <w:sz w:val="23"/>
      <w:szCs w:val="23"/>
    </w:rPr>
  </w:style>
  <w:style w:type="character" w:styleId="Hyperlink">
    <w:name w:val="Hyperlink"/>
    <w:basedOn w:val="DefaultParagraphFont"/>
    <w:uiPriority w:val="99"/>
    <w:unhideWhenUsed/>
    <w:rsid w:val="001B45B9"/>
    <w:rPr>
      <w:color w:val="467886" w:themeColor="hyperlink"/>
      <w:u w:val="single"/>
    </w:rPr>
  </w:style>
  <w:style w:type="character" w:styleId="UnresolvedMention">
    <w:name w:val="Unresolved Mention"/>
    <w:basedOn w:val="DefaultParagraphFont"/>
    <w:uiPriority w:val="99"/>
    <w:semiHidden/>
    <w:unhideWhenUsed/>
    <w:rsid w:val="001B45B9"/>
    <w:rPr>
      <w:color w:val="605E5C"/>
      <w:shd w:val="clear" w:color="auto" w:fill="E1DFDD"/>
    </w:rPr>
  </w:style>
  <w:style w:type="paragraph" w:styleId="Header">
    <w:name w:val="header"/>
    <w:basedOn w:val="Normal"/>
    <w:link w:val="HeaderChar"/>
    <w:uiPriority w:val="99"/>
    <w:unhideWhenUsed/>
    <w:rsid w:val="00812A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AFF"/>
  </w:style>
  <w:style w:type="paragraph" w:styleId="Footer">
    <w:name w:val="footer"/>
    <w:basedOn w:val="Normal"/>
    <w:link w:val="FooterChar"/>
    <w:uiPriority w:val="99"/>
    <w:unhideWhenUsed/>
    <w:rsid w:val="00812A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AFF"/>
  </w:style>
  <w:style w:type="character" w:customStyle="1" w:styleId="apple-tab-span">
    <w:name w:val="apple-tab-span"/>
    <w:basedOn w:val="DefaultParagraphFont"/>
    <w:rsid w:val="005825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254</TotalTime>
  <Pages>5</Pages>
  <Words>694</Words>
  <Characters>3962</Characters>
  <Application>Microsoft Office Word</Application>
  <DocSecurity>0</DocSecurity>
  <Lines>33</Lines>
  <Paragraphs>9</Paragraphs>
  <ScaleCrop>false</ScaleCrop>
  <Company/>
  <LinksUpToDate>false</LinksUpToDate>
  <CharactersWithSpaces>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Mariyaa Iqbal (2506503)</dc:creator>
  <cp:keywords/>
  <dc:description/>
  <cp:lastModifiedBy>Mariyaa Iqbal (2506503)</cp:lastModifiedBy>
  <cp:revision>193</cp:revision>
  <dcterms:created xsi:type="dcterms:W3CDTF">2026-02-05T09:39:00Z</dcterms:created>
  <dcterms:modified xsi:type="dcterms:W3CDTF">2026-02-19T11:06:00Z</dcterms:modified>
</cp:coreProperties>
</file>