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Childe’s Definitions Essay</w:t>
      </w:r>
    </w:p>
    <w:p w:rsidR="00000000" w:rsidDel="00000000" w:rsidP="00000000" w:rsidRDefault="00000000" w:rsidRPr="00000000" w14:paraId="00000002">
      <w:pPr>
        <w:jc w:val="cente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3">
      <w:pPr>
        <w:rPr>
          <w:rFonts w:ascii="Calibri" w:cs="Calibri" w:eastAsia="Calibri" w:hAnsi="Calibri"/>
          <w:sz w:val="24"/>
          <w:szCs w:val="24"/>
        </w:rPr>
      </w:pPr>
      <w:r w:rsidDel="00000000" w:rsidR="00000000" w:rsidRPr="00000000">
        <w:rPr>
          <w:rFonts w:ascii="Calibri" w:cs="Calibri" w:eastAsia="Calibri" w:hAnsi="Calibri"/>
          <w:b w:val="1"/>
          <w:sz w:val="24"/>
          <w:szCs w:val="24"/>
          <w:u w:val="single"/>
          <w:rtl w:val="0"/>
        </w:rPr>
        <w:tab/>
      </w:r>
      <w:r w:rsidDel="00000000" w:rsidR="00000000" w:rsidRPr="00000000">
        <w:rPr>
          <w:rFonts w:ascii="Calibri" w:cs="Calibri" w:eastAsia="Calibri" w:hAnsi="Calibri"/>
          <w:sz w:val="24"/>
          <w:szCs w:val="24"/>
          <w:rtl w:val="0"/>
        </w:rPr>
        <w:t xml:space="preserve">In 2003, a historian named Bruce G. Trigger wrote a book entitled ‘Understanding Early Civilisations’. This book touches upon many factors of what classifies a civilisation as being either a uniform or complex society. One key author that Trigger references is V. Gordon Childe, who in 1950 composed 10 key aspects that define the clear differences between those of a uniform society, and those of a ‘normal’ society. This reference can be found in Chapter 3 of Trigger’s extract, and it is apparent that many of these factors could easily be found when looking at Ancient Sparta as a civilisation on a whole.  </w:t>
      </w:r>
    </w:p>
    <w:p w:rsidR="00000000" w:rsidDel="00000000" w:rsidP="00000000" w:rsidRDefault="00000000" w:rsidRPr="00000000" w14:paraId="0000000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rPr>
          <w:rFonts w:ascii="Calibri" w:cs="Calibri" w:eastAsia="Calibri" w:hAnsi="Calibri"/>
          <w:sz w:val="24"/>
          <w:szCs w:val="24"/>
        </w:rPr>
      </w:pPr>
      <w:r w:rsidDel="00000000" w:rsidR="00000000" w:rsidRPr="00000000">
        <w:rPr>
          <w:rFonts w:ascii="Calibri" w:cs="Calibri" w:eastAsia="Calibri" w:hAnsi="Calibri"/>
          <w:sz w:val="24"/>
          <w:szCs w:val="24"/>
          <w:rtl w:val="0"/>
        </w:rPr>
        <w:tab/>
        <w:t xml:space="preserve">There are 2 of Childe’s factors mentioned in Trigger’s book that could be linked to Spartan culture and society more clearly than others. These being points 2 and 3, </w:t>
      </w:r>
      <w:r w:rsidDel="00000000" w:rsidR="00000000" w:rsidRPr="00000000">
        <w:rPr>
          <w:rFonts w:ascii="Calibri" w:cs="Calibri" w:eastAsia="Calibri" w:hAnsi="Calibri"/>
          <w:i w:val="1"/>
          <w:sz w:val="24"/>
          <w:szCs w:val="24"/>
          <w:rtl w:val="0"/>
        </w:rPr>
        <w:t xml:space="preserve">craft workers, merchants, officials and priests supported by the surpluses produced by farmers </w:t>
      </w:r>
      <w:r w:rsidDel="00000000" w:rsidR="00000000" w:rsidRPr="00000000">
        <w:rPr>
          <w:rFonts w:ascii="Calibri" w:cs="Calibri" w:eastAsia="Calibri" w:hAnsi="Calibri"/>
          <w:sz w:val="24"/>
          <w:szCs w:val="24"/>
          <w:rtl w:val="0"/>
        </w:rPr>
        <w:t xml:space="preserve">(Trigger, 2003) and </w:t>
      </w:r>
      <w:r w:rsidDel="00000000" w:rsidR="00000000" w:rsidRPr="00000000">
        <w:rPr>
          <w:rFonts w:ascii="Calibri" w:cs="Calibri" w:eastAsia="Calibri" w:hAnsi="Calibri"/>
          <w:i w:val="1"/>
          <w:sz w:val="24"/>
          <w:szCs w:val="24"/>
          <w:rtl w:val="0"/>
        </w:rPr>
        <w:t xml:space="preserve">primary producers paying surpluses to a deity or divine ruler </w:t>
      </w:r>
      <w:r w:rsidDel="00000000" w:rsidR="00000000" w:rsidRPr="00000000">
        <w:rPr>
          <w:rFonts w:ascii="Calibri" w:cs="Calibri" w:eastAsia="Calibri" w:hAnsi="Calibri"/>
          <w:sz w:val="24"/>
          <w:szCs w:val="24"/>
          <w:rtl w:val="0"/>
        </w:rPr>
        <w:t xml:space="preserve">(Trigger, 2003). It is quite clear that both of these points could easily be linked together, as both discuss primary producers providing produce for a higher class. The former of these two is apparent in Spartan society, as the Helot class, who were seen as the slaves in Sparta, worked many roles including farming, in turn supporting the Perioikoi (or middle) class. Point 3 by Childe also has a similar link to Spartan culture, although it’s link is not as direct as point 2’s. This is because, although supported the Perioikoi with their produce, the Helots overall worked for the Homoioi (Sparta’s upper class), who would then pay the deities the Helot’s produce themselves. This can be found from a contemporary quote from Herodotus, saying “On the first and seventh day of every month, each king is given a full grown animal to offer in sacrifice in the Temple of Apollo” (Herodotus, c. 499BCE). This isn’t as clear of a link to Childe’s attribute however, as the Helot’s did not pay their surpluses to a deity themselves, rather there was a ‘middle-man’ involved.</w:t>
      </w:r>
    </w:p>
    <w:p w:rsidR="00000000" w:rsidDel="00000000" w:rsidP="00000000" w:rsidRDefault="00000000" w:rsidRPr="00000000" w14:paraId="0000000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rPr>
          <w:rFonts w:ascii="Calibri" w:cs="Calibri" w:eastAsia="Calibri" w:hAnsi="Calibri"/>
          <w:sz w:val="24"/>
          <w:szCs w:val="24"/>
        </w:rPr>
      </w:pPr>
      <w:r w:rsidDel="00000000" w:rsidR="00000000" w:rsidRPr="00000000">
        <w:rPr>
          <w:rFonts w:ascii="Calibri" w:cs="Calibri" w:eastAsia="Calibri" w:hAnsi="Calibri"/>
          <w:sz w:val="24"/>
          <w:szCs w:val="24"/>
          <w:rtl w:val="0"/>
        </w:rPr>
        <w:tab/>
        <w:t xml:space="preserve">As well as the points previously mentioned, it is also clear that some of Childe’s factors could be partly linked to Sparta, although not as obviously as the previous points. For example, </w:t>
      </w:r>
      <w:r w:rsidDel="00000000" w:rsidR="00000000" w:rsidRPr="00000000">
        <w:rPr>
          <w:rFonts w:ascii="Calibri" w:cs="Calibri" w:eastAsia="Calibri" w:hAnsi="Calibri"/>
          <w:i w:val="1"/>
          <w:sz w:val="24"/>
          <w:szCs w:val="24"/>
          <w:rtl w:val="0"/>
        </w:rPr>
        <w:t xml:space="preserve">monumental architecture</w:t>
      </w:r>
      <w:r w:rsidDel="00000000" w:rsidR="00000000" w:rsidRPr="00000000">
        <w:rPr>
          <w:rFonts w:ascii="Calibri" w:cs="Calibri" w:eastAsia="Calibri" w:hAnsi="Calibri"/>
          <w:sz w:val="24"/>
          <w:szCs w:val="24"/>
          <w:rtl w:val="0"/>
        </w:rPr>
        <w:t xml:space="preserve"> (Trigger, 2003) has some examples that could be found in Ancient Sparta, such as the Temple of Artemis Orthia and Temple of Apollo. This clearly shows there is evidence of monumental architecture from Ancient Sparta. However, compared to the vast quantities that is apparent in many other Greek polis such as the artistically advanced Athens, it could be argued as to whether these temples are enough evidence to suggest that Sparta’s architecture isn’t as monumental, and therefore lacking in physical evidence. Another of Childe’s factors that could potentially be found in Spartan culture is Sparta having </w:t>
      </w:r>
      <w:r w:rsidDel="00000000" w:rsidR="00000000" w:rsidRPr="00000000">
        <w:rPr>
          <w:rFonts w:ascii="Calibri" w:cs="Calibri" w:eastAsia="Calibri" w:hAnsi="Calibri"/>
          <w:i w:val="1"/>
          <w:sz w:val="24"/>
          <w:szCs w:val="24"/>
          <w:rtl w:val="0"/>
        </w:rPr>
        <w:t xml:space="preserve">large urban centres </w:t>
      </w:r>
      <w:r w:rsidDel="00000000" w:rsidR="00000000" w:rsidRPr="00000000">
        <w:rPr>
          <w:rFonts w:ascii="Calibri" w:cs="Calibri" w:eastAsia="Calibri" w:hAnsi="Calibri"/>
          <w:sz w:val="24"/>
          <w:szCs w:val="24"/>
          <w:rtl w:val="0"/>
        </w:rPr>
        <w:t xml:space="preserve">(Trigger, 2003). This could be seen as being found in Spartan society, as evidence of a Spartan Agora (a central public space) has been found. Although this could easily be seen as hard evidence to suggest Sparta had large urban centres, it is apparent that Agoras were very common throughout Greek city-states, and Sparta’s Agora can be seen as futile when being compared to the Agora’s of larger city-states, such as Athens. This clearly could therefore dispute as to whether Sparta did indeed feature a large urban centre or not.</w:t>
      </w:r>
    </w:p>
    <w:p w:rsidR="00000000" w:rsidDel="00000000" w:rsidP="00000000" w:rsidRDefault="00000000" w:rsidRPr="00000000" w14:paraId="00000008">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rPr>
          <w:rFonts w:ascii="Calibri" w:cs="Calibri" w:eastAsia="Calibri" w:hAnsi="Calibri"/>
          <w:sz w:val="24"/>
          <w:szCs w:val="24"/>
        </w:rPr>
      </w:pPr>
      <w:r w:rsidDel="00000000" w:rsidR="00000000" w:rsidRPr="00000000">
        <w:rPr>
          <w:rFonts w:ascii="Calibri" w:cs="Calibri" w:eastAsia="Calibri" w:hAnsi="Calibri"/>
          <w:sz w:val="24"/>
          <w:szCs w:val="24"/>
          <w:rtl w:val="0"/>
        </w:rPr>
        <w:tab/>
        <w:t xml:space="preserve">However, it is apparent that one of these points could clearly not be linked to Ancient Sparta. This is point 5 of Childe’s description, reading </w:t>
      </w:r>
      <w:r w:rsidDel="00000000" w:rsidR="00000000" w:rsidRPr="00000000">
        <w:rPr>
          <w:rFonts w:ascii="Calibri" w:cs="Calibri" w:eastAsia="Calibri" w:hAnsi="Calibri"/>
          <w:i w:val="1"/>
          <w:sz w:val="24"/>
          <w:szCs w:val="24"/>
          <w:rtl w:val="0"/>
        </w:rPr>
        <w:t xml:space="preserve">a ruling class exempt from manual labour </w:t>
      </w:r>
      <w:r w:rsidDel="00000000" w:rsidR="00000000" w:rsidRPr="00000000">
        <w:rPr>
          <w:rFonts w:ascii="Calibri" w:cs="Calibri" w:eastAsia="Calibri" w:hAnsi="Calibri"/>
          <w:sz w:val="24"/>
          <w:szCs w:val="24"/>
          <w:rtl w:val="0"/>
        </w:rPr>
        <w:t xml:space="preserve">(Trigger, 2003). It is very apparent that this can not be found in Spartan culture, as one of the many things that made Sparta unique is the fact that their kings were seen as more of a public/religious figurehead, and therefore did not hold as much power over their people as traditional kings do. This also meant that the kings were not exempt from many things, most importantly warfare. This is very apparent, as the battle of Thermopylae is arguably Sparta’s most infamous point in their timeline, and one of their kings- Leonidas- lead the Spartan army throughout this battle and, even though they lost, his heroism was immortalised throughout both Greek and Western history (Augustyn et al, 2019).</w:t>
      </w:r>
    </w:p>
    <w:p w:rsidR="00000000" w:rsidDel="00000000" w:rsidP="00000000" w:rsidRDefault="00000000" w:rsidRPr="00000000" w14:paraId="0000000A">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0B">
      <w:pPr>
        <w:rPr>
          <w:rFonts w:ascii="Calibri" w:cs="Calibri" w:eastAsia="Calibri" w:hAnsi="Calibri"/>
          <w:sz w:val="24"/>
          <w:szCs w:val="24"/>
        </w:rPr>
      </w:pPr>
      <w:r w:rsidDel="00000000" w:rsidR="00000000" w:rsidRPr="00000000">
        <w:rPr>
          <w:rFonts w:ascii="Calibri" w:cs="Calibri" w:eastAsia="Calibri" w:hAnsi="Calibri"/>
          <w:sz w:val="28"/>
          <w:szCs w:val="28"/>
          <w:rtl w:val="0"/>
        </w:rPr>
        <w:tab/>
      </w:r>
      <w:r w:rsidDel="00000000" w:rsidR="00000000" w:rsidRPr="00000000">
        <w:rPr>
          <w:rFonts w:ascii="Calibri" w:cs="Calibri" w:eastAsia="Calibri" w:hAnsi="Calibri"/>
          <w:sz w:val="24"/>
          <w:szCs w:val="24"/>
          <w:rtl w:val="0"/>
        </w:rPr>
        <w:t xml:space="preserve">It could be argued as to whether Ancient Sparta could be classified as either a uniform or ‘normal’ culture according to Childe’s 10 definitions, as it is clear that Sparta definitely features a number of these attributes given by Childe, yet some other of these factors could be disputed as to whether they reach the exact extent that </w:t>
      </w:r>
      <w:r w:rsidDel="00000000" w:rsidR="00000000" w:rsidRPr="00000000">
        <w:rPr>
          <w:rFonts w:ascii="Calibri" w:cs="Calibri" w:eastAsia="Calibri" w:hAnsi="Calibri"/>
          <w:sz w:val="24"/>
          <w:szCs w:val="24"/>
          <w:rtl w:val="0"/>
        </w:rPr>
        <w:t xml:space="preserve">Childe</w:t>
      </w:r>
      <w:r w:rsidDel="00000000" w:rsidR="00000000" w:rsidRPr="00000000">
        <w:rPr>
          <w:rFonts w:ascii="Calibri" w:cs="Calibri" w:eastAsia="Calibri" w:hAnsi="Calibri"/>
          <w:sz w:val="24"/>
          <w:szCs w:val="24"/>
          <w:rtl w:val="0"/>
        </w:rPr>
        <w:t xml:space="preserve"> is trying to suggest when giving these factors or not. Nonetheless, it could not be argued that Sparta was a major aspect of Greek societal history, and her uniqueness will forever firmly remain in conjunction with the likes of Athens when comparing impact.</w:t>
      </w:r>
    </w:p>
    <w:p w:rsidR="00000000" w:rsidDel="00000000" w:rsidP="00000000" w:rsidRDefault="00000000" w:rsidRPr="00000000" w14:paraId="0000000C">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Bibliography</w:t>
      </w:r>
    </w:p>
    <w:p w:rsidR="00000000" w:rsidDel="00000000" w:rsidP="00000000" w:rsidRDefault="00000000" w:rsidRPr="00000000" w14:paraId="0000000F">
      <w:pPr>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0">
      <w:pPr>
        <w:rPr>
          <w:rFonts w:ascii="Calibri" w:cs="Calibri" w:eastAsia="Calibri" w:hAnsi="Calibri"/>
          <w:b w:val="1"/>
          <w:sz w:val="28"/>
          <w:szCs w:val="28"/>
          <w:u w:val="single"/>
        </w:rPr>
      </w:pPr>
      <w:r w:rsidDel="00000000" w:rsidR="00000000" w:rsidRPr="00000000">
        <w:rPr>
          <w:rFonts w:ascii="Calibri" w:cs="Calibri" w:eastAsia="Calibri" w:hAnsi="Calibri"/>
          <w:sz w:val="24"/>
          <w:szCs w:val="24"/>
          <w:rtl w:val="0"/>
        </w:rPr>
        <w:t xml:space="preserve">Augustyn, A., Bauer, P., Duignan, B., Eldridge, A., Gregersen, E., Luebering, J. E., McKenna, A., Petruzzello, M., Rafferty, J. P., Ray, M., Rogers, K., Tikkanen, A., Wallenfeldt, J., Zeidan, A., and Zelazko, A. (2019) </w:t>
      </w:r>
      <w:r w:rsidDel="00000000" w:rsidR="00000000" w:rsidRPr="00000000">
        <w:rPr>
          <w:rFonts w:ascii="Calibri" w:cs="Calibri" w:eastAsia="Calibri" w:hAnsi="Calibri"/>
          <w:i w:val="1"/>
          <w:sz w:val="24"/>
          <w:szCs w:val="24"/>
          <w:rtl w:val="0"/>
        </w:rPr>
        <w:t xml:space="preserve">Leonidas. </w:t>
      </w:r>
      <w:r w:rsidDel="00000000" w:rsidR="00000000" w:rsidRPr="00000000">
        <w:rPr>
          <w:rFonts w:ascii="Calibri" w:cs="Calibri" w:eastAsia="Calibri" w:hAnsi="Calibri"/>
          <w:sz w:val="24"/>
          <w:szCs w:val="24"/>
          <w:rtl w:val="0"/>
        </w:rPr>
        <w:t xml:space="preserve">[Online]. Available at: </w:t>
      </w:r>
      <w:hyperlink r:id="rId6">
        <w:r w:rsidDel="00000000" w:rsidR="00000000" w:rsidRPr="00000000">
          <w:rPr>
            <w:rFonts w:ascii="Calibri" w:cs="Calibri" w:eastAsia="Calibri" w:hAnsi="Calibri"/>
            <w:color w:val="1155cc"/>
            <w:sz w:val="24"/>
            <w:szCs w:val="24"/>
            <w:u w:val="single"/>
            <w:rtl w:val="0"/>
          </w:rPr>
          <w:t xml:space="preserve">https://www.britannica.com/biography/Leonidas-king-of-Sparta</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(Accessed 12th July 2019).</w:t>
      </w:r>
      <w:r w:rsidDel="00000000" w:rsidR="00000000" w:rsidRPr="00000000">
        <w:rPr>
          <w:rtl w:val="0"/>
        </w:rPr>
      </w:r>
    </w:p>
    <w:p w:rsidR="00000000" w:rsidDel="00000000" w:rsidP="00000000" w:rsidRDefault="00000000" w:rsidRPr="00000000" w14:paraId="00000011">
      <w:pPr>
        <w:rPr>
          <w:rFonts w:ascii="Calibri" w:cs="Calibri" w:eastAsia="Calibri" w:hAnsi="Calibri"/>
          <w:b w:val="1"/>
          <w:sz w:val="28"/>
          <w:szCs w:val="28"/>
          <w:u w:val="single"/>
        </w:rPr>
      </w:pPr>
      <w:r w:rsidDel="00000000" w:rsidR="00000000" w:rsidRPr="00000000">
        <w:rPr>
          <w:rtl w:val="0"/>
        </w:rPr>
      </w:r>
    </w:p>
    <w:p w:rsidR="00000000" w:rsidDel="00000000" w:rsidP="00000000" w:rsidRDefault="00000000" w:rsidRPr="00000000" w14:paraId="0000001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Herodotus., De Sélincourt, A. and Marincola, J. (2003). Herodotus the histories. London: Penguin Books, 6.56-86.</w:t>
      </w:r>
      <w:r w:rsidDel="00000000" w:rsidR="00000000" w:rsidRPr="00000000">
        <w:rPr>
          <w:rtl w:val="0"/>
        </w:rPr>
      </w:r>
    </w:p>
    <w:p w:rsidR="00000000" w:rsidDel="00000000" w:rsidP="00000000" w:rsidRDefault="00000000" w:rsidRPr="00000000" w14:paraId="00000013">
      <w:pPr>
        <w:rPr>
          <w:rFonts w:ascii="Calibri" w:cs="Calibri" w:eastAsia="Calibri" w:hAnsi="Calibri"/>
          <w:b w:val="1"/>
          <w:sz w:val="28"/>
          <w:szCs w:val="28"/>
          <w:u w:val="single"/>
        </w:rPr>
      </w:pPr>
      <w:r w:rsidDel="00000000" w:rsidR="00000000" w:rsidRPr="00000000">
        <w:rPr>
          <w:rtl w:val="0"/>
        </w:rPr>
      </w:r>
    </w:p>
    <w:p w:rsidR="00000000" w:rsidDel="00000000" w:rsidP="00000000" w:rsidRDefault="00000000" w:rsidRPr="00000000" w14:paraId="00000014">
      <w:pPr>
        <w:rPr>
          <w:rFonts w:ascii="Calibri" w:cs="Calibri" w:eastAsia="Calibri" w:hAnsi="Calibri"/>
          <w:b w:val="1"/>
          <w:sz w:val="24"/>
          <w:szCs w:val="24"/>
          <w:u w:val="single"/>
        </w:rPr>
      </w:pPr>
      <w:r w:rsidDel="00000000" w:rsidR="00000000" w:rsidRPr="00000000">
        <w:rPr>
          <w:rFonts w:ascii="Calibri" w:cs="Calibri" w:eastAsia="Calibri" w:hAnsi="Calibri"/>
          <w:sz w:val="24"/>
          <w:szCs w:val="24"/>
          <w:rtl w:val="0"/>
        </w:rPr>
        <w:t xml:space="preserve">Trigger, B. G. (2003). </w:t>
      </w:r>
      <w:r w:rsidDel="00000000" w:rsidR="00000000" w:rsidRPr="00000000">
        <w:rPr>
          <w:rFonts w:ascii="Calibri" w:cs="Calibri" w:eastAsia="Calibri" w:hAnsi="Calibri"/>
          <w:i w:val="1"/>
          <w:sz w:val="24"/>
          <w:szCs w:val="24"/>
          <w:rtl w:val="0"/>
        </w:rPr>
        <w:t xml:space="preserve">Understanding Early Civilisations- A Comparative Study. </w:t>
      </w:r>
      <w:r w:rsidDel="00000000" w:rsidR="00000000" w:rsidRPr="00000000">
        <w:rPr>
          <w:rFonts w:ascii="Calibri" w:cs="Calibri" w:eastAsia="Calibri" w:hAnsi="Calibri"/>
          <w:sz w:val="24"/>
          <w:szCs w:val="24"/>
          <w:rtl w:val="0"/>
        </w:rPr>
        <w:t xml:space="preserve">New York: Cambridge University Press. pp 43.</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ritannica.com/biography/Leonidas-king-of-Spar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