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52912" w14:textId="5096FC9A" w:rsidR="00A62B51" w:rsidRPr="00A62B51" w:rsidRDefault="00A62B51" w:rsidP="00A62B51">
      <w:pPr>
        <w:rPr>
          <w:rFonts w:ascii="Aptos" w:eastAsia="Aptos" w:hAnsi="Aptos" w:cs="Aptos"/>
          <w:b/>
          <w:bCs/>
          <w:color w:val="000000" w:themeColor="text1"/>
        </w:rPr>
      </w:pPr>
      <w:r w:rsidRPr="00A62B51">
        <w:rPr>
          <w:rFonts w:ascii="Aptos" w:eastAsia="Aptos" w:hAnsi="Aptos" w:cs="Aptos"/>
          <w:b/>
          <w:bCs/>
          <w:color w:val="000000" w:themeColor="text1"/>
        </w:rPr>
        <w:t>Essay one:</w:t>
      </w:r>
    </w:p>
    <w:p w14:paraId="168B73DD" w14:textId="320BB901"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How effectively the police service has adapted to accommodate diversity withing the United Kingdom will vary significantly based on which force we are looking at and where in the United Kingdom that force is based. It will also depend on the diversity that can be found in the community that force serve. </w:t>
      </w:r>
    </w:p>
    <w:p w14:paraId="7EE89828"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There is not a single force in the entire United Kingdom that has a police force where the diversity reflects that of the general population as police workforce diversity data from 2021 shows. Looking just at the statistics from South Wales Police, it shows that in the general population there is 6.6 % of people that comes from a black or ethnic minority background, whilst in the South Wales Police this number is lower at only 2.6%. However other forces for example North Wales has a different variation being 0.9% from a black and ethnic minority background in the force whilst the general population stands as 2.5%. These differences can be seen across </w:t>
      </w:r>
      <w:proofErr w:type="gramStart"/>
      <w:r w:rsidRPr="00841B73">
        <w:rPr>
          <w:rFonts w:ascii="Aptos" w:eastAsia="Aptos" w:hAnsi="Aptos" w:cs="Aptos"/>
          <w:color w:val="000000" w:themeColor="text1"/>
        </w:rPr>
        <w:t>all of</w:t>
      </w:r>
      <w:proofErr w:type="gramEnd"/>
      <w:r w:rsidRPr="00841B73">
        <w:rPr>
          <w:rFonts w:ascii="Aptos" w:eastAsia="Aptos" w:hAnsi="Aptos" w:cs="Aptos"/>
          <w:color w:val="000000" w:themeColor="text1"/>
        </w:rPr>
        <w:t xml:space="preserve"> the 43 police forces that covers the United Kingdom (police.uk, 2021). </w:t>
      </w:r>
    </w:p>
    <w:p w14:paraId="3C22438C" w14:textId="77777777" w:rsidR="00A62B51" w:rsidRPr="00841B73" w:rsidRDefault="00A62B51" w:rsidP="00A62B51">
      <w:pPr>
        <w:rPr>
          <w:rFonts w:ascii="Aptos" w:eastAsia="Aptos" w:hAnsi="Aptos" w:cs="Aptos"/>
          <w:color w:val="000000" w:themeColor="text1"/>
        </w:rPr>
      </w:pPr>
    </w:p>
    <w:p w14:paraId="09862602"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Measuring how successfully diversity has been accommodated can be complicated as there are different aspects that can be used to measure that success. It can be argued that diversity is being accommodated just </w:t>
      </w:r>
      <w:proofErr w:type="gramStart"/>
      <w:r w:rsidRPr="00841B73">
        <w:rPr>
          <w:rFonts w:ascii="Aptos" w:eastAsia="Aptos" w:hAnsi="Aptos" w:cs="Aptos"/>
          <w:color w:val="000000" w:themeColor="text1"/>
        </w:rPr>
        <w:t>due to the fact that</w:t>
      </w:r>
      <w:proofErr w:type="gramEnd"/>
      <w:r w:rsidRPr="00841B73">
        <w:rPr>
          <w:rFonts w:ascii="Aptos" w:eastAsia="Aptos" w:hAnsi="Aptos" w:cs="Aptos"/>
          <w:color w:val="000000" w:themeColor="text1"/>
        </w:rPr>
        <w:t xml:space="preserve"> there is some, but diversity in the police has been an ongoing issue for decades. From 1999 till 2015 the number of officers identifying as coming from a black or ethnic minority background increased from only 2% in 1999 till 5.5% in 2015. Looking just at those figures one might think that diversity has been successful and that it is well on its way to become the norm, however the BME population in 1999 was estimated at around 6.5% whilst in 2015 this number has raised to 14% (House of Commons, 2016). These figures one can argue shows that in fact the diversity in the United Kingdom Police force has </w:t>
      </w:r>
      <w:proofErr w:type="gramStart"/>
      <w:r w:rsidRPr="00841B73">
        <w:rPr>
          <w:rFonts w:ascii="Aptos" w:eastAsia="Aptos" w:hAnsi="Aptos" w:cs="Aptos"/>
          <w:color w:val="000000" w:themeColor="text1"/>
        </w:rPr>
        <w:t>actually decreased</w:t>
      </w:r>
      <w:proofErr w:type="gramEnd"/>
      <w:r w:rsidRPr="00841B73">
        <w:rPr>
          <w:rFonts w:ascii="Aptos" w:eastAsia="Aptos" w:hAnsi="Aptos" w:cs="Aptos"/>
          <w:color w:val="000000" w:themeColor="text1"/>
        </w:rPr>
        <w:t xml:space="preserve"> over time as it has not kept up with the growth of BME in the general population. </w:t>
      </w:r>
    </w:p>
    <w:p w14:paraId="7A6CCD86"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Now there are of course other factors that impact diversity in the Police force. Gender, disability, gender identity, sexuality, and more are all factors that have importance when one looks at diversity. A police force should in theory reflect the general population, with a wide variety of different officers from different backgrounds. </w:t>
      </w:r>
    </w:p>
    <w:p w14:paraId="3B1593BA"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Now having looked at ethnicity and diversity and identified that this is still a problem in the police we will look at some of the other diversity factors. First let us look at disability. Now it must be recognised that not all types of disability can be included in policing, especially in front line policing where a certain level of physical and mental awareness must be accepted as necessary to successfully undertake the role. But looking at other aspects such as dyslexia, ADHD and autism which are all disabilities that should not be excluded from the role as a certain level of reasonable adjustments should be </w:t>
      </w:r>
      <w:r w:rsidRPr="00841B73">
        <w:rPr>
          <w:rFonts w:ascii="Aptos" w:eastAsia="Aptos" w:hAnsi="Aptos" w:cs="Aptos"/>
          <w:color w:val="000000" w:themeColor="text1"/>
        </w:rPr>
        <w:lastRenderedPageBreak/>
        <w:t xml:space="preserve">implemented for these types of disabilities to succeed in the police. Looking at numbers from the 2019 research report into diversity in police conducted by the policing research unit at Durham University, one can see that a significant percentage of officers with disabilities responded that they believe that their disability has had an adverse impact on their prospects within the police, meaning that officers with a disability feel that they are less likely to get promoted and reach higher roles within the organisation (Durham University, 2019). </w:t>
      </w:r>
    </w:p>
    <w:p w14:paraId="45D11EC3"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A further aspect of diversity is sexuality. Sexuality outside of the “norm” has long been an issue that has held a lot of contention. Homosexuality was illegal in the United Kingdom until the Sexual Offences Act 1967 section 1, that decriminalised consensual sexual acts between men over the age of 21. This has later been lowered to follow the general 16 years of age for sexual consent (UK Parliament, 2024). Due to this law the Police would not have had any formal officers of diverse sexual background prior to this as that would have been breaking the law. From the Durham University report (2019) </w:t>
      </w:r>
      <w:proofErr w:type="gramStart"/>
      <w:r w:rsidRPr="00841B73">
        <w:rPr>
          <w:rFonts w:ascii="Aptos" w:eastAsia="Aptos" w:hAnsi="Aptos" w:cs="Aptos"/>
          <w:color w:val="000000" w:themeColor="text1"/>
        </w:rPr>
        <w:t>a number of</w:t>
      </w:r>
      <w:proofErr w:type="gramEnd"/>
      <w:r w:rsidRPr="00841B73">
        <w:rPr>
          <w:rFonts w:ascii="Aptos" w:eastAsia="Aptos" w:hAnsi="Aptos" w:cs="Aptos"/>
          <w:color w:val="000000" w:themeColor="text1"/>
        </w:rPr>
        <w:t xml:space="preserve"> officers identifying as non-heterosexual feel that they have less opportunity than their heterosexual counterparts. However, unlike ethnicity, and disability, sexual preferences can be difficult to </w:t>
      </w:r>
      <w:proofErr w:type="gramStart"/>
      <w:r w:rsidRPr="00841B73">
        <w:rPr>
          <w:rFonts w:ascii="Aptos" w:eastAsia="Aptos" w:hAnsi="Aptos" w:cs="Aptos"/>
          <w:color w:val="000000" w:themeColor="text1"/>
        </w:rPr>
        <w:t>identify</w:t>
      </w:r>
      <w:proofErr w:type="gramEnd"/>
      <w:r w:rsidRPr="00841B73">
        <w:rPr>
          <w:rFonts w:ascii="Aptos" w:eastAsia="Aptos" w:hAnsi="Aptos" w:cs="Aptos"/>
          <w:color w:val="000000" w:themeColor="text1"/>
        </w:rPr>
        <w:t xml:space="preserve"> and the numbers can be skewed due to this. </w:t>
      </w:r>
    </w:p>
    <w:p w14:paraId="0295F0AA"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R. Colvin (2015) notes that as the focus on sexual orientation and diversity in the police has had limited research in relation to its visible counterparts. Sexuality can be hidden and as such research can only be conducted with openly non-heterosexual officers. As sexuality varies so much, non-heterosexual seems to encompass more than just naming the different sexual orientations known. </w:t>
      </w:r>
    </w:p>
    <w:p w14:paraId="4D3E6AB8" w14:textId="77777777" w:rsidR="00A62B51" w:rsidRPr="00841B73" w:rsidRDefault="00A62B51" w:rsidP="00A62B51">
      <w:pPr>
        <w:rPr>
          <w:rFonts w:ascii="Aptos" w:eastAsia="Aptos" w:hAnsi="Aptos" w:cs="Aptos"/>
          <w:color w:val="000000" w:themeColor="text1"/>
        </w:rPr>
      </w:pPr>
    </w:p>
    <w:p w14:paraId="6E910131"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In conclusion diversity and accommodating this in the police can be seen as a work in progress in many aspects. The police force </w:t>
      </w:r>
      <w:proofErr w:type="gramStart"/>
      <w:r w:rsidRPr="00841B73">
        <w:rPr>
          <w:rFonts w:ascii="Aptos" w:eastAsia="Aptos" w:hAnsi="Aptos" w:cs="Aptos"/>
          <w:color w:val="000000" w:themeColor="text1"/>
        </w:rPr>
        <w:t>as a whole does</w:t>
      </w:r>
      <w:proofErr w:type="gramEnd"/>
      <w:r w:rsidRPr="00841B73">
        <w:rPr>
          <w:rFonts w:ascii="Aptos" w:eastAsia="Aptos" w:hAnsi="Aptos" w:cs="Aptos"/>
          <w:color w:val="000000" w:themeColor="text1"/>
        </w:rPr>
        <w:t xml:space="preserve"> not mirror the general population in diversity and as such is incapable of policing communities proportionately. However, as tensions between different identities are still persistent it can be argued that the police at least seem to mirror that. The complicated nature of diversity makes it difficult to statistically quantify a success rate as society is in constant flux.  Also, one could ask officers from different forces the same questions and the answers would vary significantly. </w:t>
      </w:r>
    </w:p>
    <w:p w14:paraId="4BE7984E"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Historically police have been a difficult space for diversity and used to be only white men. This is no longer the case and as such one can argue that diversity is has been implemented and accommodated successfully. But looking at the numbers there is still a significant way to go, and police cannot stop focusing on inclusivity and diversity as it is then likely that a regression in these numbers will </w:t>
      </w:r>
      <w:proofErr w:type="gramStart"/>
      <w:r w:rsidRPr="00841B73">
        <w:rPr>
          <w:rFonts w:ascii="Aptos" w:eastAsia="Aptos" w:hAnsi="Aptos" w:cs="Aptos"/>
          <w:color w:val="000000" w:themeColor="text1"/>
        </w:rPr>
        <w:t>occurred</w:t>
      </w:r>
      <w:proofErr w:type="gramEnd"/>
      <w:r w:rsidRPr="00841B73">
        <w:rPr>
          <w:rFonts w:ascii="Aptos" w:eastAsia="Aptos" w:hAnsi="Aptos" w:cs="Aptos"/>
          <w:color w:val="000000" w:themeColor="text1"/>
        </w:rPr>
        <w:t>. One can only hope that with continued focus and education on this issue the force will in time succeed in diversifying and that they will continue to raise the inclusivity of the police.</w:t>
      </w:r>
    </w:p>
    <w:p w14:paraId="0ECACA92"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lastRenderedPageBreak/>
        <w:t>(Word Count: 998)</w:t>
      </w:r>
    </w:p>
    <w:p w14:paraId="14C9FB8A" w14:textId="77777777" w:rsidR="00A62B51" w:rsidRPr="00841B73" w:rsidRDefault="00A62B51" w:rsidP="00A62B51">
      <w:pPr>
        <w:rPr>
          <w:rFonts w:ascii="Aptos" w:eastAsia="Aptos" w:hAnsi="Aptos" w:cs="Aptos"/>
          <w:color w:val="000000" w:themeColor="text1"/>
        </w:rPr>
      </w:pPr>
    </w:p>
    <w:p w14:paraId="23C38EF6" w14:textId="77777777" w:rsidR="00A62B51" w:rsidRPr="00841B73" w:rsidRDefault="00A62B51" w:rsidP="00A62B51">
      <w:pPr>
        <w:rPr>
          <w:rFonts w:ascii="Aptos" w:eastAsia="Aptos" w:hAnsi="Aptos" w:cs="Aptos"/>
          <w:color w:val="000000" w:themeColor="text1"/>
        </w:rPr>
      </w:pPr>
    </w:p>
    <w:p w14:paraId="20504531" w14:textId="77777777" w:rsidR="00A62B51" w:rsidRPr="00841B73" w:rsidRDefault="00A62B51" w:rsidP="00A62B51">
      <w:pPr>
        <w:rPr>
          <w:rFonts w:ascii="Aptos" w:eastAsia="Aptos" w:hAnsi="Aptos" w:cs="Aptos"/>
          <w:color w:val="000000" w:themeColor="text1"/>
        </w:rPr>
      </w:pPr>
    </w:p>
    <w:p w14:paraId="427B29C4" w14:textId="77777777" w:rsidR="00A62B51" w:rsidRPr="00841B73" w:rsidRDefault="00A62B51" w:rsidP="00A62B51">
      <w:pPr>
        <w:rPr>
          <w:rFonts w:ascii="Aptos" w:eastAsia="Aptos" w:hAnsi="Aptos" w:cs="Aptos"/>
          <w:color w:val="000000" w:themeColor="text1"/>
        </w:rPr>
      </w:pPr>
    </w:p>
    <w:p w14:paraId="09FE0A31" w14:textId="77777777" w:rsidR="00A62B51" w:rsidRPr="00841B73" w:rsidRDefault="00A62B51" w:rsidP="00A62B51">
      <w:pPr>
        <w:rPr>
          <w:rFonts w:ascii="Aptos" w:eastAsia="Aptos" w:hAnsi="Aptos" w:cs="Aptos"/>
          <w:b/>
          <w:color w:val="000000" w:themeColor="text1"/>
        </w:rPr>
      </w:pPr>
      <w:r w:rsidRPr="00841B73">
        <w:rPr>
          <w:rFonts w:ascii="Aptos" w:eastAsia="Aptos" w:hAnsi="Aptos" w:cs="Aptos"/>
          <w:b/>
          <w:color w:val="000000" w:themeColor="text1"/>
        </w:rPr>
        <w:t xml:space="preserve">Essay two: </w:t>
      </w:r>
    </w:p>
    <w:p w14:paraId="71D99FF0"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Mental wellbeing is not only important to manage in policing but also in the greater community. With a general increase in the understanding and treatment of mental health the dangers of mental ill health have become clear. Within policing the focus on mental wellbeing has increased following many years of research that shows the dangers of not taking care of officers’ mental health. Historically police have not focused on mental wellbeing and there has been a general </w:t>
      </w:r>
      <w:proofErr w:type="spellStart"/>
      <w:r w:rsidRPr="00841B73">
        <w:rPr>
          <w:rFonts w:ascii="Aptos" w:eastAsia="Aptos" w:hAnsi="Aptos" w:cs="Aptos"/>
          <w:color w:val="000000" w:themeColor="text1"/>
        </w:rPr>
        <w:t>ide</w:t>
      </w:r>
      <w:proofErr w:type="spellEnd"/>
      <w:r w:rsidRPr="00841B73">
        <w:rPr>
          <w:rFonts w:ascii="Aptos" w:eastAsia="Aptos" w:hAnsi="Aptos" w:cs="Aptos"/>
          <w:color w:val="000000" w:themeColor="text1"/>
        </w:rPr>
        <w:t xml:space="preserve"> of ‘sucking it up’ that has underpinned the handling of mental ill health. This has improved over the years but there is still reason to suspect that it is not fully handled. </w:t>
      </w:r>
    </w:p>
    <w:p w14:paraId="44D9A57C"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Over the last few decades an increase has been seen in absence from work and ill health due to mental health. Mental health and wellbeing have impacted on the working population in a negative manner in all aspects and it has been found that in policing there are many risks that can increase the likelihood of ill mental health (</w:t>
      </w:r>
      <w:proofErr w:type="spellStart"/>
      <w:r w:rsidRPr="00841B73">
        <w:rPr>
          <w:rFonts w:ascii="Aptos" w:eastAsia="Aptos" w:hAnsi="Aptos" w:cs="Aptos"/>
          <w:color w:val="000000" w:themeColor="text1"/>
        </w:rPr>
        <w:t>Purba</w:t>
      </w:r>
      <w:proofErr w:type="spellEnd"/>
      <w:r w:rsidRPr="00841B73">
        <w:rPr>
          <w:rFonts w:ascii="Aptos" w:eastAsia="Aptos" w:hAnsi="Aptos" w:cs="Aptos"/>
          <w:color w:val="000000" w:themeColor="text1"/>
        </w:rPr>
        <w:t xml:space="preserve"> &amp; </w:t>
      </w:r>
      <w:proofErr w:type="spellStart"/>
      <w:r w:rsidRPr="00841B73">
        <w:rPr>
          <w:rFonts w:ascii="Aptos" w:eastAsia="Aptos" w:hAnsi="Aptos" w:cs="Aptos"/>
          <w:color w:val="000000" w:themeColor="text1"/>
        </w:rPr>
        <w:t>Demou</w:t>
      </w:r>
      <w:proofErr w:type="spellEnd"/>
      <w:r w:rsidRPr="00841B73">
        <w:rPr>
          <w:rFonts w:ascii="Aptos" w:eastAsia="Aptos" w:hAnsi="Aptos" w:cs="Aptos"/>
          <w:color w:val="000000" w:themeColor="text1"/>
        </w:rPr>
        <w:t xml:space="preserve">, 2019). This shows that there is an understanding of the fact that mental wellbeing can have a significant impact on policing. </w:t>
      </w:r>
    </w:p>
    <w:p w14:paraId="6CAE6414" w14:textId="77777777" w:rsidR="00A62B51" w:rsidRPr="00841B73" w:rsidRDefault="00A62B51" w:rsidP="00A62B51">
      <w:pPr>
        <w:rPr>
          <w:rFonts w:ascii="Aptos" w:eastAsia="Aptos" w:hAnsi="Aptos" w:cs="Aptos"/>
          <w:color w:val="000000" w:themeColor="text1"/>
        </w:rPr>
      </w:pPr>
      <w:proofErr w:type="spellStart"/>
      <w:r w:rsidRPr="00841B73">
        <w:rPr>
          <w:rFonts w:ascii="Aptos" w:eastAsia="Aptos" w:hAnsi="Aptos" w:cs="Aptos"/>
          <w:color w:val="000000" w:themeColor="text1"/>
        </w:rPr>
        <w:t>Purba</w:t>
      </w:r>
      <w:proofErr w:type="spellEnd"/>
      <w:r w:rsidRPr="00841B73">
        <w:rPr>
          <w:rFonts w:ascii="Aptos" w:eastAsia="Aptos" w:hAnsi="Aptos" w:cs="Aptos"/>
          <w:color w:val="000000" w:themeColor="text1"/>
        </w:rPr>
        <w:t xml:space="preserve"> &amp; </w:t>
      </w:r>
      <w:proofErr w:type="spellStart"/>
      <w:r w:rsidRPr="00841B73">
        <w:rPr>
          <w:rFonts w:ascii="Aptos" w:eastAsia="Aptos" w:hAnsi="Aptos" w:cs="Aptos"/>
          <w:color w:val="000000" w:themeColor="text1"/>
        </w:rPr>
        <w:t>Demou</w:t>
      </w:r>
      <w:proofErr w:type="spellEnd"/>
      <w:r w:rsidRPr="00841B73">
        <w:rPr>
          <w:rFonts w:ascii="Aptos" w:eastAsia="Aptos" w:hAnsi="Aptos" w:cs="Aptos"/>
          <w:color w:val="000000" w:themeColor="text1"/>
        </w:rPr>
        <w:t xml:space="preserve"> (2019) mentions multiple factors of police work that has been linked to mental ill health such as continuously working in situations wherein people are experiencing significant trauma. Research has shown that the concept of ‘secondary traumatization’ exists especially in relation to first responders. The idea is that trauma experienced by others can impact first responders that attend to assist during such events (</w:t>
      </w:r>
      <w:proofErr w:type="spellStart"/>
      <w:r w:rsidRPr="00841B73">
        <w:rPr>
          <w:rFonts w:ascii="Aptos" w:eastAsia="Aptos" w:hAnsi="Aptos" w:cs="Aptos"/>
          <w:color w:val="000000" w:themeColor="text1"/>
        </w:rPr>
        <w:t>Greinacher</w:t>
      </w:r>
      <w:proofErr w:type="spellEnd"/>
      <w:r w:rsidRPr="00841B73">
        <w:rPr>
          <w:rFonts w:ascii="Aptos" w:eastAsia="Aptos" w:hAnsi="Aptos" w:cs="Aptos"/>
          <w:color w:val="000000" w:themeColor="text1"/>
        </w:rPr>
        <w:t xml:space="preserve"> </w:t>
      </w:r>
      <w:proofErr w:type="gramStart"/>
      <w:r w:rsidRPr="00841B73">
        <w:rPr>
          <w:rFonts w:ascii="Aptos" w:eastAsia="Aptos" w:hAnsi="Aptos" w:cs="Aptos"/>
          <w:color w:val="000000" w:themeColor="text1"/>
        </w:rPr>
        <w:t>et.al ,</w:t>
      </w:r>
      <w:proofErr w:type="gramEnd"/>
      <w:r w:rsidRPr="00841B73">
        <w:rPr>
          <w:rFonts w:ascii="Aptos" w:eastAsia="Aptos" w:hAnsi="Aptos" w:cs="Aptos"/>
          <w:color w:val="000000" w:themeColor="text1"/>
        </w:rPr>
        <w:t xml:space="preserve"> 2019)</w:t>
      </w:r>
    </w:p>
    <w:p w14:paraId="794251E4"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Flannery (2015) writes about the increased risk for responders to critical incidents to experience psychological trauma and posttraumatic stress disorder. He notes that between 5.9% to 22% of first responders to such incidents experience this. </w:t>
      </w:r>
    </w:p>
    <w:p w14:paraId="004C9723"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The impact of mental ill health within the police can be split into different factors; one being that mental ill health can lead to absence from work. This then increases the pressure on others as the number of officers available at any given time will be decreased and this will then impact others who are in work and create a higher workload for those officers. Furthermore, mental ill health in officers can impact on the quality of work and the general efficiency of the individual officer to complete their role (Cartwright &amp; Roach, 2020). </w:t>
      </w:r>
    </w:p>
    <w:p w14:paraId="154EBE35"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lastRenderedPageBreak/>
        <w:t xml:space="preserve">In 2016 the Police Federation conducted a study exploring mental health in police officers. The survey showed that 39% of the respondents were seeking help with mental health problems and that more than 25% responded that they had been absent from work due to work related stress (Police Federation, 2016). With these numbers </w:t>
      </w:r>
      <w:proofErr w:type="gramStart"/>
      <w:r w:rsidRPr="00841B73">
        <w:rPr>
          <w:rFonts w:ascii="Aptos" w:eastAsia="Aptos" w:hAnsi="Aptos" w:cs="Aptos"/>
          <w:color w:val="000000" w:themeColor="text1"/>
        </w:rPr>
        <w:t>it is clear that mental</w:t>
      </w:r>
      <w:proofErr w:type="gramEnd"/>
      <w:r w:rsidRPr="00841B73">
        <w:rPr>
          <w:rFonts w:ascii="Aptos" w:eastAsia="Aptos" w:hAnsi="Aptos" w:cs="Aptos"/>
          <w:color w:val="000000" w:themeColor="text1"/>
        </w:rPr>
        <w:t xml:space="preserve"> wellbeing is of significant importance and that failing to address the issue will have a negative impact on officers and their job. With more officers being sick the stress on the remaining officers is heightened which can lead to a circle that is hard to break. </w:t>
      </w:r>
    </w:p>
    <w:p w14:paraId="08E3BC58"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Mental wellbeing and mental health are irrefutably linked, but mental wellbeing also covers more factors. One can be negatively impacted without having mental ill health. Less focus on mental wellbeing in officers can lead to a multitude of issues such as burnout as well as mental illness such as anxiety and depression (Oliver, Et Al, 2023). </w:t>
      </w:r>
    </w:p>
    <w:p w14:paraId="23BD2995"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Oliver et </w:t>
      </w:r>
      <w:proofErr w:type="spellStart"/>
      <w:r w:rsidRPr="00841B73">
        <w:rPr>
          <w:rFonts w:ascii="Aptos" w:eastAsia="Aptos" w:hAnsi="Aptos" w:cs="Aptos"/>
          <w:color w:val="000000" w:themeColor="text1"/>
        </w:rPr>
        <w:t>al's</w:t>
      </w:r>
      <w:proofErr w:type="spellEnd"/>
      <w:r w:rsidRPr="00841B73">
        <w:rPr>
          <w:rFonts w:ascii="Aptos" w:eastAsia="Aptos" w:hAnsi="Aptos" w:cs="Aptos"/>
          <w:color w:val="000000" w:themeColor="text1"/>
        </w:rPr>
        <w:t xml:space="preserve"> (2023) research showed that there was a link between job and organisational stress and the level of wellbeing experienced by police officers and staff. This shows that lowering stress and focusing on mental wellbeing can be significant in relation to improving police health and overall wellbeing. </w:t>
      </w:r>
    </w:p>
    <w:p w14:paraId="2AF10C35" w14:textId="77777777" w:rsidR="00A62B51" w:rsidRPr="00841B73" w:rsidRDefault="00A62B51" w:rsidP="00A62B51">
      <w:pPr>
        <w:rPr>
          <w:rFonts w:ascii="Aptos" w:eastAsia="Aptos" w:hAnsi="Aptos" w:cs="Aptos"/>
          <w:color w:val="000000" w:themeColor="text1"/>
        </w:rPr>
      </w:pPr>
      <w:proofErr w:type="gramStart"/>
      <w:r w:rsidRPr="00841B73">
        <w:rPr>
          <w:rFonts w:ascii="Aptos" w:eastAsia="Aptos" w:hAnsi="Aptos" w:cs="Aptos"/>
          <w:color w:val="000000" w:themeColor="text1"/>
        </w:rPr>
        <w:t>As a whole the</w:t>
      </w:r>
      <w:proofErr w:type="gramEnd"/>
      <w:r w:rsidRPr="00841B73">
        <w:rPr>
          <w:rFonts w:ascii="Aptos" w:eastAsia="Aptos" w:hAnsi="Aptos" w:cs="Aptos"/>
          <w:color w:val="000000" w:themeColor="text1"/>
        </w:rPr>
        <w:t xml:space="preserve"> police have improved how they deal with mental wellbeing. Historically however the police have been known as an organisation where mental health has been swept under the rug. The impact of this has been significant with a great number of officers having subsequently showed signs of PTSD and stress related illness, as well as physical ailments such as cardiovascular disease (Foley, Hassett &amp; Williams, 2022). </w:t>
      </w:r>
    </w:p>
    <w:p w14:paraId="7C6E1974"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Burnout is also a concept that has been linked with mental wellbeing. Burnout often involves mental fatigue, general issues with performance, and problems with connecting with others and their emotions. Burnout is a significant risk in professions such as policing as it can negatively impact the level of support officers are able to give to individuals that are experiencing significant trauma (Foley &amp; Massey, 2021). </w:t>
      </w:r>
    </w:p>
    <w:p w14:paraId="26D36CEE"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In conclusion. The importance of mental wellbeing in policing is significant, and failing to have a focus on the issue might have a massive impact not only on the individual officer but also on other officers and the general </w:t>
      </w:r>
      <w:proofErr w:type="gramStart"/>
      <w:r w:rsidRPr="00841B73">
        <w:rPr>
          <w:rFonts w:ascii="Aptos" w:eastAsia="Aptos" w:hAnsi="Aptos" w:cs="Aptos"/>
          <w:color w:val="000000" w:themeColor="text1"/>
        </w:rPr>
        <w:t>population as a whole</w:t>
      </w:r>
      <w:proofErr w:type="gramEnd"/>
      <w:r w:rsidRPr="00841B73">
        <w:rPr>
          <w:rFonts w:ascii="Aptos" w:eastAsia="Aptos" w:hAnsi="Aptos" w:cs="Aptos"/>
          <w:color w:val="000000" w:themeColor="text1"/>
        </w:rPr>
        <w:t xml:space="preserve">. A police </w:t>
      </w:r>
      <w:proofErr w:type="gramStart"/>
      <w:r w:rsidRPr="00841B73">
        <w:rPr>
          <w:rFonts w:ascii="Aptos" w:eastAsia="Aptos" w:hAnsi="Aptos" w:cs="Aptos"/>
          <w:color w:val="000000" w:themeColor="text1"/>
        </w:rPr>
        <w:t>officer(</w:t>
      </w:r>
      <w:proofErr w:type="gramEnd"/>
      <w:r w:rsidRPr="00841B73">
        <w:rPr>
          <w:rFonts w:ascii="Aptos" w:eastAsia="Aptos" w:hAnsi="Aptos" w:cs="Aptos"/>
          <w:color w:val="000000" w:themeColor="text1"/>
        </w:rPr>
        <w:t>')s role holds such an important position in society and in keeping their communities safe that if officers’ mental wellbeing is not looked after it can impact on the communities as a whole.</w:t>
      </w:r>
    </w:p>
    <w:p w14:paraId="1806AE9F"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Police are supposed to be there during someone’s worst times, and an unwell officer would be unable to do this. It has always been understood that physical illness has an impact in rendering someone unable to conduct work, but it is only in recent years that an understanding that mental illness can do the same. There are few roles in society where the risk to others </w:t>
      </w:r>
      <w:proofErr w:type="gramStart"/>
      <w:r w:rsidRPr="00841B73">
        <w:rPr>
          <w:rFonts w:ascii="Aptos" w:eastAsia="Aptos" w:hAnsi="Aptos" w:cs="Aptos"/>
          <w:color w:val="000000" w:themeColor="text1"/>
        </w:rPr>
        <w:t>are</w:t>
      </w:r>
      <w:proofErr w:type="gramEnd"/>
      <w:r w:rsidRPr="00841B73">
        <w:rPr>
          <w:rFonts w:ascii="Aptos" w:eastAsia="Aptos" w:hAnsi="Aptos" w:cs="Aptos"/>
          <w:color w:val="000000" w:themeColor="text1"/>
        </w:rPr>
        <w:t xml:space="preserve"> as high as it is with policing and therefore mental wellbeing </w:t>
      </w:r>
      <w:r w:rsidRPr="00841B73">
        <w:rPr>
          <w:rFonts w:ascii="Aptos" w:eastAsia="Aptos" w:hAnsi="Aptos" w:cs="Aptos"/>
          <w:color w:val="000000" w:themeColor="text1"/>
        </w:rPr>
        <w:lastRenderedPageBreak/>
        <w:t xml:space="preserve">has to be a significant part of the organisation’s focus to ensure that its officers are fit to conduct that duty to their full extent. </w:t>
      </w:r>
    </w:p>
    <w:p w14:paraId="5365BA2A"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(Word count: 915)</w:t>
      </w:r>
    </w:p>
    <w:p w14:paraId="00A3C423" w14:textId="77777777" w:rsidR="00A62B51" w:rsidRPr="00841B73" w:rsidRDefault="00A62B51" w:rsidP="00A62B51">
      <w:pPr>
        <w:rPr>
          <w:rFonts w:ascii="Aptos" w:eastAsia="Aptos" w:hAnsi="Aptos" w:cs="Aptos"/>
          <w:color w:val="000000" w:themeColor="text1"/>
        </w:rPr>
      </w:pPr>
    </w:p>
    <w:p w14:paraId="25A83541" w14:textId="77777777" w:rsidR="00A62B51" w:rsidRPr="00A62B51" w:rsidRDefault="00A62B51" w:rsidP="00A62B51">
      <w:pPr>
        <w:rPr>
          <w:rFonts w:ascii="Aptos" w:eastAsia="Aptos" w:hAnsi="Aptos" w:cs="Aptos"/>
          <w:b/>
          <w:bCs/>
          <w:color w:val="000000" w:themeColor="text1"/>
        </w:rPr>
      </w:pPr>
      <w:r w:rsidRPr="00A62B51">
        <w:rPr>
          <w:rFonts w:ascii="Aptos" w:eastAsia="Aptos" w:hAnsi="Aptos" w:cs="Aptos"/>
          <w:b/>
          <w:bCs/>
          <w:color w:val="000000" w:themeColor="text1"/>
        </w:rPr>
        <w:t xml:space="preserve">Essay three: </w:t>
      </w:r>
    </w:p>
    <w:p w14:paraId="13E4E5E0"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Personal attitudes, values and biases are things that can have a profound impact on the investigation of volume crime. Volume crime is the bulk of crime that the police have an involvement with, such as burglary, theft, criminal damage and so on (NPIA, 2009). The individual officer conducting the investigation should always be aware and keep in mind how their own views and values might impact on their perception of the case in front of them.</w:t>
      </w:r>
    </w:p>
    <w:p w14:paraId="4F53776C"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Starting with bias, there are many different types of bias, and they can all impact on how you see the world. Affinity bias, attribution bias, confirmation bias etc. (NHS, 2022). All the different types of bias can influence the decisions and actions taken by an individual and this can have a lot of impact on a criminal investigation. Take affinity bias, meaning to be positively bias towards things and people that you have an affinity for. One is more likely to look at someone in a positive light if one has an affinity for that person. On the other </w:t>
      </w:r>
      <w:proofErr w:type="gramStart"/>
      <w:r w:rsidRPr="00841B73">
        <w:rPr>
          <w:rFonts w:ascii="Aptos" w:eastAsia="Aptos" w:hAnsi="Aptos" w:cs="Aptos"/>
          <w:color w:val="000000" w:themeColor="text1"/>
        </w:rPr>
        <w:t>hand</w:t>
      </w:r>
      <w:proofErr w:type="gramEnd"/>
      <w:r w:rsidRPr="00841B73">
        <w:rPr>
          <w:rFonts w:ascii="Aptos" w:eastAsia="Aptos" w:hAnsi="Aptos" w:cs="Aptos"/>
          <w:color w:val="000000" w:themeColor="text1"/>
        </w:rPr>
        <w:t xml:space="preserve"> a lack of affinity towards someone can negatively impact how one views that individual. </w:t>
      </w:r>
    </w:p>
    <w:p w14:paraId="50195B27"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As stated above there are different types of bias, but when it comes to criminal investigations confirmation bias is often highlighted as an issue to look out for. Confirmation bias means to have a hypothesis and to search for evidence that will fit into that hypothesis and to, at the same time, ignore evidence that will not. This type of bias is usually not conscious (O’Brien, 2009). The impact this can have on investigations is significant and could, in the worst-case scenario, lead to the wrong persons being convicted for a crime that they have not committed. There are </w:t>
      </w:r>
      <w:proofErr w:type="gramStart"/>
      <w:r w:rsidRPr="00841B73">
        <w:rPr>
          <w:rFonts w:ascii="Aptos" w:eastAsia="Aptos" w:hAnsi="Aptos" w:cs="Aptos"/>
          <w:color w:val="000000" w:themeColor="text1"/>
        </w:rPr>
        <w:t>a number of</w:t>
      </w:r>
      <w:proofErr w:type="gramEnd"/>
      <w:r w:rsidRPr="00841B73">
        <w:rPr>
          <w:rFonts w:ascii="Aptos" w:eastAsia="Aptos" w:hAnsi="Aptos" w:cs="Aptos"/>
          <w:color w:val="000000" w:themeColor="text1"/>
        </w:rPr>
        <w:t xml:space="preserve"> cases in British criminal history that show the dangers of confirmation bias, as for example the Cardiff 5 the Birmingham 6 or the McGuire 7. These are all cases of wrongful convictions that lead to innocent people spending years in prison. This can be seen across multiple countries throughout modern policing history.</w:t>
      </w:r>
    </w:p>
    <w:p w14:paraId="77CAB6BD"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An individuals’ values can also significantly impact on how that person would conduct investigations. An officer’s values can directly impact what they think in relation to a set of circumstances. An officer with Western upbringing and Christian values is likely to have a different opinion than an officer with Eastern upbringing and Buddhist values. Glazer and Torres (2022) wrote about the fact that a racially motivated police force can impact on how they police. This is down to values. It is a known fact that minorities are </w:t>
      </w:r>
      <w:r w:rsidRPr="00841B73">
        <w:rPr>
          <w:rFonts w:ascii="Aptos" w:eastAsia="Aptos" w:hAnsi="Aptos" w:cs="Aptos"/>
          <w:color w:val="000000" w:themeColor="text1"/>
        </w:rPr>
        <w:lastRenderedPageBreak/>
        <w:t>disproportionately reported as having committed a crime compared to their majority counterparts.</w:t>
      </w:r>
    </w:p>
    <w:p w14:paraId="36D16D1E" w14:textId="77777777" w:rsidR="00A62B51" w:rsidRPr="00841B73" w:rsidRDefault="00A62B51" w:rsidP="00A62B51">
      <w:pPr>
        <w:rPr>
          <w:rFonts w:ascii="Aptos" w:eastAsia="Aptos" w:hAnsi="Aptos" w:cs="Aptos"/>
          <w:color w:val="000000" w:themeColor="text1"/>
        </w:rPr>
      </w:pPr>
    </w:p>
    <w:p w14:paraId="1B53E680"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Personal attitudes are shaped from a </w:t>
      </w:r>
      <w:proofErr w:type="spellStart"/>
      <w:proofErr w:type="gramStart"/>
      <w:r w:rsidRPr="00841B73">
        <w:rPr>
          <w:rFonts w:ascii="Aptos" w:eastAsia="Aptos" w:hAnsi="Aptos" w:cs="Aptos"/>
          <w:color w:val="000000" w:themeColor="text1"/>
        </w:rPr>
        <w:t>persons</w:t>
      </w:r>
      <w:proofErr w:type="spellEnd"/>
      <w:proofErr w:type="gramEnd"/>
      <w:r w:rsidRPr="00841B73">
        <w:rPr>
          <w:rFonts w:ascii="Aptos" w:eastAsia="Aptos" w:hAnsi="Aptos" w:cs="Aptos"/>
          <w:color w:val="000000" w:themeColor="text1"/>
        </w:rPr>
        <w:t xml:space="preserve"> beliefs and feelings and will often dictate how we handle a situation. Personal attitudes will also shape how an individual will perceive a situation (IAA, 2024). Take a situation where an officer has a negative attitude about the victim of a crime. The officer is less likely to believe the victim and more likely to let the offender get away with the crime. An officer should always be aware of their attitude towards people and cases, and the policing organisation </w:t>
      </w:r>
      <w:proofErr w:type="gramStart"/>
      <w:r w:rsidRPr="00841B73">
        <w:rPr>
          <w:rFonts w:ascii="Aptos" w:eastAsia="Aptos" w:hAnsi="Aptos" w:cs="Aptos"/>
          <w:color w:val="000000" w:themeColor="text1"/>
        </w:rPr>
        <w:t>as a whole should</w:t>
      </w:r>
      <w:proofErr w:type="gramEnd"/>
      <w:r w:rsidRPr="00841B73">
        <w:rPr>
          <w:rFonts w:ascii="Aptos" w:eastAsia="Aptos" w:hAnsi="Aptos" w:cs="Aptos"/>
          <w:color w:val="000000" w:themeColor="text1"/>
        </w:rPr>
        <w:t xml:space="preserve"> work towards avoiding such tendencies among their officers. </w:t>
      </w:r>
    </w:p>
    <w:p w14:paraId="7CBE84BA" w14:textId="77777777" w:rsidR="00A62B51" w:rsidRPr="00841B73" w:rsidRDefault="00A62B51" w:rsidP="00A62B51">
      <w:pPr>
        <w:rPr>
          <w:rFonts w:ascii="Aptos" w:eastAsia="Aptos" w:hAnsi="Aptos" w:cs="Aptos"/>
          <w:color w:val="000000" w:themeColor="text1"/>
        </w:rPr>
      </w:pPr>
    </w:p>
    <w:p w14:paraId="33F6D7AC"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Bias, values and personal attitudes combined can often be a part of what shapes a person. How we as individuals perceive the world is very much linked to these factors. When it comes to a criminal investigation, they can lead to horrible mistakes being made. Education into the subject is necessary to make persons aware of the impact these factors can have on a criminal investigation. </w:t>
      </w:r>
    </w:p>
    <w:p w14:paraId="1FBC9DF4"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Race is the easiest factor to look at when it comes to bias and policing. There have been countless studies in relation to racism and the police. There is a long history of issues in relation to police and minority ethnic groups. There is substantial evidence that show that historically policing has been biased towards black and ethnic minority communities, and a disproportionate amount of people in prison today is from these groups. In modern times this bias towards minorities has shifted from being explicit and out in the open to being more implicit and/or unconscious (Spencer </w:t>
      </w:r>
      <w:proofErr w:type="spellStart"/>
      <w:proofErr w:type="gramStart"/>
      <w:r w:rsidRPr="00841B73">
        <w:rPr>
          <w:rFonts w:ascii="Aptos" w:eastAsia="Aptos" w:hAnsi="Aptos" w:cs="Aptos"/>
          <w:color w:val="000000" w:themeColor="text1"/>
        </w:rPr>
        <w:t>et,al</w:t>
      </w:r>
      <w:proofErr w:type="spellEnd"/>
      <w:proofErr w:type="gramEnd"/>
      <w:r w:rsidRPr="00841B73">
        <w:rPr>
          <w:rFonts w:ascii="Aptos" w:eastAsia="Aptos" w:hAnsi="Aptos" w:cs="Aptos"/>
          <w:color w:val="000000" w:themeColor="text1"/>
        </w:rPr>
        <w:t xml:space="preserve"> 2016). We all know that such factors should not in fact impact upon criminal investigation. </w:t>
      </w:r>
      <w:proofErr w:type="gramStart"/>
      <w:r w:rsidRPr="00841B73">
        <w:rPr>
          <w:rFonts w:ascii="Aptos" w:eastAsia="Aptos" w:hAnsi="Aptos" w:cs="Aptos"/>
          <w:color w:val="000000" w:themeColor="text1"/>
        </w:rPr>
        <w:t>However</w:t>
      </w:r>
      <w:proofErr w:type="gramEnd"/>
      <w:r w:rsidRPr="00841B73">
        <w:rPr>
          <w:rFonts w:ascii="Aptos" w:eastAsia="Aptos" w:hAnsi="Aptos" w:cs="Aptos"/>
          <w:color w:val="000000" w:themeColor="text1"/>
        </w:rPr>
        <w:t xml:space="preserve"> the bias is often unconscious and therefore hard to spot for many officers. </w:t>
      </w:r>
    </w:p>
    <w:p w14:paraId="22046386"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These factors can impact on one’s decision making both individual and operational. Hammond et.al (1998) writes about ‘The Hidden Traps in Decision making’ mentioning bias as one of the traps. Bias can influence the decisions we make based on our own preconceptions. We as human beings </w:t>
      </w:r>
      <w:proofErr w:type="gramStart"/>
      <w:r w:rsidRPr="00841B73">
        <w:rPr>
          <w:rFonts w:ascii="Aptos" w:eastAsia="Aptos" w:hAnsi="Aptos" w:cs="Aptos"/>
          <w:color w:val="000000" w:themeColor="text1"/>
        </w:rPr>
        <w:t>have a tendency to</w:t>
      </w:r>
      <w:proofErr w:type="gramEnd"/>
      <w:r w:rsidRPr="00841B73">
        <w:rPr>
          <w:rFonts w:ascii="Aptos" w:eastAsia="Aptos" w:hAnsi="Aptos" w:cs="Aptos"/>
          <w:color w:val="000000" w:themeColor="text1"/>
        </w:rPr>
        <w:t xml:space="preserve"> try and link criminal behaviour with some other. Meaning that the closer a person seems to be to yourself the less likely one is to believe that this person can do anything wrong. This links back to how race has been a significant bias that has influenced criminal investigations. </w:t>
      </w:r>
    </w:p>
    <w:p w14:paraId="1D6AC2E7" w14:textId="77777777" w:rsidR="00A62B51" w:rsidRPr="00841B73" w:rsidRDefault="00A62B51" w:rsidP="00A62B51">
      <w:pPr>
        <w:rPr>
          <w:rFonts w:ascii="Aptos" w:eastAsia="Aptos" w:hAnsi="Aptos" w:cs="Aptos"/>
          <w:color w:val="000000" w:themeColor="text1"/>
        </w:rPr>
      </w:pPr>
    </w:p>
    <w:p w14:paraId="23C3ECBD"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 xml:space="preserve">In conclusion personal attitudes, values and bias can have a massive impact on the investigation of volume crime. From what actions get taken to what decisions are made during the investigation. Each individual officer can perceive a situation completely differently based on their own personal attitudes, values and bias. Educating officers to </w:t>
      </w:r>
      <w:r w:rsidRPr="00841B73">
        <w:rPr>
          <w:rFonts w:ascii="Aptos" w:eastAsia="Aptos" w:hAnsi="Aptos" w:cs="Aptos"/>
          <w:color w:val="000000" w:themeColor="text1"/>
        </w:rPr>
        <w:lastRenderedPageBreak/>
        <w:t xml:space="preserve">look past their pre-conceived notions will over time make criminal investigation more fair and likely to have a justified outcome. Diversity and inclusion within the police as an organisation </w:t>
      </w:r>
      <w:proofErr w:type="gramStart"/>
      <w:r w:rsidRPr="00841B73">
        <w:rPr>
          <w:rFonts w:ascii="Aptos" w:eastAsia="Aptos" w:hAnsi="Aptos" w:cs="Aptos"/>
          <w:color w:val="000000" w:themeColor="text1"/>
        </w:rPr>
        <w:t>is</w:t>
      </w:r>
      <w:proofErr w:type="gramEnd"/>
      <w:r w:rsidRPr="00841B73">
        <w:rPr>
          <w:rFonts w:ascii="Aptos" w:eastAsia="Aptos" w:hAnsi="Aptos" w:cs="Aptos"/>
          <w:color w:val="000000" w:themeColor="text1"/>
        </w:rPr>
        <w:t xml:space="preserve"> also likely to lead to these factors being less significant towards the outcome of criminal investigation in the future. - why? Because there are more varied viewpoints, morals and opinions in a more diverse workforce, which is likely to make investigations fairer and to decrease the likelihood of bias in said investigations.</w:t>
      </w:r>
    </w:p>
    <w:p w14:paraId="2E5DD9D1" w14:textId="77777777" w:rsidR="00A62B51" w:rsidRPr="00841B73" w:rsidRDefault="00A62B51" w:rsidP="00A62B51">
      <w:pPr>
        <w:rPr>
          <w:rFonts w:ascii="Aptos" w:eastAsia="Aptos" w:hAnsi="Aptos" w:cs="Aptos"/>
          <w:color w:val="000000" w:themeColor="text1"/>
        </w:rPr>
      </w:pPr>
      <w:r w:rsidRPr="00841B73">
        <w:rPr>
          <w:rFonts w:ascii="Aptos" w:eastAsia="Aptos" w:hAnsi="Aptos" w:cs="Aptos"/>
          <w:color w:val="000000" w:themeColor="text1"/>
        </w:rPr>
        <w:t>(Word Count: 968)</w:t>
      </w:r>
    </w:p>
    <w:p w14:paraId="014D064F" w14:textId="77777777" w:rsidR="004F15AE" w:rsidRDefault="004F15AE"/>
    <w:p w14:paraId="3EA5145E" w14:textId="77777777" w:rsidR="007E1E04" w:rsidRDefault="007E1E04"/>
    <w:p w14:paraId="1AEA9176" w14:textId="77777777" w:rsidR="00433752" w:rsidRDefault="00433752"/>
    <w:p w14:paraId="784F98F6" w14:textId="77777777" w:rsidR="00433752" w:rsidRDefault="00433752"/>
    <w:p w14:paraId="3291C102" w14:textId="77777777" w:rsidR="008744B8" w:rsidRPr="00355189" w:rsidRDefault="008744B8">
      <w:pPr>
        <w:rPr>
          <w:b/>
          <w:bCs/>
        </w:rPr>
      </w:pPr>
      <w:r w:rsidRPr="00355189">
        <w:rPr>
          <w:b/>
          <w:bCs/>
        </w:rPr>
        <w:t xml:space="preserve"> Essay four: </w:t>
      </w:r>
    </w:p>
    <w:p w14:paraId="7742E6FD" w14:textId="72E0B461" w:rsidR="008744B8" w:rsidRDefault="003E3C0B">
      <w:r w:rsidRPr="003E3C0B">
        <w:t xml:space="preserve">Serious </w:t>
      </w:r>
      <w:r>
        <w:t xml:space="preserve">and organised crime and public protection can be linked in </w:t>
      </w:r>
      <w:proofErr w:type="gramStart"/>
      <w:r>
        <w:t>a number of</w:t>
      </w:r>
      <w:proofErr w:type="gramEnd"/>
      <w:r>
        <w:t xml:space="preserve"> ways. There are also </w:t>
      </w:r>
      <w:proofErr w:type="gramStart"/>
      <w:r>
        <w:t>a number of</w:t>
      </w:r>
      <w:proofErr w:type="gramEnd"/>
      <w:r>
        <w:t xml:space="preserve"> characteristics that can make some people vulnerable to exploitation. </w:t>
      </w:r>
    </w:p>
    <w:p w14:paraId="13287738" w14:textId="12015AF9" w:rsidR="003E3C0B" w:rsidRDefault="003E3C0B">
      <w:r>
        <w:t xml:space="preserve">There are many different types of organised crime, from drug trafficking to Modern day slavery (Crocker, et, al, 2017). Organised crime is handled in different ways but will often be managed by pursuing known groups or individuals involved with organised crime. </w:t>
      </w:r>
    </w:p>
    <w:p w14:paraId="48D43D75" w14:textId="359CB5B1" w:rsidR="003E3C0B" w:rsidRDefault="003E3C0B" w:rsidP="003E3C0B">
      <w:pPr>
        <w:tabs>
          <w:tab w:val="left" w:pos="1610"/>
        </w:tabs>
      </w:pPr>
      <w:r>
        <w:t xml:space="preserve">Characteristics that are often linked to people being more vulnerable to exploitation by </w:t>
      </w:r>
      <w:r w:rsidR="00B820D3">
        <w:t>these types of groups</w:t>
      </w:r>
      <w:r>
        <w:t xml:space="preserve"> have many factors. Economy, societal status, education, and so on. There is also evidence to suggest that people with multiple adverse childhood experiences are more likely to be exploited by </w:t>
      </w:r>
      <w:proofErr w:type="spellStart"/>
      <w:proofErr w:type="gramStart"/>
      <w:r>
        <w:t>a</w:t>
      </w:r>
      <w:proofErr w:type="spellEnd"/>
      <w:proofErr w:type="gramEnd"/>
      <w:r>
        <w:t xml:space="preserve"> organised crime gang</w:t>
      </w:r>
      <w:r w:rsidR="00A87549">
        <w:t xml:space="preserve"> (Home office, 2023)</w:t>
      </w:r>
      <w:r>
        <w:t xml:space="preserve">. </w:t>
      </w:r>
    </w:p>
    <w:p w14:paraId="27753CF6" w14:textId="7383FAC6" w:rsidR="0028028B" w:rsidRDefault="0028028B" w:rsidP="003E3C0B">
      <w:pPr>
        <w:tabs>
          <w:tab w:val="left" w:pos="1610"/>
        </w:tabs>
      </w:pPr>
      <w:r>
        <w:t xml:space="preserve">A vulnerable person has been deemed to be someone who lacks the ability to take fully care of themselves due to factors such as age, </w:t>
      </w:r>
      <w:r w:rsidR="00355189">
        <w:t>disability,</w:t>
      </w:r>
      <w:r>
        <w:t xml:space="preserve"> trauma, mental health and so on. Societal status, homelessness and such has also been linked to vulnerability in people (Moyle, 2019)</w:t>
      </w:r>
    </w:p>
    <w:p w14:paraId="14B33CAE" w14:textId="293881BB" w:rsidR="00355189" w:rsidRDefault="00355189" w:rsidP="003E3C0B">
      <w:pPr>
        <w:tabs>
          <w:tab w:val="left" w:pos="1610"/>
        </w:tabs>
      </w:pPr>
      <w:r>
        <w:t>Vulnerable people such as people with developmental disabilities has been found to be more likely to become a victim of crime than people without these disabilities. It has also been found that these crimes are under reported and often go undetected (Petersilia, 2001).</w:t>
      </w:r>
    </w:p>
    <w:p w14:paraId="44FCA17F" w14:textId="0F411201" w:rsidR="00B820D3" w:rsidRDefault="003E3C0B" w:rsidP="003E3C0B">
      <w:pPr>
        <w:tabs>
          <w:tab w:val="left" w:pos="1610"/>
        </w:tabs>
      </w:pPr>
      <w:r>
        <w:t>Many young people today feel disenfranchised by society and struggle finding their space in the community around them. This leaves them especially vulnerable to offenders that w</w:t>
      </w:r>
      <w:r w:rsidR="00B820D3">
        <w:t>ant</w:t>
      </w:r>
      <w:r>
        <w:t xml:space="preserve"> to exploit them for gain. Well organised offenders will often target </w:t>
      </w:r>
      <w:r>
        <w:lastRenderedPageBreak/>
        <w:t xml:space="preserve">individuals with traits and factors that they know make them vulnerable. A child from a </w:t>
      </w:r>
      <w:r w:rsidR="00B820D3">
        <w:t>low-income</w:t>
      </w:r>
      <w:r>
        <w:t xml:space="preserve"> family is given money and gifts, a child from a</w:t>
      </w:r>
      <w:r w:rsidR="00B820D3">
        <w:t>n</w:t>
      </w:r>
      <w:r>
        <w:t xml:space="preserve"> emotionally neglectful house is given ‘love and affection’. To the vulnerable these can be strong incentives to do what they are being told</w:t>
      </w:r>
      <w:r w:rsidR="00012101">
        <w:t xml:space="preserve"> (Bryant &amp; Ellard, 2015)</w:t>
      </w:r>
      <w:r>
        <w:t>.</w:t>
      </w:r>
    </w:p>
    <w:p w14:paraId="4042FF5E" w14:textId="5B5963C0" w:rsidR="008E5E99" w:rsidRDefault="008E5E99" w:rsidP="003E3C0B">
      <w:pPr>
        <w:tabs>
          <w:tab w:val="left" w:pos="1610"/>
        </w:tabs>
      </w:pPr>
      <w:r>
        <w:t xml:space="preserve">Issues have been raised in how child criminal exploitation is being handled in the United Kingdom. It is felt that the current model might make it easier for children to get caught up in the criminal justice system (Marshall, 2023). This </w:t>
      </w:r>
      <w:proofErr w:type="gramStart"/>
      <w:r>
        <w:t>opens up</w:t>
      </w:r>
      <w:proofErr w:type="gramEnd"/>
      <w:r>
        <w:t xml:space="preserve"> the possibility for more children being exposed to and being put into contact with organised crime.</w:t>
      </w:r>
    </w:p>
    <w:p w14:paraId="7E6A02B8" w14:textId="11A50B86" w:rsidR="00B820D3" w:rsidRDefault="00B820D3" w:rsidP="003E3C0B">
      <w:pPr>
        <w:tabs>
          <w:tab w:val="left" w:pos="1610"/>
        </w:tabs>
      </w:pPr>
      <w:r>
        <w:t>Take county lines, the organised trafficking of drugs across counties in the UK. Runners of county lines has been found to target vulnerable people and use them to facilitate drug running. The young or vulnerable people are coerced or manipulated into committing criminal acts for the groups (Atkinson-Sheppard, et al 2023)</w:t>
      </w:r>
    </w:p>
    <w:p w14:paraId="59957CFC" w14:textId="563EF8FF" w:rsidR="006B1ADA" w:rsidRPr="003C648C" w:rsidRDefault="00AD78DF" w:rsidP="006B1ADA">
      <w:r>
        <w:t xml:space="preserve">Cuckooing is another form of exploitation organised and especially county lines use. They use vulnerable people to set up a base in their property, often without the owner of the property being </w:t>
      </w:r>
      <w:proofErr w:type="gramStart"/>
      <w:r>
        <w:t>in a position</w:t>
      </w:r>
      <w:proofErr w:type="gramEnd"/>
      <w:r>
        <w:t xml:space="preserve"> to refuse. They take over the homes of people that are especially vulnerable through things like learning difficulties, drug addiction, mental health issues, physical disabilities and more. Depending on the type of vulnerability different methods are used. Drugs for the addict or money for the poor. This type of abuse is detrimental to the person living in the house as they will often take over every aspect of their life. Victims of this form of abuse are often afraid to report the behaviour as they have been conditioned over time to fear the people that have taken over their home, and they are often people who have little trust in police from before</w:t>
      </w:r>
      <w:r w:rsidR="006B1ADA">
        <w:t xml:space="preserve"> (</w:t>
      </w:r>
      <w:r w:rsidR="006B1ADA" w:rsidRPr="006B1ADA">
        <w:t>Glover Williams</w:t>
      </w:r>
      <w:r w:rsidR="006B1ADA">
        <w:t xml:space="preserve"> </w:t>
      </w:r>
      <w:r w:rsidR="006B1ADA" w:rsidRPr="006B1ADA">
        <w:t>&amp; Finlay, 2019).</w:t>
      </w:r>
    </w:p>
    <w:p w14:paraId="79C0BD80" w14:textId="48E33BCF" w:rsidR="003E3C0B" w:rsidRDefault="00012101" w:rsidP="003E3C0B">
      <w:pPr>
        <w:tabs>
          <w:tab w:val="left" w:pos="1610"/>
        </w:tabs>
      </w:pPr>
      <w:r>
        <w:t xml:space="preserve">The most vulnerable in society is often targeted by organised crime groups, not only as participants but also as victims or customers. Organised crime groups use different methods to ensure that they keep control of all parties and to avoid being found out by police. There is often a lot of threats of violence or actual violence, or there can be emotional sexual or financial exploitation used as a form of punishment or control (HM Government, 2023). </w:t>
      </w:r>
    </w:p>
    <w:p w14:paraId="5C116CFB" w14:textId="255EE913" w:rsidR="003E3C0B" w:rsidRPr="003C648C" w:rsidRDefault="00E41E59">
      <w:r>
        <w:t>There has also been found to be a link between organised crime and vulnerability to inequality and poverty. With lower income and education rates and being discriminated against there has been found that the crime rates are higher in lower income areas (</w:t>
      </w:r>
      <w:proofErr w:type="spellStart"/>
      <w:r>
        <w:t>InsideTime</w:t>
      </w:r>
      <w:proofErr w:type="spellEnd"/>
      <w:r>
        <w:t>, 2023)</w:t>
      </w:r>
    </w:p>
    <w:p w14:paraId="28503897" w14:textId="60AD805C" w:rsidR="00DB123D" w:rsidRDefault="003C648C">
      <w:proofErr w:type="spellStart"/>
      <w:r w:rsidRPr="003C648C">
        <w:t>Forleo</w:t>
      </w:r>
      <w:proofErr w:type="spellEnd"/>
      <w:r w:rsidRPr="003C648C">
        <w:t xml:space="preserve"> (1997) wrote about the link between education and crime. </w:t>
      </w:r>
      <w:r>
        <w:t>He noted that there was a link between lower income areas and lower results in education. Explaining that in essence the less money a community has the less money are spent on adequate education of it</w:t>
      </w:r>
      <w:r w:rsidR="00F6157A">
        <w:t>s</w:t>
      </w:r>
      <w:r>
        <w:t xml:space="preserve"> children. </w:t>
      </w:r>
      <w:proofErr w:type="spellStart"/>
      <w:r>
        <w:t>Forleo</w:t>
      </w:r>
      <w:proofErr w:type="spellEnd"/>
      <w:r>
        <w:t xml:space="preserve"> noted in turn that there was a clear link between areas </w:t>
      </w:r>
      <w:r>
        <w:lastRenderedPageBreak/>
        <w:t xml:space="preserve">of low education and high crime rates. Leading him to propose a link between poverty and crime rates.  </w:t>
      </w:r>
    </w:p>
    <w:p w14:paraId="5F4D7872" w14:textId="6A1810D6" w:rsidR="00DB123D" w:rsidRDefault="00462062">
      <w:r w:rsidRPr="00462062">
        <w:t>In conclusion</w:t>
      </w:r>
      <w:r>
        <w:t xml:space="preserve"> </w:t>
      </w:r>
      <w:r w:rsidR="00425F44">
        <w:t xml:space="preserve">the link between organised crime and public protection is profound. There are links on all levels from the individual to the societal. Organised crime can destroy people and communities from the inside. Organised crime </w:t>
      </w:r>
      <w:r w:rsidR="00355189">
        <w:t>encompasses</w:t>
      </w:r>
      <w:r w:rsidR="00425F44">
        <w:t xml:space="preserve"> some of the most destructive crimes. There is drug trafficking, human trafficking, weapons trafficking, child sexual exploitation, child criminal exploitation, modern day slavery and the list goes on. All of these have an impact that is measurable and noticeable on </w:t>
      </w:r>
      <w:r w:rsidR="00355189">
        <w:t>individuals’</w:t>
      </w:r>
      <w:r w:rsidR="00425F44">
        <w:t xml:space="preserve"> communities and countries. </w:t>
      </w:r>
      <w:r w:rsidR="002822FD">
        <w:t xml:space="preserve">The biggest risk </w:t>
      </w:r>
      <w:r w:rsidR="00355189">
        <w:t>is</w:t>
      </w:r>
      <w:r w:rsidR="002822FD">
        <w:t xml:space="preserve"> for the most vulnerable in society, not only as victims but also as customers or participants that have been manipulated or coerced into criminal behaviour by members of organised crime gangs. </w:t>
      </w:r>
    </w:p>
    <w:p w14:paraId="6F73AE13" w14:textId="0564CBC6" w:rsidR="002822FD" w:rsidRPr="00462062" w:rsidRDefault="002822FD">
      <w:r>
        <w:t xml:space="preserve">Masses of resources are used each year to try and tackle the problems that stem from organised crime, both financial and labour resources are used. This will also impact on the greater population as resources that could have been spent on other things goes towards tackling these issues. </w:t>
      </w:r>
    </w:p>
    <w:p w14:paraId="797CD9DA" w14:textId="740D9F1A" w:rsidR="00DB123D" w:rsidRPr="00355189" w:rsidRDefault="00355189">
      <w:r>
        <w:t xml:space="preserve">(Word count: </w:t>
      </w:r>
      <w:r w:rsidR="008E5E99">
        <w:t>931</w:t>
      </w:r>
      <w:r>
        <w:t>)</w:t>
      </w:r>
    </w:p>
    <w:p w14:paraId="37A7025C" w14:textId="77777777" w:rsidR="00DB123D" w:rsidRDefault="00DB123D" w:rsidP="00C562F5">
      <w:pPr>
        <w:jc w:val="right"/>
        <w:rPr>
          <w:b/>
          <w:bCs/>
        </w:rPr>
      </w:pPr>
    </w:p>
    <w:p w14:paraId="7390DDA5" w14:textId="77777777" w:rsidR="00DB123D" w:rsidRDefault="00DB123D">
      <w:pPr>
        <w:rPr>
          <w:b/>
          <w:bCs/>
        </w:rPr>
      </w:pPr>
    </w:p>
    <w:p w14:paraId="1FC9B28B" w14:textId="722CE20A" w:rsidR="00E4173C" w:rsidRPr="00DB123D" w:rsidRDefault="008744B8" w:rsidP="00AD7740">
      <w:pPr>
        <w:rPr>
          <w:b/>
          <w:bCs/>
        </w:rPr>
      </w:pPr>
      <w:proofErr w:type="gramStart"/>
      <w:r>
        <w:rPr>
          <w:b/>
          <w:bCs/>
        </w:rPr>
        <w:t>Bibliography;</w:t>
      </w:r>
      <w:proofErr w:type="gramEnd"/>
    </w:p>
    <w:p w14:paraId="0967FDAF" w14:textId="77777777" w:rsidR="00E948BD" w:rsidRPr="00B820D3" w:rsidRDefault="00E948BD" w:rsidP="00B820D3">
      <w:r w:rsidRPr="00B820D3">
        <w:t xml:space="preserve">Atkinson-Sheppard, S., Dando, C., Ormerod, T., &amp; Robinson, B. (2023). Coercion and crime: Convergences, divergences and ‘county lines.’ </w:t>
      </w:r>
      <w:r w:rsidRPr="00B820D3">
        <w:rPr>
          <w:i/>
          <w:iCs/>
        </w:rPr>
        <w:t>Criminology &amp; Criminal Justice</w:t>
      </w:r>
      <w:r w:rsidRPr="00B820D3">
        <w:t>, 174889582311539-. https://doi.org/10.1177/17488958231153981</w:t>
      </w:r>
    </w:p>
    <w:p w14:paraId="757BCBC8" w14:textId="77777777" w:rsidR="00E948BD" w:rsidRPr="00012101" w:rsidRDefault="00E948BD" w:rsidP="00012101">
      <w:r w:rsidRPr="00012101">
        <w:t xml:space="preserve">Bryant, J., &amp; Ellard, J. (2015). Hope as a form of agency in the future thinking of disenfranchised young people. </w:t>
      </w:r>
      <w:r w:rsidRPr="00012101">
        <w:rPr>
          <w:i/>
          <w:iCs/>
        </w:rPr>
        <w:t>Journal of Youth Studies</w:t>
      </w:r>
      <w:r w:rsidRPr="00012101">
        <w:t xml:space="preserve">, </w:t>
      </w:r>
      <w:r w:rsidRPr="00012101">
        <w:rPr>
          <w:i/>
          <w:iCs/>
        </w:rPr>
        <w:t>18</w:t>
      </w:r>
      <w:r w:rsidRPr="00012101">
        <w:t>(4), 485–499. https://doi.org/10.1080/13676261.2014.992310</w:t>
      </w:r>
    </w:p>
    <w:p w14:paraId="2945B41D" w14:textId="77777777" w:rsidR="00E948BD" w:rsidRPr="00985822" w:rsidRDefault="00E948BD">
      <w:r w:rsidRPr="00985822">
        <w:t>Cartwright,</w:t>
      </w:r>
      <w:r>
        <w:t xml:space="preserve"> A. &amp;  </w:t>
      </w:r>
      <w:r w:rsidRPr="00985822">
        <w:t xml:space="preserve">Roach, </w:t>
      </w:r>
      <w:r>
        <w:t xml:space="preserve">J. (2020) </w:t>
      </w:r>
      <w:r w:rsidRPr="00985822">
        <w:t>The Wellbeing of UK Police: A Study of Recorded Absences from Work of UK Police Employees Due to Psychological Illness and Stress Using Freedom of Information Act Data, </w:t>
      </w:r>
      <w:r w:rsidRPr="00985822">
        <w:rPr>
          <w:i/>
          <w:iCs/>
        </w:rPr>
        <w:t>Policing: A Journal of Policy and Practice</w:t>
      </w:r>
      <w:r w:rsidRPr="00985822">
        <w:t>, Volume 15, Issue 2, June 2021, Pages 1326–1338, </w:t>
      </w:r>
      <w:hyperlink r:id="rId8" w:history="1">
        <w:r w:rsidRPr="00985822">
          <w:rPr>
            <w:rStyle w:val="Hyperlink"/>
          </w:rPr>
          <w:t>https://doi.org/10.1093/police/paaa033</w:t>
        </w:r>
      </w:hyperlink>
    </w:p>
    <w:p w14:paraId="721B8B22" w14:textId="77777777" w:rsidR="00E948BD" w:rsidRPr="004A410A" w:rsidRDefault="00E948BD">
      <w:r w:rsidRPr="003A413E">
        <w:t xml:space="preserve">COLVIN, R., </w:t>
      </w:r>
      <w:r>
        <w:t>(</w:t>
      </w:r>
      <w:r w:rsidRPr="003A413E">
        <w:t>2015</w:t>
      </w:r>
      <w:r>
        <w:t>)</w:t>
      </w:r>
      <w:r w:rsidRPr="003A413E">
        <w:t xml:space="preserve"> </w:t>
      </w:r>
      <w:r>
        <w:t>‘</w:t>
      </w:r>
      <w:r w:rsidRPr="003A413E">
        <w:t>Shared workplace experiences of lesbian and gay police officers in the United Kingdom</w:t>
      </w:r>
      <w:r>
        <w:t>’</w:t>
      </w:r>
      <w:r w:rsidRPr="003A413E">
        <w:t>. </w:t>
      </w:r>
      <w:r w:rsidRPr="003A413E">
        <w:rPr>
          <w:i/>
          <w:iCs/>
        </w:rPr>
        <w:t>Policing, </w:t>
      </w:r>
      <w:r w:rsidRPr="003A413E">
        <w:rPr>
          <w:b/>
          <w:bCs/>
        </w:rPr>
        <w:t>38</w:t>
      </w:r>
      <w:r w:rsidRPr="003A413E">
        <w:t>(2), pp. 333-349.</w:t>
      </w:r>
    </w:p>
    <w:p w14:paraId="25B585F3" w14:textId="77777777" w:rsidR="00E948BD" w:rsidRDefault="00E948BD" w:rsidP="00AD7740">
      <w:r>
        <w:t xml:space="preserve">Crocker, R., et, al(2017) ‘The impact of organised crime in local communities’ The police foundation, </w:t>
      </w:r>
      <w:hyperlink r:id="rId9" w:history="1">
        <w:r w:rsidRPr="003E3C0B">
          <w:rPr>
            <w:rStyle w:val="Hyperlink"/>
          </w:rPr>
          <w:t>Police Foundation Organised Crime in Local Communities Final Re (police-foundation.org.uk)</w:t>
        </w:r>
      </w:hyperlink>
      <w:r>
        <w:t xml:space="preserve"> accessed: 07/10/2024 </w:t>
      </w:r>
    </w:p>
    <w:p w14:paraId="3FE072A6" w14:textId="77777777" w:rsidR="00E948BD" w:rsidRDefault="00E948BD">
      <w:r>
        <w:lastRenderedPageBreak/>
        <w:t xml:space="preserve">Durham University (2019) Policing Research Unit: </w:t>
      </w:r>
      <w:hyperlink r:id="rId10" w:history="1">
        <w:r w:rsidRPr="008D6A56">
          <w:rPr>
            <w:rStyle w:val="Hyperlink"/>
          </w:rPr>
          <w:t>diversity-equality-and-inclusion-in-policing-2019-report.pdf (apccs.police.uk)</w:t>
        </w:r>
      </w:hyperlink>
      <w:r>
        <w:t xml:space="preserve"> accessed: 01/09/2024</w:t>
      </w:r>
    </w:p>
    <w:p w14:paraId="209B2D10" w14:textId="77777777" w:rsidR="00E948BD" w:rsidRDefault="00E948BD">
      <w:proofErr w:type="spellStart"/>
      <w:proofErr w:type="gramStart"/>
      <w:r w:rsidRPr="00F42875">
        <w:t>F</w:t>
      </w:r>
      <w:r>
        <w:t>lannery</w:t>
      </w:r>
      <w:r w:rsidRPr="00F42875">
        <w:t>,R</w:t>
      </w:r>
      <w:proofErr w:type="spellEnd"/>
      <w:r>
        <w:t>.</w:t>
      </w:r>
      <w:proofErr w:type="gramEnd"/>
      <w:r w:rsidRPr="00F42875">
        <w:t xml:space="preserve"> </w:t>
      </w:r>
      <w:proofErr w:type="spellStart"/>
      <w:r w:rsidRPr="00F42875">
        <w:t>B.</w:t>
      </w:r>
      <w:r>
        <w:t>Jr</w:t>
      </w:r>
      <w:proofErr w:type="spellEnd"/>
      <w:r>
        <w:t>.</w:t>
      </w:r>
      <w:r w:rsidRPr="00F42875">
        <w:t xml:space="preserve">, </w:t>
      </w:r>
      <w:r>
        <w:t>(</w:t>
      </w:r>
      <w:r w:rsidRPr="00F42875">
        <w:t>2015</w:t>
      </w:r>
      <w:r>
        <w:t>)</w:t>
      </w:r>
      <w:r w:rsidRPr="00F42875">
        <w:t>. Treating Psychological Trauma in First Responders: A Multi-Modal Paradigm. </w:t>
      </w:r>
      <w:r w:rsidRPr="00F42875">
        <w:rPr>
          <w:i/>
          <w:iCs/>
        </w:rPr>
        <w:t>Psychiatric Quarterly, </w:t>
      </w:r>
      <w:r w:rsidRPr="00F42875">
        <w:rPr>
          <w:b/>
          <w:bCs/>
        </w:rPr>
        <w:t>86</w:t>
      </w:r>
      <w:r w:rsidRPr="00F42875">
        <w:t>(2), pp. 261-267.</w:t>
      </w:r>
    </w:p>
    <w:p w14:paraId="7C1C81B8" w14:textId="77777777" w:rsidR="00E948BD" w:rsidRPr="00893061" w:rsidRDefault="00E948BD" w:rsidP="00893061">
      <w:r w:rsidRPr="00893061">
        <w:t>Foley, J., &amp; Massey, K. L. D. (2021). The ‘cost’ of caring in policing: From burnout to PTSD in police officers in England and Wales. </w:t>
      </w:r>
      <w:r w:rsidRPr="00893061">
        <w:rPr>
          <w:i/>
          <w:iCs/>
        </w:rPr>
        <w:t>The Police Journal</w:t>
      </w:r>
      <w:r w:rsidRPr="00893061">
        <w:t>, </w:t>
      </w:r>
      <w:r w:rsidRPr="00893061">
        <w:rPr>
          <w:i/>
          <w:iCs/>
        </w:rPr>
        <w:t>94</w:t>
      </w:r>
      <w:r w:rsidRPr="00893061">
        <w:t>(3), 298-315. </w:t>
      </w:r>
      <w:hyperlink r:id="rId11" w:history="1">
        <w:r w:rsidRPr="00893061">
          <w:rPr>
            <w:rStyle w:val="Hyperlink"/>
          </w:rPr>
          <w:t>https://doi.org/10.1177/0032258X20917442</w:t>
        </w:r>
      </w:hyperlink>
    </w:p>
    <w:p w14:paraId="6CA977E9" w14:textId="77777777" w:rsidR="00E948BD" w:rsidRDefault="00E948BD">
      <w:r w:rsidRPr="00B8069E">
        <w:t>Foley, J., Hassett, A., &amp; Williams, E. (2022). ‘Getting on with the job’: A systematised literature review of secondary trauma and post-traumatic stress disorder (PTSD) in policing within the United Kingdom (UK). </w:t>
      </w:r>
      <w:r w:rsidRPr="00B8069E">
        <w:rPr>
          <w:i/>
          <w:iCs/>
        </w:rPr>
        <w:t>The Police Journal</w:t>
      </w:r>
      <w:r w:rsidRPr="00B8069E">
        <w:t>, </w:t>
      </w:r>
      <w:r w:rsidRPr="00B8069E">
        <w:rPr>
          <w:i/>
          <w:iCs/>
        </w:rPr>
        <w:t>95</w:t>
      </w:r>
      <w:r w:rsidRPr="00B8069E">
        <w:t>(1), 224-252. </w:t>
      </w:r>
      <w:hyperlink r:id="rId12" w:history="1">
        <w:r w:rsidRPr="00B8069E">
          <w:rPr>
            <w:rStyle w:val="Hyperlink"/>
          </w:rPr>
          <w:t>https://doi.org/10.1177/0032258X21990412</w:t>
        </w:r>
      </w:hyperlink>
    </w:p>
    <w:p w14:paraId="3C6A2074" w14:textId="77777777" w:rsidR="00E948BD" w:rsidRPr="00C66315" w:rsidRDefault="00E948BD" w:rsidP="003C648C">
      <w:proofErr w:type="spellStart"/>
      <w:r>
        <w:t>Forleo</w:t>
      </w:r>
      <w:proofErr w:type="spellEnd"/>
      <w:r>
        <w:t xml:space="preserve">, D (1997) </w:t>
      </w:r>
      <w:r w:rsidRPr="00C66315">
        <w:t>Links Between Education and Crime: A Critical Perspective</w:t>
      </w:r>
      <w:r>
        <w:t xml:space="preserve"> accessed: 20/10/2024: </w:t>
      </w:r>
      <w:hyperlink r:id="rId13" w:history="1">
        <w:r w:rsidRPr="002F147C">
          <w:rPr>
            <w:rStyle w:val="Hyperlink"/>
          </w:rPr>
          <w:t>https://core.ac.uk/download/pdf/217141339.pdf</w:t>
        </w:r>
      </w:hyperlink>
    </w:p>
    <w:p w14:paraId="4E6BD0E4" w14:textId="77777777" w:rsidR="00E948BD" w:rsidRPr="00433752" w:rsidRDefault="00E948BD" w:rsidP="00433752">
      <w:r w:rsidRPr="00433752">
        <w:t xml:space="preserve">Glazer, S., &amp; Torres, C. V. (2022). Human values differentially motivate police actions. </w:t>
      </w:r>
      <w:r w:rsidRPr="00433752">
        <w:rPr>
          <w:i/>
          <w:iCs/>
        </w:rPr>
        <w:t>Industrial and Organizational Psychology</w:t>
      </w:r>
      <w:r w:rsidRPr="00433752">
        <w:t xml:space="preserve">, </w:t>
      </w:r>
      <w:r w:rsidRPr="00433752">
        <w:rPr>
          <w:i/>
          <w:iCs/>
        </w:rPr>
        <w:t>15</w:t>
      </w:r>
      <w:r w:rsidRPr="00433752">
        <w:t>(4), 592–598. https://doi.org/10.1017/iop.2022.75</w:t>
      </w:r>
    </w:p>
    <w:p w14:paraId="19399100" w14:textId="77777777" w:rsidR="00E948BD" w:rsidRPr="006B1ADA" w:rsidRDefault="00E948BD" w:rsidP="006B1ADA">
      <w:r w:rsidRPr="006B1ADA">
        <w:t xml:space="preserve">Glover Williams, A., &amp; Finlay, F. (2019). County lines: how gang crime is affecting our young people. </w:t>
      </w:r>
      <w:r w:rsidRPr="006B1ADA">
        <w:rPr>
          <w:i/>
          <w:iCs/>
        </w:rPr>
        <w:t>Archives of Disease in Childhood</w:t>
      </w:r>
      <w:r w:rsidRPr="006B1ADA">
        <w:t xml:space="preserve">, </w:t>
      </w:r>
      <w:r w:rsidRPr="006B1ADA">
        <w:rPr>
          <w:i/>
          <w:iCs/>
        </w:rPr>
        <w:t>104</w:t>
      </w:r>
      <w:r w:rsidRPr="006B1ADA">
        <w:t>(8), 730–732. https://doi.org/10.1136/archdischild-2018-315909</w:t>
      </w:r>
    </w:p>
    <w:p w14:paraId="507C5C21" w14:textId="77777777" w:rsidR="00E948BD" w:rsidRPr="00241F58" w:rsidRDefault="00E948BD" w:rsidP="00241F58">
      <w:proofErr w:type="spellStart"/>
      <w:r w:rsidRPr="00241F58">
        <w:t>Greinacher</w:t>
      </w:r>
      <w:proofErr w:type="spellEnd"/>
      <w:r w:rsidRPr="00241F58">
        <w:t>, A., Derezza-</w:t>
      </w:r>
      <w:proofErr w:type="spellStart"/>
      <w:r w:rsidRPr="00241F58">
        <w:t>Greeven</w:t>
      </w:r>
      <w:proofErr w:type="spellEnd"/>
      <w:r w:rsidRPr="00241F58">
        <w:t xml:space="preserve">, C., Herzog, W., &amp; </w:t>
      </w:r>
      <w:proofErr w:type="spellStart"/>
      <w:r w:rsidRPr="00241F58">
        <w:t>Nikendei</w:t>
      </w:r>
      <w:proofErr w:type="spellEnd"/>
      <w:r w:rsidRPr="00241F58">
        <w:t xml:space="preserve">, C. (2019). Secondary traumatization in first responders: a systematic review. </w:t>
      </w:r>
      <w:r w:rsidRPr="00241F58">
        <w:rPr>
          <w:i/>
          <w:iCs/>
        </w:rPr>
        <w:t xml:space="preserve">European Journal of </w:t>
      </w:r>
      <w:proofErr w:type="spellStart"/>
      <w:r w:rsidRPr="00241F58">
        <w:rPr>
          <w:i/>
          <w:iCs/>
        </w:rPr>
        <w:t>Psychotraumatology</w:t>
      </w:r>
      <w:proofErr w:type="spellEnd"/>
      <w:r w:rsidRPr="00241F58">
        <w:t xml:space="preserve">, </w:t>
      </w:r>
      <w:r w:rsidRPr="00241F58">
        <w:rPr>
          <w:i/>
          <w:iCs/>
        </w:rPr>
        <w:t>10</w:t>
      </w:r>
      <w:r w:rsidRPr="00241F58">
        <w:t>(1), 1562840–1562840. https://doi.org/10.1080/20008198.2018.1562840</w:t>
      </w:r>
    </w:p>
    <w:p w14:paraId="4DE7417E" w14:textId="77777777" w:rsidR="00E948BD" w:rsidRPr="00607EC4" w:rsidRDefault="00E948BD" w:rsidP="00607EC4">
      <w:r w:rsidRPr="00607EC4">
        <w:t xml:space="preserve">Hammond, J., Keeney, L., &amp; </w:t>
      </w:r>
      <w:proofErr w:type="spellStart"/>
      <w:r w:rsidRPr="00607EC4">
        <w:t>Raiffa</w:t>
      </w:r>
      <w:proofErr w:type="spellEnd"/>
      <w:r w:rsidRPr="00607EC4">
        <w:t xml:space="preserve">, H. (1998) ‘The Hidden Traps in Decision Making’ </w:t>
      </w:r>
      <w:hyperlink r:id="rId14" w:history="1">
        <w:r w:rsidRPr="00607EC4">
          <w:rPr>
            <w:rStyle w:val="Hyperlink"/>
          </w:rPr>
          <w:t>The Hidden Traps in Decision Making (hbr.org)</w:t>
        </w:r>
      </w:hyperlink>
      <w:r w:rsidRPr="00607EC4">
        <w:t xml:space="preserve"> accessed: 07/10/2024</w:t>
      </w:r>
    </w:p>
    <w:p w14:paraId="3BC86101" w14:textId="77777777" w:rsidR="00E948BD" w:rsidRPr="00C66315" w:rsidRDefault="00E948BD" w:rsidP="00012101">
      <w:r>
        <w:t>HM Government (2023)</w:t>
      </w:r>
      <w:r w:rsidRPr="00C66315">
        <w:t>No Place to Hide: Serious and Organised Crime Strategy 2023-2028</w:t>
      </w:r>
      <w:r>
        <w:t xml:space="preserve"> accessed: 27/10/2024 </w:t>
      </w:r>
      <w:hyperlink r:id="rId15" w:history="1">
        <w:r w:rsidRPr="002F147C">
          <w:rPr>
            <w:rStyle w:val="Hyperlink"/>
          </w:rPr>
          <w:t>https://assets.publishing.service.gov.uk/media/65798633254aaa0010050bdc/SOC_Strategy_23-28_V9_Web_Accessible.pdf</w:t>
        </w:r>
      </w:hyperlink>
    </w:p>
    <w:p w14:paraId="113E423A" w14:textId="77777777" w:rsidR="00E948BD" w:rsidRDefault="00E948BD" w:rsidP="00AD7740">
      <w:r>
        <w:t>Home office (2023) ‘</w:t>
      </w:r>
      <w:r w:rsidRPr="00A87549">
        <w:t>Criminal exploitation of children, young people and vulnerable adults</w:t>
      </w:r>
      <w:r>
        <w:t xml:space="preserve">’ </w:t>
      </w:r>
      <w:hyperlink r:id="rId16" w:history="1">
        <w:r w:rsidRPr="00A87549">
          <w:rPr>
            <w:rStyle w:val="Hyperlink"/>
          </w:rPr>
          <w:t>Criminal exploitation of children, young people and vulnerable adults - county lines (publishing.service.gov.uk)</w:t>
        </w:r>
      </w:hyperlink>
      <w:r>
        <w:t xml:space="preserve"> accessed: 07/10/2024</w:t>
      </w:r>
    </w:p>
    <w:p w14:paraId="1C7F5CE6" w14:textId="77777777" w:rsidR="00E948BD" w:rsidRDefault="00E948BD">
      <w:r w:rsidRPr="004A410A">
        <w:t>House of Commons Home Affairs Committee</w:t>
      </w:r>
      <w:r>
        <w:t xml:space="preserve"> (2016) ‘Police diversity’ </w:t>
      </w:r>
      <w:hyperlink r:id="rId17" w:history="1">
        <w:r w:rsidRPr="004A410A">
          <w:rPr>
            <w:rStyle w:val="Hyperlink"/>
          </w:rPr>
          <w:t>Police diversity (parliament.uk)</w:t>
        </w:r>
      </w:hyperlink>
      <w:r>
        <w:t xml:space="preserve"> accessed: 01/09/2024</w:t>
      </w:r>
    </w:p>
    <w:p w14:paraId="5D1BB560" w14:textId="77777777" w:rsidR="00E948BD" w:rsidRDefault="00E948BD" w:rsidP="00AD7740">
      <w:r>
        <w:lastRenderedPageBreak/>
        <w:t xml:space="preserve">Immigration Advisers Authority (2024) </w:t>
      </w:r>
      <w:hyperlink r:id="rId18" w:anchor=":~:text=What%20is%20an%20attitude%3F,from%20underlying%20values%20and%20beliefs." w:history="1">
        <w:r w:rsidRPr="009A0BAA">
          <w:rPr>
            <w:rStyle w:val="Hyperlink"/>
          </w:rPr>
          <w:t>Personal beliefs, values, attitudes and behaviour | IAA</w:t>
        </w:r>
      </w:hyperlink>
      <w:r>
        <w:t xml:space="preserve"> accessed: 07/10/2024</w:t>
      </w:r>
    </w:p>
    <w:p w14:paraId="0B0A0B34" w14:textId="77777777" w:rsidR="00E948BD" w:rsidRPr="00C66315" w:rsidRDefault="00E948BD" w:rsidP="00E41E59">
      <w:r w:rsidRPr="00C66315">
        <w:t>INSIDE TIME (The national newspaper for prisoners and detainees): Poverty and crime</w:t>
      </w:r>
      <w:r>
        <w:t xml:space="preserve"> accessed: 27/10/2024 </w:t>
      </w:r>
      <w:hyperlink r:id="rId19" w:history="1">
        <w:r w:rsidRPr="002F147C">
          <w:rPr>
            <w:rStyle w:val="Hyperlink"/>
          </w:rPr>
          <w:t>https://insidetime.org/mailbag/poverty-and-crime/#:~:text=Lastly%2C%20it%20is%20important%20to,crime%20rates%20in%20impoverished%20areas</w:t>
        </w:r>
      </w:hyperlink>
      <w:r w:rsidRPr="00C66315">
        <w:t>.</w:t>
      </w:r>
    </w:p>
    <w:p w14:paraId="1B5C8FE0" w14:textId="77777777" w:rsidR="00E948BD" w:rsidRPr="008E5E99" w:rsidRDefault="00E948BD" w:rsidP="008E5E99">
      <w:r w:rsidRPr="008E5E99">
        <w:t xml:space="preserve">Marshall, H. (2023). Victims first? Examining the place of ‘child criminal exploitation’ within ‘child first’ youth justice. </w:t>
      </w:r>
      <w:r w:rsidRPr="008E5E99">
        <w:rPr>
          <w:i/>
          <w:iCs/>
        </w:rPr>
        <w:t>Children &amp; Society</w:t>
      </w:r>
      <w:r w:rsidRPr="008E5E99">
        <w:t xml:space="preserve">, </w:t>
      </w:r>
      <w:r w:rsidRPr="008E5E99">
        <w:rPr>
          <w:i/>
          <w:iCs/>
        </w:rPr>
        <w:t>37</w:t>
      </w:r>
      <w:r w:rsidRPr="008E5E99">
        <w:t>(4), 1156–1170. https://doi.org/10.1111/chso.12696</w:t>
      </w:r>
    </w:p>
    <w:p w14:paraId="490850E0" w14:textId="77777777" w:rsidR="00E948BD" w:rsidRPr="0028028B" w:rsidRDefault="00E948BD" w:rsidP="0028028B">
      <w:r w:rsidRPr="0028028B">
        <w:t xml:space="preserve">Moyle, L. (2019). Situating Vulnerability and Exploitation in Street-Level Drug Markets: Cuckooing, Commuting, and the “County Lines” Drug Supply Model. </w:t>
      </w:r>
      <w:r w:rsidRPr="0028028B">
        <w:rPr>
          <w:i/>
          <w:iCs/>
        </w:rPr>
        <w:t>Journal of Drug Issues</w:t>
      </w:r>
      <w:r w:rsidRPr="0028028B">
        <w:t xml:space="preserve">, </w:t>
      </w:r>
      <w:r w:rsidRPr="0028028B">
        <w:rPr>
          <w:i/>
          <w:iCs/>
        </w:rPr>
        <w:t>49</w:t>
      </w:r>
      <w:r w:rsidRPr="0028028B">
        <w:t>(4), 739–755. https://doi.org/10.1177/0022042619861938</w:t>
      </w:r>
    </w:p>
    <w:p w14:paraId="5F138CAC" w14:textId="77777777" w:rsidR="00E948BD" w:rsidRDefault="00E948BD" w:rsidP="00AD7740">
      <w:r>
        <w:t>National Policing Improvement Agency (2009) ‘</w:t>
      </w:r>
      <w:hyperlink r:id="rId20" w:history="1">
        <w:r w:rsidRPr="00AD7740">
          <w:rPr>
            <w:rStyle w:val="Hyperlink"/>
          </w:rPr>
          <w:t>The Management of Priority and Volume Crime Second Edition (college.police.uk)</w:t>
        </w:r>
      </w:hyperlink>
      <w:r>
        <w:t>’ accessed: 07/10/2024</w:t>
      </w:r>
    </w:p>
    <w:p w14:paraId="0C088086" w14:textId="77777777" w:rsidR="00E948BD" w:rsidRDefault="00E948BD" w:rsidP="00AD7740">
      <w:r>
        <w:t xml:space="preserve">NHS (2022) </w:t>
      </w:r>
      <w:hyperlink r:id="rId21" w:history="1">
        <w:r w:rsidRPr="00F83335">
          <w:rPr>
            <w:rStyle w:val="Hyperlink"/>
          </w:rPr>
          <w:t>Understanding different types of bias — Conscious inclusion - Equality, diversity and inclusion - About (hee.nhs.uk)</w:t>
        </w:r>
      </w:hyperlink>
      <w:r>
        <w:t xml:space="preserve"> accessed 07/10/2024</w:t>
      </w:r>
    </w:p>
    <w:p w14:paraId="3D374695" w14:textId="77777777" w:rsidR="00E948BD" w:rsidRPr="00ED1E3A" w:rsidRDefault="00E948BD" w:rsidP="00ED1E3A">
      <w:r w:rsidRPr="00ED1E3A">
        <w:t xml:space="preserve">O’Brien, B. (2009). PRIME SUSPECT: AN EXAMINATION OF FACTORS THAT AGGRAVATE AND COUNTERACT CONFIRMATION BIAS IN CRIMINAL INVESTIGATIONS. </w:t>
      </w:r>
      <w:r w:rsidRPr="00ED1E3A">
        <w:rPr>
          <w:i/>
          <w:iCs/>
        </w:rPr>
        <w:t>Psychology, Public Policy, and Law</w:t>
      </w:r>
      <w:r w:rsidRPr="00ED1E3A">
        <w:t xml:space="preserve">, </w:t>
      </w:r>
      <w:r w:rsidRPr="00ED1E3A">
        <w:rPr>
          <w:i/>
          <w:iCs/>
        </w:rPr>
        <w:t>15</w:t>
      </w:r>
      <w:r w:rsidRPr="00ED1E3A">
        <w:t>(4), 315–334. https://doi.org/10.1037/a0017881</w:t>
      </w:r>
    </w:p>
    <w:p w14:paraId="0C9B9AEC" w14:textId="77777777" w:rsidR="00E948BD" w:rsidRPr="00690722" w:rsidRDefault="00E948BD" w:rsidP="00690722">
      <w:r w:rsidRPr="00690722">
        <w:t xml:space="preserve">Oliver, H., Thomas, O., Neil, R., Moll, T., &amp; Copeland, R. J. (2023). Stress and psychological wellbeing in </w:t>
      </w:r>
      <w:proofErr w:type="spellStart"/>
      <w:r w:rsidRPr="00690722">
        <w:t>british</w:t>
      </w:r>
      <w:proofErr w:type="spellEnd"/>
      <w:r w:rsidRPr="00690722">
        <w:t xml:space="preserve"> police force officers and staff. </w:t>
      </w:r>
      <w:r w:rsidRPr="00690722">
        <w:rPr>
          <w:i/>
          <w:iCs/>
        </w:rPr>
        <w:t>Current Psychology (New Brunswick, N.J.)</w:t>
      </w:r>
      <w:r w:rsidRPr="00690722">
        <w:t xml:space="preserve">, </w:t>
      </w:r>
      <w:r w:rsidRPr="00690722">
        <w:rPr>
          <w:i/>
          <w:iCs/>
        </w:rPr>
        <w:t>42</w:t>
      </w:r>
      <w:r w:rsidRPr="00690722">
        <w:t>(33), 29291–29304. https://doi.org/10.1007/s12144-022-03903-4</w:t>
      </w:r>
    </w:p>
    <w:p w14:paraId="48930C93" w14:textId="77777777" w:rsidR="00E948BD" w:rsidRPr="00355189" w:rsidRDefault="00E948BD" w:rsidP="00355189">
      <w:r w:rsidRPr="00355189">
        <w:t xml:space="preserve">Petersilia, J. R. (2001). Crime Victims with Developmental Disabilities: A Review Essay. </w:t>
      </w:r>
      <w:r w:rsidRPr="00355189">
        <w:rPr>
          <w:i/>
          <w:iCs/>
        </w:rPr>
        <w:t xml:space="preserve">Criminal Justice and </w:t>
      </w:r>
      <w:proofErr w:type="spellStart"/>
      <w:r w:rsidRPr="00355189">
        <w:rPr>
          <w:i/>
          <w:iCs/>
        </w:rPr>
        <w:t>Behavior</w:t>
      </w:r>
      <w:proofErr w:type="spellEnd"/>
      <w:r w:rsidRPr="00355189">
        <w:t xml:space="preserve">, </w:t>
      </w:r>
      <w:r w:rsidRPr="00355189">
        <w:rPr>
          <w:i/>
          <w:iCs/>
        </w:rPr>
        <w:t>28</w:t>
      </w:r>
      <w:r w:rsidRPr="00355189">
        <w:t>(6), 655–694. https://doi.org/10.1177/009385480102800601</w:t>
      </w:r>
    </w:p>
    <w:p w14:paraId="4C56501F" w14:textId="77777777" w:rsidR="00E948BD" w:rsidRDefault="00E948BD">
      <w:r>
        <w:t xml:space="preserve">Police Federation (2016)’Mental health’  </w:t>
      </w:r>
      <w:hyperlink r:id="rId22" w:history="1">
        <w:r w:rsidRPr="006F53FD">
          <w:rPr>
            <w:rStyle w:val="Hyperlink"/>
          </w:rPr>
          <w:t>Mental Health (polfed.org)</w:t>
        </w:r>
      </w:hyperlink>
      <w:r>
        <w:t xml:space="preserve"> accessed: 02/09/2024</w:t>
      </w:r>
    </w:p>
    <w:p w14:paraId="264CA49B" w14:textId="77777777" w:rsidR="00E948BD" w:rsidRDefault="00E948BD">
      <w:r w:rsidRPr="008D6A56">
        <w:t xml:space="preserve">Police.uk (2021) </w:t>
      </w:r>
      <w:hyperlink w:history="1">
        <w:r w:rsidRPr="008D6A56">
          <w:rPr>
            <w:rStyle w:val="Hyperlink"/>
          </w:rPr>
          <w:t>Workforce diversity | Police.uk (www.police.uk)</w:t>
        </w:r>
      </w:hyperlink>
      <w:r w:rsidRPr="008D6A56">
        <w:t xml:space="preserve"> accessed: 01/09/2024</w:t>
      </w:r>
    </w:p>
    <w:p w14:paraId="6553A500" w14:textId="77777777" w:rsidR="00E948BD" w:rsidRPr="00214C16" w:rsidRDefault="00E948BD" w:rsidP="00214C16">
      <w:proofErr w:type="spellStart"/>
      <w:r w:rsidRPr="00214C16">
        <w:t>Purba</w:t>
      </w:r>
      <w:proofErr w:type="spellEnd"/>
      <w:r w:rsidRPr="00214C16">
        <w:t xml:space="preserve">, A., &amp; </w:t>
      </w:r>
      <w:proofErr w:type="spellStart"/>
      <w:r w:rsidRPr="00214C16">
        <w:t>Demou</w:t>
      </w:r>
      <w:proofErr w:type="spellEnd"/>
      <w:r w:rsidRPr="00214C16">
        <w:t xml:space="preserve">, E. (2019). The relationship between organisational stressors and mental wellbeing within police officers: a systematic review. </w:t>
      </w:r>
      <w:r w:rsidRPr="00214C16">
        <w:rPr>
          <w:i/>
          <w:iCs/>
        </w:rPr>
        <w:t>BMC Public Health</w:t>
      </w:r>
      <w:r w:rsidRPr="00214C16">
        <w:t xml:space="preserve">, </w:t>
      </w:r>
      <w:r w:rsidRPr="00214C16">
        <w:rPr>
          <w:i/>
          <w:iCs/>
        </w:rPr>
        <w:t>19</w:t>
      </w:r>
      <w:r w:rsidRPr="00214C16">
        <w:t>(1), 1286–21. https://doi.org/10.1186/s12889-019-7609-0</w:t>
      </w:r>
    </w:p>
    <w:p w14:paraId="54EDD0E8" w14:textId="77777777" w:rsidR="00E948BD" w:rsidRDefault="00E948BD">
      <w:r>
        <w:t xml:space="preserve">Sexual Offences Act (1967) Section. 1 - </w:t>
      </w:r>
      <w:hyperlink r:id="rId23" w:history="1">
        <w:r w:rsidRPr="00154084">
          <w:rPr>
            <w:rStyle w:val="Hyperlink"/>
          </w:rPr>
          <w:t>ukpga_19670060_en.pdf (legislation.gov.uk)</w:t>
        </w:r>
      </w:hyperlink>
      <w:r>
        <w:t xml:space="preserve"> accessed: 01/09/2024</w:t>
      </w:r>
    </w:p>
    <w:p w14:paraId="4274414D" w14:textId="77777777" w:rsidR="00E948BD" w:rsidRDefault="00E948BD" w:rsidP="007E2DE8">
      <w:r w:rsidRPr="007E2DE8">
        <w:lastRenderedPageBreak/>
        <w:t xml:space="preserve">Spencer, K. B., Charbonneau, A. K., &amp; Glaser, J. (2016). Implicit Bias and Policing. </w:t>
      </w:r>
      <w:r w:rsidRPr="007E2DE8">
        <w:rPr>
          <w:i/>
          <w:iCs/>
        </w:rPr>
        <w:t>Social and Personality Psychology Compass</w:t>
      </w:r>
      <w:r w:rsidRPr="007E2DE8">
        <w:t xml:space="preserve">, </w:t>
      </w:r>
      <w:r w:rsidRPr="007E2DE8">
        <w:rPr>
          <w:i/>
          <w:iCs/>
        </w:rPr>
        <w:t>10</w:t>
      </w:r>
      <w:r w:rsidRPr="007E2DE8">
        <w:t xml:space="preserve">(1), 50–63. </w:t>
      </w:r>
      <w:hyperlink r:id="rId24" w:history="1">
        <w:r w:rsidRPr="007E2DE8">
          <w:rPr>
            <w:rStyle w:val="Hyperlink"/>
          </w:rPr>
          <w:t>https://doi.org/10.1111/spc3.12210</w:t>
        </w:r>
      </w:hyperlink>
    </w:p>
    <w:p w14:paraId="00FA0BD5" w14:textId="77777777" w:rsidR="00E948BD" w:rsidRDefault="00E948BD">
      <w:r>
        <w:t xml:space="preserve">UK Parliament (2024) </w:t>
      </w:r>
      <w:r w:rsidRPr="00234A8E">
        <w:rPr>
          <w:i/>
          <w:iCs/>
        </w:rPr>
        <w:t>‘Regulating sex and sexuality: the 20th century’</w:t>
      </w:r>
      <w:r>
        <w:t xml:space="preserve"> </w:t>
      </w:r>
      <w:hyperlink r:id="rId25" w:anchor=":~:text=Sexual%20Offences%20Act%201967,for%20Northern%20Ireland%20until%201982." w:history="1">
        <w:r w:rsidRPr="00234A8E">
          <w:rPr>
            <w:rStyle w:val="Hyperlink"/>
          </w:rPr>
          <w:t>Regulating sex and sexuality: the 20th century - UK Parliament</w:t>
        </w:r>
      </w:hyperlink>
      <w:r>
        <w:t xml:space="preserve"> accessed: 01/09/2024</w:t>
      </w:r>
    </w:p>
    <w:p w14:paraId="650A95D7" w14:textId="77777777" w:rsidR="003C648C" w:rsidRDefault="003C648C" w:rsidP="00AD7740"/>
    <w:sectPr w:rsidR="003C648C">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0EE67" w14:textId="77777777" w:rsidR="008744B8" w:rsidRDefault="008744B8" w:rsidP="008744B8">
      <w:pPr>
        <w:spacing w:after="0" w:line="240" w:lineRule="auto"/>
      </w:pPr>
      <w:r>
        <w:separator/>
      </w:r>
    </w:p>
  </w:endnote>
  <w:endnote w:type="continuationSeparator" w:id="0">
    <w:p w14:paraId="343E8CB8" w14:textId="77777777" w:rsidR="008744B8" w:rsidRDefault="008744B8" w:rsidP="00874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4860465"/>
      <w:docPartObj>
        <w:docPartGallery w:val="Page Numbers (Bottom of Page)"/>
        <w:docPartUnique/>
      </w:docPartObj>
    </w:sdtPr>
    <w:sdtEndPr>
      <w:rPr>
        <w:noProof/>
      </w:rPr>
    </w:sdtEndPr>
    <w:sdtContent>
      <w:p w14:paraId="119F31A9" w14:textId="0AE44E7A" w:rsidR="008744B8" w:rsidRDefault="008744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FE083" w14:textId="77777777" w:rsidR="008744B8" w:rsidRDefault="00874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AF421" w14:textId="77777777" w:rsidR="008744B8" w:rsidRDefault="008744B8" w:rsidP="008744B8">
      <w:pPr>
        <w:spacing w:after="0" w:line="240" w:lineRule="auto"/>
      </w:pPr>
      <w:r>
        <w:separator/>
      </w:r>
    </w:p>
  </w:footnote>
  <w:footnote w:type="continuationSeparator" w:id="0">
    <w:p w14:paraId="6A985A0A" w14:textId="77777777" w:rsidR="008744B8" w:rsidRDefault="008744B8" w:rsidP="00874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E0978" w14:textId="77777777" w:rsidR="008744B8" w:rsidRPr="008744B8" w:rsidRDefault="008744B8">
    <w:pPr>
      <w:pStyle w:val="Header"/>
      <w:rPr>
        <w:u w:val="single"/>
      </w:rPr>
    </w:pPr>
    <w:r w:rsidRPr="008744B8">
      <w:rPr>
        <w:u w:val="single"/>
      </w:rPr>
      <w:t xml:space="preserve">Student name: Aida HJERTO </w:t>
    </w:r>
  </w:p>
  <w:p w14:paraId="12007F08" w14:textId="170E963E" w:rsidR="008744B8" w:rsidRPr="008744B8" w:rsidRDefault="008744B8">
    <w:pPr>
      <w:pStyle w:val="Header"/>
      <w:rPr>
        <w:u w:val="single"/>
      </w:rPr>
    </w:pPr>
    <w:r w:rsidRPr="008744B8">
      <w:rPr>
        <w:u w:val="single"/>
      </w:rPr>
      <w:t>Student ID Number: 2236358</w:t>
    </w:r>
  </w:p>
  <w:p w14:paraId="22F75888" w14:textId="77777777" w:rsidR="008744B8" w:rsidRDefault="008744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47BD1"/>
    <w:multiLevelType w:val="multilevel"/>
    <w:tmpl w:val="860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575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B8"/>
    <w:rsid w:val="00005CB0"/>
    <w:rsid w:val="00012101"/>
    <w:rsid w:val="00017A8A"/>
    <w:rsid w:val="000328C0"/>
    <w:rsid w:val="001105DE"/>
    <w:rsid w:val="00114B41"/>
    <w:rsid w:val="00154084"/>
    <w:rsid w:val="00197E85"/>
    <w:rsid w:val="001A392C"/>
    <w:rsid w:val="001C7817"/>
    <w:rsid w:val="001E6878"/>
    <w:rsid w:val="00214C16"/>
    <w:rsid w:val="00234A8E"/>
    <w:rsid w:val="00241F58"/>
    <w:rsid w:val="0028028B"/>
    <w:rsid w:val="002822FD"/>
    <w:rsid w:val="002B51C0"/>
    <w:rsid w:val="00355189"/>
    <w:rsid w:val="00357AD3"/>
    <w:rsid w:val="003A413E"/>
    <w:rsid w:val="003C648C"/>
    <w:rsid w:val="003E3C0B"/>
    <w:rsid w:val="00425F44"/>
    <w:rsid w:val="00433752"/>
    <w:rsid w:val="00453321"/>
    <w:rsid w:val="00462062"/>
    <w:rsid w:val="004A410A"/>
    <w:rsid w:val="004F15AE"/>
    <w:rsid w:val="00583827"/>
    <w:rsid w:val="00607EC4"/>
    <w:rsid w:val="00690722"/>
    <w:rsid w:val="006B1ADA"/>
    <w:rsid w:val="006F53FD"/>
    <w:rsid w:val="00733345"/>
    <w:rsid w:val="007E1E04"/>
    <w:rsid w:val="007E2DE8"/>
    <w:rsid w:val="008152B9"/>
    <w:rsid w:val="0087110A"/>
    <w:rsid w:val="008714E8"/>
    <w:rsid w:val="008744B8"/>
    <w:rsid w:val="00884EFD"/>
    <w:rsid w:val="00893061"/>
    <w:rsid w:val="008D6A56"/>
    <w:rsid w:val="008E5E99"/>
    <w:rsid w:val="00905207"/>
    <w:rsid w:val="00985822"/>
    <w:rsid w:val="009950CD"/>
    <w:rsid w:val="009A0BAA"/>
    <w:rsid w:val="009C7771"/>
    <w:rsid w:val="00A62B51"/>
    <w:rsid w:val="00A87549"/>
    <w:rsid w:val="00AD7740"/>
    <w:rsid w:val="00AD78DF"/>
    <w:rsid w:val="00B10DE5"/>
    <w:rsid w:val="00B8069E"/>
    <w:rsid w:val="00B820D3"/>
    <w:rsid w:val="00BB00AE"/>
    <w:rsid w:val="00BD1D33"/>
    <w:rsid w:val="00BF4644"/>
    <w:rsid w:val="00C562F5"/>
    <w:rsid w:val="00CD73F0"/>
    <w:rsid w:val="00D33DEB"/>
    <w:rsid w:val="00D87F7F"/>
    <w:rsid w:val="00DB123D"/>
    <w:rsid w:val="00E04C28"/>
    <w:rsid w:val="00E06970"/>
    <w:rsid w:val="00E375D5"/>
    <w:rsid w:val="00E4173C"/>
    <w:rsid w:val="00E41E59"/>
    <w:rsid w:val="00E6490B"/>
    <w:rsid w:val="00E948BD"/>
    <w:rsid w:val="00EA3628"/>
    <w:rsid w:val="00ED1E3A"/>
    <w:rsid w:val="00EF002D"/>
    <w:rsid w:val="00F42875"/>
    <w:rsid w:val="00F6157A"/>
    <w:rsid w:val="00F83335"/>
    <w:rsid w:val="00F90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D1033"/>
  <w15:chartTrackingRefBased/>
  <w15:docId w15:val="{C9DC8183-386A-4E55-BA11-8374FC14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4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4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4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4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4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4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4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4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4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4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4B8"/>
    <w:rPr>
      <w:rFonts w:eastAsiaTheme="majorEastAsia" w:cstheme="majorBidi"/>
      <w:color w:val="272727" w:themeColor="text1" w:themeTint="D8"/>
    </w:rPr>
  </w:style>
  <w:style w:type="paragraph" w:styleId="Title">
    <w:name w:val="Title"/>
    <w:basedOn w:val="Normal"/>
    <w:next w:val="Normal"/>
    <w:link w:val="TitleChar"/>
    <w:uiPriority w:val="10"/>
    <w:qFormat/>
    <w:rsid w:val="00874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4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4B8"/>
    <w:pPr>
      <w:spacing w:before="160"/>
      <w:jc w:val="center"/>
    </w:pPr>
    <w:rPr>
      <w:i/>
      <w:iCs/>
      <w:color w:val="404040" w:themeColor="text1" w:themeTint="BF"/>
    </w:rPr>
  </w:style>
  <w:style w:type="character" w:customStyle="1" w:styleId="QuoteChar">
    <w:name w:val="Quote Char"/>
    <w:basedOn w:val="DefaultParagraphFont"/>
    <w:link w:val="Quote"/>
    <w:uiPriority w:val="29"/>
    <w:rsid w:val="008744B8"/>
    <w:rPr>
      <w:i/>
      <w:iCs/>
      <w:color w:val="404040" w:themeColor="text1" w:themeTint="BF"/>
    </w:rPr>
  </w:style>
  <w:style w:type="paragraph" w:styleId="ListParagraph">
    <w:name w:val="List Paragraph"/>
    <w:basedOn w:val="Normal"/>
    <w:uiPriority w:val="34"/>
    <w:qFormat/>
    <w:rsid w:val="008744B8"/>
    <w:pPr>
      <w:ind w:left="720"/>
      <w:contextualSpacing/>
    </w:pPr>
  </w:style>
  <w:style w:type="character" w:styleId="IntenseEmphasis">
    <w:name w:val="Intense Emphasis"/>
    <w:basedOn w:val="DefaultParagraphFont"/>
    <w:uiPriority w:val="21"/>
    <w:qFormat/>
    <w:rsid w:val="008744B8"/>
    <w:rPr>
      <w:i/>
      <w:iCs/>
      <w:color w:val="0F4761" w:themeColor="accent1" w:themeShade="BF"/>
    </w:rPr>
  </w:style>
  <w:style w:type="paragraph" w:styleId="IntenseQuote">
    <w:name w:val="Intense Quote"/>
    <w:basedOn w:val="Normal"/>
    <w:next w:val="Normal"/>
    <w:link w:val="IntenseQuoteChar"/>
    <w:uiPriority w:val="30"/>
    <w:qFormat/>
    <w:rsid w:val="00874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44B8"/>
    <w:rPr>
      <w:i/>
      <w:iCs/>
      <w:color w:val="0F4761" w:themeColor="accent1" w:themeShade="BF"/>
    </w:rPr>
  </w:style>
  <w:style w:type="character" w:styleId="IntenseReference">
    <w:name w:val="Intense Reference"/>
    <w:basedOn w:val="DefaultParagraphFont"/>
    <w:uiPriority w:val="32"/>
    <w:qFormat/>
    <w:rsid w:val="008744B8"/>
    <w:rPr>
      <w:b/>
      <w:bCs/>
      <w:smallCaps/>
      <w:color w:val="0F4761" w:themeColor="accent1" w:themeShade="BF"/>
      <w:spacing w:val="5"/>
    </w:rPr>
  </w:style>
  <w:style w:type="paragraph" w:styleId="Header">
    <w:name w:val="header"/>
    <w:basedOn w:val="Normal"/>
    <w:link w:val="HeaderChar"/>
    <w:uiPriority w:val="99"/>
    <w:unhideWhenUsed/>
    <w:rsid w:val="00874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4B8"/>
  </w:style>
  <w:style w:type="paragraph" w:styleId="Footer">
    <w:name w:val="footer"/>
    <w:basedOn w:val="Normal"/>
    <w:link w:val="FooterChar"/>
    <w:uiPriority w:val="99"/>
    <w:unhideWhenUsed/>
    <w:rsid w:val="00874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4B8"/>
  </w:style>
  <w:style w:type="character" w:styleId="Hyperlink">
    <w:name w:val="Hyperlink"/>
    <w:basedOn w:val="DefaultParagraphFont"/>
    <w:uiPriority w:val="99"/>
    <w:unhideWhenUsed/>
    <w:rsid w:val="00884EFD"/>
    <w:rPr>
      <w:color w:val="467886" w:themeColor="hyperlink"/>
      <w:u w:val="single"/>
    </w:rPr>
  </w:style>
  <w:style w:type="character" w:styleId="UnresolvedMention">
    <w:name w:val="Unresolved Mention"/>
    <w:basedOn w:val="DefaultParagraphFont"/>
    <w:uiPriority w:val="99"/>
    <w:semiHidden/>
    <w:unhideWhenUsed/>
    <w:rsid w:val="00884EFD"/>
    <w:rPr>
      <w:color w:val="605E5C"/>
      <w:shd w:val="clear" w:color="auto" w:fill="E1DFDD"/>
    </w:rPr>
  </w:style>
  <w:style w:type="character" w:styleId="FollowedHyperlink">
    <w:name w:val="FollowedHyperlink"/>
    <w:basedOn w:val="DefaultParagraphFont"/>
    <w:uiPriority w:val="99"/>
    <w:semiHidden/>
    <w:unhideWhenUsed/>
    <w:rsid w:val="000121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01809">
      <w:bodyDiv w:val="1"/>
      <w:marLeft w:val="0"/>
      <w:marRight w:val="0"/>
      <w:marTop w:val="0"/>
      <w:marBottom w:val="0"/>
      <w:divBdr>
        <w:top w:val="none" w:sz="0" w:space="0" w:color="auto"/>
        <w:left w:val="none" w:sz="0" w:space="0" w:color="auto"/>
        <w:bottom w:val="none" w:sz="0" w:space="0" w:color="auto"/>
        <w:right w:val="none" w:sz="0" w:space="0" w:color="auto"/>
      </w:divBdr>
      <w:divsChild>
        <w:div w:id="1641573126">
          <w:marLeft w:val="0"/>
          <w:marRight w:val="0"/>
          <w:marTop w:val="0"/>
          <w:marBottom w:val="0"/>
          <w:divBdr>
            <w:top w:val="none" w:sz="0" w:space="0" w:color="auto"/>
            <w:left w:val="none" w:sz="0" w:space="0" w:color="auto"/>
            <w:bottom w:val="none" w:sz="0" w:space="0" w:color="auto"/>
            <w:right w:val="none" w:sz="0" w:space="0" w:color="auto"/>
          </w:divBdr>
          <w:divsChild>
            <w:div w:id="1034816809">
              <w:marLeft w:val="0"/>
              <w:marRight w:val="0"/>
              <w:marTop w:val="0"/>
              <w:marBottom w:val="0"/>
              <w:divBdr>
                <w:top w:val="none" w:sz="0" w:space="0" w:color="auto"/>
                <w:left w:val="none" w:sz="0" w:space="0" w:color="auto"/>
                <w:bottom w:val="none" w:sz="0" w:space="0" w:color="auto"/>
                <w:right w:val="none" w:sz="0" w:space="0" w:color="auto"/>
              </w:divBdr>
              <w:divsChild>
                <w:div w:id="243228757">
                  <w:marLeft w:val="0"/>
                  <w:marRight w:val="0"/>
                  <w:marTop w:val="0"/>
                  <w:marBottom w:val="0"/>
                  <w:divBdr>
                    <w:top w:val="none" w:sz="0" w:space="0" w:color="auto"/>
                    <w:left w:val="none" w:sz="0" w:space="0" w:color="auto"/>
                    <w:bottom w:val="none" w:sz="0" w:space="0" w:color="auto"/>
                    <w:right w:val="none" w:sz="0" w:space="0" w:color="auto"/>
                  </w:divBdr>
                  <w:divsChild>
                    <w:div w:id="1237322386">
                      <w:marLeft w:val="0"/>
                      <w:marRight w:val="0"/>
                      <w:marTop w:val="0"/>
                      <w:marBottom w:val="0"/>
                      <w:divBdr>
                        <w:top w:val="none" w:sz="0" w:space="0" w:color="auto"/>
                        <w:left w:val="none" w:sz="0" w:space="0" w:color="auto"/>
                        <w:bottom w:val="none" w:sz="0" w:space="0" w:color="auto"/>
                        <w:right w:val="none" w:sz="0" w:space="0" w:color="auto"/>
                      </w:divBdr>
                      <w:divsChild>
                        <w:div w:id="161313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81915">
      <w:bodyDiv w:val="1"/>
      <w:marLeft w:val="0"/>
      <w:marRight w:val="0"/>
      <w:marTop w:val="0"/>
      <w:marBottom w:val="0"/>
      <w:divBdr>
        <w:top w:val="none" w:sz="0" w:space="0" w:color="auto"/>
        <w:left w:val="none" w:sz="0" w:space="0" w:color="auto"/>
        <w:bottom w:val="none" w:sz="0" w:space="0" w:color="auto"/>
        <w:right w:val="none" w:sz="0" w:space="0" w:color="auto"/>
      </w:divBdr>
      <w:divsChild>
        <w:div w:id="25761110">
          <w:marLeft w:val="0"/>
          <w:marRight w:val="0"/>
          <w:marTop w:val="0"/>
          <w:marBottom w:val="0"/>
          <w:divBdr>
            <w:top w:val="none" w:sz="0" w:space="0" w:color="auto"/>
            <w:left w:val="none" w:sz="0" w:space="0" w:color="auto"/>
            <w:bottom w:val="none" w:sz="0" w:space="0" w:color="auto"/>
            <w:right w:val="none" w:sz="0" w:space="0" w:color="auto"/>
          </w:divBdr>
          <w:divsChild>
            <w:div w:id="7020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3108">
      <w:bodyDiv w:val="1"/>
      <w:marLeft w:val="0"/>
      <w:marRight w:val="0"/>
      <w:marTop w:val="0"/>
      <w:marBottom w:val="0"/>
      <w:divBdr>
        <w:top w:val="none" w:sz="0" w:space="0" w:color="auto"/>
        <w:left w:val="none" w:sz="0" w:space="0" w:color="auto"/>
        <w:bottom w:val="none" w:sz="0" w:space="0" w:color="auto"/>
        <w:right w:val="none" w:sz="0" w:space="0" w:color="auto"/>
      </w:divBdr>
      <w:divsChild>
        <w:div w:id="1150440274">
          <w:marLeft w:val="0"/>
          <w:marRight w:val="0"/>
          <w:marTop w:val="0"/>
          <w:marBottom w:val="0"/>
          <w:divBdr>
            <w:top w:val="none" w:sz="0" w:space="0" w:color="auto"/>
            <w:left w:val="none" w:sz="0" w:space="0" w:color="auto"/>
            <w:bottom w:val="none" w:sz="0" w:space="0" w:color="auto"/>
            <w:right w:val="none" w:sz="0" w:space="0" w:color="auto"/>
          </w:divBdr>
          <w:divsChild>
            <w:div w:id="18979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1237">
      <w:bodyDiv w:val="1"/>
      <w:marLeft w:val="0"/>
      <w:marRight w:val="0"/>
      <w:marTop w:val="0"/>
      <w:marBottom w:val="0"/>
      <w:divBdr>
        <w:top w:val="none" w:sz="0" w:space="0" w:color="auto"/>
        <w:left w:val="none" w:sz="0" w:space="0" w:color="auto"/>
        <w:bottom w:val="none" w:sz="0" w:space="0" w:color="auto"/>
        <w:right w:val="none" w:sz="0" w:space="0" w:color="auto"/>
      </w:divBdr>
      <w:divsChild>
        <w:div w:id="808934553">
          <w:marLeft w:val="0"/>
          <w:marRight w:val="0"/>
          <w:marTop w:val="0"/>
          <w:marBottom w:val="0"/>
          <w:divBdr>
            <w:top w:val="none" w:sz="0" w:space="0" w:color="auto"/>
            <w:left w:val="none" w:sz="0" w:space="0" w:color="auto"/>
            <w:bottom w:val="none" w:sz="0" w:space="0" w:color="auto"/>
            <w:right w:val="none" w:sz="0" w:space="0" w:color="auto"/>
          </w:divBdr>
          <w:divsChild>
            <w:div w:id="13829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37686">
      <w:bodyDiv w:val="1"/>
      <w:marLeft w:val="0"/>
      <w:marRight w:val="0"/>
      <w:marTop w:val="0"/>
      <w:marBottom w:val="0"/>
      <w:divBdr>
        <w:top w:val="none" w:sz="0" w:space="0" w:color="auto"/>
        <w:left w:val="none" w:sz="0" w:space="0" w:color="auto"/>
        <w:bottom w:val="none" w:sz="0" w:space="0" w:color="auto"/>
        <w:right w:val="none" w:sz="0" w:space="0" w:color="auto"/>
      </w:divBdr>
    </w:div>
    <w:div w:id="265891706">
      <w:bodyDiv w:val="1"/>
      <w:marLeft w:val="0"/>
      <w:marRight w:val="0"/>
      <w:marTop w:val="0"/>
      <w:marBottom w:val="0"/>
      <w:divBdr>
        <w:top w:val="none" w:sz="0" w:space="0" w:color="auto"/>
        <w:left w:val="none" w:sz="0" w:space="0" w:color="auto"/>
        <w:bottom w:val="none" w:sz="0" w:space="0" w:color="auto"/>
        <w:right w:val="none" w:sz="0" w:space="0" w:color="auto"/>
      </w:divBdr>
      <w:divsChild>
        <w:div w:id="1210607026">
          <w:marLeft w:val="0"/>
          <w:marRight w:val="0"/>
          <w:marTop w:val="0"/>
          <w:marBottom w:val="0"/>
          <w:divBdr>
            <w:top w:val="none" w:sz="0" w:space="0" w:color="auto"/>
            <w:left w:val="none" w:sz="0" w:space="0" w:color="auto"/>
            <w:bottom w:val="none" w:sz="0" w:space="0" w:color="auto"/>
            <w:right w:val="none" w:sz="0" w:space="0" w:color="auto"/>
          </w:divBdr>
          <w:divsChild>
            <w:div w:id="82647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672753">
      <w:bodyDiv w:val="1"/>
      <w:marLeft w:val="0"/>
      <w:marRight w:val="0"/>
      <w:marTop w:val="0"/>
      <w:marBottom w:val="0"/>
      <w:divBdr>
        <w:top w:val="none" w:sz="0" w:space="0" w:color="auto"/>
        <w:left w:val="none" w:sz="0" w:space="0" w:color="auto"/>
        <w:bottom w:val="none" w:sz="0" w:space="0" w:color="auto"/>
        <w:right w:val="none" w:sz="0" w:space="0" w:color="auto"/>
      </w:divBdr>
      <w:divsChild>
        <w:div w:id="2113162716">
          <w:marLeft w:val="0"/>
          <w:marRight w:val="0"/>
          <w:marTop w:val="0"/>
          <w:marBottom w:val="0"/>
          <w:divBdr>
            <w:top w:val="none" w:sz="0" w:space="0" w:color="auto"/>
            <w:left w:val="none" w:sz="0" w:space="0" w:color="auto"/>
            <w:bottom w:val="none" w:sz="0" w:space="0" w:color="auto"/>
            <w:right w:val="none" w:sz="0" w:space="0" w:color="auto"/>
          </w:divBdr>
          <w:divsChild>
            <w:div w:id="19925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557763">
      <w:bodyDiv w:val="1"/>
      <w:marLeft w:val="0"/>
      <w:marRight w:val="0"/>
      <w:marTop w:val="0"/>
      <w:marBottom w:val="0"/>
      <w:divBdr>
        <w:top w:val="none" w:sz="0" w:space="0" w:color="auto"/>
        <w:left w:val="none" w:sz="0" w:space="0" w:color="auto"/>
        <w:bottom w:val="none" w:sz="0" w:space="0" w:color="auto"/>
        <w:right w:val="none" w:sz="0" w:space="0" w:color="auto"/>
      </w:divBdr>
      <w:divsChild>
        <w:div w:id="839270402">
          <w:marLeft w:val="0"/>
          <w:marRight w:val="0"/>
          <w:marTop w:val="0"/>
          <w:marBottom w:val="0"/>
          <w:divBdr>
            <w:top w:val="none" w:sz="0" w:space="0" w:color="auto"/>
            <w:left w:val="none" w:sz="0" w:space="0" w:color="auto"/>
            <w:bottom w:val="none" w:sz="0" w:space="0" w:color="auto"/>
            <w:right w:val="none" w:sz="0" w:space="0" w:color="auto"/>
          </w:divBdr>
          <w:divsChild>
            <w:div w:id="35187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67515">
      <w:bodyDiv w:val="1"/>
      <w:marLeft w:val="0"/>
      <w:marRight w:val="0"/>
      <w:marTop w:val="0"/>
      <w:marBottom w:val="0"/>
      <w:divBdr>
        <w:top w:val="none" w:sz="0" w:space="0" w:color="auto"/>
        <w:left w:val="none" w:sz="0" w:space="0" w:color="auto"/>
        <w:bottom w:val="none" w:sz="0" w:space="0" w:color="auto"/>
        <w:right w:val="none" w:sz="0" w:space="0" w:color="auto"/>
      </w:divBdr>
      <w:divsChild>
        <w:div w:id="1458180034">
          <w:marLeft w:val="0"/>
          <w:marRight w:val="0"/>
          <w:marTop w:val="0"/>
          <w:marBottom w:val="0"/>
          <w:divBdr>
            <w:top w:val="none" w:sz="0" w:space="0" w:color="auto"/>
            <w:left w:val="none" w:sz="0" w:space="0" w:color="auto"/>
            <w:bottom w:val="none" w:sz="0" w:space="0" w:color="auto"/>
            <w:right w:val="none" w:sz="0" w:space="0" w:color="auto"/>
          </w:divBdr>
          <w:divsChild>
            <w:div w:id="127606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4147">
      <w:bodyDiv w:val="1"/>
      <w:marLeft w:val="0"/>
      <w:marRight w:val="0"/>
      <w:marTop w:val="0"/>
      <w:marBottom w:val="0"/>
      <w:divBdr>
        <w:top w:val="none" w:sz="0" w:space="0" w:color="auto"/>
        <w:left w:val="none" w:sz="0" w:space="0" w:color="auto"/>
        <w:bottom w:val="none" w:sz="0" w:space="0" w:color="auto"/>
        <w:right w:val="none" w:sz="0" w:space="0" w:color="auto"/>
      </w:divBdr>
      <w:divsChild>
        <w:div w:id="1381591612">
          <w:marLeft w:val="0"/>
          <w:marRight w:val="0"/>
          <w:marTop w:val="0"/>
          <w:marBottom w:val="0"/>
          <w:divBdr>
            <w:top w:val="none" w:sz="0" w:space="0" w:color="auto"/>
            <w:left w:val="none" w:sz="0" w:space="0" w:color="auto"/>
            <w:bottom w:val="none" w:sz="0" w:space="0" w:color="auto"/>
            <w:right w:val="none" w:sz="0" w:space="0" w:color="auto"/>
          </w:divBdr>
          <w:divsChild>
            <w:div w:id="77787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7844">
      <w:bodyDiv w:val="1"/>
      <w:marLeft w:val="0"/>
      <w:marRight w:val="0"/>
      <w:marTop w:val="0"/>
      <w:marBottom w:val="0"/>
      <w:divBdr>
        <w:top w:val="none" w:sz="0" w:space="0" w:color="auto"/>
        <w:left w:val="none" w:sz="0" w:space="0" w:color="auto"/>
        <w:bottom w:val="none" w:sz="0" w:space="0" w:color="auto"/>
        <w:right w:val="none" w:sz="0" w:space="0" w:color="auto"/>
      </w:divBdr>
      <w:divsChild>
        <w:div w:id="1637680362">
          <w:marLeft w:val="0"/>
          <w:marRight w:val="0"/>
          <w:marTop w:val="0"/>
          <w:marBottom w:val="0"/>
          <w:divBdr>
            <w:top w:val="none" w:sz="0" w:space="0" w:color="auto"/>
            <w:left w:val="none" w:sz="0" w:space="0" w:color="auto"/>
            <w:bottom w:val="none" w:sz="0" w:space="0" w:color="auto"/>
            <w:right w:val="none" w:sz="0" w:space="0" w:color="auto"/>
          </w:divBdr>
          <w:divsChild>
            <w:div w:id="20900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05067">
      <w:bodyDiv w:val="1"/>
      <w:marLeft w:val="0"/>
      <w:marRight w:val="0"/>
      <w:marTop w:val="0"/>
      <w:marBottom w:val="0"/>
      <w:divBdr>
        <w:top w:val="none" w:sz="0" w:space="0" w:color="auto"/>
        <w:left w:val="none" w:sz="0" w:space="0" w:color="auto"/>
        <w:bottom w:val="none" w:sz="0" w:space="0" w:color="auto"/>
        <w:right w:val="none" w:sz="0" w:space="0" w:color="auto"/>
      </w:divBdr>
      <w:divsChild>
        <w:div w:id="1572538376">
          <w:marLeft w:val="0"/>
          <w:marRight w:val="0"/>
          <w:marTop w:val="0"/>
          <w:marBottom w:val="0"/>
          <w:divBdr>
            <w:top w:val="none" w:sz="0" w:space="0" w:color="auto"/>
            <w:left w:val="none" w:sz="0" w:space="0" w:color="auto"/>
            <w:bottom w:val="none" w:sz="0" w:space="0" w:color="auto"/>
            <w:right w:val="none" w:sz="0" w:space="0" w:color="auto"/>
          </w:divBdr>
          <w:divsChild>
            <w:div w:id="123524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2750">
      <w:bodyDiv w:val="1"/>
      <w:marLeft w:val="0"/>
      <w:marRight w:val="0"/>
      <w:marTop w:val="0"/>
      <w:marBottom w:val="0"/>
      <w:divBdr>
        <w:top w:val="none" w:sz="0" w:space="0" w:color="auto"/>
        <w:left w:val="none" w:sz="0" w:space="0" w:color="auto"/>
        <w:bottom w:val="none" w:sz="0" w:space="0" w:color="auto"/>
        <w:right w:val="none" w:sz="0" w:space="0" w:color="auto"/>
      </w:divBdr>
      <w:divsChild>
        <w:div w:id="757597826">
          <w:marLeft w:val="0"/>
          <w:marRight w:val="0"/>
          <w:marTop w:val="0"/>
          <w:marBottom w:val="0"/>
          <w:divBdr>
            <w:top w:val="none" w:sz="0" w:space="0" w:color="auto"/>
            <w:left w:val="none" w:sz="0" w:space="0" w:color="auto"/>
            <w:bottom w:val="none" w:sz="0" w:space="0" w:color="auto"/>
            <w:right w:val="none" w:sz="0" w:space="0" w:color="auto"/>
          </w:divBdr>
          <w:divsChild>
            <w:div w:id="145825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74080">
      <w:bodyDiv w:val="1"/>
      <w:marLeft w:val="0"/>
      <w:marRight w:val="0"/>
      <w:marTop w:val="0"/>
      <w:marBottom w:val="0"/>
      <w:divBdr>
        <w:top w:val="none" w:sz="0" w:space="0" w:color="auto"/>
        <w:left w:val="none" w:sz="0" w:space="0" w:color="auto"/>
        <w:bottom w:val="none" w:sz="0" w:space="0" w:color="auto"/>
        <w:right w:val="none" w:sz="0" w:space="0" w:color="auto"/>
      </w:divBdr>
      <w:divsChild>
        <w:div w:id="2031754503">
          <w:marLeft w:val="0"/>
          <w:marRight w:val="0"/>
          <w:marTop w:val="0"/>
          <w:marBottom w:val="0"/>
          <w:divBdr>
            <w:top w:val="none" w:sz="0" w:space="0" w:color="auto"/>
            <w:left w:val="none" w:sz="0" w:space="0" w:color="auto"/>
            <w:bottom w:val="none" w:sz="0" w:space="0" w:color="auto"/>
            <w:right w:val="none" w:sz="0" w:space="0" w:color="auto"/>
          </w:divBdr>
          <w:divsChild>
            <w:div w:id="14351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5635">
      <w:bodyDiv w:val="1"/>
      <w:marLeft w:val="0"/>
      <w:marRight w:val="0"/>
      <w:marTop w:val="0"/>
      <w:marBottom w:val="0"/>
      <w:divBdr>
        <w:top w:val="none" w:sz="0" w:space="0" w:color="auto"/>
        <w:left w:val="none" w:sz="0" w:space="0" w:color="auto"/>
        <w:bottom w:val="none" w:sz="0" w:space="0" w:color="auto"/>
        <w:right w:val="none" w:sz="0" w:space="0" w:color="auto"/>
      </w:divBdr>
      <w:divsChild>
        <w:div w:id="283119852">
          <w:marLeft w:val="0"/>
          <w:marRight w:val="0"/>
          <w:marTop w:val="0"/>
          <w:marBottom w:val="0"/>
          <w:divBdr>
            <w:top w:val="none" w:sz="0" w:space="0" w:color="auto"/>
            <w:left w:val="none" w:sz="0" w:space="0" w:color="auto"/>
            <w:bottom w:val="none" w:sz="0" w:space="0" w:color="auto"/>
            <w:right w:val="none" w:sz="0" w:space="0" w:color="auto"/>
          </w:divBdr>
          <w:divsChild>
            <w:div w:id="3185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0586">
      <w:bodyDiv w:val="1"/>
      <w:marLeft w:val="0"/>
      <w:marRight w:val="0"/>
      <w:marTop w:val="0"/>
      <w:marBottom w:val="0"/>
      <w:divBdr>
        <w:top w:val="none" w:sz="0" w:space="0" w:color="auto"/>
        <w:left w:val="none" w:sz="0" w:space="0" w:color="auto"/>
        <w:bottom w:val="none" w:sz="0" w:space="0" w:color="auto"/>
        <w:right w:val="none" w:sz="0" w:space="0" w:color="auto"/>
      </w:divBdr>
      <w:divsChild>
        <w:div w:id="596670710">
          <w:marLeft w:val="0"/>
          <w:marRight w:val="0"/>
          <w:marTop w:val="0"/>
          <w:marBottom w:val="0"/>
          <w:divBdr>
            <w:top w:val="none" w:sz="0" w:space="0" w:color="auto"/>
            <w:left w:val="none" w:sz="0" w:space="0" w:color="auto"/>
            <w:bottom w:val="none" w:sz="0" w:space="0" w:color="auto"/>
            <w:right w:val="none" w:sz="0" w:space="0" w:color="auto"/>
          </w:divBdr>
          <w:divsChild>
            <w:div w:id="12935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61619">
      <w:bodyDiv w:val="1"/>
      <w:marLeft w:val="0"/>
      <w:marRight w:val="0"/>
      <w:marTop w:val="0"/>
      <w:marBottom w:val="0"/>
      <w:divBdr>
        <w:top w:val="none" w:sz="0" w:space="0" w:color="auto"/>
        <w:left w:val="none" w:sz="0" w:space="0" w:color="auto"/>
        <w:bottom w:val="none" w:sz="0" w:space="0" w:color="auto"/>
        <w:right w:val="none" w:sz="0" w:space="0" w:color="auto"/>
      </w:divBdr>
      <w:divsChild>
        <w:div w:id="458960123">
          <w:marLeft w:val="0"/>
          <w:marRight w:val="0"/>
          <w:marTop w:val="0"/>
          <w:marBottom w:val="0"/>
          <w:divBdr>
            <w:top w:val="none" w:sz="0" w:space="0" w:color="auto"/>
            <w:left w:val="none" w:sz="0" w:space="0" w:color="auto"/>
            <w:bottom w:val="none" w:sz="0" w:space="0" w:color="auto"/>
            <w:right w:val="none" w:sz="0" w:space="0" w:color="auto"/>
          </w:divBdr>
          <w:divsChild>
            <w:div w:id="16711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9389">
      <w:bodyDiv w:val="1"/>
      <w:marLeft w:val="0"/>
      <w:marRight w:val="0"/>
      <w:marTop w:val="0"/>
      <w:marBottom w:val="0"/>
      <w:divBdr>
        <w:top w:val="none" w:sz="0" w:space="0" w:color="auto"/>
        <w:left w:val="none" w:sz="0" w:space="0" w:color="auto"/>
        <w:bottom w:val="none" w:sz="0" w:space="0" w:color="auto"/>
        <w:right w:val="none" w:sz="0" w:space="0" w:color="auto"/>
      </w:divBdr>
      <w:divsChild>
        <w:div w:id="468979944">
          <w:marLeft w:val="0"/>
          <w:marRight w:val="0"/>
          <w:marTop w:val="0"/>
          <w:marBottom w:val="0"/>
          <w:divBdr>
            <w:top w:val="none" w:sz="0" w:space="0" w:color="auto"/>
            <w:left w:val="none" w:sz="0" w:space="0" w:color="auto"/>
            <w:bottom w:val="none" w:sz="0" w:space="0" w:color="auto"/>
            <w:right w:val="none" w:sz="0" w:space="0" w:color="auto"/>
          </w:divBdr>
          <w:divsChild>
            <w:div w:id="170598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3550">
      <w:bodyDiv w:val="1"/>
      <w:marLeft w:val="0"/>
      <w:marRight w:val="0"/>
      <w:marTop w:val="0"/>
      <w:marBottom w:val="0"/>
      <w:divBdr>
        <w:top w:val="none" w:sz="0" w:space="0" w:color="auto"/>
        <w:left w:val="none" w:sz="0" w:space="0" w:color="auto"/>
        <w:bottom w:val="none" w:sz="0" w:space="0" w:color="auto"/>
        <w:right w:val="none" w:sz="0" w:space="0" w:color="auto"/>
      </w:divBdr>
      <w:divsChild>
        <w:div w:id="2126192303">
          <w:marLeft w:val="0"/>
          <w:marRight w:val="0"/>
          <w:marTop w:val="0"/>
          <w:marBottom w:val="0"/>
          <w:divBdr>
            <w:top w:val="none" w:sz="0" w:space="0" w:color="auto"/>
            <w:left w:val="none" w:sz="0" w:space="0" w:color="auto"/>
            <w:bottom w:val="none" w:sz="0" w:space="0" w:color="auto"/>
            <w:right w:val="none" w:sz="0" w:space="0" w:color="auto"/>
          </w:divBdr>
          <w:divsChild>
            <w:div w:id="1161579355">
              <w:marLeft w:val="0"/>
              <w:marRight w:val="0"/>
              <w:marTop w:val="0"/>
              <w:marBottom w:val="0"/>
              <w:divBdr>
                <w:top w:val="none" w:sz="0" w:space="0" w:color="auto"/>
                <w:left w:val="none" w:sz="0" w:space="0" w:color="auto"/>
                <w:bottom w:val="none" w:sz="0" w:space="0" w:color="auto"/>
                <w:right w:val="none" w:sz="0" w:space="0" w:color="auto"/>
              </w:divBdr>
              <w:divsChild>
                <w:div w:id="1024549937">
                  <w:marLeft w:val="0"/>
                  <w:marRight w:val="0"/>
                  <w:marTop w:val="0"/>
                  <w:marBottom w:val="0"/>
                  <w:divBdr>
                    <w:top w:val="none" w:sz="0" w:space="0" w:color="auto"/>
                    <w:left w:val="none" w:sz="0" w:space="0" w:color="auto"/>
                    <w:bottom w:val="none" w:sz="0" w:space="0" w:color="auto"/>
                    <w:right w:val="none" w:sz="0" w:space="0" w:color="auto"/>
                  </w:divBdr>
                  <w:divsChild>
                    <w:div w:id="810093543">
                      <w:marLeft w:val="0"/>
                      <w:marRight w:val="0"/>
                      <w:marTop w:val="0"/>
                      <w:marBottom w:val="0"/>
                      <w:divBdr>
                        <w:top w:val="none" w:sz="0" w:space="0" w:color="auto"/>
                        <w:left w:val="none" w:sz="0" w:space="0" w:color="auto"/>
                        <w:bottom w:val="none" w:sz="0" w:space="0" w:color="auto"/>
                        <w:right w:val="none" w:sz="0" w:space="0" w:color="auto"/>
                      </w:divBdr>
                    </w:div>
                    <w:div w:id="2013756139">
                      <w:marLeft w:val="0"/>
                      <w:marRight w:val="0"/>
                      <w:marTop w:val="0"/>
                      <w:marBottom w:val="0"/>
                      <w:divBdr>
                        <w:top w:val="none" w:sz="0" w:space="0" w:color="auto"/>
                        <w:left w:val="none" w:sz="0" w:space="0" w:color="auto"/>
                        <w:bottom w:val="none" w:sz="0" w:space="0" w:color="auto"/>
                        <w:right w:val="none" w:sz="0" w:space="0" w:color="auto"/>
                      </w:divBdr>
                    </w:div>
                    <w:div w:id="66474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481404">
          <w:marLeft w:val="0"/>
          <w:marRight w:val="0"/>
          <w:marTop w:val="0"/>
          <w:marBottom w:val="0"/>
          <w:divBdr>
            <w:top w:val="none" w:sz="0" w:space="0" w:color="auto"/>
            <w:left w:val="none" w:sz="0" w:space="0" w:color="auto"/>
            <w:bottom w:val="none" w:sz="0" w:space="0" w:color="auto"/>
            <w:right w:val="none" w:sz="0" w:space="0" w:color="auto"/>
          </w:divBdr>
          <w:divsChild>
            <w:div w:id="1950745415">
              <w:marLeft w:val="0"/>
              <w:marRight w:val="0"/>
              <w:marTop w:val="0"/>
              <w:marBottom w:val="0"/>
              <w:divBdr>
                <w:top w:val="none" w:sz="0" w:space="0" w:color="auto"/>
                <w:left w:val="none" w:sz="0" w:space="0" w:color="auto"/>
                <w:bottom w:val="none" w:sz="0" w:space="0" w:color="auto"/>
                <w:right w:val="none" w:sz="0" w:space="0" w:color="auto"/>
              </w:divBdr>
              <w:divsChild>
                <w:div w:id="94739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020018">
      <w:bodyDiv w:val="1"/>
      <w:marLeft w:val="0"/>
      <w:marRight w:val="0"/>
      <w:marTop w:val="0"/>
      <w:marBottom w:val="0"/>
      <w:divBdr>
        <w:top w:val="none" w:sz="0" w:space="0" w:color="auto"/>
        <w:left w:val="none" w:sz="0" w:space="0" w:color="auto"/>
        <w:bottom w:val="none" w:sz="0" w:space="0" w:color="auto"/>
        <w:right w:val="none" w:sz="0" w:space="0" w:color="auto"/>
      </w:divBdr>
      <w:divsChild>
        <w:div w:id="504057486">
          <w:marLeft w:val="0"/>
          <w:marRight w:val="0"/>
          <w:marTop w:val="0"/>
          <w:marBottom w:val="0"/>
          <w:divBdr>
            <w:top w:val="none" w:sz="0" w:space="0" w:color="auto"/>
            <w:left w:val="none" w:sz="0" w:space="0" w:color="auto"/>
            <w:bottom w:val="none" w:sz="0" w:space="0" w:color="auto"/>
            <w:right w:val="none" w:sz="0" w:space="0" w:color="auto"/>
          </w:divBdr>
          <w:divsChild>
            <w:div w:id="36656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17323">
      <w:bodyDiv w:val="1"/>
      <w:marLeft w:val="0"/>
      <w:marRight w:val="0"/>
      <w:marTop w:val="0"/>
      <w:marBottom w:val="0"/>
      <w:divBdr>
        <w:top w:val="none" w:sz="0" w:space="0" w:color="auto"/>
        <w:left w:val="none" w:sz="0" w:space="0" w:color="auto"/>
        <w:bottom w:val="none" w:sz="0" w:space="0" w:color="auto"/>
        <w:right w:val="none" w:sz="0" w:space="0" w:color="auto"/>
      </w:divBdr>
      <w:divsChild>
        <w:div w:id="1798792143">
          <w:marLeft w:val="0"/>
          <w:marRight w:val="0"/>
          <w:marTop w:val="0"/>
          <w:marBottom w:val="0"/>
          <w:divBdr>
            <w:top w:val="none" w:sz="0" w:space="0" w:color="auto"/>
            <w:left w:val="none" w:sz="0" w:space="0" w:color="auto"/>
            <w:bottom w:val="none" w:sz="0" w:space="0" w:color="auto"/>
            <w:right w:val="none" w:sz="0" w:space="0" w:color="auto"/>
          </w:divBdr>
          <w:divsChild>
            <w:div w:id="1421028024">
              <w:marLeft w:val="0"/>
              <w:marRight w:val="0"/>
              <w:marTop w:val="0"/>
              <w:marBottom w:val="0"/>
              <w:divBdr>
                <w:top w:val="none" w:sz="0" w:space="0" w:color="auto"/>
                <w:left w:val="none" w:sz="0" w:space="0" w:color="auto"/>
                <w:bottom w:val="none" w:sz="0" w:space="0" w:color="auto"/>
                <w:right w:val="none" w:sz="0" w:space="0" w:color="auto"/>
              </w:divBdr>
              <w:divsChild>
                <w:div w:id="562326938">
                  <w:marLeft w:val="0"/>
                  <w:marRight w:val="0"/>
                  <w:marTop w:val="0"/>
                  <w:marBottom w:val="0"/>
                  <w:divBdr>
                    <w:top w:val="none" w:sz="0" w:space="0" w:color="auto"/>
                    <w:left w:val="none" w:sz="0" w:space="0" w:color="auto"/>
                    <w:bottom w:val="none" w:sz="0" w:space="0" w:color="auto"/>
                    <w:right w:val="none" w:sz="0" w:space="0" w:color="auto"/>
                  </w:divBdr>
                  <w:divsChild>
                    <w:div w:id="1151213577">
                      <w:marLeft w:val="0"/>
                      <w:marRight w:val="0"/>
                      <w:marTop w:val="0"/>
                      <w:marBottom w:val="0"/>
                      <w:divBdr>
                        <w:top w:val="none" w:sz="0" w:space="0" w:color="auto"/>
                        <w:left w:val="none" w:sz="0" w:space="0" w:color="auto"/>
                        <w:bottom w:val="none" w:sz="0" w:space="0" w:color="auto"/>
                        <w:right w:val="none" w:sz="0" w:space="0" w:color="auto"/>
                      </w:divBdr>
                    </w:div>
                    <w:div w:id="37359575">
                      <w:marLeft w:val="0"/>
                      <w:marRight w:val="0"/>
                      <w:marTop w:val="0"/>
                      <w:marBottom w:val="0"/>
                      <w:divBdr>
                        <w:top w:val="none" w:sz="0" w:space="0" w:color="auto"/>
                        <w:left w:val="none" w:sz="0" w:space="0" w:color="auto"/>
                        <w:bottom w:val="none" w:sz="0" w:space="0" w:color="auto"/>
                        <w:right w:val="none" w:sz="0" w:space="0" w:color="auto"/>
                      </w:divBdr>
                    </w:div>
                    <w:div w:id="103396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44204">
          <w:marLeft w:val="0"/>
          <w:marRight w:val="0"/>
          <w:marTop w:val="0"/>
          <w:marBottom w:val="0"/>
          <w:divBdr>
            <w:top w:val="none" w:sz="0" w:space="0" w:color="auto"/>
            <w:left w:val="none" w:sz="0" w:space="0" w:color="auto"/>
            <w:bottom w:val="none" w:sz="0" w:space="0" w:color="auto"/>
            <w:right w:val="none" w:sz="0" w:space="0" w:color="auto"/>
          </w:divBdr>
          <w:divsChild>
            <w:div w:id="1133792618">
              <w:marLeft w:val="0"/>
              <w:marRight w:val="0"/>
              <w:marTop w:val="0"/>
              <w:marBottom w:val="0"/>
              <w:divBdr>
                <w:top w:val="none" w:sz="0" w:space="0" w:color="auto"/>
                <w:left w:val="none" w:sz="0" w:space="0" w:color="auto"/>
                <w:bottom w:val="none" w:sz="0" w:space="0" w:color="auto"/>
                <w:right w:val="none" w:sz="0" w:space="0" w:color="auto"/>
              </w:divBdr>
              <w:divsChild>
                <w:div w:id="55778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503">
      <w:bodyDiv w:val="1"/>
      <w:marLeft w:val="0"/>
      <w:marRight w:val="0"/>
      <w:marTop w:val="0"/>
      <w:marBottom w:val="0"/>
      <w:divBdr>
        <w:top w:val="none" w:sz="0" w:space="0" w:color="auto"/>
        <w:left w:val="none" w:sz="0" w:space="0" w:color="auto"/>
        <w:bottom w:val="none" w:sz="0" w:space="0" w:color="auto"/>
        <w:right w:val="none" w:sz="0" w:space="0" w:color="auto"/>
      </w:divBdr>
      <w:divsChild>
        <w:div w:id="1027414340">
          <w:marLeft w:val="0"/>
          <w:marRight w:val="0"/>
          <w:marTop w:val="0"/>
          <w:marBottom w:val="0"/>
          <w:divBdr>
            <w:top w:val="none" w:sz="0" w:space="0" w:color="auto"/>
            <w:left w:val="none" w:sz="0" w:space="0" w:color="auto"/>
            <w:bottom w:val="none" w:sz="0" w:space="0" w:color="auto"/>
            <w:right w:val="none" w:sz="0" w:space="0" w:color="auto"/>
          </w:divBdr>
          <w:divsChild>
            <w:div w:id="53065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63227">
      <w:bodyDiv w:val="1"/>
      <w:marLeft w:val="0"/>
      <w:marRight w:val="0"/>
      <w:marTop w:val="0"/>
      <w:marBottom w:val="0"/>
      <w:divBdr>
        <w:top w:val="none" w:sz="0" w:space="0" w:color="auto"/>
        <w:left w:val="none" w:sz="0" w:space="0" w:color="auto"/>
        <w:bottom w:val="none" w:sz="0" w:space="0" w:color="auto"/>
        <w:right w:val="none" w:sz="0" w:space="0" w:color="auto"/>
      </w:divBdr>
      <w:divsChild>
        <w:div w:id="1201551636">
          <w:marLeft w:val="0"/>
          <w:marRight w:val="0"/>
          <w:marTop w:val="0"/>
          <w:marBottom w:val="0"/>
          <w:divBdr>
            <w:top w:val="none" w:sz="0" w:space="0" w:color="auto"/>
            <w:left w:val="none" w:sz="0" w:space="0" w:color="auto"/>
            <w:bottom w:val="none" w:sz="0" w:space="0" w:color="auto"/>
            <w:right w:val="none" w:sz="0" w:space="0" w:color="auto"/>
          </w:divBdr>
          <w:divsChild>
            <w:div w:id="140286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1108">
      <w:bodyDiv w:val="1"/>
      <w:marLeft w:val="0"/>
      <w:marRight w:val="0"/>
      <w:marTop w:val="0"/>
      <w:marBottom w:val="0"/>
      <w:divBdr>
        <w:top w:val="none" w:sz="0" w:space="0" w:color="auto"/>
        <w:left w:val="none" w:sz="0" w:space="0" w:color="auto"/>
        <w:bottom w:val="none" w:sz="0" w:space="0" w:color="auto"/>
        <w:right w:val="none" w:sz="0" w:space="0" w:color="auto"/>
      </w:divBdr>
    </w:div>
    <w:div w:id="1709262844">
      <w:bodyDiv w:val="1"/>
      <w:marLeft w:val="0"/>
      <w:marRight w:val="0"/>
      <w:marTop w:val="0"/>
      <w:marBottom w:val="0"/>
      <w:divBdr>
        <w:top w:val="none" w:sz="0" w:space="0" w:color="auto"/>
        <w:left w:val="none" w:sz="0" w:space="0" w:color="auto"/>
        <w:bottom w:val="none" w:sz="0" w:space="0" w:color="auto"/>
        <w:right w:val="none" w:sz="0" w:space="0" w:color="auto"/>
      </w:divBdr>
      <w:divsChild>
        <w:div w:id="82187818">
          <w:marLeft w:val="0"/>
          <w:marRight w:val="0"/>
          <w:marTop w:val="0"/>
          <w:marBottom w:val="0"/>
          <w:divBdr>
            <w:top w:val="none" w:sz="0" w:space="0" w:color="auto"/>
            <w:left w:val="none" w:sz="0" w:space="0" w:color="auto"/>
            <w:bottom w:val="none" w:sz="0" w:space="0" w:color="auto"/>
            <w:right w:val="none" w:sz="0" w:space="0" w:color="auto"/>
          </w:divBdr>
          <w:divsChild>
            <w:div w:id="10375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723814">
      <w:bodyDiv w:val="1"/>
      <w:marLeft w:val="0"/>
      <w:marRight w:val="0"/>
      <w:marTop w:val="0"/>
      <w:marBottom w:val="0"/>
      <w:divBdr>
        <w:top w:val="none" w:sz="0" w:space="0" w:color="auto"/>
        <w:left w:val="none" w:sz="0" w:space="0" w:color="auto"/>
        <w:bottom w:val="none" w:sz="0" w:space="0" w:color="auto"/>
        <w:right w:val="none" w:sz="0" w:space="0" w:color="auto"/>
      </w:divBdr>
      <w:divsChild>
        <w:div w:id="974258909">
          <w:marLeft w:val="0"/>
          <w:marRight w:val="0"/>
          <w:marTop w:val="0"/>
          <w:marBottom w:val="0"/>
          <w:divBdr>
            <w:top w:val="none" w:sz="0" w:space="0" w:color="auto"/>
            <w:left w:val="none" w:sz="0" w:space="0" w:color="auto"/>
            <w:bottom w:val="none" w:sz="0" w:space="0" w:color="auto"/>
            <w:right w:val="none" w:sz="0" w:space="0" w:color="auto"/>
          </w:divBdr>
          <w:divsChild>
            <w:div w:id="7527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36499">
      <w:bodyDiv w:val="1"/>
      <w:marLeft w:val="0"/>
      <w:marRight w:val="0"/>
      <w:marTop w:val="0"/>
      <w:marBottom w:val="0"/>
      <w:divBdr>
        <w:top w:val="none" w:sz="0" w:space="0" w:color="auto"/>
        <w:left w:val="none" w:sz="0" w:space="0" w:color="auto"/>
        <w:bottom w:val="none" w:sz="0" w:space="0" w:color="auto"/>
        <w:right w:val="none" w:sz="0" w:space="0" w:color="auto"/>
      </w:divBdr>
      <w:divsChild>
        <w:div w:id="1668554070">
          <w:marLeft w:val="0"/>
          <w:marRight w:val="0"/>
          <w:marTop w:val="0"/>
          <w:marBottom w:val="0"/>
          <w:divBdr>
            <w:top w:val="none" w:sz="0" w:space="0" w:color="auto"/>
            <w:left w:val="none" w:sz="0" w:space="0" w:color="auto"/>
            <w:bottom w:val="none" w:sz="0" w:space="0" w:color="auto"/>
            <w:right w:val="none" w:sz="0" w:space="0" w:color="auto"/>
          </w:divBdr>
          <w:divsChild>
            <w:div w:id="3711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374686">
      <w:bodyDiv w:val="1"/>
      <w:marLeft w:val="0"/>
      <w:marRight w:val="0"/>
      <w:marTop w:val="0"/>
      <w:marBottom w:val="0"/>
      <w:divBdr>
        <w:top w:val="none" w:sz="0" w:space="0" w:color="auto"/>
        <w:left w:val="none" w:sz="0" w:space="0" w:color="auto"/>
        <w:bottom w:val="none" w:sz="0" w:space="0" w:color="auto"/>
        <w:right w:val="none" w:sz="0" w:space="0" w:color="auto"/>
      </w:divBdr>
      <w:divsChild>
        <w:div w:id="940260963">
          <w:marLeft w:val="0"/>
          <w:marRight w:val="0"/>
          <w:marTop w:val="0"/>
          <w:marBottom w:val="0"/>
          <w:divBdr>
            <w:top w:val="none" w:sz="0" w:space="0" w:color="auto"/>
            <w:left w:val="none" w:sz="0" w:space="0" w:color="auto"/>
            <w:bottom w:val="none" w:sz="0" w:space="0" w:color="auto"/>
            <w:right w:val="none" w:sz="0" w:space="0" w:color="auto"/>
          </w:divBdr>
          <w:divsChild>
            <w:div w:id="206035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2236">
      <w:bodyDiv w:val="1"/>
      <w:marLeft w:val="0"/>
      <w:marRight w:val="0"/>
      <w:marTop w:val="0"/>
      <w:marBottom w:val="0"/>
      <w:divBdr>
        <w:top w:val="none" w:sz="0" w:space="0" w:color="auto"/>
        <w:left w:val="none" w:sz="0" w:space="0" w:color="auto"/>
        <w:bottom w:val="none" w:sz="0" w:space="0" w:color="auto"/>
        <w:right w:val="none" w:sz="0" w:space="0" w:color="auto"/>
      </w:divBdr>
      <w:divsChild>
        <w:div w:id="1541674025">
          <w:marLeft w:val="0"/>
          <w:marRight w:val="0"/>
          <w:marTop w:val="0"/>
          <w:marBottom w:val="0"/>
          <w:divBdr>
            <w:top w:val="none" w:sz="0" w:space="0" w:color="auto"/>
            <w:left w:val="none" w:sz="0" w:space="0" w:color="auto"/>
            <w:bottom w:val="none" w:sz="0" w:space="0" w:color="auto"/>
            <w:right w:val="none" w:sz="0" w:space="0" w:color="auto"/>
          </w:divBdr>
          <w:divsChild>
            <w:div w:id="5875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74894">
      <w:bodyDiv w:val="1"/>
      <w:marLeft w:val="0"/>
      <w:marRight w:val="0"/>
      <w:marTop w:val="0"/>
      <w:marBottom w:val="0"/>
      <w:divBdr>
        <w:top w:val="none" w:sz="0" w:space="0" w:color="auto"/>
        <w:left w:val="none" w:sz="0" w:space="0" w:color="auto"/>
        <w:bottom w:val="none" w:sz="0" w:space="0" w:color="auto"/>
        <w:right w:val="none" w:sz="0" w:space="0" w:color="auto"/>
      </w:divBdr>
      <w:divsChild>
        <w:div w:id="931163293">
          <w:marLeft w:val="0"/>
          <w:marRight w:val="0"/>
          <w:marTop w:val="0"/>
          <w:marBottom w:val="0"/>
          <w:divBdr>
            <w:top w:val="none" w:sz="0" w:space="0" w:color="auto"/>
            <w:left w:val="none" w:sz="0" w:space="0" w:color="auto"/>
            <w:bottom w:val="none" w:sz="0" w:space="0" w:color="auto"/>
            <w:right w:val="none" w:sz="0" w:space="0" w:color="auto"/>
          </w:divBdr>
          <w:divsChild>
            <w:div w:id="5224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362327">
      <w:bodyDiv w:val="1"/>
      <w:marLeft w:val="0"/>
      <w:marRight w:val="0"/>
      <w:marTop w:val="0"/>
      <w:marBottom w:val="0"/>
      <w:divBdr>
        <w:top w:val="none" w:sz="0" w:space="0" w:color="auto"/>
        <w:left w:val="none" w:sz="0" w:space="0" w:color="auto"/>
        <w:bottom w:val="none" w:sz="0" w:space="0" w:color="auto"/>
        <w:right w:val="none" w:sz="0" w:space="0" w:color="auto"/>
      </w:divBdr>
      <w:divsChild>
        <w:div w:id="198933880">
          <w:marLeft w:val="0"/>
          <w:marRight w:val="0"/>
          <w:marTop w:val="0"/>
          <w:marBottom w:val="0"/>
          <w:divBdr>
            <w:top w:val="none" w:sz="0" w:space="0" w:color="auto"/>
            <w:left w:val="none" w:sz="0" w:space="0" w:color="auto"/>
            <w:bottom w:val="none" w:sz="0" w:space="0" w:color="auto"/>
            <w:right w:val="none" w:sz="0" w:space="0" w:color="auto"/>
          </w:divBdr>
          <w:divsChild>
            <w:div w:id="185144919">
              <w:marLeft w:val="0"/>
              <w:marRight w:val="0"/>
              <w:marTop w:val="0"/>
              <w:marBottom w:val="0"/>
              <w:divBdr>
                <w:top w:val="none" w:sz="0" w:space="0" w:color="auto"/>
                <w:left w:val="none" w:sz="0" w:space="0" w:color="auto"/>
                <w:bottom w:val="none" w:sz="0" w:space="0" w:color="auto"/>
                <w:right w:val="none" w:sz="0" w:space="0" w:color="auto"/>
              </w:divBdr>
              <w:divsChild>
                <w:div w:id="134834290">
                  <w:marLeft w:val="0"/>
                  <w:marRight w:val="0"/>
                  <w:marTop w:val="0"/>
                  <w:marBottom w:val="0"/>
                  <w:divBdr>
                    <w:top w:val="none" w:sz="0" w:space="0" w:color="auto"/>
                    <w:left w:val="none" w:sz="0" w:space="0" w:color="auto"/>
                    <w:bottom w:val="none" w:sz="0" w:space="0" w:color="auto"/>
                    <w:right w:val="none" w:sz="0" w:space="0" w:color="auto"/>
                  </w:divBdr>
                  <w:divsChild>
                    <w:div w:id="2029794625">
                      <w:marLeft w:val="0"/>
                      <w:marRight w:val="0"/>
                      <w:marTop w:val="0"/>
                      <w:marBottom w:val="0"/>
                      <w:divBdr>
                        <w:top w:val="none" w:sz="0" w:space="0" w:color="auto"/>
                        <w:left w:val="none" w:sz="0" w:space="0" w:color="auto"/>
                        <w:bottom w:val="none" w:sz="0" w:space="0" w:color="auto"/>
                        <w:right w:val="none" w:sz="0" w:space="0" w:color="auto"/>
                      </w:divBdr>
                      <w:divsChild>
                        <w:div w:id="1806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572836">
      <w:bodyDiv w:val="1"/>
      <w:marLeft w:val="0"/>
      <w:marRight w:val="0"/>
      <w:marTop w:val="0"/>
      <w:marBottom w:val="0"/>
      <w:divBdr>
        <w:top w:val="none" w:sz="0" w:space="0" w:color="auto"/>
        <w:left w:val="none" w:sz="0" w:space="0" w:color="auto"/>
        <w:bottom w:val="none" w:sz="0" w:space="0" w:color="auto"/>
        <w:right w:val="none" w:sz="0" w:space="0" w:color="auto"/>
      </w:divBdr>
      <w:divsChild>
        <w:div w:id="767509649">
          <w:marLeft w:val="0"/>
          <w:marRight w:val="0"/>
          <w:marTop w:val="0"/>
          <w:marBottom w:val="0"/>
          <w:divBdr>
            <w:top w:val="none" w:sz="0" w:space="0" w:color="auto"/>
            <w:left w:val="none" w:sz="0" w:space="0" w:color="auto"/>
            <w:bottom w:val="none" w:sz="0" w:space="0" w:color="auto"/>
            <w:right w:val="none" w:sz="0" w:space="0" w:color="auto"/>
          </w:divBdr>
          <w:divsChild>
            <w:div w:id="52633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66339">
      <w:bodyDiv w:val="1"/>
      <w:marLeft w:val="0"/>
      <w:marRight w:val="0"/>
      <w:marTop w:val="0"/>
      <w:marBottom w:val="0"/>
      <w:divBdr>
        <w:top w:val="none" w:sz="0" w:space="0" w:color="auto"/>
        <w:left w:val="none" w:sz="0" w:space="0" w:color="auto"/>
        <w:bottom w:val="none" w:sz="0" w:space="0" w:color="auto"/>
        <w:right w:val="none" w:sz="0" w:space="0" w:color="auto"/>
      </w:divBdr>
      <w:divsChild>
        <w:div w:id="1379210214">
          <w:marLeft w:val="0"/>
          <w:marRight w:val="0"/>
          <w:marTop w:val="0"/>
          <w:marBottom w:val="0"/>
          <w:divBdr>
            <w:top w:val="none" w:sz="0" w:space="0" w:color="auto"/>
            <w:left w:val="none" w:sz="0" w:space="0" w:color="auto"/>
            <w:bottom w:val="none" w:sz="0" w:space="0" w:color="auto"/>
            <w:right w:val="none" w:sz="0" w:space="0" w:color="auto"/>
          </w:divBdr>
          <w:divsChild>
            <w:div w:id="377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80734">
      <w:bodyDiv w:val="1"/>
      <w:marLeft w:val="0"/>
      <w:marRight w:val="0"/>
      <w:marTop w:val="0"/>
      <w:marBottom w:val="0"/>
      <w:divBdr>
        <w:top w:val="none" w:sz="0" w:space="0" w:color="auto"/>
        <w:left w:val="none" w:sz="0" w:space="0" w:color="auto"/>
        <w:bottom w:val="none" w:sz="0" w:space="0" w:color="auto"/>
        <w:right w:val="none" w:sz="0" w:space="0" w:color="auto"/>
      </w:divBdr>
      <w:divsChild>
        <w:div w:id="352536330">
          <w:marLeft w:val="0"/>
          <w:marRight w:val="0"/>
          <w:marTop w:val="0"/>
          <w:marBottom w:val="0"/>
          <w:divBdr>
            <w:top w:val="none" w:sz="0" w:space="0" w:color="auto"/>
            <w:left w:val="none" w:sz="0" w:space="0" w:color="auto"/>
            <w:bottom w:val="none" w:sz="0" w:space="0" w:color="auto"/>
            <w:right w:val="none" w:sz="0" w:space="0" w:color="auto"/>
          </w:divBdr>
          <w:divsChild>
            <w:div w:id="103843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aa033" TargetMode="External"/><Relationship Id="rId13" Type="http://schemas.openxmlformats.org/officeDocument/2006/relationships/hyperlink" Target="https://core.ac.uk/download/pdf/217141339.pdf" TargetMode="External"/><Relationship Id="rId18" Type="http://schemas.openxmlformats.org/officeDocument/2006/relationships/hyperlink" Target="https://www.iaa.govt.nz/for-advisers/adviser-tools/ethics-toolkit/personal-beliefs-values-attitudes-and-behaviou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nshcs.hee.nhs.uk/about/equality-diversity-and-inclusion/conscious-inclusion/understanding-different-types-of-bias/" TargetMode="External"/><Relationship Id="rId7" Type="http://schemas.openxmlformats.org/officeDocument/2006/relationships/endnotes" Target="endnotes.xml"/><Relationship Id="rId12" Type="http://schemas.openxmlformats.org/officeDocument/2006/relationships/hyperlink" Target="https://doi.org/10.1177/0032258X21990412" TargetMode="External"/><Relationship Id="rId17" Type="http://schemas.openxmlformats.org/officeDocument/2006/relationships/hyperlink" Target="https://publications.parliament.uk/pa/cm201617/cmselect/cmhaff/27/27.pdf" TargetMode="External"/><Relationship Id="rId25" Type="http://schemas.openxmlformats.org/officeDocument/2006/relationships/hyperlink" Target="https://www.parliament.uk/about/living-heritage/transformingsociety/private-lives/relationships/overview/sexuality20thcentury/" TargetMode="External"/><Relationship Id="rId2" Type="http://schemas.openxmlformats.org/officeDocument/2006/relationships/numbering" Target="numbering.xml"/><Relationship Id="rId16"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20" Type="http://schemas.openxmlformats.org/officeDocument/2006/relationships/hyperlink" Target="https://library.college.police.uk/docs/acpo/VCMM-19110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32258X20917442" TargetMode="External"/><Relationship Id="rId24" Type="http://schemas.openxmlformats.org/officeDocument/2006/relationships/hyperlink" Target="https://doi.org/10.1111/spc3.12210" TargetMode="External"/><Relationship Id="rId5" Type="http://schemas.openxmlformats.org/officeDocument/2006/relationships/webSettings" Target="webSettings.xml"/><Relationship Id="rId15" Type="http://schemas.openxmlformats.org/officeDocument/2006/relationships/hyperlink" Target="https://assets.publishing.service.gov.uk/media/65798633254aaa0010050bdc/SOC_Strategy_23-28_V9_Web_Accessible.pdf" TargetMode="External"/><Relationship Id="rId23" Type="http://schemas.openxmlformats.org/officeDocument/2006/relationships/hyperlink" Target="https://www.legislation.gov.uk/ukpga/1967/60/pdfs/ukpga_19670060_en.pdf?" TargetMode="External"/><Relationship Id="rId28" Type="http://schemas.openxmlformats.org/officeDocument/2006/relationships/fontTable" Target="fontTable.xml"/><Relationship Id="rId10" Type="http://schemas.openxmlformats.org/officeDocument/2006/relationships/hyperlink" Target="https://www.apccs.police.uk/media/5817/diversity-equality-and-inclusion-in-policing-2019-report.pdf" TargetMode="External"/><Relationship Id="rId19" Type="http://schemas.openxmlformats.org/officeDocument/2006/relationships/hyperlink" Target="https://insidetime.org/mailbag/poverty-and-crime/#:~:text=Lastly%2C%20it%20is%20important%20to,crime%20rates%20in%20impoverished%20areas" TargetMode="External"/><Relationship Id="rId4" Type="http://schemas.openxmlformats.org/officeDocument/2006/relationships/settings" Target="settings.xml"/><Relationship Id="rId9" Type="http://schemas.openxmlformats.org/officeDocument/2006/relationships/hyperlink" Target="https://www.police-foundation.org.uk/wp-content/uploads/2017/10/oc_in_local_communities_final.pdf" TargetMode="External"/><Relationship Id="rId14" Type="http://schemas.openxmlformats.org/officeDocument/2006/relationships/hyperlink" Target="https://hbr.org/1998/09/the-hidden-traps-in-decision-making-2" TargetMode="External"/><Relationship Id="rId22" Type="http://schemas.openxmlformats.org/officeDocument/2006/relationships/hyperlink" Target="https://www.polfed.org/our-work/wellbeing/mental-health/"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4E136-5C38-4205-99DE-8B9F16BB3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12</Pages>
  <Words>4649</Words>
  <Characters>26505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Hjerto,Aida swp8630</dc:creator>
  <cp:keywords/>
  <dc:description/>
  <cp:lastModifiedBy>Hjerto,Aida swp8630</cp:lastModifiedBy>
  <cp:revision>36</cp:revision>
  <dcterms:created xsi:type="dcterms:W3CDTF">2024-08-29T15:41:00Z</dcterms:created>
  <dcterms:modified xsi:type="dcterms:W3CDTF">2024-10-27T16:58:00Z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2024-08-29T15:50:16Z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266d5a5c-46e2-431d-878a-a79682cb4af3</vt:lpwstr>
  </property>
  <property fmtid="{D5CDD505-2E9C-101B-9397-08002B2CF9AE}" pid="8" name="MSIP_Label_66cf8fe5-b7b7-4df7-b38d-1c61ac2f6639_ContentBits">
    <vt:lpwstr>0</vt:lpwstr>
  </property>
</Properties>
</file>