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797241F" w:rsidR="00BD5655" w:rsidRPr="002170AC" w:rsidRDefault="32433627" w:rsidP="7336895D">
      <w:pPr>
        <w:rPr>
          <w:rFonts w:asciiTheme="minorBidi" w:hAnsiTheme="minorBidi"/>
          <w:sz w:val="24"/>
          <w:szCs w:val="24"/>
        </w:rPr>
      </w:pPr>
      <w:r w:rsidRPr="002170AC">
        <w:rPr>
          <w:rFonts w:asciiTheme="minorBidi" w:hAnsiTheme="minorBidi"/>
          <w:noProof/>
          <w:sz w:val="24"/>
          <w:szCs w:val="24"/>
        </w:rPr>
        <w:drawing>
          <wp:inline distT="0" distB="0" distL="0" distR="0" wp14:anchorId="4D66A03C" wp14:editId="12C9777B">
            <wp:extent cx="2571750" cy="889297"/>
            <wp:effectExtent l="0" t="0" r="0" b="0"/>
            <wp:docPr id="1054758965" name="Picture 10547589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5475896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571750" cy="889297"/>
                    </a:xfrm>
                    <a:prstGeom prst="rect">
                      <a:avLst/>
                    </a:prstGeom>
                  </pic:spPr>
                </pic:pic>
              </a:graphicData>
            </a:graphic>
          </wp:inline>
        </w:drawing>
      </w:r>
    </w:p>
    <w:p w14:paraId="3ACE678D" w14:textId="597DED31" w:rsidR="7336895D" w:rsidRPr="002170AC" w:rsidRDefault="7336895D" w:rsidP="7336895D">
      <w:pPr>
        <w:rPr>
          <w:rFonts w:asciiTheme="minorBidi" w:hAnsiTheme="minorBidi"/>
          <w:sz w:val="24"/>
          <w:szCs w:val="24"/>
        </w:rPr>
      </w:pPr>
    </w:p>
    <w:p w14:paraId="2BF8D9C5" w14:textId="499FBD5B" w:rsidR="7DD7F507" w:rsidRPr="002170AC" w:rsidRDefault="7DD7F507" w:rsidP="7DD7F507">
      <w:pPr>
        <w:rPr>
          <w:rFonts w:asciiTheme="minorBidi" w:hAnsiTheme="minorBidi"/>
          <w:sz w:val="32"/>
          <w:szCs w:val="32"/>
        </w:rPr>
      </w:pPr>
    </w:p>
    <w:p w14:paraId="64E33565" w14:textId="6A9F378C" w:rsidR="7336895D" w:rsidRPr="002170AC" w:rsidRDefault="32433627" w:rsidP="4E4E3FA4">
      <w:pPr>
        <w:rPr>
          <w:rFonts w:asciiTheme="minorBidi" w:eastAsia="Arial" w:hAnsiTheme="minorBidi"/>
          <w:b/>
          <w:bCs/>
          <w:sz w:val="30"/>
          <w:szCs w:val="30"/>
        </w:rPr>
      </w:pPr>
      <w:r w:rsidRPr="002170AC">
        <w:rPr>
          <w:rFonts w:asciiTheme="minorBidi" w:eastAsia="Arial" w:hAnsiTheme="minorBidi"/>
          <w:b/>
          <w:bCs/>
          <w:sz w:val="30"/>
          <w:szCs w:val="30"/>
        </w:rPr>
        <w:t xml:space="preserve">BSc Professional Investigation </w:t>
      </w:r>
      <w:r w:rsidR="26AB5AE2" w:rsidRPr="002170AC">
        <w:rPr>
          <w:rFonts w:asciiTheme="minorBidi" w:eastAsia="Arial" w:hAnsiTheme="minorBidi"/>
          <w:b/>
          <w:bCs/>
          <w:sz w:val="30"/>
          <w:szCs w:val="30"/>
        </w:rPr>
        <w:t>202</w:t>
      </w:r>
      <w:r w:rsidR="064AA0BD" w:rsidRPr="002170AC">
        <w:rPr>
          <w:rFonts w:asciiTheme="minorBidi" w:eastAsia="Arial" w:hAnsiTheme="minorBidi"/>
          <w:b/>
          <w:bCs/>
          <w:sz w:val="30"/>
          <w:szCs w:val="30"/>
        </w:rPr>
        <w:t>4/2025</w:t>
      </w:r>
    </w:p>
    <w:p w14:paraId="772420AF" w14:textId="4C6E2E17" w:rsidR="7336895D" w:rsidRPr="002170AC" w:rsidRDefault="32433627" w:rsidP="7DD7F507">
      <w:pPr>
        <w:ind w:right="237"/>
        <w:rPr>
          <w:rFonts w:asciiTheme="minorBidi" w:eastAsia="Arial" w:hAnsiTheme="minorBidi"/>
          <w:color w:val="000000" w:themeColor="text1"/>
          <w:sz w:val="30"/>
          <w:szCs w:val="30"/>
        </w:rPr>
      </w:pPr>
      <w:r w:rsidRPr="002170AC">
        <w:rPr>
          <w:rFonts w:asciiTheme="minorBidi" w:eastAsia="Arial" w:hAnsiTheme="minorBidi"/>
          <w:color w:val="000000" w:themeColor="text1"/>
          <w:sz w:val="30"/>
          <w:szCs w:val="30"/>
        </w:rPr>
        <w:t>L</w:t>
      </w:r>
      <w:r w:rsidR="4CD901A0" w:rsidRPr="002170AC">
        <w:rPr>
          <w:rFonts w:asciiTheme="minorBidi" w:eastAsia="Arial" w:hAnsiTheme="minorBidi"/>
          <w:color w:val="000000" w:themeColor="text1"/>
          <w:sz w:val="30"/>
          <w:szCs w:val="30"/>
        </w:rPr>
        <w:t>evel</w:t>
      </w:r>
      <w:r w:rsidRPr="002170AC">
        <w:rPr>
          <w:rFonts w:asciiTheme="minorBidi" w:eastAsia="Arial" w:hAnsiTheme="minorBidi"/>
          <w:color w:val="000000" w:themeColor="text1"/>
          <w:sz w:val="30"/>
          <w:szCs w:val="30"/>
        </w:rPr>
        <w:t xml:space="preserve"> 6 - 40 Credits</w:t>
      </w:r>
    </w:p>
    <w:p w14:paraId="78541140" w14:textId="41871FF2" w:rsidR="4E4E3FA4" w:rsidRPr="002170AC" w:rsidRDefault="4E4E3FA4" w:rsidP="4E4E3FA4">
      <w:pPr>
        <w:ind w:right="237"/>
        <w:rPr>
          <w:rFonts w:asciiTheme="minorBidi" w:eastAsia="Arial" w:hAnsiTheme="minorBidi"/>
          <w:b/>
          <w:bCs/>
          <w:color w:val="000000" w:themeColor="text1"/>
          <w:sz w:val="30"/>
          <w:szCs w:val="30"/>
        </w:rPr>
      </w:pPr>
    </w:p>
    <w:p w14:paraId="3D6FCBAD" w14:textId="4716EAC1" w:rsidR="7DD7F507" w:rsidRPr="002170AC" w:rsidRDefault="7DD7F507" w:rsidP="7DD7F507">
      <w:pPr>
        <w:ind w:right="237"/>
        <w:rPr>
          <w:rFonts w:asciiTheme="minorBidi" w:eastAsia="Arial" w:hAnsiTheme="minorBidi"/>
          <w:b/>
          <w:bCs/>
          <w:color w:val="000000" w:themeColor="text1"/>
          <w:sz w:val="30"/>
          <w:szCs w:val="30"/>
        </w:rPr>
      </w:pPr>
    </w:p>
    <w:p w14:paraId="475733E2" w14:textId="1C32804E" w:rsidR="7336895D" w:rsidRPr="002170AC" w:rsidRDefault="32433627" w:rsidP="7DD7F507">
      <w:pPr>
        <w:ind w:right="237"/>
        <w:rPr>
          <w:rFonts w:asciiTheme="minorBidi" w:eastAsia="Arial" w:hAnsiTheme="minorBidi"/>
          <w:color w:val="000000" w:themeColor="text1"/>
          <w:sz w:val="30"/>
          <w:szCs w:val="30"/>
        </w:rPr>
      </w:pPr>
      <w:r w:rsidRPr="002170AC">
        <w:rPr>
          <w:rFonts w:asciiTheme="minorBidi" w:eastAsia="Arial" w:hAnsiTheme="minorBidi"/>
          <w:color w:val="000000" w:themeColor="text1"/>
          <w:sz w:val="30"/>
          <w:szCs w:val="30"/>
        </w:rPr>
        <w:t>Workbook title</w:t>
      </w:r>
      <w:r w:rsidR="021C0392" w:rsidRPr="002170AC">
        <w:rPr>
          <w:rFonts w:asciiTheme="minorBidi" w:eastAsia="Arial" w:hAnsiTheme="minorBidi"/>
          <w:color w:val="000000" w:themeColor="text1"/>
          <w:sz w:val="30"/>
          <w:szCs w:val="30"/>
        </w:rPr>
        <w:t>: Competency Based Workbook 1</w:t>
      </w:r>
    </w:p>
    <w:p w14:paraId="01172258" w14:textId="3918803B" w:rsidR="7336895D" w:rsidRPr="002170AC" w:rsidRDefault="3997CDC8" w:rsidP="64BDE73C">
      <w:pPr>
        <w:ind w:right="237"/>
        <w:rPr>
          <w:rFonts w:asciiTheme="minorBidi" w:eastAsia="Arial" w:hAnsiTheme="minorBidi"/>
          <w:b/>
          <w:bCs/>
          <w:color w:val="000000" w:themeColor="text1"/>
          <w:sz w:val="30"/>
          <w:szCs w:val="30"/>
        </w:rPr>
      </w:pPr>
      <w:r w:rsidRPr="002170AC">
        <w:rPr>
          <w:rFonts w:asciiTheme="minorBidi" w:eastAsia="Arial" w:hAnsiTheme="minorBidi"/>
          <w:b/>
          <w:bCs/>
          <w:sz w:val="30"/>
          <w:szCs w:val="30"/>
        </w:rPr>
        <w:t>Module BMPI6001</w:t>
      </w:r>
      <w:r w:rsidR="7CA3E2D5" w:rsidRPr="002170AC">
        <w:rPr>
          <w:rFonts w:asciiTheme="minorBidi" w:eastAsia="Arial" w:hAnsiTheme="minorBidi"/>
          <w:b/>
          <w:bCs/>
          <w:sz w:val="30"/>
          <w:szCs w:val="30"/>
        </w:rPr>
        <w:t>D</w:t>
      </w:r>
      <w:r w:rsidRPr="002170AC">
        <w:rPr>
          <w:rFonts w:asciiTheme="minorBidi" w:eastAsia="Arial" w:hAnsiTheme="minorBidi"/>
          <w:b/>
          <w:bCs/>
          <w:sz w:val="30"/>
          <w:szCs w:val="30"/>
        </w:rPr>
        <w:t xml:space="preserve"> – Investigation in the Workplace</w:t>
      </w:r>
    </w:p>
    <w:p w14:paraId="669FAB3C" w14:textId="4F372B93" w:rsidR="7DD7F507" w:rsidRPr="002170AC" w:rsidRDefault="7DD7F507" w:rsidP="7DD7F507">
      <w:pPr>
        <w:ind w:right="237"/>
        <w:rPr>
          <w:rFonts w:asciiTheme="minorBidi" w:eastAsia="Arial" w:hAnsiTheme="minorBidi"/>
          <w:b/>
          <w:bCs/>
          <w:sz w:val="24"/>
          <w:szCs w:val="24"/>
        </w:rPr>
      </w:pPr>
    </w:p>
    <w:p w14:paraId="2B17C925" w14:textId="167C56FE" w:rsidR="7DD7F507" w:rsidRPr="002170AC" w:rsidRDefault="7DD7F507" w:rsidP="7DD7F507">
      <w:pPr>
        <w:ind w:right="237"/>
        <w:rPr>
          <w:rFonts w:asciiTheme="minorBidi" w:eastAsia="Arial" w:hAnsiTheme="minorBidi"/>
          <w:b/>
          <w:bCs/>
          <w:sz w:val="24"/>
          <w:szCs w:val="24"/>
        </w:rPr>
      </w:pPr>
    </w:p>
    <w:p w14:paraId="4081C02E" w14:textId="2064D2CC" w:rsidR="7DD7F507" w:rsidRPr="002170AC" w:rsidRDefault="7DD7F507" w:rsidP="7DD7F507">
      <w:pPr>
        <w:ind w:right="237"/>
        <w:rPr>
          <w:rFonts w:asciiTheme="minorBidi" w:eastAsia="Arial" w:hAnsiTheme="minorBidi"/>
          <w:b/>
          <w:bCs/>
          <w:sz w:val="24"/>
          <w:szCs w:val="24"/>
        </w:rPr>
      </w:pPr>
    </w:p>
    <w:p w14:paraId="457ECF4E" w14:textId="6AEB2B8C" w:rsidR="4E4E3FA4" w:rsidRPr="002170AC" w:rsidRDefault="7368F349" w:rsidP="4AA1B966">
      <w:pPr>
        <w:pBdr>
          <w:top w:val="single" w:sz="4" w:space="4" w:color="000000"/>
          <w:left w:val="single" w:sz="4" w:space="4" w:color="000000"/>
          <w:bottom w:val="single" w:sz="4" w:space="4" w:color="000000"/>
          <w:right w:val="single" w:sz="4" w:space="4" w:color="000000"/>
        </w:pBdr>
        <w:rPr>
          <w:rFonts w:asciiTheme="minorBidi" w:eastAsia="Arial" w:hAnsiTheme="minorBidi"/>
          <w:b/>
          <w:bCs/>
          <w:sz w:val="24"/>
          <w:szCs w:val="24"/>
        </w:rPr>
      </w:pPr>
      <w:r w:rsidRPr="002170AC">
        <w:rPr>
          <w:rFonts w:asciiTheme="minorBidi" w:eastAsia="Arial" w:hAnsiTheme="minorBidi"/>
          <w:b/>
          <w:bCs/>
          <w:sz w:val="24"/>
          <w:szCs w:val="24"/>
        </w:rPr>
        <w:t xml:space="preserve">Submission Deadline 23:59hrs on </w:t>
      </w:r>
      <w:r w:rsidR="002170AC" w:rsidRPr="002170AC">
        <w:rPr>
          <w:rFonts w:asciiTheme="minorBidi" w:eastAsia="Arial" w:hAnsiTheme="minorBidi"/>
          <w:b/>
          <w:bCs/>
          <w:sz w:val="24"/>
          <w:szCs w:val="24"/>
        </w:rPr>
        <w:t>16</w:t>
      </w:r>
      <w:r w:rsidRPr="002170AC">
        <w:rPr>
          <w:rFonts w:asciiTheme="minorBidi" w:eastAsia="Arial" w:hAnsiTheme="minorBidi"/>
          <w:b/>
          <w:bCs/>
          <w:sz w:val="24"/>
          <w:szCs w:val="24"/>
        </w:rPr>
        <w:t xml:space="preserve"> January 202</w:t>
      </w:r>
      <w:r w:rsidR="27C028D4" w:rsidRPr="002170AC">
        <w:rPr>
          <w:rFonts w:asciiTheme="minorBidi" w:eastAsia="Arial" w:hAnsiTheme="minorBidi"/>
          <w:b/>
          <w:bCs/>
          <w:sz w:val="24"/>
          <w:szCs w:val="24"/>
        </w:rPr>
        <w:t>5</w:t>
      </w:r>
    </w:p>
    <w:p w14:paraId="7241DA95" w14:textId="49B8D290" w:rsidR="7DD7F507" w:rsidRPr="002170AC" w:rsidRDefault="7DD7F507" w:rsidP="7DD7F507">
      <w:pPr>
        <w:rPr>
          <w:rFonts w:asciiTheme="minorBidi" w:eastAsia="Arial" w:hAnsiTheme="minorBidi"/>
          <w:sz w:val="24"/>
          <w:szCs w:val="24"/>
        </w:rPr>
      </w:pPr>
    </w:p>
    <w:p w14:paraId="15EE3A0F" w14:textId="49507265" w:rsidR="7DD7F507" w:rsidRPr="002170AC" w:rsidRDefault="7DD7F507" w:rsidP="7DD7F507">
      <w:pPr>
        <w:rPr>
          <w:rFonts w:asciiTheme="minorBidi" w:eastAsia="Arial" w:hAnsiTheme="minorBidi"/>
          <w:sz w:val="32"/>
          <w:szCs w:val="32"/>
        </w:rPr>
      </w:pPr>
    </w:p>
    <w:p w14:paraId="582BE371" w14:textId="25AFCCFB" w:rsidR="148DF598" w:rsidRPr="002170AC" w:rsidRDefault="000E1E24" w:rsidP="7DD7F507">
      <w:pPr>
        <w:rPr>
          <w:rFonts w:asciiTheme="minorBidi" w:eastAsia="Arial" w:hAnsiTheme="minorBidi"/>
          <w:sz w:val="30"/>
          <w:szCs w:val="30"/>
        </w:rPr>
      </w:pPr>
      <w:r w:rsidRPr="008052F1">
        <w:rPr>
          <w:rFonts w:asciiTheme="minorBidi" w:eastAsia="Arial" w:hAnsiTheme="minorBidi"/>
          <w:b/>
          <w:bCs/>
          <w:sz w:val="30"/>
          <w:szCs w:val="30"/>
        </w:rPr>
        <w:t xml:space="preserve">Learner’s </w:t>
      </w:r>
      <w:r w:rsidR="148DF598" w:rsidRPr="008052F1">
        <w:rPr>
          <w:rFonts w:asciiTheme="minorBidi" w:eastAsia="Arial" w:hAnsiTheme="minorBidi"/>
          <w:b/>
          <w:bCs/>
          <w:sz w:val="30"/>
          <w:szCs w:val="30"/>
        </w:rPr>
        <w:t>name</w:t>
      </w:r>
      <w:r w:rsidRPr="008052F1">
        <w:rPr>
          <w:rFonts w:asciiTheme="minorBidi" w:eastAsia="Arial" w:hAnsiTheme="minorBidi"/>
          <w:b/>
          <w:bCs/>
          <w:sz w:val="30"/>
          <w:szCs w:val="30"/>
        </w:rPr>
        <w:t>:</w:t>
      </w:r>
      <w:r w:rsidRPr="002170AC">
        <w:rPr>
          <w:rFonts w:asciiTheme="minorBidi" w:eastAsia="Arial" w:hAnsiTheme="minorBidi"/>
          <w:sz w:val="30"/>
          <w:szCs w:val="30"/>
        </w:rPr>
        <w:t xml:space="preserve"> </w:t>
      </w:r>
      <w:r w:rsidR="002170AC" w:rsidRPr="002170AC">
        <w:rPr>
          <w:rFonts w:asciiTheme="minorBidi" w:eastAsia="Arial" w:hAnsiTheme="minorBidi"/>
          <w:sz w:val="30"/>
          <w:szCs w:val="30"/>
        </w:rPr>
        <w:t>Wayne Staunton</w:t>
      </w:r>
    </w:p>
    <w:p w14:paraId="059B12A2" w14:textId="4C8EF01D" w:rsidR="7DD7F507" w:rsidRPr="002170AC" w:rsidRDefault="7DD7F507" w:rsidP="7DD7F507">
      <w:pPr>
        <w:rPr>
          <w:rFonts w:asciiTheme="minorBidi" w:eastAsia="Arial" w:hAnsiTheme="minorBidi"/>
          <w:sz w:val="30"/>
          <w:szCs w:val="30"/>
        </w:rPr>
      </w:pPr>
    </w:p>
    <w:p w14:paraId="6F667D55" w14:textId="059E3B8E" w:rsidR="148DF598" w:rsidRPr="002170AC" w:rsidRDefault="000E1E24" w:rsidP="7DD7F507">
      <w:pPr>
        <w:rPr>
          <w:rFonts w:asciiTheme="minorBidi" w:eastAsia="Arial" w:hAnsiTheme="minorBidi"/>
          <w:sz w:val="30"/>
          <w:szCs w:val="30"/>
        </w:rPr>
      </w:pPr>
      <w:r w:rsidRPr="008052F1">
        <w:rPr>
          <w:rFonts w:asciiTheme="minorBidi" w:eastAsia="Arial" w:hAnsiTheme="minorBidi"/>
          <w:b/>
          <w:bCs/>
          <w:sz w:val="30"/>
          <w:szCs w:val="30"/>
        </w:rPr>
        <w:t>Learner’s University Registration Number:</w:t>
      </w:r>
      <w:r w:rsidRPr="002170AC">
        <w:rPr>
          <w:rFonts w:asciiTheme="minorBidi" w:eastAsia="Arial" w:hAnsiTheme="minorBidi"/>
          <w:sz w:val="30"/>
          <w:szCs w:val="30"/>
        </w:rPr>
        <w:t xml:space="preserve"> </w:t>
      </w:r>
      <w:r w:rsidR="002170AC" w:rsidRPr="002170AC">
        <w:rPr>
          <w:rFonts w:asciiTheme="minorBidi" w:eastAsia="Arial" w:hAnsiTheme="minorBidi"/>
          <w:sz w:val="30"/>
          <w:szCs w:val="30"/>
        </w:rPr>
        <w:t>2222122</w:t>
      </w:r>
    </w:p>
    <w:p w14:paraId="5E942F1D" w14:textId="0E5DC904" w:rsidR="7DD7F507" w:rsidRPr="002170AC" w:rsidRDefault="7DD7F507" w:rsidP="7DD7F507">
      <w:pPr>
        <w:rPr>
          <w:rFonts w:asciiTheme="minorBidi" w:eastAsia="Arial" w:hAnsiTheme="minorBidi"/>
          <w:sz w:val="30"/>
          <w:szCs w:val="30"/>
        </w:rPr>
      </w:pPr>
    </w:p>
    <w:p w14:paraId="5B0B3264" w14:textId="5B8D8367" w:rsidR="7DD7F507" w:rsidRPr="002170AC" w:rsidRDefault="7DD7F507" w:rsidP="7DD7F507">
      <w:pPr>
        <w:rPr>
          <w:rFonts w:asciiTheme="minorBidi" w:eastAsia="Arial" w:hAnsiTheme="minorBidi"/>
          <w:sz w:val="24"/>
          <w:szCs w:val="24"/>
        </w:rPr>
      </w:pPr>
    </w:p>
    <w:p w14:paraId="000E7B1C" w14:textId="5EA29B5E" w:rsidR="7DD7F507" w:rsidRPr="002170AC" w:rsidRDefault="7DD7F507" w:rsidP="7DD7F507">
      <w:pPr>
        <w:rPr>
          <w:rFonts w:asciiTheme="minorBidi" w:eastAsia="Arial" w:hAnsiTheme="minorBidi"/>
          <w:sz w:val="24"/>
          <w:szCs w:val="24"/>
        </w:rPr>
      </w:pPr>
    </w:p>
    <w:p w14:paraId="1FCCF47F" w14:textId="66E1B32E" w:rsidR="7336895D" w:rsidRPr="002170AC" w:rsidRDefault="5F824B6C" w:rsidP="7DD7F507">
      <w:pPr>
        <w:ind w:right="237"/>
        <w:rPr>
          <w:rFonts w:asciiTheme="minorBidi" w:eastAsia="Arial" w:hAnsiTheme="minorBidi"/>
          <w:b/>
          <w:bCs/>
          <w:i/>
          <w:iCs/>
          <w:color w:val="000000" w:themeColor="text1"/>
          <w:sz w:val="24"/>
          <w:szCs w:val="24"/>
        </w:rPr>
      </w:pPr>
      <w:r w:rsidRPr="002170AC">
        <w:rPr>
          <w:rFonts w:asciiTheme="minorBidi" w:eastAsia="Arial" w:hAnsiTheme="minorBidi"/>
          <w:b/>
          <w:bCs/>
          <w:i/>
          <w:iCs/>
          <w:color w:val="000000" w:themeColor="text1"/>
          <w:sz w:val="24"/>
          <w:szCs w:val="24"/>
        </w:rPr>
        <w:t>Institute of Management &amp; Health.</w:t>
      </w:r>
    </w:p>
    <w:p w14:paraId="6D24C978" w14:textId="110F2EE1" w:rsidR="5F824B6C" w:rsidRPr="002170AC" w:rsidRDefault="4AEAAC34" w:rsidP="4AA1B966">
      <w:pPr>
        <w:ind w:right="237"/>
        <w:rPr>
          <w:rFonts w:asciiTheme="minorBidi" w:eastAsia="Arial" w:hAnsiTheme="minorBidi"/>
          <w:b/>
          <w:bCs/>
          <w:i/>
          <w:iCs/>
          <w:color w:val="000000" w:themeColor="text1"/>
          <w:sz w:val="24"/>
          <w:szCs w:val="24"/>
        </w:rPr>
      </w:pPr>
      <w:r w:rsidRPr="002170AC">
        <w:rPr>
          <w:rFonts w:asciiTheme="minorBidi" w:eastAsia="Arial" w:hAnsiTheme="minorBidi"/>
          <w:b/>
          <w:bCs/>
          <w:i/>
          <w:iCs/>
          <w:color w:val="000000" w:themeColor="text1"/>
          <w:sz w:val="24"/>
          <w:szCs w:val="24"/>
        </w:rPr>
        <w:t>Law, Criminology &amp; Policing</w:t>
      </w:r>
    </w:p>
    <w:p w14:paraId="249062DF" w14:textId="184309BF" w:rsidR="1329C8D5" w:rsidRPr="002170AC" w:rsidRDefault="7CFBB852" w:rsidP="7DD7F507">
      <w:pPr>
        <w:ind w:right="237"/>
        <w:rPr>
          <w:rFonts w:asciiTheme="minorBidi" w:eastAsia="Arial" w:hAnsiTheme="minorBidi"/>
          <w:b/>
          <w:bCs/>
          <w:i/>
          <w:iCs/>
          <w:color w:val="000000" w:themeColor="text1"/>
          <w:sz w:val="24"/>
          <w:szCs w:val="24"/>
        </w:rPr>
      </w:pPr>
      <w:r w:rsidRPr="002170AC">
        <w:rPr>
          <w:rFonts w:asciiTheme="minorBidi" w:eastAsia="Arial" w:hAnsiTheme="minorBidi"/>
          <w:b/>
          <w:bCs/>
          <w:i/>
          <w:iCs/>
          <w:color w:val="000000" w:themeColor="text1"/>
          <w:sz w:val="24"/>
          <w:szCs w:val="24"/>
        </w:rPr>
        <w:t>20</w:t>
      </w:r>
      <w:r w:rsidR="000E1E24" w:rsidRPr="002170AC">
        <w:rPr>
          <w:rFonts w:asciiTheme="minorBidi" w:eastAsia="Arial" w:hAnsiTheme="minorBidi"/>
          <w:b/>
          <w:bCs/>
          <w:i/>
          <w:iCs/>
          <w:color w:val="000000" w:themeColor="text1"/>
          <w:sz w:val="24"/>
          <w:szCs w:val="24"/>
        </w:rPr>
        <w:t>24</w:t>
      </w:r>
      <w:r w:rsidRPr="002170AC">
        <w:rPr>
          <w:rFonts w:asciiTheme="minorBidi" w:eastAsia="Arial" w:hAnsiTheme="minorBidi"/>
          <w:b/>
          <w:bCs/>
          <w:i/>
          <w:iCs/>
          <w:color w:val="000000" w:themeColor="text1"/>
          <w:sz w:val="24"/>
          <w:szCs w:val="24"/>
        </w:rPr>
        <w:t>/20</w:t>
      </w:r>
      <w:r w:rsidR="000E1E24" w:rsidRPr="002170AC">
        <w:rPr>
          <w:rFonts w:asciiTheme="minorBidi" w:eastAsia="Arial" w:hAnsiTheme="minorBidi"/>
          <w:b/>
          <w:bCs/>
          <w:i/>
          <w:iCs/>
          <w:color w:val="000000" w:themeColor="text1"/>
          <w:sz w:val="24"/>
          <w:szCs w:val="24"/>
        </w:rPr>
        <w:t>25</w:t>
      </w:r>
    </w:p>
    <w:p w14:paraId="27B12DB3" w14:textId="77777777" w:rsidR="002170AC" w:rsidRPr="002170AC" w:rsidRDefault="002170AC" w:rsidP="7DD7F507">
      <w:pPr>
        <w:ind w:right="237"/>
        <w:rPr>
          <w:rFonts w:asciiTheme="minorBidi" w:eastAsia="Arial" w:hAnsiTheme="minorBidi"/>
          <w:b/>
          <w:bCs/>
          <w:i/>
          <w:iCs/>
          <w:color w:val="000000" w:themeColor="text1"/>
          <w:sz w:val="24"/>
          <w:szCs w:val="24"/>
        </w:rPr>
      </w:pPr>
    </w:p>
    <w:p w14:paraId="65332150" w14:textId="77777777" w:rsidR="002170AC" w:rsidRPr="002170AC" w:rsidRDefault="002170AC" w:rsidP="7DD7F507">
      <w:pPr>
        <w:ind w:right="237"/>
        <w:rPr>
          <w:rFonts w:asciiTheme="minorBidi" w:eastAsia="Arial" w:hAnsiTheme="minorBidi"/>
          <w:b/>
          <w:bCs/>
          <w:i/>
          <w:iCs/>
          <w:color w:val="000000" w:themeColor="text1"/>
          <w:sz w:val="24"/>
          <w:szCs w:val="24"/>
        </w:rPr>
      </w:pPr>
    </w:p>
    <w:p w14:paraId="79D0D02D" w14:textId="77777777" w:rsidR="002170AC" w:rsidRPr="002170AC" w:rsidRDefault="002170AC" w:rsidP="7DD7F507">
      <w:pPr>
        <w:ind w:right="237"/>
        <w:rPr>
          <w:rFonts w:asciiTheme="minorBidi" w:eastAsia="Arial" w:hAnsiTheme="minorBidi"/>
          <w:b/>
          <w:bCs/>
          <w:i/>
          <w:iCs/>
          <w:color w:val="000000" w:themeColor="text1"/>
          <w:sz w:val="24"/>
          <w:szCs w:val="24"/>
        </w:rPr>
      </w:pPr>
    </w:p>
    <w:p w14:paraId="15EAE770" w14:textId="432843E8" w:rsidR="64BDE73C" w:rsidRPr="002170AC" w:rsidRDefault="64BDE73C" w:rsidP="64BDE73C">
      <w:pPr>
        <w:ind w:right="237"/>
        <w:rPr>
          <w:rFonts w:asciiTheme="minorBidi" w:eastAsia="Arial" w:hAnsiTheme="minorBidi"/>
          <w:b/>
          <w:bCs/>
          <w:i/>
          <w:iCs/>
          <w:color w:val="000000" w:themeColor="text1"/>
          <w:sz w:val="24"/>
          <w:szCs w:val="24"/>
        </w:rPr>
      </w:pPr>
    </w:p>
    <w:p w14:paraId="6D380843" w14:textId="73134924" w:rsidR="78979F44" w:rsidRPr="002170AC" w:rsidRDefault="78979F44" w:rsidP="1329C8D5">
      <w:pPr>
        <w:rPr>
          <w:rFonts w:asciiTheme="minorBidi" w:eastAsia="Arial" w:hAnsiTheme="minorBidi"/>
          <w:b/>
          <w:bCs/>
          <w:sz w:val="24"/>
          <w:szCs w:val="24"/>
        </w:rPr>
      </w:pPr>
      <w:r w:rsidRPr="002170AC">
        <w:rPr>
          <w:rFonts w:asciiTheme="minorBidi" w:eastAsia="Arial" w:hAnsiTheme="minorBidi"/>
          <w:b/>
          <w:bCs/>
          <w:sz w:val="24"/>
          <w:szCs w:val="24"/>
        </w:rPr>
        <w:t>Content</w:t>
      </w:r>
      <w:r w:rsidR="6A7CF4DC" w:rsidRPr="002170AC">
        <w:rPr>
          <w:rFonts w:asciiTheme="minorBidi" w:eastAsia="Arial" w:hAnsiTheme="minorBidi"/>
          <w:b/>
          <w:bCs/>
          <w:sz w:val="24"/>
          <w:szCs w:val="24"/>
        </w:rPr>
        <w:t xml:space="preserve"> of workbook</w:t>
      </w:r>
      <w:r w:rsidR="0CA1AF32" w:rsidRPr="002170AC">
        <w:rPr>
          <w:rFonts w:asciiTheme="minorBidi" w:eastAsia="Arial" w:hAnsiTheme="minorBidi"/>
          <w:b/>
          <w:bCs/>
          <w:sz w:val="24"/>
          <w:szCs w:val="24"/>
        </w:rPr>
        <w:t>:</w:t>
      </w:r>
    </w:p>
    <w:p w14:paraId="693CFE8D" w14:textId="195AF11C" w:rsidR="7336895D" w:rsidRPr="002170AC" w:rsidRDefault="7336895D" w:rsidP="7336895D">
      <w:pPr>
        <w:rPr>
          <w:rFonts w:asciiTheme="minorBidi" w:eastAsia="Arial" w:hAnsiTheme="minorBidi"/>
          <w:b/>
          <w:bCs/>
          <w:sz w:val="24"/>
          <w:szCs w:val="24"/>
        </w:rPr>
      </w:pPr>
    </w:p>
    <w:tbl>
      <w:tblPr>
        <w:tblStyle w:val="TableGrid"/>
        <w:tblW w:w="0" w:type="auto"/>
        <w:tblLayout w:type="fixed"/>
        <w:tblLook w:val="06A0" w:firstRow="1" w:lastRow="0" w:firstColumn="1" w:lastColumn="0" w:noHBand="1" w:noVBand="1"/>
      </w:tblPr>
      <w:tblGrid>
        <w:gridCol w:w="3005"/>
        <w:gridCol w:w="3005"/>
        <w:gridCol w:w="3005"/>
      </w:tblGrid>
      <w:tr w:rsidR="7336895D" w:rsidRPr="002170AC" w14:paraId="32B5EB03" w14:textId="77777777" w:rsidTr="000E1E24">
        <w:trPr>
          <w:trHeight w:val="907"/>
        </w:trPr>
        <w:tc>
          <w:tcPr>
            <w:tcW w:w="3005" w:type="dxa"/>
            <w:shd w:val="clear" w:color="auto" w:fill="1E8BCD"/>
          </w:tcPr>
          <w:p w14:paraId="142F514F" w14:textId="7AD61BCE" w:rsidR="7336895D" w:rsidRPr="002170AC" w:rsidRDefault="4E8EB97F" w:rsidP="1D7E7DB7">
            <w:pPr>
              <w:rPr>
                <w:rFonts w:asciiTheme="minorBidi" w:eastAsia="Arial" w:hAnsiTheme="minorBidi"/>
                <w:b/>
                <w:bCs/>
                <w:sz w:val="24"/>
                <w:szCs w:val="24"/>
              </w:rPr>
            </w:pPr>
            <w:r w:rsidRPr="002170AC">
              <w:rPr>
                <w:rFonts w:asciiTheme="minorBidi" w:eastAsia="Arial" w:hAnsiTheme="minorBidi"/>
                <w:b/>
                <w:bCs/>
                <w:sz w:val="24"/>
                <w:szCs w:val="24"/>
              </w:rPr>
              <w:t>Task Number</w:t>
            </w:r>
          </w:p>
        </w:tc>
        <w:tc>
          <w:tcPr>
            <w:tcW w:w="3005" w:type="dxa"/>
            <w:shd w:val="clear" w:color="auto" w:fill="1E8BCD"/>
          </w:tcPr>
          <w:p w14:paraId="10754AEF" w14:textId="0BD85A52" w:rsidR="7336895D" w:rsidRPr="002170AC" w:rsidRDefault="6B039B70" w:rsidP="1D7E7DB7">
            <w:pPr>
              <w:rPr>
                <w:rFonts w:asciiTheme="minorBidi" w:eastAsia="Arial" w:hAnsiTheme="minorBidi"/>
                <w:b/>
                <w:bCs/>
                <w:sz w:val="24"/>
                <w:szCs w:val="24"/>
              </w:rPr>
            </w:pPr>
            <w:r w:rsidRPr="002170AC">
              <w:rPr>
                <w:rFonts w:asciiTheme="minorBidi" w:eastAsia="Arial" w:hAnsiTheme="minorBidi"/>
                <w:b/>
                <w:bCs/>
                <w:sz w:val="24"/>
                <w:szCs w:val="24"/>
              </w:rPr>
              <w:t>Area Assessed</w:t>
            </w:r>
          </w:p>
        </w:tc>
        <w:tc>
          <w:tcPr>
            <w:tcW w:w="3005" w:type="dxa"/>
            <w:shd w:val="clear" w:color="auto" w:fill="1E8BCD"/>
          </w:tcPr>
          <w:p w14:paraId="4CA418B2" w14:textId="41457E0E" w:rsidR="1F9D89F6" w:rsidRPr="002170AC" w:rsidRDefault="1F9D89F6" w:rsidP="4E4E3FA4">
            <w:pPr>
              <w:jc w:val="center"/>
              <w:rPr>
                <w:rFonts w:asciiTheme="minorBidi" w:eastAsia="Arial" w:hAnsiTheme="minorBidi"/>
                <w:b/>
                <w:bCs/>
                <w:sz w:val="24"/>
                <w:szCs w:val="24"/>
              </w:rPr>
            </w:pPr>
            <w:r w:rsidRPr="002170AC">
              <w:rPr>
                <w:rFonts w:asciiTheme="minorBidi" w:eastAsia="Arial" w:hAnsiTheme="minorBidi"/>
                <w:b/>
                <w:bCs/>
                <w:sz w:val="24"/>
                <w:szCs w:val="24"/>
              </w:rPr>
              <w:t>Word Count</w:t>
            </w:r>
          </w:p>
          <w:p w14:paraId="64484E9C" w14:textId="0AE23245" w:rsidR="1F9D89F6" w:rsidRPr="002170AC" w:rsidRDefault="1F9D89F6" w:rsidP="4E4E3FA4">
            <w:pPr>
              <w:jc w:val="center"/>
              <w:rPr>
                <w:rFonts w:asciiTheme="minorBidi" w:eastAsia="Arial" w:hAnsiTheme="minorBidi"/>
                <w:b/>
                <w:bCs/>
                <w:sz w:val="24"/>
                <w:szCs w:val="24"/>
              </w:rPr>
            </w:pPr>
          </w:p>
        </w:tc>
      </w:tr>
      <w:tr w:rsidR="7336895D" w:rsidRPr="002170AC" w14:paraId="368A386A" w14:textId="77777777" w:rsidTr="000E1E24">
        <w:trPr>
          <w:trHeight w:val="907"/>
        </w:trPr>
        <w:tc>
          <w:tcPr>
            <w:tcW w:w="3005" w:type="dxa"/>
          </w:tcPr>
          <w:p w14:paraId="038D7866" w14:textId="523C0D78" w:rsidR="1F9D89F6" w:rsidRPr="002170AC" w:rsidRDefault="1F9D89F6" w:rsidP="4E4E3FA4">
            <w:pPr>
              <w:rPr>
                <w:rFonts w:asciiTheme="minorBidi" w:eastAsia="Arial" w:hAnsiTheme="minorBidi"/>
                <w:sz w:val="24"/>
                <w:szCs w:val="24"/>
              </w:rPr>
            </w:pPr>
            <w:r w:rsidRPr="002170AC">
              <w:rPr>
                <w:rFonts w:asciiTheme="minorBidi" w:eastAsia="Arial" w:hAnsiTheme="minorBidi"/>
                <w:sz w:val="24"/>
                <w:szCs w:val="24"/>
              </w:rPr>
              <w:t>Task 1</w:t>
            </w:r>
          </w:p>
        </w:tc>
        <w:tc>
          <w:tcPr>
            <w:tcW w:w="3005" w:type="dxa"/>
          </w:tcPr>
          <w:p w14:paraId="63372E0A" w14:textId="0312455E" w:rsidR="7336895D" w:rsidRPr="002170AC" w:rsidRDefault="7FD48269" w:rsidP="0CC6384A">
            <w:pPr>
              <w:rPr>
                <w:rFonts w:asciiTheme="minorBidi" w:eastAsia="Arial" w:hAnsiTheme="minorBidi"/>
                <w:b/>
                <w:bCs/>
                <w:sz w:val="24"/>
                <w:szCs w:val="24"/>
              </w:rPr>
            </w:pPr>
            <w:r w:rsidRPr="002170AC">
              <w:rPr>
                <w:rFonts w:asciiTheme="minorBidi" w:eastAsia="Arial" w:hAnsiTheme="minorBidi"/>
                <w:b/>
                <w:bCs/>
                <w:sz w:val="24"/>
                <w:szCs w:val="24"/>
              </w:rPr>
              <w:t>Personal development</w:t>
            </w:r>
            <w:r w:rsidR="12841374" w:rsidRPr="002170AC">
              <w:rPr>
                <w:rFonts w:asciiTheme="minorBidi" w:eastAsia="Arial" w:hAnsiTheme="minorBidi"/>
                <w:b/>
                <w:bCs/>
                <w:sz w:val="24"/>
                <w:szCs w:val="24"/>
              </w:rPr>
              <w:t xml:space="preserve"> - Reflection</w:t>
            </w:r>
          </w:p>
        </w:tc>
        <w:tc>
          <w:tcPr>
            <w:tcW w:w="3005" w:type="dxa"/>
          </w:tcPr>
          <w:p w14:paraId="34715AAA" w14:textId="7E3B68A0" w:rsidR="7336895D" w:rsidRPr="002170AC" w:rsidRDefault="002170AC" w:rsidP="4E4E3FA4">
            <w:pPr>
              <w:jc w:val="center"/>
              <w:rPr>
                <w:rFonts w:asciiTheme="minorBidi" w:eastAsia="Arial" w:hAnsiTheme="minorBidi"/>
                <w:b/>
                <w:bCs/>
                <w:sz w:val="24"/>
                <w:szCs w:val="24"/>
              </w:rPr>
            </w:pPr>
            <w:r w:rsidRPr="002170AC">
              <w:rPr>
                <w:rFonts w:asciiTheme="minorBidi" w:eastAsia="Arial" w:hAnsiTheme="minorBidi"/>
                <w:b/>
                <w:bCs/>
                <w:sz w:val="24"/>
                <w:szCs w:val="24"/>
              </w:rPr>
              <w:t>1</w:t>
            </w:r>
            <w:r w:rsidR="008F0046">
              <w:rPr>
                <w:rFonts w:asciiTheme="minorBidi" w:eastAsia="Arial" w:hAnsiTheme="minorBidi"/>
                <w:b/>
                <w:bCs/>
                <w:sz w:val="24"/>
                <w:szCs w:val="24"/>
              </w:rPr>
              <w:t>,</w:t>
            </w:r>
            <w:r w:rsidRPr="002170AC">
              <w:rPr>
                <w:rFonts w:asciiTheme="minorBidi" w:eastAsia="Arial" w:hAnsiTheme="minorBidi"/>
                <w:b/>
                <w:bCs/>
                <w:sz w:val="24"/>
                <w:szCs w:val="24"/>
              </w:rPr>
              <w:t>97</w:t>
            </w:r>
            <w:r w:rsidR="008F0046">
              <w:rPr>
                <w:rFonts w:asciiTheme="minorBidi" w:eastAsia="Arial" w:hAnsiTheme="minorBidi"/>
                <w:b/>
                <w:bCs/>
                <w:sz w:val="24"/>
                <w:szCs w:val="24"/>
              </w:rPr>
              <w:t>9</w:t>
            </w:r>
          </w:p>
        </w:tc>
      </w:tr>
      <w:tr w:rsidR="7336895D" w:rsidRPr="002170AC" w14:paraId="23F16150" w14:textId="77777777" w:rsidTr="000E1E24">
        <w:trPr>
          <w:trHeight w:val="907"/>
        </w:trPr>
        <w:tc>
          <w:tcPr>
            <w:tcW w:w="3005" w:type="dxa"/>
          </w:tcPr>
          <w:p w14:paraId="7833C05E" w14:textId="21B42D20" w:rsidR="1F9D89F6" w:rsidRPr="002170AC" w:rsidRDefault="1F9D89F6" w:rsidP="4E4E3FA4">
            <w:pPr>
              <w:rPr>
                <w:rFonts w:asciiTheme="minorBidi" w:eastAsia="Arial" w:hAnsiTheme="minorBidi"/>
                <w:sz w:val="24"/>
                <w:szCs w:val="24"/>
              </w:rPr>
            </w:pPr>
            <w:r w:rsidRPr="002170AC">
              <w:rPr>
                <w:rFonts w:asciiTheme="minorBidi" w:eastAsia="Arial" w:hAnsiTheme="minorBidi"/>
                <w:sz w:val="24"/>
                <w:szCs w:val="24"/>
              </w:rPr>
              <w:t>Task 2</w:t>
            </w:r>
          </w:p>
        </w:tc>
        <w:tc>
          <w:tcPr>
            <w:tcW w:w="3005" w:type="dxa"/>
          </w:tcPr>
          <w:p w14:paraId="40041519" w14:textId="521AA36D" w:rsidR="7336895D" w:rsidRPr="002170AC" w:rsidRDefault="56A38832" w:rsidP="0CC6384A">
            <w:pPr>
              <w:rPr>
                <w:rFonts w:asciiTheme="minorBidi" w:eastAsia="Arial" w:hAnsiTheme="minorBidi"/>
                <w:b/>
                <w:bCs/>
                <w:sz w:val="24"/>
                <w:szCs w:val="24"/>
              </w:rPr>
            </w:pPr>
            <w:r w:rsidRPr="002170AC">
              <w:rPr>
                <w:rFonts w:asciiTheme="minorBidi" w:eastAsia="Arial" w:hAnsiTheme="minorBidi"/>
                <w:b/>
                <w:bCs/>
                <w:sz w:val="24"/>
                <w:szCs w:val="24"/>
              </w:rPr>
              <w:t>Investigation challenges</w:t>
            </w:r>
          </w:p>
        </w:tc>
        <w:tc>
          <w:tcPr>
            <w:tcW w:w="3005" w:type="dxa"/>
          </w:tcPr>
          <w:p w14:paraId="3F030E0E" w14:textId="6F7C9929" w:rsidR="7336895D" w:rsidRPr="002170AC" w:rsidRDefault="002170AC" w:rsidP="4E4E3FA4">
            <w:pPr>
              <w:jc w:val="center"/>
              <w:rPr>
                <w:rFonts w:asciiTheme="minorBidi" w:eastAsia="Arial" w:hAnsiTheme="minorBidi"/>
                <w:b/>
                <w:bCs/>
                <w:sz w:val="24"/>
                <w:szCs w:val="24"/>
              </w:rPr>
            </w:pPr>
            <w:r w:rsidRPr="002170AC">
              <w:rPr>
                <w:rFonts w:asciiTheme="minorBidi" w:eastAsia="Arial" w:hAnsiTheme="minorBidi"/>
                <w:b/>
                <w:bCs/>
                <w:sz w:val="24"/>
                <w:szCs w:val="24"/>
              </w:rPr>
              <w:t>1</w:t>
            </w:r>
            <w:r w:rsidR="008F0046">
              <w:rPr>
                <w:rFonts w:asciiTheme="minorBidi" w:eastAsia="Arial" w:hAnsiTheme="minorBidi"/>
                <w:b/>
                <w:bCs/>
                <w:sz w:val="24"/>
                <w:szCs w:val="24"/>
              </w:rPr>
              <w:t>,</w:t>
            </w:r>
            <w:r w:rsidRPr="002170AC">
              <w:rPr>
                <w:rFonts w:asciiTheme="minorBidi" w:eastAsia="Arial" w:hAnsiTheme="minorBidi"/>
                <w:b/>
                <w:bCs/>
                <w:sz w:val="24"/>
                <w:szCs w:val="24"/>
              </w:rPr>
              <w:t>94</w:t>
            </w:r>
            <w:r w:rsidR="008F0046">
              <w:rPr>
                <w:rFonts w:asciiTheme="minorBidi" w:eastAsia="Arial" w:hAnsiTheme="minorBidi"/>
                <w:b/>
                <w:bCs/>
                <w:sz w:val="24"/>
                <w:szCs w:val="24"/>
              </w:rPr>
              <w:t>6</w:t>
            </w:r>
          </w:p>
        </w:tc>
      </w:tr>
      <w:tr w:rsidR="7336895D" w:rsidRPr="002170AC" w14:paraId="1F88D916" w14:textId="77777777" w:rsidTr="000E1E24">
        <w:trPr>
          <w:trHeight w:val="907"/>
        </w:trPr>
        <w:tc>
          <w:tcPr>
            <w:tcW w:w="3005" w:type="dxa"/>
          </w:tcPr>
          <w:p w14:paraId="4DD48D66" w14:textId="72230023" w:rsidR="1F9D89F6" w:rsidRPr="002170AC" w:rsidRDefault="1F9D89F6" w:rsidP="4E4E3FA4">
            <w:pPr>
              <w:rPr>
                <w:rFonts w:asciiTheme="minorBidi" w:eastAsia="Arial" w:hAnsiTheme="minorBidi"/>
                <w:sz w:val="24"/>
                <w:szCs w:val="24"/>
              </w:rPr>
            </w:pPr>
            <w:r w:rsidRPr="002170AC">
              <w:rPr>
                <w:rFonts w:asciiTheme="minorBidi" w:eastAsia="Arial" w:hAnsiTheme="minorBidi"/>
                <w:sz w:val="24"/>
                <w:szCs w:val="24"/>
              </w:rPr>
              <w:t>Task 3</w:t>
            </w:r>
          </w:p>
        </w:tc>
        <w:tc>
          <w:tcPr>
            <w:tcW w:w="3005" w:type="dxa"/>
          </w:tcPr>
          <w:p w14:paraId="1F9DE1DB" w14:textId="0335A44C" w:rsidR="7336895D" w:rsidRPr="002170AC" w:rsidRDefault="759C13E2" w:rsidP="0CC6384A">
            <w:pPr>
              <w:rPr>
                <w:rFonts w:asciiTheme="minorBidi" w:eastAsia="Arial" w:hAnsiTheme="minorBidi"/>
                <w:b/>
                <w:bCs/>
                <w:sz w:val="24"/>
                <w:szCs w:val="24"/>
              </w:rPr>
            </w:pPr>
            <w:r w:rsidRPr="002170AC">
              <w:rPr>
                <w:rFonts w:asciiTheme="minorBidi" w:eastAsia="Arial" w:hAnsiTheme="minorBidi"/>
                <w:b/>
                <w:bCs/>
                <w:sz w:val="24"/>
                <w:szCs w:val="24"/>
              </w:rPr>
              <w:t>Investigation techniques</w:t>
            </w:r>
          </w:p>
        </w:tc>
        <w:tc>
          <w:tcPr>
            <w:tcW w:w="3005" w:type="dxa"/>
          </w:tcPr>
          <w:p w14:paraId="1460CC8D" w14:textId="3BB5F4CD" w:rsidR="7336895D" w:rsidRPr="002170AC" w:rsidRDefault="002170AC" w:rsidP="4E4E3FA4">
            <w:pPr>
              <w:jc w:val="center"/>
              <w:rPr>
                <w:rFonts w:asciiTheme="minorBidi" w:eastAsia="Arial" w:hAnsiTheme="minorBidi"/>
                <w:sz w:val="24"/>
                <w:szCs w:val="24"/>
              </w:rPr>
            </w:pPr>
            <w:r w:rsidRPr="002170AC">
              <w:rPr>
                <w:rFonts w:asciiTheme="minorBidi" w:hAnsiTheme="minorBidi"/>
                <w:b/>
                <w:bCs/>
                <w:sz w:val="24"/>
                <w:szCs w:val="24"/>
              </w:rPr>
              <w:t>2</w:t>
            </w:r>
            <w:r w:rsidR="008F0046">
              <w:rPr>
                <w:rFonts w:asciiTheme="minorBidi" w:hAnsiTheme="minorBidi"/>
                <w:b/>
                <w:bCs/>
                <w:sz w:val="24"/>
                <w:szCs w:val="24"/>
              </w:rPr>
              <w:t>,</w:t>
            </w:r>
            <w:r w:rsidRPr="002170AC">
              <w:rPr>
                <w:rFonts w:asciiTheme="minorBidi" w:hAnsiTheme="minorBidi"/>
                <w:b/>
                <w:bCs/>
                <w:sz w:val="24"/>
                <w:szCs w:val="24"/>
              </w:rPr>
              <w:t>14</w:t>
            </w:r>
            <w:r w:rsidR="008F0046">
              <w:rPr>
                <w:rFonts w:asciiTheme="minorBidi" w:hAnsiTheme="minorBidi"/>
                <w:b/>
                <w:bCs/>
                <w:sz w:val="24"/>
                <w:szCs w:val="24"/>
              </w:rPr>
              <w:t>8</w:t>
            </w:r>
          </w:p>
        </w:tc>
      </w:tr>
      <w:tr w:rsidR="7336895D" w:rsidRPr="002170AC" w14:paraId="6CA89FA1" w14:textId="77777777" w:rsidTr="000E1E24">
        <w:trPr>
          <w:trHeight w:val="907"/>
        </w:trPr>
        <w:tc>
          <w:tcPr>
            <w:tcW w:w="3005" w:type="dxa"/>
          </w:tcPr>
          <w:p w14:paraId="500E68B8" w14:textId="06C51E03" w:rsidR="1F9D89F6" w:rsidRPr="002170AC" w:rsidRDefault="1F9D89F6" w:rsidP="4E4E3FA4">
            <w:pPr>
              <w:rPr>
                <w:rFonts w:asciiTheme="minorBidi" w:eastAsia="Arial" w:hAnsiTheme="minorBidi"/>
                <w:sz w:val="24"/>
                <w:szCs w:val="24"/>
              </w:rPr>
            </w:pPr>
            <w:r w:rsidRPr="002170AC">
              <w:rPr>
                <w:rFonts w:asciiTheme="minorBidi" w:eastAsia="Arial" w:hAnsiTheme="minorBidi"/>
                <w:sz w:val="24"/>
                <w:szCs w:val="24"/>
              </w:rPr>
              <w:t>Task 4</w:t>
            </w:r>
          </w:p>
        </w:tc>
        <w:tc>
          <w:tcPr>
            <w:tcW w:w="3005" w:type="dxa"/>
          </w:tcPr>
          <w:p w14:paraId="588EE43A" w14:textId="605EF25E" w:rsidR="7336895D" w:rsidRPr="002170AC" w:rsidRDefault="3A235D56" w:rsidP="0CC6384A">
            <w:pPr>
              <w:rPr>
                <w:rFonts w:asciiTheme="minorBidi" w:eastAsia="Arial" w:hAnsiTheme="minorBidi"/>
                <w:b/>
                <w:bCs/>
                <w:sz w:val="24"/>
                <w:szCs w:val="24"/>
              </w:rPr>
            </w:pPr>
            <w:r w:rsidRPr="002170AC">
              <w:rPr>
                <w:rFonts w:asciiTheme="minorBidi" w:eastAsia="Arial" w:hAnsiTheme="minorBidi"/>
                <w:b/>
                <w:bCs/>
                <w:sz w:val="24"/>
                <w:szCs w:val="24"/>
              </w:rPr>
              <w:t>Investigation methodology and theory</w:t>
            </w:r>
          </w:p>
        </w:tc>
        <w:tc>
          <w:tcPr>
            <w:tcW w:w="3005" w:type="dxa"/>
          </w:tcPr>
          <w:p w14:paraId="32C22075" w14:textId="493EB7D0" w:rsidR="7336895D" w:rsidRPr="00583D68" w:rsidRDefault="00583D68" w:rsidP="4E4E3FA4">
            <w:pPr>
              <w:spacing w:after="160" w:line="259" w:lineRule="auto"/>
              <w:jc w:val="center"/>
              <w:rPr>
                <w:rFonts w:asciiTheme="minorBidi" w:eastAsia="Arial" w:hAnsiTheme="minorBidi"/>
                <w:b/>
                <w:bCs/>
                <w:sz w:val="24"/>
                <w:szCs w:val="24"/>
              </w:rPr>
            </w:pPr>
            <w:r w:rsidRPr="00583D68">
              <w:rPr>
                <w:rFonts w:asciiTheme="minorBidi" w:eastAsia="Arial" w:hAnsiTheme="minorBidi"/>
                <w:b/>
                <w:bCs/>
                <w:sz w:val="24"/>
                <w:szCs w:val="24"/>
              </w:rPr>
              <w:t>2</w:t>
            </w:r>
            <w:r w:rsidR="008F0046">
              <w:rPr>
                <w:rFonts w:asciiTheme="minorBidi" w:eastAsia="Arial" w:hAnsiTheme="minorBidi"/>
                <w:b/>
                <w:bCs/>
                <w:sz w:val="24"/>
                <w:szCs w:val="24"/>
              </w:rPr>
              <w:t>,</w:t>
            </w:r>
            <w:r w:rsidRPr="00583D68">
              <w:rPr>
                <w:rFonts w:asciiTheme="minorBidi" w:eastAsia="Arial" w:hAnsiTheme="minorBidi"/>
                <w:b/>
                <w:bCs/>
                <w:sz w:val="24"/>
                <w:szCs w:val="24"/>
              </w:rPr>
              <w:t>1</w:t>
            </w:r>
            <w:r w:rsidR="00C00593">
              <w:rPr>
                <w:rFonts w:asciiTheme="minorBidi" w:eastAsia="Arial" w:hAnsiTheme="minorBidi"/>
                <w:b/>
                <w:bCs/>
                <w:sz w:val="24"/>
                <w:szCs w:val="24"/>
              </w:rPr>
              <w:t>63</w:t>
            </w:r>
          </w:p>
        </w:tc>
      </w:tr>
      <w:tr w:rsidR="7336895D" w:rsidRPr="002170AC" w14:paraId="5FAA5059" w14:textId="77777777" w:rsidTr="000E1E24">
        <w:trPr>
          <w:trHeight w:val="907"/>
        </w:trPr>
        <w:tc>
          <w:tcPr>
            <w:tcW w:w="3005" w:type="dxa"/>
          </w:tcPr>
          <w:p w14:paraId="698F2607" w14:textId="65CE5473" w:rsidR="7336895D" w:rsidRPr="002170AC" w:rsidRDefault="1F9D89F6" w:rsidP="4E4E3FA4">
            <w:pPr>
              <w:rPr>
                <w:rFonts w:asciiTheme="minorBidi" w:eastAsia="Arial" w:hAnsiTheme="minorBidi"/>
                <w:sz w:val="24"/>
                <w:szCs w:val="24"/>
              </w:rPr>
            </w:pPr>
            <w:r w:rsidRPr="002170AC">
              <w:rPr>
                <w:rFonts w:asciiTheme="minorBidi" w:eastAsia="Arial" w:hAnsiTheme="minorBidi"/>
                <w:sz w:val="24"/>
                <w:szCs w:val="24"/>
              </w:rPr>
              <w:t xml:space="preserve">Task </w:t>
            </w:r>
            <w:r w:rsidR="6139AC50" w:rsidRPr="002170AC">
              <w:rPr>
                <w:rFonts w:asciiTheme="minorBidi" w:eastAsia="Arial" w:hAnsiTheme="minorBidi"/>
                <w:sz w:val="24"/>
                <w:szCs w:val="24"/>
              </w:rPr>
              <w:t>5</w:t>
            </w:r>
          </w:p>
        </w:tc>
        <w:tc>
          <w:tcPr>
            <w:tcW w:w="3005" w:type="dxa"/>
          </w:tcPr>
          <w:p w14:paraId="4432633F" w14:textId="50BC3D45" w:rsidR="7336895D" w:rsidRPr="002170AC" w:rsidRDefault="1F9D89F6" w:rsidP="4E4E3FA4">
            <w:pPr>
              <w:rPr>
                <w:rFonts w:asciiTheme="minorBidi" w:eastAsia="Arial" w:hAnsiTheme="minorBidi"/>
                <w:sz w:val="24"/>
                <w:szCs w:val="24"/>
                <w:lang w:val="en-US"/>
              </w:rPr>
            </w:pPr>
            <w:r w:rsidRPr="002170AC">
              <w:rPr>
                <w:rFonts w:asciiTheme="minorBidi" w:eastAsia="Arial" w:hAnsiTheme="minorBidi"/>
                <w:b/>
                <w:bCs/>
                <w:color w:val="000000" w:themeColor="text1"/>
                <w:sz w:val="24"/>
                <w:szCs w:val="24"/>
              </w:rPr>
              <w:t>Personal study/learning plan</w:t>
            </w:r>
          </w:p>
        </w:tc>
        <w:tc>
          <w:tcPr>
            <w:tcW w:w="3005" w:type="dxa"/>
          </w:tcPr>
          <w:p w14:paraId="76373DB7" w14:textId="6192692F" w:rsidR="1F9D89F6" w:rsidRPr="008052F1" w:rsidRDefault="008052F1" w:rsidP="4E4E3FA4">
            <w:pPr>
              <w:jc w:val="center"/>
              <w:rPr>
                <w:rFonts w:asciiTheme="minorBidi" w:eastAsia="Arial" w:hAnsiTheme="minorBidi"/>
                <w:b/>
                <w:bCs/>
                <w:sz w:val="24"/>
                <w:szCs w:val="24"/>
              </w:rPr>
            </w:pPr>
            <w:r w:rsidRPr="008052F1">
              <w:rPr>
                <w:rFonts w:asciiTheme="minorBidi" w:eastAsia="Arial" w:hAnsiTheme="minorBidi"/>
                <w:b/>
                <w:bCs/>
                <w:sz w:val="24"/>
                <w:szCs w:val="24"/>
              </w:rPr>
              <w:t>Equivalent to 2000</w:t>
            </w:r>
            <w:r w:rsidR="00C00593">
              <w:rPr>
                <w:rFonts w:asciiTheme="minorBidi" w:eastAsia="Arial" w:hAnsiTheme="minorBidi"/>
                <w:b/>
                <w:bCs/>
                <w:sz w:val="24"/>
                <w:szCs w:val="24"/>
              </w:rPr>
              <w:t xml:space="preserve"> Words</w:t>
            </w:r>
            <w:r w:rsidRPr="008052F1">
              <w:rPr>
                <w:rFonts w:asciiTheme="minorBidi" w:eastAsia="Arial" w:hAnsiTheme="minorBidi"/>
                <w:b/>
                <w:bCs/>
                <w:sz w:val="24"/>
                <w:szCs w:val="24"/>
              </w:rPr>
              <w:t xml:space="preserve"> </w:t>
            </w:r>
          </w:p>
        </w:tc>
      </w:tr>
    </w:tbl>
    <w:p w14:paraId="65890DBD" w14:textId="509C455E" w:rsidR="1329C8D5" w:rsidRPr="002170AC" w:rsidRDefault="1329C8D5" w:rsidP="7DD7F507">
      <w:pPr>
        <w:rPr>
          <w:rFonts w:asciiTheme="minorBidi" w:eastAsia="Arial" w:hAnsiTheme="minorBidi"/>
          <w:b/>
          <w:bCs/>
          <w:sz w:val="24"/>
          <w:szCs w:val="24"/>
        </w:rPr>
      </w:pPr>
    </w:p>
    <w:p w14:paraId="1259336C" w14:textId="77777777" w:rsidR="00C30DE1" w:rsidRPr="002170AC" w:rsidRDefault="00C30DE1" w:rsidP="7DD7F507">
      <w:pPr>
        <w:rPr>
          <w:rFonts w:asciiTheme="minorBidi" w:eastAsia="Arial" w:hAnsiTheme="minorBidi"/>
          <w:b/>
          <w:bCs/>
          <w:sz w:val="24"/>
          <w:szCs w:val="24"/>
        </w:rPr>
      </w:pPr>
    </w:p>
    <w:p w14:paraId="0C38CFEF" w14:textId="56CBBABF" w:rsidR="000E1E24" w:rsidRPr="002170AC" w:rsidRDefault="000E1E24">
      <w:pPr>
        <w:rPr>
          <w:rFonts w:asciiTheme="minorBidi" w:eastAsia="Arial" w:hAnsiTheme="minorBidi"/>
          <w:b/>
          <w:bCs/>
          <w:sz w:val="24"/>
          <w:szCs w:val="24"/>
        </w:rPr>
      </w:pPr>
      <w:r w:rsidRPr="002170AC">
        <w:rPr>
          <w:rFonts w:asciiTheme="minorBidi" w:eastAsia="Arial" w:hAnsiTheme="minorBidi"/>
          <w:b/>
          <w:bCs/>
          <w:sz w:val="24"/>
          <w:szCs w:val="24"/>
        </w:rPr>
        <w:br w:type="page"/>
      </w:r>
    </w:p>
    <w:p w14:paraId="60C80335" w14:textId="1DD0B756" w:rsidR="00C30DE1" w:rsidRPr="002170AC" w:rsidRDefault="000E1E24" w:rsidP="000E1E24">
      <w:pPr>
        <w:jc w:val="center"/>
        <w:rPr>
          <w:rFonts w:asciiTheme="minorBidi" w:eastAsia="Arial" w:hAnsiTheme="minorBidi"/>
          <w:b/>
          <w:bCs/>
          <w:sz w:val="24"/>
          <w:szCs w:val="24"/>
        </w:rPr>
      </w:pPr>
      <w:r w:rsidRPr="002170AC">
        <w:rPr>
          <w:rFonts w:asciiTheme="minorBidi" w:eastAsia="Arial" w:hAnsiTheme="minorBidi"/>
          <w:b/>
          <w:bCs/>
          <w:sz w:val="24"/>
          <w:szCs w:val="24"/>
        </w:rPr>
        <w:lastRenderedPageBreak/>
        <w:t xml:space="preserve">Task 1 </w:t>
      </w:r>
    </w:p>
    <w:p w14:paraId="1244485E" w14:textId="7C5D5890" w:rsidR="799553ED" w:rsidRPr="002170AC" w:rsidRDefault="799553ED" w:rsidP="799553ED">
      <w:pPr>
        <w:rPr>
          <w:rFonts w:asciiTheme="minorBidi" w:eastAsia="Arial" w:hAnsiTheme="minorBidi"/>
          <w:b/>
          <w:bCs/>
          <w:sz w:val="24"/>
          <w:szCs w:val="24"/>
        </w:rPr>
      </w:pPr>
    </w:p>
    <w:p w14:paraId="1CFB1D43" w14:textId="53FFE544" w:rsidR="010A2EC9" w:rsidRPr="002170AC" w:rsidRDefault="010A2EC9" w:rsidP="799553ED">
      <w:pPr>
        <w:rPr>
          <w:rFonts w:asciiTheme="minorBidi" w:eastAsia="Calibri" w:hAnsiTheme="minorBidi"/>
          <w:i/>
          <w:iCs/>
          <w:sz w:val="24"/>
          <w:szCs w:val="24"/>
        </w:rPr>
      </w:pPr>
      <w:r w:rsidRPr="002170AC">
        <w:rPr>
          <w:rFonts w:asciiTheme="minorBidi" w:eastAsia="Arial" w:hAnsiTheme="minorBidi"/>
          <w:b/>
          <w:bCs/>
          <w:i/>
          <w:iCs/>
          <w:sz w:val="24"/>
          <w:szCs w:val="24"/>
        </w:rPr>
        <w:t xml:space="preserve">Task </w:t>
      </w:r>
      <w:r w:rsidRPr="002170AC">
        <w:rPr>
          <w:rFonts w:asciiTheme="minorBidi" w:eastAsia="Arial" w:hAnsiTheme="minorBidi"/>
          <w:b/>
          <w:bCs/>
          <w:i/>
          <w:iCs/>
          <w:color w:val="000000" w:themeColor="text1"/>
          <w:sz w:val="24"/>
          <w:szCs w:val="24"/>
        </w:rPr>
        <w:t xml:space="preserve">1: </w:t>
      </w:r>
      <w:r w:rsidR="4FF1F424" w:rsidRPr="002170AC">
        <w:rPr>
          <w:rFonts w:asciiTheme="minorBidi" w:eastAsia="Arial" w:hAnsiTheme="minorBidi"/>
          <w:b/>
          <w:bCs/>
          <w:i/>
          <w:iCs/>
          <w:color w:val="000000" w:themeColor="text1"/>
          <w:sz w:val="24"/>
          <w:szCs w:val="24"/>
        </w:rPr>
        <w:t>Reflection &amp; Personal Development</w:t>
      </w:r>
    </w:p>
    <w:tbl>
      <w:tblPr>
        <w:tblStyle w:val="TableGrid"/>
        <w:tblW w:w="0" w:type="auto"/>
        <w:tblLayout w:type="fixed"/>
        <w:tblLook w:val="06A0" w:firstRow="1" w:lastRow="0" w:firstColumn="1" w:lastColumn="0" w:noHBand="1" w:noVBand="1"/>
      </w:tblPr>
      <w:tblGrid>
        <w:gridCol w:w="9015"/>
      </w:tblGrid>
      <w:tr w:rsidR="7336895D" w:rsidRPr="002170AC" w14:paraId="7598B4AD" w14:textId="77777777" w:rsidTr="799553ED">
        <w:tc>
          <w:tcPr>
            <w:tcW w:w="9015" w:type="dxa"/>
          </w:tcPr>
          <w:p w14:paraId="51D17758" w14:textId="6ED7F674" w:rsidR="7336895D" w:rsidRPr="002170AC" w:rsidRDefault="1E45058F" w:rsidP="799553ED">
            <w:pPr>
              <w:rPr>
                <w:rFonts w:asciiTheme="minorBidi" w:eastAsia="Arial" w:hAnsiTheme="minorBidi"/>
                <w:b/>
                <w:bCs/>
                <w:i/>
                <w:iCs/>
                <w:sz w:val="24"/>
                <w:szCs w:val="24"/>
              </w:rPr>
            </w:pPr>
            <w:r w:rsidRPr="002170AC">
              <w:rPr>
                <w:rFonts w:asciiTheme="minorBidi" w:eastAsia="Arial" w:hAnsiTheme="minorBidi"/>
                <w:b/>
                <w:bCs/>
                <w:sz w:val="24"/>
                <w:szCs w:val="24"/>
              </w:rPr>
              <w:t xml:space="preserve">1a Using principles of reflection, critically evaluate your policing career focussing specifically on the last twelve (12) months. </w:t>
            </w:r>
            <w:r w:rsidR="739A40B2" w:rsidRPr="002170AC">
              <w:rPr>
                <w:rFonts w:asciiTheme="minorBidi" w:eastAsia="Arial" w:hAnsiTheme="minorBidi"/>
                <w:b/>
                <w:bCs/>
                <w:sz w:val="24"/>
                <w:szCs w:val="24"/>
              </w:rPr>
              <w:t>(</w:t>
            </w:r>
            <w:r w:rsidR="5A3FADBE" w:rsidRPr="002170AC">
              <w:rPr>
                <w:rFonts w:asciiTheme="minorBidi" w:eastAsia="Arial" w:hAnsiTheme="minorBidi"/>
                <w:b/>
                <w:bCs/>
                <w:sz w:val="24"/>
                <w:szCs w:val="24"/>
              </w:rPr>
              <w:t>e</w:t>
            </w:r>
            <w:r w:rsidR="5A3FADBE" w:rsidRPr="002170AC">
              <w:rPr>
                <w:rFonts w:asciiTheme="minorBidi" w:eastAsia="Arial" w:hAnsiTheme="minorBidi"/>
                <w:b/>
                <w:bCs/>
                <w:i/>
                <w:iCs/>
                <w:sz w:val="24"/>
                <w:szCs w:val="24"/>
              </w:rPr>
              <w:t>.g.</w:t>
            </w:r>
            <w:r w:rsidR="739A40B2" w:rsidRPr="002170AC">
              <w:rPr>
                <w:rFonts w:asciiTheme="minorBidi" w:eastAsia="Arial" w:hAnsiTheme="minorBidi"/>
                <w:b/>
                <w:bCs/>
                <w:i/>
                <w:iCs/>
                <w:sz w:val="24"/>
                <w:szCs w:val="24"/>
              </w:rPr>
              <w:t xml:space="preserve">, skills development, </w:t>
            </w:r>
            <w:r w:rsidR="4F7E38A1" w:rsidRPr="002170AC">
              <w:rPr>
                <w:rFonts w:asciiTheme="minorBidi" w:eastAsia="Arial" w:hAnsiTheme="minorBidi"/>
                <w:b/>
                <w:bCs/>
                <w:i/>
                <w:iCs/>
                <w:sz w:val="24"/>
                <w:szCs w:val="24"/>
              </w:rPr>
              <w:t>academic</w:t>
            </w:r>
            <w:r w:rsidR="739A40B2" w:rsidRPr="002170AC">
              <w:rPr>
                <w:rFonts w:asciiTheme="minorBidi" w:eastAsia="Arial" w:hAnsiTheme="minorBidi"/>
                <w:b/>
                <w:bCs/>
                <w:i/>
                <w:iCs/>
                <w:sz w:val="24"/>
                <w:szCs w:val="24"/>
              </w:rPr>
              <w:t xml:space="preserve"> achievements</w:t>
            </w:r>
            <w:r w:rsidR="6DAAFCC0" w:rsidRPr="002170AC">
              <w:rPr>
                <w:rFonts w:asciiTheme="minorBidi" w:eastAsia="Arial" w:hAnsiTheme="minorBidi"/>
                <w:b/>
                <w:bCs/>
                <w:i/>
                <w:iCs/>
                <w:sz w:val="24"/>
                <w:szCs w:val="24"/>
              </w:rPr>
              <w:t>, CPD</w:t>
            </w:r>
            <w:r w:rsidR="4C40D4D1" w:rsidRPr="002170AC">
              <w:rPr>
                <w:rFonts w:asciiTheme="minorBidi" w:eastAsia="Arial" w:hAnsiTheme="minorBidi"/>
                <w:b/>
                <w:bCs/>
                <w:i/>
                <w:iCs/>
                <w:sz w:val="24"/>
                <w:szCs w:val="24"/>
              </w:rPr>
              <w:t xml:space="preserve">, </w:t>
            </w:r>
            <w:r w:rsidR="6DAAFCC0" w:rsidRPr="002170AC">
              <w:rPr>
                <w:rFonts w:asciiTheme="minorBidi" w:eastAsia="Arial" w:hAnsiTheme="minorBidi"/>
                <w:b/>
                <w:bCs/>
                <w:i/>
                <w:iCs/>
                <w:sz w:val="24"/>
                <w:szCs w:val="24"/>
              </w:rPr>
              <w:t>training</w:t>
            </w:r>
            <w:r w:rsidR="1A74B936" w:rsidRPr="002170AC">
              <w:rPr>
                <w:rFonts w:asciiTheme="minorBidi" w:eastAsia="Arial" w:hAnsiTheme="minorBidi"/>
                <w:b/>
                <w:bCs/>
                <w:i/>
                <w:iCs/>
                <w:sz w:val="24"/>
                <w:szCs w:val="24"/>
              </w:rPr>
              <w:t>, promotion, specialisation, etc.</w:t>
            </w:r>
            <w:r w:rsidR="01F44E46" w:rsidRPr="002170AC">
              <w:rPr>
                <w:rFonts w:asciiTheme="minorBidi" w:eastAsia="Arial" w:hAnsiTheme="minorBidi"/>
                <w:b/>
                <w:bCs/>
                <w:i/>
                <w:iCs/>
                <w:sz w:val="24"/>
                <w:szCs w:val="24"/>
              </w:rPr>
              <w:t xml:space="preserve">). </w:t>
            </w:r>
          </w:p>
          <w:p w14:paraId="2A5CCC9C" w14:textId="2C120F3B" w:rsidR="7336895D" w:rsidRPr="002170AC" w:rsidRDefault="7336895D" w:rsidP="7336895D">
            <w:pPr>
              <w:rPr>
                <w:rFonts w:asciiTheme="minorBidi" w:hAnsiTheme="minorBidi"/>
                <w:sz w:val="24"/>
                <w:szCs w:val="24"/>
              </w:rPr>
            </w:pPr>
          </w:p>
          <w:p w14:paraId="7F53D65E" w14:textId="5203E7C2" w:rsidR="674414E8" w:rsidRPr="002170AC" w:rsidRDefault="541ED78C" w:rsidP="4E4E3FA4">
            <w:pPr>
              <w:rPr>
                <w:rFonts w:asciiTheme="minorBidi" w:eastAsia="Arial" w:hAnsiTheme="minorBidi"/>
                <w:sz w:val="24"/>
                <w:szCs w:val="24"/>
              </w:rPr>
            </w:pPr>
            <w:r w:rsidRPr="002170AC">
              <w:rPr>
                <w:rFonts w:asciiTheme="minorBidi" w:eastAsia="Arial" w:hAnsiTheme="minorBidi"/>
                <w:sz w:val="24"/>
                <w:szCs w:val="24"/>
              </w:rPr>
              <w:t xml:space="preserve">1b. </w:t>
            </w:r>
            <w:r w:rsidR="7C3AB072" w:rsidRPr="002170AC">
              <w:rPr>
                <w:rFonts w:asciiTheme="minorBidi" w:eastAsia="Arial" w:hAnsiTheme="minorBidi"/>
                <w:sz w:val="24"/>
                <w:szCs w:val="24"/>
              </w:rPr>
              <w:t>Discuss</w:t>
            </w:r>
            <w:r w:rsidR="5E3BF211" w:rsidRPr="002170AC">
              <w:rPr>
                <w:rFonts w:asciiTheme="minorBidi" w:eastAsia="Arial" w:hAnsiTheme="minorBidi"/>
                <w:sz w:val="24"/>
                <w:szCs w:val="24"/>
              </w:rPr>
              <w:t xml:space="preserve"> the importance of </w:t>
            </w:r>
            <w:r w:rsidR="084E48A8" w:rsidRPr="002170AC">
              <w:rPr>
                <w:rFonts w:asciiTheme="minorBidi" w:eastAsia="Arial" w:hAnsiTheme="minorBidi"/>
                <w:sz w:val="24"/>
                <w:szCs w:val="24"/>
              </w:rPr>
              <w:t>continuous</w:t>
            </w:r>
            <w:r w:rsidR="5E3BF211" w:rsidRPr="002170AC">
              <w:rPr>
                <w:rFonts w:asciiTheme="minorBidi" w:eastAsia="Arial" w:hAnsiTheme="minorBidi"/>
                <w:sz w:val="24"/>
                <w:szCs w:val="24"/>
              </w:rPr>
              <w:t xml:space="preserve"> </w:t>
            </w:r>
            <w:r w:rsidR="78775B0F" w:rsidRPr="002170AC">
              <w:rPr>
                <w:rFonts w:asciiTheme="minorBidi" w:eastAsia="Arial" w:hAnsiTheme="minorBidi"/>
                <w:sz w:val="24"/>
                <w:szCs w:val="24"/>
              </w:rPr>
              <w:t>professional</w:t>
            </w:r>
            <w:r w:rsidR="5E3BF211" w:rsidRPr="002170AC">
              <w:rPr>
                <w:rFonts w:asciiTheme="minorBidi" w:eastAsia="Arial" w:hAnsiTheme="minorBidi"/>
                <w:sz w:val="24"/>
                <w:szCs w:val="24"/>
              </w:rPr>
              <w:t xml:space="preserve"> development in achieving organisation objectives and the </w:t>
            </w:r>
            <w:r w:rsidR="3B591ED7" w:rsidRPr="002170AC">
              <w:rPr>
                <w:rFonts w:asciiTheme="minorBidi" w:eastAsia="Arial" w:hAnsiTheme="minorBidi"/>
                <w:sz w:val="24"/>
                <w:szCs w:val="24"/>
              </w:rPr>
              <w:t>relevance</w:t>
            </w:r>
            <w:r w:rsidR="5E3BF211" w:rsidRPr="002170AC">
              <w:rPr>
                <w:rFonts w:asciiTheme="minorBidi" w:eastAsia="Arial" w:hAnsiTheme="minorBidi"/>
                <w:sz w:val="24"/>
                <w:szCs w:val="24"/>
              </w:rPr>
              <w:t xml:space="preserve"> of reflective practice </w:t>
            </w:r>
            <w:r w:rsidR="330B7647" w:rsidRPr="002170AC">
              <w:rPr>
                <w:rFonts w:asciiTheme="minorBidi" w:eastAsia="Arial" w:hAnsiTheme="minorBidi"/>
                <w:sz w:val="24"/>
                <w:szCs w:val="24"/>
              </w:rPr>
              <w:t xml:space="preserve">in professional development. </w:t>
            </w:r>
          </w:p>
          <w:p w14:paraId="00A3DFC1" w14:textId="5773177B" w:rsidR="7336895D" w:rsidRPr="002170AC" w:rsidRDefault="7336895D" w:rsidP="03DEED5D">
            <w:pPr>
              <w:rPr>
                <w:rFonts w:asciiTheme="minorBidi" w:eastAsia="Arial" w:hAnsiTheme="minorBidi"/>
                <w:sz w:val="24"/>
                <w:szCs w:val="24"/>
              </w:rPr>
            </w:pPr>
          </w:p>
          <w:p w14:paraId="675F1B33" w14:textId="21D8656A" w:rsidR="7336895D" w:rsidRPr="002170AC" w:rsidRDefault="7336895D" w:rsidP="7336895D">
            <w:pPr>
              <w:rPr>
                <w:rFonts w:asciiTheme="minorBidi" w:hAnsiTheme="minorBidi"/>
                <w:sz w:val="24"/>
                <w:szCs w:val="24"/>
              </w:rPr>
            </w:pPr>
          </w:p>
          <w:p w14:paraId="0075D3CB" w14:textId="2289A554" w:rsidR="7336895D" w:rsidRPr="002170AC" w:rsidRDefault="7336895D" w:rsidP="7336895D">
            <w:pPr>
              <w:rPr>
                <w:rFonts w:asciiTheme="minorBidi" w:hAnsiTheme="minorBidi"/>
                <w:sz w:val="24"/>
                <w:szCs w:val="24"/>
              </w:rPr>
            </w:pPr>
          </w:p>
          <w:p w14:paraId="5735293D" w14:textId="15DCC97E" w:rsidR="7336895D" w:rsidRPr="002170AC" w:rsidRDefault="4BD02F83" w:rsidP="03DEED5D">
            <w:pPr>
              <w:rPr>
                <w:rFonts w:asciiTheme="minorBidi" w:eastAsia="Calibri" w:hAnsiTheme="minorBidi"/>
                <w:sz w:val="24"/>
                <w:szCs w:val="24"/>
              </w:rPr>
            </w:pPr>
            <w:r w:rsidRPr="002170AC">
              <w:rPr>
                <w:rFonts w:asciiTheme="minorBidi" w:eastAsia="Arial" w:hAnsiTheme="minorBidi"/>
                <w:b/>
                <w:bCs/>
                <w:color w:val="000000" w:themeColor="text1"/>
                <w:sz w:val="24"/>
                <w:szCs w:val="24"/>
              </w:rPr>
              <w:t xml:space="preserve">2000 words </w:t>
            </w:r>
            <w:r w:rsidRPr="002170AC">
              <w:rPr>
                <w:rFonts w:asciiTheme="minorBidi" w:eastAsia="Arial" w:hAnsiTheme="minorBidi"/>
                <w:i/>
                <w:iCs/>
                <w:color w:val="000000" w:themeColor="text1"/>
                <w:sz w:val="24"/>
                <w:szCs w:val="24"/>
              </w:rPr>
              <w:t>(+/- 10%: include your actual word count at the end of each section)</w:t>
            </w:r>
          </w:p>
          <w:p w14:paraId="2F7715EC" w14:textId="12BAD0D3" w:rsidR="7336895D" w:rsidRPr="002170AC" w:rsidRDefault="7336895D" w:rsidP="7336895D">
            <w:pPr>
              <w:rPr>
                <w:rFonts w:asciiTheme="minorBidi" w:hAnsiTheme="minorBidi"/>
                <w:sz w:val="24"/>
                <w:szCs w:val="24"/>
              </w:rPr>
            </w:pPr>
          </w:p>
        </w:tc>
      </w:tr>
    </w:tbl>
    <w:p w14:paraId="1D3BEE34" w14:textId="21CCAA28" w:rsidR="000E1E24" w:rsidRPr="002170AC" w:rsidRDefault="000E1E24" w:rsidP="4E4E3FA4">
      <w:pPr>
        <w:ind w:left="3600" w:right="107" w:firstLine="720"/>
        <w:rPr>
          <w:rFonts w:asciiTheme="minorBidi" w:eastAsia="Arial" w:hAnsiTheme="minorBidi"/>
          <w:b/>
          <w:bCs/>
          <w:color w:val="000000" w:themeColor="text1"/>
          <w:sz w:val="24"/>
          <w:szCs w:val="24"/>
        </w:rPr>
      </w:pPr>
    </w:p>
    <w:p w14:paraId="4EEA3FD8" w14:textId="77777777" w:rsidR="000E1E24" w:rsidRPr="002170AC" w:rsidRDefault="000E1E24">
      <w:pPr>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t xml:space="preserve">Task 1A </w:t>
      </w:r>
    </w:p>
    <w:p w14:paraId="170EC08A" w14:textId="77777777" w:rsidR="000E1E24" w:rsidRPr="002170AC" w:rsidRDefault="000E1E24">
      <w:pPr>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t>Answer:</w:t>
      </w:r>
    </w:p>
    <w:p w14:paraId="2BFD382A"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b/>
          <w:bCs/>
          <w:sz w:val="24"/>
          <w:szCs w:val="24"/>
        </w:rPr>
        <w:t>Introduction</w:t>
      </w:r>
    </w:p>
    <w:p w14:paraId="2C60686B"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This reflective analysis examines my professional development over the past twelve months, focusing specifically on my progression as a newly qualified police negotiator. Using Jasper's (2013) ERA (Experience, Reflection, Action) cycle as a theoretical framework, I will critically evaluate how specialised training has enhanced my operational capabilities and contributed to my broader professional development. The analysis will particularly focus on my successful completion of two significant qualifications: the National Hostage Negotiators Course (May 2022) and the National Kidnap Negotiator Course (September 2023), examining how these experiences have influenced my work and professional identity in law enforcement.</w:t>
      </w:r>
    </w:p>
    <w:p w14:paraId="09929D74"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b/>
          <w:bCs/>
          <w:sz w:val="24"/>
          <w:szCs w:val="24"/>
        </w:rPr>
        <w:t>Experience</w:t>
      </w:r>
    </w:p>
    <w:p w14:paraId="58AF10AE" w14:textId="297617B5"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My journey in negotiation specialisation represents a significant evolution in my 23-year policing career. The completion of both the National Hostage Negotiators Course and the National Kidnap Negotiator Course, where I served as South Wales Police's sole representative, provided distinct yet complementary learning experiences. These courses revealed fundamental differences in their approach: while hostage negotiation demands unwavering authenticity and prohibits deception </w:t>
      </w:r>
      <w:r w:rsidRPr="002170AC">
        <w:rPr>
          <w:rFonts w:asciiTheme="minorBidi" w:hAnsiTheme="minorBidi"/>
          <w:sz w:val="24"/>
          <w:szCs w:val="24"/>
        </w:rPr>
        <w:lastRenderedPageBreak/>
        <w:fldChar w:fldCharType="begin"/>
      </w:r>
      <w:r w:rsidRPr="002170AC">
        <w:rPr>
          <w:rFonts w:asciiTheme="minorBidi" w:hAnsiTheme="minorBidi"/>
          <w:sz w:val="24"/>
          <w:szCs w:val="24"/>
        </w:rPr>
        <w:instrText xml:space="preserve"> ADDIN EN.CITE &lt;EndNote&gt;&lt;Cite&gt;&lt;Author&gt;Grubb&lt;/Author&gt;&lt;Year&gt;2018&lt;/Year&gt;&lt;RecNum&gt;2&lt;/RecNum&gt;&lt;DisplayText&gt;(Grubb et al., 2018)&lt;/DisplayText&gt;&lt;record&gt;&lt;rec-number&gt;2&lt;/rec-number&gt;&lt;foreign-keys&gt;&lt;key app="EN" db-id="d5wew2zz4d2wr7e9dt5vdd589xeaxzsvwxpr" timestamp="1735901866"&gt;2&lt;/key&gt;&lt;/foreign-keys&gt;&lt;ref-type name="Journal Article"&gt;17&lt;/ref-type&gt;&lt;contributors&gt;&lt;authors&gt;&lt;author&gt;Grubb, Amy Rose&lt;/author&gt;&lt;author&gt;Brown, Sarah J.&lt;/author&gt;&lt;author&gt;Hall, Peter&lt;/author&gt;&lt;author&gt;Bowen, Erica&lt;/author&gt;&lt;/authors&gt;&lt;/contributors&gt;&lt;titles&gt;&lt;title&gt;The self-perceived successful hostage and crisis negotiator profile: a qualitative assessment of negotiator competencies&lt;/title&gt;&lt;secondary-title&gt;Police Practice and Research&lt;/secondary-title&gt;&lt;/titles&gt;&lt;periodical&gt;&lt;full-title&gt;Police Practice and Research&lt;/full-title&gt;&lt;/periodical&gt;&lt;pages&gt;321-342&lt;/pages&gt;&lt;volume&gt;20&lt;/volume&gt;&lt;number&gt;4&lt;/number&gt;&lt;dates&gt;&lt;year&gt;2018&lt;/year&gt;&lt;pub-dates&gt;&lt;date&gt;2019/07/04&lt;/date&gt;&lt;/pub-dates&gt;&lt;/dates&gt;&lt;publisher&gt;Routledge&lt;/publisher&gt;&lt;isbn&gt;1561-4263&lt;/isbn&gt;&lt;urls&gt;&lt;related-urls&gt;&lt;url&gt;https://doi.org/10.1080/15614263.2018.1473772&lt;/url&gt;&lt;/related-urls&gt;&lt;/urls&gt;&lt;electronic-resource-num&gt;10.1080/15614263.2018.1473772&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(Grubb et al., 2018)</w:t>
      </w:r>
      <w:r w:rsidRPr="002170AC">
        <w:rPr>
          <w:rFonts w:asciiTheme="minorBidi" w:hAnsiTheme="minorBidi"/>
          <w:sz w:val="24"/>
          <w:szCs w:val="24"/>
        </w:rPr>
        <w:fldChar w:fldCharType="end"/>
      </w:r>
      <w:r w:rsidRPr="002170AC">
        <w:rPr>
          <w:rFonts w:asciiTheme="minorBidi" w:hAnsiTheme="minorBidi"/>
          <w:sz w:val="24"/>
          <w:szCs w:val="24"/>
        </w:rPr>
        <w:t xml:space="preserv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AuthorYear="1"&gt;&lt;Author&gt;Noesner&lt;/Author&gt;&lt;Year&gt;2018&lt;/Year&gt;&lt;RecNum&gt;13&lt;/RecNum&gt;&lt;DisplayText&gt;Noesner (2018)&lt;/DisplayText&gt;&lt;record&gt;&lt;rec-number&gt;13&lt;/rec-number&gt;&lt;foreign-keys&gt;&lt;key app="EN" db-id="d5wew2zz4d2wr7e9dt5vdd589xeaxzsvwxpr" timestamp="1735904419"&gt;13&lt;/key&gt;&lt;/foreign-keys&gt;&lt;ref-type name="Book"&gt;6&lt;/ref-type&gt;&lt;contributors&gt;&lt;authors&gt;&lt;author&gt;Noesner, G.&lt;/author&gt;&lt;/authors&gt;&lt;/contributors&gt;&lt;titles&gt;&lt;title&gt;Stalling for Time: My Life as an FBI Hostage Negotiator&lt;/title&gt;&lt;/titles&gt;&lt;dates&gt;&lt;year&gt;2018&lt;/year&gt;&lt;/dates&gt;&lt;publisher&gt;Random House Publishing Group&lt;/publisher&gt;&lt;isbn&gt;9780525511281&lt;/isbn&gt;&lt;urls&gt;&lt;related-urls&gt;&lt;url&gt;https://books.google.co.uk/books?id=rKlCDwAAQBAJ&lt;/url&gt;&lt;/related-urls&gt;&lt;/urls&gt;&lt;/record&gt;&lt;/Cite&gt;&lt;/EndNote&gt;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Noesner (2018)</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explains how kidnap negotiation permits strategic deception to protect victim welfare, namely the buying of time for the hostage/hostages. This contrast highlighted the complexity of negotiation as a very specialised police skill.</w:t>
      </w:r>
    </w:p>
    <w:p w14:paraId="0FA74D45" w14:textId="6A93C472"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Both courses combined theoretical learning with intensive role-play exercises, which challenged me to apply what was being taught in realistic scenarios. To enhance my understanding, and prior to attending the course, I read </w:t>
      </w:r>
      <w:r w:rsidRPr="002170AC">
        <w:rPr>
          <w:rFonts w:asciiTheme="minorBidi" w:hAnsiTheme="minorBidi"/>
          <w:b/>
          <w:bCs/>
          <w:sz w:val="24"/>
          <w:szCs w:val="24"/>
        </w:rPr>
        <w:t xml:space="preserve">Stalling for Time by Gary </w:t>
      </w:r>
      <w:proofErr w:type="spellStart"/>
      <w:r w:rsidRPr="002170AC">
        <w:rPr>
          <w:rFonts w:asciiTheme="minorBidi" w:hAnsiTheme="minorBidi"/>
          <w:b/>
          <w:bCs/>
          <w:sz w:val="24"/>
          <w:szCs w:val="24"/>
        </w:rPr>
        <w:t>Noesner</w:t>
      </w:r>
      <w:proofErr w:type="spellEnd"/>
      <w:r w:rsidRPr="002170AC">
        <w:rPr>
          <w:rFonts w:asciiTheme="minorBidi" w:hAnsiTheme="minorBidi"/>
          <w:sz w:val="24"/>
          <w:szCs w:val="24"/>
        </w:rPr>
        <w:t>, gaining valuable insights into hostage and kidnapping negotiations.</w:t>
      </w:r>
    </w:p>
    <w:p w14:paraId="204BFEF9"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Several quotes from the book were particularly pertinent and became highly relevant to me during the course:</w:t>
      </w:r>
    </w:p>
    <w:p w14:paraId="1E81650F" w14:textId="77777777" w:rsidR="000E1E24" w:rsidRPr="002170AC" w:rsidRDefault="000E1E24" w:rsidP="000E1E24">
      <w:pPr>
        <w:numPr>
          <w:ilvl w:val="0"/>
          <w:numId w:val="13"/>
        </w:numPr>
        <w:spacing w:line="360" w:lineRule="auto"/>
        <w:rPr>
          <w:rFonts w:asciiTheme="minorBidi" w:hAnsiTheme="minorBidi"/>
          <w:sz w:val="24"/>
          <w:szCs w:val="24"/>
        </w:rPr>
      </w:pPr>
      <w:r w:rsidRPr="002170AC">
        <w:rPr>
          <w:rFonts w:asciiTheme="minorBidi" w:hAnsiTheme="minorBidi"/>
          <w:sz w:val="24"/>
          <w:szCs w:val="24"/>
        </w:rPr>
        <w:t xml:space="preserve">"Time cools, time clarifies; no mood can be maintained quite unaltered through the course of hours"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&lt;EndNote&gt;&lt;Cite&gt;&lt;Author&gt;NEWSOM&lt;/Author&gt;&lt;Year&gt;1974&lt;/Year&gt;&lt;RecNum&gt;6&lt;/RecNum&gt;&lt;DisplayText&gt;(NEWSOM, 1974)&lt;/DisplayText&gt;&lt;record&gt;&lt;rec-number&gt;6&lt;/rec-number&gt;&lt;foreign-keys&gt;&lt;key app="EN" db-id="d5wew2zz4d2wr7e9dt5vdd589xeaxzsvwxpr" timestamp="1735902385"&gt;6&lt;/key&gt;&lt;/foreign-keys&gt;&lt;ref-type name="Journal Article"&gt;17&lt;/ref-type&gt;&lt;contributors&gt;&lt;authors&gt;&lt;author&gt;NEWSOM, JON&lt;/author&gt;&lt;/authors&gt;&lt;/contributors&gt;&lt;titles&gt;&lt;title&gt;HANS PFITZNER, THOMAS MANN AND ‘THE MAGIC MOUNTAIN’&lt;/title&gt;&lt;secondary-title&gt;Music and Letters&lt;/secondary-title&gt;&lt;/titles&gt;&lt;periodical&gt;&lt;full-title&gt;Music and Letters&lt;/full-title&gt;&lt;/periodical&gt;&lt;pages&gt;136-150&lt;/pages&gt;&lt;volume&gt;LV&lt;/volume&gt;&lt;number&gt;2&lt;/number&gt;&lt;dates&gt;&lt;year&gt;1974&lt;/year&gt;&lt;/dates&gt;&lt;isbn&gt;0027-4224&lt;/isbn&gt;&lt;urls&gt;&lt;related-urls&gt;&lt;url&gt;https://doi.org/10.1093/ml/LV.2.136&lt;/url&gt;&lt;/related-urls&gt;&lt;/urls&gt;&lt;electronic-resource-num&gt;10.1093/ml/LV.2.136&lt;/electronic-resource-num&gt;&lt;access-date&gt;1/3/2025&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(NEWSOM, 1974)</w:t>
      </w:r>
      <w:r w:rsidRPr="002170AC">
        <w:rPr>
          <w:rFonts w:asciiTheme="minorBidi" w:hAnsiTheme="minorBidi"/>
          <w:sz w:val="24"/>
          <w:szCs w:val="24"/>
        </w:rPr>
        <w:fldChar w:fldCharType="end"/>
      </w:r>
      <w:r w:rsidRPr="002170AC">
        <w:rPr>
          <w:rFonts w:asciiTheme="minorBidi" w:hAnsiTheme="minorBidi"/>
          <w:sz w:val="24"/>
          <w:szCs w:val="24"/>
        </w:rPr>
        <w:t xml:space="preserve">. This </w:t>
      </w:r>
      <w:proofErr w:type="gramStart"/>
      <w:r w:rsidRPr="002170AC">
        <w:rPr>
          <w:rFonts w:asciiTheme="minorBidi" w:hAnsiTheme="minorBidi"/>
          <w:sz w:val="24"/>
          <w:szCs w:val="24"/>
        </w:rPr>
        <w:t>principle</w:t>
      </w:r>
      <w:proofErr w:type="gramEnd"/>
      <w:r w:rsidRPr="002170AC">
        <w:rPr>
          <w:rFonts w:asciiTheme="minorBidi" w:hAnsiTheme="minorBidi"/>
          <w:sz w:val="24"/>
          <w:szCs w:val="24"/>
        </w:rPr>
        <w:t xml:space="preserve"> underscores how time management serves as both a tactical tool and a psychological advantage in crisis negotiations.</w:t>
      </w:r>
    </w:p>
    <w:p w14:paraId="650EB8AE" w14:textId="77777777" w:rsidR="000E1E24" w:rsidRPr="002170AC" w:rsidRDefault="000E1E24" w:rsidP="000E1E24">
      <w:pPr>
        <w:numPr>
          <w:ilvl w:val="0"/>
          <w:numId w:val="13"/>
        </w:numPr>
        <w:spacing w:line="360" w:lineRule="auto"/>
        <w:rPr>
          <w:rFonts w:asciiTheme="minorBidi" w:hAnsiTheme="minorBidi"/>
          <w:sz w:val="24"/>
          <w:szCs w:val="24"/>
        </w:rPr>
      </w:pPr>
      <w:r w:rsidRPr="002170AC">
        <w:rPr>
          <w:rFonts w:asciiTheme="minorBidi" w:hAnsiTheme="minorBidi"/>
          <w:sz w:val="24"/>
          <w:szCs w:val="24"/>
        </w:rPr>
        <w:t xml:space="preserve">"To listen closely and reply well is the highest perfection we are able to obtain in the art of conversation"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&lt;EndNote&gt;&lt;Cite&gt;&lt;Author&gt;La Rochefoucauld&lt;/Author&gt;&lt;Year&gt;1776&lt;/Year&gt;&lt;RecNum&gt;9&lt;/RecNum&gt;&lt;DisplayText&gt;(La Rochefoucauld, 1776)&lt;/DisplayText&gt;&lt;record&gt;&lt;rec-number&gt;9&lt;/rec-number&gt;&lt;foreign-keys&gt;&lt;key app="EN" db-id="d5wew2zz4d2wr7e9dt5vdd589xeaxzsvwxpr" timestamp="1735903049"&gt;9&lt;/key&gt;&lt;/foreign-keys&gt;&lt;ref-type name="Generic"&gt;13&lt;/ref-type&gt;&lt;contributors&gt;&lt;authors&gt;&lt;author&gt;La Rochefoucauld, François,&lt;/author&gt;&lt;/authors&gt;&lt;/contributors&gt;&lt;titles&gt;&lt;title&gt;Maxims and moral reflections, by the Duke de La Rochefoucault&lt;/title&gt;&lt;/titles&gt;&lt;edition&gt;A new edition, revised and improved.&lt;/edition&gt;&lt;dates&gt;&lt;year&gt;1776&lt;/year&gt;&lt;/dates&gt;&lt;pub-location&gt;Edinburgh :&lt;/pub-location&gt;&lt;publisher&gt;Printed for Alexander Donaldson, St. Paul&amp;apos;s Church-Yard, London&lt;/publisher&gt;&lt;urls&gt;&lt;related-urls&gt;&lt;url&gt;http://find.gale.com/ecco/infomark.do?contentSet=ECCOArticles&amp;amp;docType=ECCOArticles&amp;amp;bookId=1398100600&amp;amp;type=getFullCitation&amp;amp;tabID=T001&amp;amp;prodId=ECCO&amp;amp;docLevel=TEXT_GRAPHICS&amp;amp;version=1.0&amp;amp;source=library&amp;amp;userGroupName=nla&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(La Rochefoucauld, 1776)</w:t>
      </w:r>
      <w:r w:rsidRPr="002170AC">
        <w:rPr>
          <w:rFonts w:asciiTheme="minorBidi" w:hAnsiTheme="minorBidi"/>
          <w:sz w:val="24"/>
          <w:szCs w:val="24"/>
        </w:rPr>
        <w:fldChar w:fldCharType="end"/>
      </w:r>
      <w:r w:rsidRPr="002170AC">
        <w:rPr>
          <w:rFonts w:asciiTheme="minorBidi" w:hAnsiTheme="minorBidi"/>
          <w:sz w:val="24"/>
          <w:szCs w:val="24"/>
        </w:rPr>
        <w:t xml:space="preserve">. This historical perspective aligns with contemporary crisis negotiation research emphasising the crucial role of active listening in building rapport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&lt;EndNote&gt;&lt;Cite&gt;&lt;Author&gt;Vecchi&lt;/Author&gt;&lt;Year&gt;2005&lt;/Year&gt;&lt;RecNum&gt;8&lt;/RecNum&gt;&lt;DisplayText&gt;(Vecchi, Van Hasselt and Romano, 2005)&lt;/DisplayText&gt;&lt;record&gt;&lt;rec-number&gt;8&lt;/rec-number&gt;&lt;foreign-keys&gt;&lt;key app="EN" db-id="d5wew2zz4d2wr7e9dt5vdd589xeaxzsvwxpr" timestamp="1735902659"&gt;8&lt;/key&gt;&lt;/foreign-keys&gt;&lt;ref-type name="Journal Article"&gt;17&lt;/ref-type&gt;&lt;contributors&gt;&lt;authors&gt;&lt;author&gt;Vecchi, Gregory M.&lt;/author&gt;&lt;author&gt;Van Hasselt, Vincent B.&lt;/author&gt;&lt;author&gt;Romano, Stephen J.&lt;/author&gt;&lt;/authors&gt;&lt;/contributors&gt;&lt;titles&gt;&lt;title&gt;Crisis (hostage) negotiation: current strategies and issues in high-risk conflict resolution&lt;/title&gt;&lt;secondary-title&gt;Aggression and Violent Behavior&lt;/secondary-title&gt;&lt;/titles&gt;&lt;periodical&gt;&lt;full-title&gt;Aggression and Violent Behavior&lt;/full-title&gt;&lt;/periodical&gt;&lt;pages&gt;533-551&lt;/pages&gt;&lt;volume&gt;10&lt;/volume&gt;&lt;number&gt;5&lt;/number&gt;&lt;keywords&gt;&lt;keyword&gt;Crisis negotiation&lt;/keyword&gt;&lt;keyword&gt;Hostage negotiation&lt;/keyword&gt;&lt;keyword&gt;Crisis intervention&lt;/keyword&gt;&lt;keyword&gt;Role-playing&lt;/keyword&gt;&lt;keyword&gt;Conflict resolution&lt;/keyword&gt;&lt;keyword&gt;Online&lt;/keyword&gt;&lt;/keywords&gt;&lt;dates&gt;&lt;year&gt;2005&lt;/year&gt;&lt;pub-dates&gt;&lt;date&gt;2005/07/01/&lt;/date&gt;&lt;/pub-dates&gt;&lt;/dates&gt;&lt;isbn&gt;1359-1789&lt;/isbn&gt;&lt;urls&gt;&lt;related-urls&gt;&lt;url&gt;https://www.sciencedirect.com/science/article/pii/S1359178904000758&lt;/url&gt;&lt;/related-urls&gt;&lt;/urls&gt;&lt;electronic-resource-num&gt;https://doi.org/10.1016/j.avb.2004.10.001&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(Vecchi, Van Hasselt and Romano, 2005)</w:t>
      </w:r>
      <w:r w:rsidRPr="002170AC">
        <w:rPr>
          <w:rFonts w:asciiTheme="minorBidi" w:hAnsiTheme="minorBidi"/>
          <w:sz w:val="24"/>
          <w:szCs w:val="24"/>
        </w:rPr>
        <w:fldChar w:fldCharType="end"/>
      </w:r>
      <w:r w:rsidRPr="002170AC">
        <w:rPr>
          <w:rFonts w:asciiTheme="minorBidi" w:hAnsiTheme="minorBidi"/>
          <w:sz w:val="24"/>
          <w:szCs w:val="24"/>
        </w:rPr>
        <w:t>.</w:t>
      </w:r>
    </w:p>
    <w:p w14:paraId="00CFC8F3" w14:textId="77777777" w:rsidR="000E1E24" w:rsidRPr="002170AC" w:rsidRDefault="000E1E24" w:rsidP="000E1E24">
      <w:pPr>
        <w:numPr>
          <w:ilvl w:val="0"/>
          <w:numId w:val="13"/>
        </w:numPr>
        <w:spacing w:line="360" w:lineRule="auto"/>
        <w:rPr>
          <w:rFonts w:asciiTheme="minorBidi" w:hAnsiTheme="minorBidi"/>
          <w:sz w:val="24"/>
          <w:szCs w:val="24"/>
        </w:rPr>
      </w:pPr>
      <w:r w:rsidRPr="002170AC">
        <w:rPr>
          <w:rFonts w:asciiTheme="minorBidi" w:hAnsiTheme="minorBidi"/>
          <w:sz w:val="24"/>
          <w:szCs w:val="24"/>
        </w:rPr>
        <w:t xml:space="preserve">"If you can keep your head when all about you are losing theirs"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&lt;EndNote&gt;&lt;Cite&gt;&lt;Author&gt;Kipling&lt;/Author&gt;&lt;Year&gt;1918&lt;/Year&gt;&lt;RecNum&gt;16&lt;/RecNum&gt;&lt;DisplayText&gt;(Kipling, 1918)&lt;/DisplayText&gt;&lt;record&gt;&lt;rec-number&gt;16&lt;/rec-number&gt;&lt;foreign-keys&gt;&lt;key app="EN" db-id="d5wew2zz4d2wr7e9dt5vdd589xeaxzsvwxpr" timestamp="1735906042"&gt;16&lt;/key&gt;&lt;/foreign-keys&gt;&lt;ref-type name="Web Page"&gt;12&lt;/ref-type&gt;&lt;contributors&gt;&lt;authors&gt;&lt;author&gt;Kipling, Rudyard.&lt;/author&gt;&lt;/authors&gt;&lt;/contributors&gt;&lt;titles&gt;&lt;title&gt;If— by Rudyard Kipling - Poems/ Academy of American Poets&lt;/title&gt;&lt;/titles&gt;&lt;volume&gt;2024&lt;/volume&gt;&lt;number&gt;20 Dec.&lt;/number&gt;&lt;dates&gt;&lt;year&gt;1918&lt;/year&gt;&lt;/dates&gt;&lt;urls&gt;&lt;related-urls&gt;&lt;url&gt;https://poets.org/poem/if&lt;/url&gt;&lt;/related-urls&gt;&lt;/urls&gt;&lt;/record&gt;&lt;/Cite&gt;&lt;/EndNote&gt;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(Kipling, 1918)</w:t>
      </w:r>
      <w:r w:rsidRPr="002170AC">
        <w:rPr>
          <w:rFonts w:asciiTheme="minorBidi" w:hAnsiTheme="minorBidi"/>
          <w:sz w:val="24"/>
          <w:szCs w:val="24"/>
        </w:rPr>
        <w:fldChar w:fldCharType="end"/>
      </w:r>
      <w:r w:rsidRPr="002170AC">
        <w:rPr>
          <w:rFonts w:asciiTheme="minorBidi" w:hAnsiTheme="minorBidi"/>
          <w:sz w:val="24"/>
          <w:szCs w:val="24"/>
        </w:rPr>
        <w:t>. This principle has proven invaluable in maintaining professional composure during high-stakes negotiations.</w:t>
      </w:r>
    </w:p>
    <w:p w14:paraId="3E5CCEAC"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These quotes emphasised essential negotiation skills such as the strategic use of time, active listening, and maintaining calm when under severe pressure. With over 23 years of policing experience, I have always valued teamwork; however, the courses highlighted that while independent decision-making offers freedom, it can also restrict the diversity of perspectives, as both courses heavily rely on the effective use of teamwork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&lt;EndNote&gt;&lt;Cite&gt;&lt;Author&gt;Deichmann&lt;/Author&gt;&lt;Year&gt;2018&lt;/Year&gt;&lt;RecNum&gt;1&lt;/RecNum&gt;&lt;DisplayText&gt;(Deichmann and Jensen, 2018)&lt;/DisplayText&gt;&lt;record&gt;&lt;rec-number&gt;1&lt;/rec-number&gt;&lt;foreign-keys&gt;&lt;key app="EN" db-id="d5wew2zz4d2wr7e9dt5vdd589xeaxzsvwxpr" timestamp="1735901768"&gt;1&lt;/key&gt;&lt;/foreign-keys&gt;&lt;ref-type name="Journal Article"&gt;17&lt;/ref-type&gt;&lt;contributors&gt;&lt;authors&gt;&lt;author&gt;Deichmann, Dirk&lt;/author&gt;&lt;author&gt;Jensen, Michael&lt;/author&gt;&lt;/authors&gt;&lt;/contributors&gt;&lt;titles&gt;&lt;title&gt;I can do that alone…or not? How idea generators juggle between the pros and cons of teamwork&lt;/title&gt;&lt;secondary-title&gt;Strategic Management Journal&lt;/secondary-title&gt;&lt;/titles&gt;&lt;periodical&gt;&lt;full-title&gt;Strategic Management Journal&lt;/full-title&gt;&lt;/periodical&gt;&lt;pages&gt;458-475&lt;/pages&gt;&lt;volume&gt;39&lt;/volume&gt;&lt;number&gt;2&lt;/number&gt;&lt;dates&gt;&lt;year&gt;2018&lt;/year&gt;&lt;/dates&gt;&lt;isbn&gt;0143-2095&lt;/isbn&gt;&lt;urls&gt;&lt;related-urls&gt;&lt;url&gt;https://onlinelibrary.wiley.com/doi/abs/10.1002/smj.2696&lt;/url&gt;&lt;/related-urls&gt;&lt;/urls&gt;&lt;electronic-resource-num&gt;https://doi.org/10.1002/smj.2696&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(Deichmann and Jensen, 2018)</w:t>
      </w:r>
      <w:r w:rsidRPr="002170AC">
        <w:rPr>
          <w:rFonts w:asciiTheme="minorBidi" w:hAnsiTheme="minorBidi"/>
          <w:sz w:val="24"/>
          <w:szCs w:val="24"/>
        </w:rPr>
        <w:fldChar w:fldCharType="end"/>
      </w:r>
      <w:r w:rsidRPr="002170AC">
        <w:rPr>
          <w:rFonts w:asciiTheme="minorBidi" w:hAnsiTheme="minorBidi"/>
          <w:sz w:val="24"/>
          <w:szCs w:val="24"/>
        </w:rPr>
        <w:t>.</w:t>
      </w:r>
    </w:p>
    <w:p w14:paraId="1CBFF4B7" w14:textId="063713C8"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Initially, I found the role-play scenarios discomforting as they challenged me professionally and took me outside of my comfort zone, particularly when testing my decision-making skills under pressure. However, I quickly realised that embracing </w:t>
      </w:r>
      <w:r w:rsidRPr="002170AC">
        <w:rPr>
          <w:rFonts w:asciiTheme="minorBidi" w:hAnsiTheme="minorBidi"/>
          <w:sz w:val="24"/>
          <w:szCs w:val="24"/>
        </w:rPr>
        <w:lastRenderedPageBreak/>
        <w:t xml:space="preserve">uncertainty fosters growth, and stepping outside of my comfort zone helped me to develop my growth mindset and resilience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&lt;EndNote&gt;&lt;Cite&gt;&lt;Author&gt;PositivePsychology.com&lt;/Author&gt;&lt;Year&gt;2020&lt;/Year&gt;&lt;RecNum&gt;12&lt;/RecNum&gt;&lt;DisplayText&gt;(PositivePsychology.com, 2020)&lt;/DisplayText&gt;&lt;record&gt;&lt;rec-number&gt;12&lt;/rec-number&gt;&lt;foreign-keys&gt;&lt;key app="EN" db-id="d5wew2zz4d2wr7e9dt5vdd589xeaxzsvwxpr" timestamp="1735904310"&gt;12&lt;/key&gt;&lt;/foreign-keys&gt;&lt;ref-type name="Web Page"&gt;12&lt;/ref-type&gt;&lt;contributors&gt;&lt;authors&gt;&lt;author&gt;PositivePsychology.com,&lt;/author&gt;&lt;/authors&gt;&lt;/contributors&gt;&lt;titles&gt;&lt;title&gt;How to Leave your Comfort Zone and Enter your ‘Growth Zone’&lt;/title&gt;&lt;/titles&gt;&lt;volume&gt;2024&lt;/volume&gt;&lt;number&gt;23 Dec.&lt;/number&gt;&lt;dates&gt;&lt;year&gt;2020&lt;/year&gt;&lt;/dates&gt;&lt;urls&gt;&lt;related-urls&gt;&lt;url&gt;https://positivepsychology.com/comfort-zone&lt;/url&gt;&lt;/related-urls&gt;&lt;/urls&gt;&lt;/record&gt;&lt;/Cite&gt;&lt;/EndNote&gt;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(PositivePsychology.com, 2020)</w:t>
      </w:r>
      <w:r w:rsidRPr="002170AC">
        <w:rPr>
          <w:rFonts w:asciiTheme="minorBidi" w:hAnsiTheme="minorBidi"/>
          <w:sz w:val="24"/>
          <w:szCs w:val="24"/>
        </w:rPr>
        <w:fldChar w:fldCharType="end"/>
      </w:r>
      <w:r w:rsidRPr="002170AC">
        <w:rPr>
          <w:rFonts w:asciiTheme="minorBidi" w:hAnsiTheme="minorBidi"/>
          <w:sz w:val="24"/>
          <w:szCs w:val="24"/>
        </w:rPr>
        <w:t>. This experience reinforced the notion that growth often occurs through discomfort, enhancing my capabilities as a negotiator.</w:t>
      </w:r>
    </w:p>
    <w:p w14:paraId="0B1BCE73"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b/>
          <w:bCs/>
          <w:sz w:val="24"/>
          <w:szCs w:val="24"/>
        </w:rPr>
        <w:t>Reflection</w:t>
      </w:r>
    </w:p>
    <w:p w14:paraId="44CBCD92" w14:textId="327853B2"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Critical analysis of my performance reveals both strengths and areas for development. My successful application of theoretical frameworks namely the Behavioural Influence Stairway Model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&lt;EndNote&gt;&lt;Cite&gt;&lt;Author&gt;Ireland&lt;/Author&gt;&lt;Year&gt;2012&lt;/Year&gt;&lt;RecNum&gt;4&lt;/RecNum&gt;&lt;DisplayText&gt;(Ireland, Fisher and Vecchi, 2012)&lt;/DisplayText&gt;&lt;record&gt;&lt;rec-number&gt;4&lt;/rec-number&gt;&lt;foreign-keys&gt;&lt;key app="EN" db-id="d5wew2zz4d2wr7e9dt5vdd589xeaxzsvwxpr" timestamp="1735902167"&gt;4&lt;/key&gt;&lt;/foreign-keys&gt;&lt;ref-type name="Book"&gt;6&lt;/ref-type&gt;&lt;contributors&gt;&lt;authors&gt;&lt;author&gt;Ireland, C.&lt;/author&gt;&lt;author&gt;Fisher, M.&lt;/author&gt;&lt;author&gt;Vecchi, G.&lt;/author&gt;&lt;/authors&gt;&lt;/contributors&gt;&lt;titles&gt;&lt;title&gt;Conflict and Crisis Communication: Principles and Practice&lt;/title&gt;&lt;/titles&gt;&lt;edition&gt;1st Edition&lt;/edition&gt;&lt;dates&gt;&lt;year&gt;2012&lt;/year&gt;&lt;/dates&gt;&lt;publisher&gt;Taylor &amp;amp; Francis&lt;/publisher&gt;&lt;isbn&gt;9781136822087&lt;/isbn&gt;&lt;urls&gt;&lt;related-urls&gt;&lt;url&gt;https://books.google.co.uk/books?id=JJaLvT2B0VoC&lt;/url&gt;&lt;/related-urls&gt;&lt;/urls&gt;&lt;/record&gt;&lt;/Cite&gt;&lt;/EndNote&gt;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(Ireland, Fisher and Vecchi, 2012)</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demonstrated effective integration of theory into practice. These frameworks provided essential structure for building rapport and exercising influence in high-pressure situations, contributing significantly to my effectiveness as a negotiator.</w:t>
      </w:r>
    </w:p>
    <w:p w14:paraId="599A31EE" w14:textId="4D2F9E71"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The negotiation training highlighted the critical overlap between personal competency and organisational resilience. While successful individually, I identified opportunities for improving organisational learning resources and training methodologies, particularly for visual learners like me. As a visual learner, I identified that multimedia-based learning resources could have enhanced my grasp of complex concepts. This reflection aligns with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AuthorYear="1"&gt;&lt;Author&gt;Raiyn&amp;apos;s&lt;/Author&gt;&lt;Year&gt;2016&lt;/Year&gt;&lt;RecNum&gt;14&lt;/RecNum&gt;&lt;DisplayText&gt;Raiyn&amp;apos;s (2016)&lt;/DisplayText&gt;&lt;record&gt;&lt;rec-number&gt;14&lt;/rec-number&gt;&lt;foreign-keys&gt;&lt;key app="EN" db-id="d5wew2zz4d2wr7e9dt5vdd589xeaxzsvwxpr" timestamp="1735904685"&gt;14&lt;/key&gt;&lt;/foreign-keys&gt;&lt;ref-type name="Journal Article"&gt;17&lt;/ref-type&gt;&lt;contributors&gt;&lt;authors&gt;&lt;author&gt;Raiyn&amp;apos;s, Jamal&lt;/author&gt;&lt;/authors&gt;&lt;/contributors&gt;&lt;titles&gt;&lt;title&gt;The Role of Visual Learning in Improving Students’ High-Order Thinking Skills&lt;/title&gt;&lt;secondary-title&gt;Journal of Education and Practice&lt;/secondary-title&gt;&lt;/titles&gt;&lt;periodical&gt;&lt;full-title&gt;Journal of Education and Practice&lt;/full-title&gt;&lt;/periodical&gt;&lt;pages&gt;115-121&lt;/pages&gt;&lt;volume&gt;7&lt;/volume&gt;&lt;dates&gt;&lt;year&gt;2016&lt;/year&gt;&lt;/dates&gt;&lt;urls&gt;&lt;/urls&gt;&lt;/record&gt;&lt;/Cite&gt;&lt;/EndNote&gt;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Raiyn's (2016)</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research indicating that visual learning tools can significantly improve the retention and application of skills during training.</w:t>
      </w:r>
    </w:p>
    <w:p w14:paraId="0B7A53C7"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In retrospect, the high-pressure environment of both courses served as a crucial testing ground for my capabilities across multiple disciplines: individual performance, team dynamics, and supervisory skills. The challenges I faced during the course fostered significant personal growth, and I continue to reflect on these experiences to motivate myself as a negotiator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&lt;EndNote&gt;&lt;Cite&gt;&lt;Author&gt;Stodd&lt;/Author&gt;&lt;Year&gt;2012&lt;/Year&gt;&lt;RecNum&gt;11&lt;/RecNum&gt;&lt;DisplayText&gt;(Stodd, 2012)&lt;/DisplayText&gt;&lt;record&gt;&lt;rec-number&gt;11&lt;/rec-number&gt;&lt;foreign-keys&gt;&lt;key app="EN" db-id="d5wew2zz4d2wr7e9dt5vdd589xeaxzsvwxpr" timestamp="1735904119"&gt;11&lt;/key&gt;&lt;/foreign-keys&gt;&lt;ref-type name="Web Page"&gt;12&lt;/ref-type&gt;&lt;contributors&gt;&lt;authors&gt;&lt;author&gt;Stodd, Julian.&lt;/author&gt;&lt;/authors&gt;&lt;/contributors&gt;&lt;titles&gt;&lt;title&gt;What are you proud of? Understanding how pride and motivation relate to learning and achievement.&lt;/title&gt;&lt;/titles&gt;&lt;volume&gt;2024&lt;/volume&gt;&lt;number&gt;23 Dec.&lt;/number&gt;&lt;dates&gt;&lt;year&gt;2012&lt;/year&gt;&lt;/dates&gt;&lt;urls&gt;&lt;related-urls&gt;&lt;url&gt;https://julianstodd.wordpress.com/2012/04/13/what-are-you-proud-of-understanding-how-pride-and-motivation-relate-to-learning-and-achievement/&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(Stodd, 2012)</w:t>
      </w:r>
      <w:r w:rsidRPr="002170AC">
        <w:rPr>
          <w:rFonts w:asciiTheme="minorBidi" w:hAnsiTheme="minorBidi"/>
          <w:sz w:val="24"/>
          <w:szCs w:val="24"/>
        </w:rPr>
        <w:fldChar w:fldCharType="end"/>
      </w:r>
      <w:r w:rsidRPr="002170AC">
        <w:rPr>
          <w:rFonts w:asciiTheme="minorBidi" w:hAnsiTheme="minorBidi"/>
          <w:sz w:val="24"/>
          <w:szCs w:val="24"/>
        </w:rPr>
        <w:t>.</w:t>
      </w:r>
    </w:p>
    <w:p w14:paraId="6EECA460"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b/>
          <w:bCs/>
          <w:sz w:val="24"/>
          <w:szCs w:val="24"/>
        </w:rPr>
        <w:t>Action</w:t>
      </w:r>
    </w:p>
    <w:p w14:paraId="076AE1BA"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My success in negotiator deployments is largely due to the consistent application of the models and principles I learnt, particularly the Behavioural Influence Stairway and Maslow's hierarchy of needs. These frameworks guide my approach during negotiations.</w:t>
      </w:r>
    </w:p>
    <w:p w14:paraId="2A6250F2"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A critical component of my approach is emotional intelligence, particularly empathy. As noted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AuthorYear="1"&gt;&lt;Author&gt;Vecchi&lt;/Author&gt;&lt;Year&gt;2005&lt;/Year&gt;&lt;RecNum&gt;8&lt;/RecNum&gt;&lt;DisplayText&gt;Vecchi, Van Hasselt and Romano (2005)&lt;/DisplayText&gt;&lt;record&gt;&lt;rec-number&gt;8&lt;/rec-number&gt;&lt;foreign-keys&gt;&lt;key app="EN" db-id="d5wew2zz4d2wr7e9dt5vdd589xeaxzsvwxpr" timestamp="1735902659"&gt;8&lt;/key&gt;&lt;/foreign-keys&gt;&lt;ref-type name="Journal Article"&gt;17&lt;/ref-type&gt;&lt;contributors&gt;&lt;authors&gt;&lt;author&gt;Vecchi, Gregory M.&lt;/author&gt;&lt;author&gt;Van Hasselt, Vincent B.&lt;/author&gt;&lt;author&gt;Romano, Stephen J.&lt;/author&gt;&lt;/authors&gt;&lt;/contributors&gt;&lt;titles&gt;&lt;title&gt;Crisis (hostage) negotiation: current strategies and issues in high-risk conflict resolution&lt;/title&gt;&lt;secondary-title&gt;Aggression and Violent Behavior&lt;/secondary-title&gt;&lt;/titles&gt;&lt;periodical&gt;&lt;full-title&gt;Aggression and Violent Behavior&lt;/full-title&gt;&lt;/periodical&gt;&lt;pages&gt;533-551&lt;/pages&gt;&lt;volume&gt;10&lt;/volume&gt;&lt;number&gt;5&lt;/number&gt;&lt;keywords&gt;&lt;keyword&gt;Crisis negotiation&lt;/keyword&gt;&lt;keyword&gt;Hostage negotiation&lt;/keyword&gt;&lt;keyword&gt;Crisis intervention&lt;/keyword&gt;&lt;keyword&gt;Role-playing&lt;/keyword&gt;&lt;keyword&gt;Conflict resolution&lt;/keyword&gt;&lt;keyword&gt;Online&lt;/keyword&gt;&lt;/keywords&gt;&lt;dates&gt;&lt;year&gt;2005&lt;/year&gt;&lt;pub-dates&gt;&lt;date&gt;2005/07/01/&lt;/date&gt;&lt;/pub-dates&gt;&lt;/dates&gt;&lt;isbn&gt;1359-1789&lt;/isbn&gt;&lt;urls&gt;&lt;related-urls&gt;&lt;url&gt;https://www.sciencedirect.com/science/article/pii/S1359178904000758&lt;/url&gt;&lt;/related-urls&gt;&lt;/urls&gt;&lt;electronic-resource-num&gt;https://doi.org/10.1016/j.avb.2004.10.001&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Vecchi, Van Hasselt and Romano (2005)</w:t>
      </w:r>
      <w:r w:rsidRPr="002170AC">
        <w:rPr>
          <w:rFonts w:asciiTheme="minorBidi" w:hAnsiTheme="minorBidi"/>
          <w:sz w:val="24"/>
          <w:szCs w:val="24"/>
        </w:rPr>
        <w:fldChar w:fldCharType="end"/>
      </w:r>
      <w:r w:rsidRPr="002170AC">
        <w:rPr>
          <w:rFonts w:asciiTheme="minorBidi" w:hAnsiTheme="minorBidi"/>
          <w:sz w:val="24"/>
          <w:szCs w:val="24"/>
        </w:rPr>
        <w:t xml:space="preserve">, genuine empathy is vital </w:t>
      </w:r>
      <w:r w:rsidRPr="002170AC">
        <w:rPr>
          <w:rFonts w:asciiTheme="minorBidi" w:hAnsiTheme="minorBidi"/>
          <w:sz w:val="24"/>
          <w:szCs w:val="24"/>
        </w:rPr>
        <w:lastRenderedPageBreak/>
        <w:t>during negotiations, as insincere empathy can be easily detected and hinder the negotiation process. Rapport, which follows empathy in the Behavioural Influence Stairway Model, cannot be established without it. My ability to connect emotionally with individuals in crisis is crucial to my success.</w:t>
      </w:r>
    </w:p>
    <w:p w14:paraId="18C82C7B"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Operational effectiveness stems not just from individual skills but from how these skills integrate into broader organisational strategies. When collaborating with unfamiliar colleagues, I prioritise building rapport quickly to align our strategies, ensuring effective teamwork under pressure and maximising our collective strengths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&lt;EndNote&gt;&lt;Cite&gt;&lt;Author&gt;Katzenbach&lt;/Author&gt;&lt;Year&gt;1993&lt;/Year&gt;&lt;RecNum&gt;15&lt;/RecNum&gt;&lt;DisplayText&gt;(Katzenbach and Smith, 1993, Grubb et al., 2022)&lt;/DisplayText&gt;&lt;record&gt;&lt;rec-number&gt;15&lt;/rec-number&gt;&lt;foreign-keys&gt;&lt;key app="EN" db-id="d5wew2zz4d2wr7e9dt5vdd589xeaxzsvwxpr" timestamp="1735904957"&gt;15&lt;/key&gt;&lt;/foreign-keys&gt;&lt;ref-type name="Book"&gt;6&lt;/ref-type&gt;&lt;contributors&gt;&lt;authors&gt;&lt;author&gt;Katzenbach, J.R.&lt;/author&gt;&lt;author&gt;Smith, D.K.&lt;/author&gt;&lt;/authors&gt;&lt;/contributors&gt;&lt;titles&gt;&lt;title&gt;The Wisdom of Teams: Creating the High-performance Organization&lt;/title&gt;&lt;/titles&gt;&lt;dates&gt;&lt;year&gt;1993&lt;/year&gt;&lt;/dates&gt;&lt;publisher&gt;Harvard Business School Press&lt;/publisher&gt;&lt;isbn&gt;9780875843674&lt;/isbn&gt;&lt;urls&gt;&lt;related-urls&gt;&lt;url&gt;https://books.google.co.uk/books?id=FMJn4RmmiAkC&lt;/url&gt;&lt;/related-urls&gt;&lt;/urls&gt;&lt;/record&gt;&lt;/Cite&gt;&lt;Cite&gt;&lt;Author&gt;Grubb&lt;/Author&gt;&lt;Year&gt;2022&lt;/Year&gt;&lt;RecNum&gt;3&lt;/RecNum&gt;&lt;record&gt;&lt;rec-number&gt;3&lt;/rec-number&gt;&lt;foreign-keys&gt;&lt;key app="EN" db-id="d5wew2zz4d2wr7e9dt5vdd589xeaxzsvwxpr" timestamp="1735902000"&gt;3&lt;/key&gt;&lt;/foreign-keys&gt;&lt;ref-type name="Journal Article"&gt;17&lt;/ref-type&gt;&lt;contributors&gt;&lt;authors&gt;&lt;author&gt;Grubb, Amy R.&lt;/author&gt;&lt;author&gt;Brown, Sarah J.&lt;/author&gt;&lt;author&gt;Hall, Peter&lt;/author&gt;&lt;author&gt;Bowen, Erica&lt;/author&gt;&lt;/authors&gt;&lt;/contributors&gt;&lt;titles&gt;&lt;title&gt;“The More You Do, the More Comfortable You Feel”: the Police Hostage and Crisis Negotiator Journey&lt;/title&gt;&lt;secondary-title&gt;Journal of Police and Criminal Psychology&lt;/secondary-title&gt;&lt;/titles&gt;&lt;periodical&gt;&lt;full-title&gt;Journal of Police and Criminal Psychology&lt;/full-title&gt;&lt;/periodical&gt;&lt;pages&gt;195-211&lt;/pages&gt;&lt;volume&gt;37&lt;/volume&gt;&lt;number&gt;1&lt;/number&gt;&lt;dates&gt;&lt;year&gt;2022&lt;/year&gt;&lt;pub-dates&gt;&lt;date&gt;2022/03/01&lt;/date&gt;&lt;/pub-dates&gt;&lt;/dates&gt;&lt;isbn&gt;1936-6469&lt;/isbn&gt;&lt;urls&gt;&lt;related-urls&gt;&lt;url&gt;https://doi.org/10.1007/s11896-021-09486-3&lt;/url&gt;&lt;/related-urls&gt;&lt;/urls&gt;&lt;electronic-resource-num&gt;10.1007/s11896-021-09486-3&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(Katzenbach and Smith, 1993, Grubb et al., 2022)</w:t>
      </w:r>
      <w:r w:rsidRPr="002170AC">
        <w:rPr>
          <w:rFonts w:asciiTheme="minorBidi" w:hAnsiTheme="minorBidi"/>
          <w:sz w:val="24"/>
          <w:szCs w:val="24"/>
        </w:rPr>
        <w:fldChar w:fldCharType="end"/>
      </w:r>
      <w:r w:rsidRPr="002170AC">
        <w:rPr>
          <w:rFonts w:asciiTheme="minorBidi" w:hAnsiTheme="minorBidi"/>
          <w:sz w:val="24"/>
          <w:szCs w:val="24"/>
        </w:rPr>
        <w:t>.</w:t>
      </w:r>
    </w:p>
    <w:p w14:paraId="525F38FC"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To enhance my capabilities further, I plan to:</w:t>
      </w:r>
    </w:p>
    <w:p w14:paraId="2A19EE45" w14:textId="77777777" w:rsidR="000E1E24" w:rsidRPr="002170AC" w:rsidRDefault="000E1E24" w:rsidP="000E1E24">
      <w:pPr>
        <w:numPr>
          <w:ilvl w:val="0"/>
          <w:numId w:val="14"/>
        </w:numPr>
        <w:spacing w:line="360" w:lineRule="auto"/>
        <w:rPr>
          <w:rFonts w:asciiTheme="minorBidi" w:hAnsiTheme="minorBidi"/>
          <w:sz w:val="24"/>
          <w:szCs w:val="24"/>
        </w:rPr>
      </w:pPr>
      <w:r w:rsidRPr="002170AC">
        <w:rPr>
          <w:rFonts w:asciiTheme="minorBidi" w:hAnsiTheme="minorBidi"/>
          <w:sz w:val="24"/>
          <w:szCs w:val="24"/>
        </w:rPr>
        <w:t>Pursue additional training in advanced negotiation techniques.</w:t>
      </w:r>
    </w:p>
    <w:p w14:paraId="3FD694EC" w14:textId="77777777" w:rsidR="000E1E24" w:rsidRPr="002170AC" w:rsidRDefault="000E1E24" w:rsidP="000E1E24">
      <w:pPr>
        <w:numPr>
          <w:ilvl w:val="0"/>
          <w:numId w:val="14"/>
        </w:numPr>
        <w:spacing w:line="360" w:lineRule="auto"/>
        <w:rPr>
          <w:rFonts w:asciiTheme="minorBidi" w:hAnsiTheme="minorBidi"/>
          <w:sz w:val="24"/>
          <w:szCs w:val="24"/>
        </w:rPr>
      </w:pPr>
      <w:r w:rsidRPr="002170AC">
        <w:rPr>
          <w:rFonts w:asciiTheme="minorBidi" w:hAnsiTheme="minorBidi"/>
          <w:sz w:val="24"/>
          <w:szCs w:val="24"/>
        </w:rPr>
        <w:t>Develop performance indicators demonstrating skill translation to operational outcomes.</w:t>
      </w:r>
    </w:p>
    <w:p w14:paraId="261C02FE" w14:textId="77777777" w:rsidR="000E1E24" w:rsidRPr="002170AC" w:rsidRDefault="000E1E24" w:rsidP="000E1E24">
      <w:pPr>
        <w:numPr>
          <w:ilvl w:val="0"/>
          <w:numId w:val="14"/>
        </w:numPr>
        <w:spacing w:line="360" w:lineRule="auto"/>
        <w:rPr>
          <w:rFonts w:asciiTheme="minorBidi" w:hAnsiTheme="minorBidi"/>
          <w:sz w:val="24"/>
          <w:szCs w:val="24"/>
        </w:rPr>
      </w:pPr>
      <w:r w:rsidRPr="002170AC">
        <w:rPr>
          <w:rFonts w:asciiTheme="minorBidi" w:hAnsiTheme="minorBidi"/>
          <w:sz w:val="24"/>
          <w:szCs w:val="24"/>
        </w:rPr>
        <w:t>Increase structured self-reflection using tools like the ERA cycle.</w:t>
      </w:r>
    </w:p>
    <w:p w14:paraId="1BAB9B46" w14:textId="77777777" w:rsidR="000E1E24" w:rsidRPr="002170AC" w:rsidRDefault="000E1E24" w:rsidP="000E1E24">
      <w:pPr>
        <w:numPr>
          <w:ilvl w:val="0"/>
          <w:numId w:val="14"/>
        </w:numPr>
        <w:spacing w:line="360" w:lineRule="auto"/>
        <w:rPr>
          <w:rFonts w:asciiTheme="minorBidi" w:hAnsiTheme="minorBidi"/>
          <w:sz w:val="24"/>
          <w:szCs w:val="24"/>
        </w:rPr>
      </w:pPr>
      <w:r w:rsidRPr="002170AC">
        <w:rPr>
          <w:rFonts w:asciiTheme="minorBidi" w:hAnsiTheme="minorBidi"/>
          <w:sz w:val="24"/>
          <w:szCs w:val="24"/>
        </w:rPr>
        <w:t>Collaborate on potential training methodology improvements.</w:t>
      </w:r>
    </w:p>
    <w:p w14:paraId="21708D78" w14:textId="77777777" w:rsidR="000E1E24" w:rsidRPr="002170AC" w:rsidRDefault="000E1E24" w:rsidP="000E1E24">
      <w:pPr>
        <w:spacing w:line="360" w:lineRule="auto"/>
        <w:rPr>
          <w:rFonts w:asciiTheme="minorBidi" w:hAnsiTheme="minorBidi"/>
          <w:b/>
          <w:bCs/>
          <w:sz w:val="24"/>
          <w:szCs w:val="24"/>
        </w:rPr>
      </w:pPr>
    </w:p>
    <w:p w14:paraId="75F0018B"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b/>
          <w:bCs/>
          <w:sz w:val="24"/>
          <w:szCs w:val="24"/>
        </w:rPr>
        <w:t>Conclusion</w:t>
      </w:r>
    </w:p>
    <w:p w14:paraId="1378203E"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This critical reflection demonstrates the significant professional development I achieved through specialised negotiator training. The integration of theoretical frameworks with practical experience has enhanced my operational capabilities while identifying areas for continued growth. The contrast between hostage and kidnap negotiation approaches has deepened my understanding of tactical flexibility in crisis intervention.</w:t>
      </w:r>
    </w:p>
    <w:p w14:paraId="0279AFFC"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Moving forward, my commitment to continuous professional development will focus on expanding theoretical knowledge while refining practical skills through additional training and structured reflection. This balanced approach will ensure preservation of operational effectiveness while contributing to the broader development of negotiation practices within law enforcement.</w:t>
      </w:r>
    </w:p>
    <w:p w14:paraId="083B8802" w14:textId="599E2BF8" w:rsidR="000E1E24" w:rsidRPr="00583D68" w:rsidRDefault="000E1E24" w:rsidP="000E1E24">
      <w:pPr>
        <w:spacing w:line="360" w:lineRule="auto"/>
        <w:rPr>
          <w:rFonts w:asciiTheme="minorBidi" w:hAnsiTheme="minorBidi"/>
          <w:b/>
          <w:bCs/>
          <w:sz w:val="24"/>
          <w:szCs w:val="24"/>
          <w:u w:val="single"/>
        </w:rPr>
      </w:pPr>
      <w:r w:rsidRPr="00583D68">
        <w:rPr>
          <w:rFonts w:asciiTheme="minorBidi" w:hAnsiTheme="minorBidi"/>
          <w:b/>
          <w:bCs/>
          <w:sz w:val="24"/>
          <w:szCs w:val="24"/>
          <w:u w:val="single"/>
        </w:rPr>
        <w:t>Word count = 99</w:t>
      </w:r>
      <w:r w:rsidR="008F0046">
        <w:rPr>
          <w:rFonts w:asciiTheme="minorBidi" w:hAnsiTheme="minorBidi"/>
          <w:b/>
          <w:bCs/>
          <w:sz w:val="24"/>
          <w:szCs w:val="24"/>
          <w:u w:val="single"/>
        </w:rPr>
        <w:t>5</w:t>
      </w:r>
      <w:r w:rsidRPr="00583D68">
        <w:rPr>
          <w:rFonts w:asciiTheme="minorBidi" w:hAnsiTheme="minorBidi"/>
          <w:b/>
          <w:bCs/>
          <w:sz w:val="24"/>
          <w:szCs w:val="24"/>
          <w:u w:val="single"/>
        </w:rPr>
        <w:t xml:space="preserve"> words.</w:t>
      </w:r>
    </w:p>
    <w:p w14:paraId="54FAE0A2" w14:textId="77777777" w:rsidR="000E1E24" w:rsidRPr="002170AC" w:rsidRDefault="000E1E24" w:rsidP="000E1E24">
      <w:pPr>
        <w:spacing w:after="150" w:line="360" w:lineRule="auto"/>
        <w:rPr>
          <w:rFonts w:asciiTheme="minorBidi" w:hAnsiTheme="minorBidi"/>
          <w:b/>
          <w:bCs/>
          <w:sz w:val="24"/>
          <w:szCs w:val="24"/>
        </w:rPr>
      </w:pPr>
      <w:r w:rsidRPr="002170AC">
        <w:rPr>
          <w:rFonts w:asciiTheme="minorBidi" w:hAnsiTheme="minorBidi"/>
          <w:b/>
          <w:bCs/>
          <w:sz w:val="24"/>
          <w:szCs w:val="24"/>
        </w:rPr>
        <w:lastRenderedPageBreak/>
        <w:t>Reference</w:t>
      </w:r>
    </w:p>
    <w:p w14:paraId="37889945" w14:textId="7901B575"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fldChar w:fldCharType="begin"/>
      </w:r>
      <w:r w:rsidRPr="002170AC">
        <w:rPr>
          <w:rFonts w:asciiTheme="minorBidi" w:hAnsiTheme="minorBidi"/>
          <w:sz w:val="24"/>
          <w:szCs w:val="24"/>
        </w:rPr>
        <w:instrText xml:space="preserve"> ADDIN EN.REFLIST </w:instrText>
      </w:r>
      <w:r w:rsidRPr="002170AC">
        <w:rPr>
          <w:rFonts w:asciiTheme="minorBidi" w:hAnsiTheme="minorBidi"/>
          <w:sz w:val="24"/>
          <w:szCs w:val="24"/>
        </w:rPr>
        <w:fldChar w:fldCharType="separate"/>
      </w:r>
      <w:r w:rsidRPr="002170AC">
        <w:rPr>
          <w:rFonts w:asciiTheme="minorBidi" w:hAnsiTheme="minorBidi"/>
          <w:sz w:val="24"/>
          <w:szCs w:val="24"/>
        </w:rPr>
        <w:t xml:space="preserve">Deichmann, D. &amp; Jensen, M. 2018. I can do that alone…or not? How idea generators juggle between the pros and cons of teamwork. </w:t>
      </w:r>
      <w:r w:rsidRPr="002170AC">
        <w:rPr>
          <w:rFonts w:asciiTheme="minorBidi" w:hAnsiTheme="minorBidi"/>
          <w:i/>
          <w:sz w:val="24"/>
          <w:szCs w:val="24"/>
        </w:rPr>
        <w:t>Strategic Management Journal,</w:t>
      </w:r>
      <w:r w:rsidRPr="002170AC">
        <w:rPr>
          <w:rFonts w:asciiTheme="minorBidi" w:hAnsiTheme="minorBidi"/>
          <w:sz w:val="24"/>
          <w:szCs w:val="24"/>
        </w:rPr>
        <w:t xml:space="preserve"> 39</w:t>
      </w:r>
      <w:r w:rsidRPr="002170AC">
        <w:rPr>
          <w:rFonts w:asciiTheme="minorBidi" w:hAnsiTheme="minorBidi"/>
          <w:b/>
          <w:sz w:val="24"/>
          <w:szCs w:val="24"/>
        </w:rPr>
        <w:t>,</w:t>
      </w:r>
      <w:r w:rsidRPr="002170AC">
        <w:rPr>
          <w:rFonts w:asciiTheme="minorBidi" w:hAnsiTheme="minorBidi"/>
          <w:sz w:val="24"/>
          <w:szCs w:val="24"/>
        </w:rPr>
        <w:t xml:space="preserve"> 458-475.</w:t>
      </w:r>
    </w:p>
    <w:p w14:paraId="0E6CAD8F"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Grubb, A. R., Brown, S. J., Hall, P. &amp; Bowen, E. 2018. The self-perceived successful hostage and crisis negotiator profile: a qualitative assessment of negotiator competencies. </w:t>
      </w:r>
      <w:r w:rsidRPr="002170AC">
        <w:rPr>
          <w:rFonts w:asciiTheme="minorBidi" w:hAnsiTheme="minorBidi"/>
          <w:i/>
          <w:sz w:val="24"/>
          <w:szCs w:val="24"/>
        </w:rPr>
        <w:t>Police Practice and Research,</w:t>
      </w:r>
      <w:r w:rsidRPr="002170AC">
        <w:rPr>
          <w:rFonts w:asciiTheme="minorBidi" w:hAnsiTheme="minorBidi"/>
          <w:sz w:val="24"/>
          <w:szCs w:val="24"/>
        </w:rPr>
        <w:t xml:space="preserve"> 20</w:t>
      </w:r>
      <w:r w:rsidRPr="002170AC">
        <w:rPr>
          <w:rFonts w:asciiTheme="minorBidi" w:hAnsiTheme="minorBidi"/>
          <w:b/>
          <w:sz w:val="24"/>
          <w:szCs w:val="24"/>
        </w:rPr>
        <w:t>,</w:t>
      </w:r>
      <w:r w:rsidRPr="002170AC">
        <w:rPr>
          <w:rFonts w:asciiTheme="minorBidi" w:hAnsiTheme="minorBidi"/>
          <w:sz w:val="24"/>
          <w:szCs w:val="24"/>
        </w:rPr>
        <w:t xml:space="preserve"> 321-342.</w:t>
      </w:r>
    </w:p>
    <w:p w14:paraId="7A4AF0FB"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Grubb, A. R., Brown, S. J., Hall, P. &amp; Bowen, E. 2022. “The More You Do, the More Comfortable You Feel”: the Police Hostage and Crisis Negotiator Journey. </w:t>
      </w:r>
      <w:r w:rsidRPr="002170AC">
        <w:rPr>
          <w:rFonts w:asciiTheme="minorBidi" w:hAnsiTheme="minorBidi"/>
          <w:i/>
          <w:sz w:val="24"/>
          <w:szCs w:val="24"/>
        </w:rPr>
        <w:t>Journal of Police and Criminal Psychology,</w:t>
      </w:r>
      <w:r w:rsidRPr="002170AC">
        <w:rPr>
          <w:rFonts w:asciiTheme="minorBidi" w:hAnsiTheme="minorBidi"/>
          <w:sz w:val="24"/>
          <w:szCs w:val="24"/>
        </w:rPr>
        <w:t xml:space="preserve"> 37</w:t>
      </w:r>
      <w:r w:rsidRPr="002170AC">
        <w:rPr>
          <w:rFonts w:asciiTheme="minorBidi" w:hAnsiTheme="minorBidi"/>
          <w:b/>
          <w:sz w:val="24"/>
          <w:szCs w:val="24"/>
        </w:rPr>
        <w:t>,</w:t>
      </w:r>
      <w:r w:rsidRPr="002170AC">
        <w:rPr>
          <w:rFonts w:asciiTheme="minorBidi" w:hAnsiTheme="minorBidi"/>
          <w:sz w:val="24"/>
          <w:szCs w:val="24"/>
        </w:rPr>
        <w:t xml:space="preserve"> 195-211.</w:t>
      </w:r>
    </w:p>
    <w:p w14:paraId="280BC991"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Ireland, C., Fisher, M. &amp; Vecchi, G. 2012. </w:t>
      </w:r>
      <w:r w:rsidRPr="002170AC">
        <w:rPr>
          <w:rFonts w:asciiTheme="minorBidi" w:hAnsiTheme="minorBidi"/>
          <w:i/>
          <w:sz w:val="24"/>
          <w:szCs w:val="24"/>
        </w:rPr>
        <w:t xml:space="preserve">Conflict and Crisis Communication: Principles and Practice, </w:t>
      </w:r>
      <w:r w:rsidRPr="002170AC">
        <w:rPr>
          <w:rFonts w:asciiTheme="minorBidi" w:hAnsiTheme="minorBidi"/>
          <w:sz w:val="24"/>
          <w:szCs w:val="24"/>
        </w:rPr>
        <w:t>1st Edition, Taylor &amp; Francis.</w:t>
      </w:r>
    </w:p>
    <w:p w14:paraId="6740873B"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Katzenbach, J. R. &amp; Smith, D. K. 1993. </w:t>
      </w:r>
      <w:r w:rsidRPr="002170AC">
        <w:rPr>
          <w:rFonts w:asciiTheme="minorBidi" w:hAnsiTheme="minorBidi"/>
          <w:i/>
          <w:sz w:val="24"/>
          <w:szCs w:val="24"/>
        </w:rPr>
        <w:t>The Wisdom of Teams: Creating the High-performance Organization</w:t>
      </w:r>
      <w:r w:rsidRPr="002170AC">
        <w:rPr>
          <w:rFonts w:asciiTheme="minorBidi" w:hAnsiTheme="minorBidi"/>
          <w:sz w:val="24"/>
          <w:szCs w:val="24"/>
        </w:rPr>
        <w:t>, Harvard Business School Press.</w:t>
      </w:r>
    </w:p>
    <w:p w14:paraId="3190CE2F"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Kipling, R. 1918. </w:t>
      </w:r>
      <w:r w:rsidRPr="002170AC">
        <w:rPr>
          <w:rFonts w:asciiTheme="minorBidi" w:hAnsiTheme="minorBidi"/>
          <w:i/>
          <w:sz w:val="24"/>
          <w:szCs w:val="24"/>
        </w:rPr>
        <w:t xml:space="preserve">If— by Rudyard Kipling - Poems/ Academy of American Poets </w:t>
      </w:r>
      <w:r w:rsidRPr="002170AC">
        <w:rPr>
          <w:rFonts w:asciiTheme="minorBidi" w:hAnsiTheme="minorBidi"/>
          <w:sz w:val="24"/>
          <w:szCs w:val="24"/>
        </w:rPr>
        <w:t xml:space="preserve">[Online]. Available: </w:t>
      </w:r>
      <w:hyperlink r:id="rId11" w:history="1">
        <w:r w:rsidRPr="002170AC">
          <w:rPr>
            <w:rStyle w:val="Hyperlink"/>
            <w:rFonts w:asciiTheme="minorBidi" w:hAnsiTheme="minorBidi"/>
            <w:sz w:val="24"/>
            <w:szCs w:val="24"/>
          </w:rPr>
          <w:t>https://poets.org/poem/if</w:t>
        </w:r>
      </w:hyperlink>
      <w:r w:rsidRPr="002170AC">
        <w:rPr>
          <w:rFonts w:asciiTheme="minorBidi" w:hAnsiTheme="minorBidi"/>
          <w:sz w:val="24"/>
          <w:szCs w:val="24"/>
        </w:rPr>
        <w:t xml:space="preserve"> [Accessed 20 Dec. 2024].</w:t>
      </w:r>
    </w:p>
    <w:p w14:paraId="1B429C32"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La Rochefoucauld, F. O. 1776. Maxims and moral reflections, by the Duke de La Rochefoucault. A new edition, revised and improved. ed. Edinburgh :: Printed for Alexander Donaldson, St. Paul's Church-Yard, London.</w:t>
      </w:r>
    </w:p>
    <w:p w14:paraId="656EE9B4"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Newsom, J. 1974. HANS PFITZNER, THOMAS MANN AND ‘THE MAGIC MOUNTAIN’. </w:t>
      </w:r>
      <w:r w:rsidRPr="002170AC">
        <w:rPr>
          <w:rFonts w:asciiTheme="minorBidi" w:hAnsiTheme="minorBidi"/>
          <w:i/>
          <w:sz w:val="24"/>
          <w:szCs w:val="24"/>
        </w:rPr>
        <w:t>Music and Letters,</w:t>
      </w:r>
      <w:r w:rsidRPr="002170AC">
        <w:rPr>
          <w:rFonts w:asciiTheme="minorBidi" w:hAnsiTheme="minorBidi"/>
          <w:sz w:val="24"/>
          <w:szCs w:val="24"/>
        </w:rPr>
        <w:t xml:space="preserve"> LV</w:t>
      </w:r>
      <w:r w:rsidRPr="002170AC">
        <w:rPr>
          <w:rFonts w:asciiTheme="minorBidi" w:hAnsiTheme="minorBidi"/>
          <w:b/>
          <w:sz w:val="24"/>
          <w:szCs w:val="24"/>
        </w:rPr>
        <w:t>,</w:t>
      </w:r>
      <w:r w:rsidRPr="002170AC">
        <w:rPr>
          <w:rFonts w:asciiTheme="minorBidi" w:hAnsiTheme="minorBidi"/>
          <w:sz w:val="24"/>
          <w:szCs w:val="24"/>
        </w:rPr>
        <w:t xml:space="preserve"> 136-150.</w:t>
      </w:r>
    </w:p>
    <w:p w14:paraId="6B08796D"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Noesner, G. 2018. </w:t>
      </w:r>
      <w:r w:rsidRPr="002170AC">
        <w:rPr>
          <w:rFonts w:asciiTheme="minorBidi" w:hAnsiTheme="minorBidi"/>
          <w:i/>
          <w:sz w:val="24"/>
          <w:szCs w:val="24"/>
        </w:rPr>
        <w:t>Stalling for Time: My Life as an FBI Hostage Negotiator</w:t>
      </w:r>
      <w:r w:rsidRPr="002170AC">
        <w:rPr>
          <w:rFonts w:asciiTheme="minorBidi" w:hAnsiTheme="minorBidi"/>
          <w:sz w:val="24"/>
          <w:szCs w:val="24"/>
        </w:rPr>
        <w:t>, Random House Publishing Group.</w:t>
      </w:r>
    </w:p>
    <w:p w14:paraId="3F273F09"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Positivepsychology.Com. 2020. </w:t>
      </w:r>
      <w:r w:rsidRPr="002170AC">
        <w:rPr>
          <w:rFonts w:asciiTheme="minorBidi" w:hAnsiTheme="minorBidi"/>
          <w:i/>
          <w:sz w:val="24"/>
          <w:szCs w:val="24"/>
        </w:rPr>
        <w:t xml:space="preserve">How to Leave your Comfort Zone and Enter your ‘Growth Zone’ </w:t>
      </w:r>
      <w:r w:rsidRPr="002170AC">
        <w:rPr>
          <w:rFonts w:asciiTheme="minorBidi" w:hAnsiTheme="minorBidi"/>
          <w:sz w:val="24"/>
          <w:szCs w:val="24"/>
        </w:rPr>
        <w:t xml:space="preserve">[Online]. Available: </w:t>
      </w:r>
      <w:hyperlink r:id="rId12" w:history="1">
        <w:r w:rsidRPr="002170AC">
          <w:rPr>
            <w:rStyle w:val="Hyperlink"/>
            <w:rFonts w:asciiTheme="minorBidi" w:hAnsiTheme="minorBidi"/>
            <w:sz w:val="24"/>
            <w:szCs w:val="24"/>
          </w:rPr>
          <w:t>https://positivepsychology.com/comfort-zone</w:t>
        </w:r>
      </w:hyperlink>
      <w:r w:rsidRPr="002170AC">
        <w:rPr>
          <w:rFonts w:asciiTheme="minorBidi" w:hAnsiTheme="minorBidi"/>
          <w:sz w:val="24"/>
          <w:szCs w:val="24"/>
        </w:rPr>
        <w:t xml:space="preserve"> [Accessed 23 Dec. 2024].</w:t>
      </w:r>
    </w:p>
    <w:p w14:paraId="5FAA2099"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Raiyn's, J. 2016. The Role of Visual Learning in Improving Students’ High-Order Thinking Skills. </w:t>
      </w:r>
      <w:r w:rsidRPr="002170AC">
        <w:rPr>
          <w:rFonts w:asciiTheme="minorBidi" w:hAnsiTheme="minorBidi"/>
          <w:i/>
          <w:sz w:val="24"/>
          <w:szCs w:val="24"/>
        </w:rPr>
        <w:t>Journal of Education and Practice,</w:t>
      </w:r>
      <w:r w:rsidRPr="002170AC">
        <w:rPr>
          <w:rFonts w:asciiTheme="minorBidi" w:hAnsiTheme="minorBidi"/>
          <w:sz w:val="24"/>
          <w:szCs w:val="24"/>
        </w:rPr>
        <w:t xml:space="preserve"> 7</w:t>
      </w:r>
      <w:r w:rsidRPr="002170AC">
        <w:rPr>
          <w:rFonts w:asciiTheme="minorBidi" w:hAnsiTheme="minorBidi"/>
          <w:b/>
          <w:sz w:val="24"/>
          <w:szCs w:val="24"/>
        </w:rPr>
        <w:t>,</w:t>
      </w:r>
      <w:r w:rsidRPr="002170AC">
        <w:rPr>
          <w:rFonts w:asciiTheme="minorBidi" w:hAnsiTheme="minorBidi"/>
          <w:sz w:val="24"/>
          <w:szCs w:val="24"/>
        </w:rPr>
        <w:t xml:space="preserve"> 115-121.</w:t>
      </w:r>
    </w:p>
    <w:p w14:paraId="1CB16FBE"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Stodd, J. 2012. </w:t>
      </w:r>
      <w:r w:rsidRPr="002170AC">
        <w:rPr>
          <w:rFonts w:asciiTheme="minorBidi" w:hAnsiTheme="minorBidi"/>
          <w:i/>
          <w:sz w:val="24"/>
          <w:szCs w:val="24"/>
        </w:rPr>
        <w:t xml:space="preserve">What are you proud of? Understanding how pride and motivation relate to learning and achievement. </w:t>
      </w:r>
      <w:r w:rsidRPr="002170AC">
        <w:rPr>
          <w:rFonts w:asciiTheme="minorBidi" w:hAnsiTheme="minorBidi"/>
          <w:sz w:val="24"/>
          <w:szCs w:val="24"/>
        </w:rPr>
        <w:t xml:space="preserve">[Online]. Available: </w:t>
      </w:r>
      <w:hyperlink r:id="rId13" w:history="1">
        <w:r w:rsidRPr="002170AC">
          <w:rPr>
            <w:rStyle w:val="Hyperlink"/>
            <w:rFonts w:asciiTheme="minorBidi" w:hAnsiTheme="minorBidi"/>
            <w:sz w:val="24"/>
            <w:szCs w:val="24"/>
          </w:rPr>
          <w:t>https://julianstodd.wordpress.com/2012/04/13/what-are-you-proud-of-understanding-how-pride-and-motivation-relate-to-learning-and-achievement/</w:t>
        </w:r>
      </w:hyperlink>
      <w:r w:rsidRPr="002170AC">
        <w:rPr>
          <w:rFonts w:asciiTheme="minorBidi" w:hAnsiTheme="minorBidi"/>
          <w:sz w:val="24"/>
          <w:szCs w:val="24"/>
        </w:rPr>
        <w:t xml:space="preserve"> [Accessed 23 Dec. 2024].</w:t>
      </w:r>
    </w:p>
    <w:p w14:paraId="5E187D8D" w14:textId="6A718919" w:rsidR="000E1E24" w:rsidRPr="002170AC" w:rsidRDefault="000E1E24" w:rsidP="000E1E24">
      <w:pPr>
        <w:pStyle w:val="EndNoteBibliography"/>
        <w:spacing w:line="360" w:lineRule="auto"/>
        <w:ind w:left="720" w:hanging="720"/>
        <w:rPr>
          <w:rFonts w:asciiTheme="minorBidi" w:hAnsiTheme="minorBidi"/>
          <w:sz w:val="24"/>
          <w:szCs w:val="24"/>
        </w:rPr>
      </w:pPr>
      <w:r w:rsidRPr="002170AC">
        <w:rPr>
          <w:rFonts w:asciiTheme="minorBidi" w:hAnsiTheme="minorBidi"/>
          <w:sz w:val="24"/>
          <w:szCs w:val="24"/>
        </w:rPr>
        <w:lastRenderedPageBreak/>
        <w:t xml:space="preserve">Vecchi, G. M., Van Hasselt, V. B. &amp; Romano, S. J. 2005. Crisis (hostage) negotiation: current strategies and issues in high-risk conflict resolution. </w:t>
      </w:r>
      <w:r w:rsidRPr="002170AC">
        <w:rPr>
          <w:rFonts w:asciiTheme="minorBidi" w:hAnsiTheme="minorBidi"/>
          <w:i/>
          <w:sz w:val="24"/>
          <w:szCs w:val="24"/>
        </w:rPr>
        <w:t>Aggression and Violent Behavior,</w:t>
      </w:r>
      <w:r w:rsidRPr="002170AC">
        <w:rPr>
          <w:rFonts w:asciiTheme="minorBidi" w:hAnsiTheme="minorBidi"/>
          <w:sz w:val="24"/>
          <w:szCs w:val="24"/>
        </w:rPr>
        <w:t xml:space="preserve"> 10</w:t>
      </w:r>
      <w:r w:rsidRPr="002170AC">
        <w:rPr>
          <w:rFonts w:asciiTheme="minorBidi" w:hAnsiTheme="minorBidi"/>
          <w:b/>
          <w:sz w:val="24"/>
          <w:szCs w:val="24"/>
        </w:rPr>
        <w:t>,</w:t>
      </w:r>
      <w:r w:rsidRPr="002170AC">
        <w:rPr>
          <w:rFonts w:asciiTheme="minorBidi" w:hAnsiTheme="minorBidi"/>
          <w:sz w:val="24"/>
          <w:szCs w:val="24"/>
        </w:rPr>
        <w:t xml:space="preserve"> 533-551.</w:t>
      </w:r>
    </w:p>
    <w:p w14:paraId="20A57261" w14:textId="77777777" w:rsidR="000E1E24" w:rsidRPr="002170AC" w:rsidRDefault="000E1E24">
      <w:pPr>
        <w:rPr>
          <w:rFonts w:asciiTheme="minorBidi" w:hAnsiTheme="minorBidi"/>
          <w:noProof/>
          <w:kern w:val="2"/>
          <w:sz w:val="24"/>
          <w:szCs w:val="24"/>
          <w:lang w:val="en-US"/>
          <w14:ligatures w14:val="standardContextual"/>
        </w:rPr>
      </w:pPr>
      <w:r w:rsidRPr="002170AC">
        <w:rPr>
          <w:rFonts w:asciiTheme="minorBidi" w:hAnsiTheme="minorBidi"/>
          <w:sz w:val="24"/>
          <w:szCs w:val="24"/>
        </w:rPr>
        <w:br w:type="page"/>
      </w:r>
    </w:p>
    <w:p w14:paraId="051C6C1D" w14:textId="61AF1911" w:rsidR="000E1E24" w:rsidRPr="002170AC" w:rsidRDefault="000E1E24" w:rsidP="000E1E24">
      <w:pPr>
        <w:jc w:val="center"/>
        <w:rPr>
          <w:rFonts w:asciiTheme="minorBidi" w:eastAsia="Arial" w:hAnsiTheme="minorBidi"/>
          <w:b/>
          <w:bCs/>
          <w:sz w:val="24"/>
          <w:szCs w:val="24"/>
        </w:rPr>
      </w:pPr>
      <w:r w:rsidRPr="002170AC">
        <w:rPr>
          <w:rFonts w:asciiTheme="minorBidi" w:eastAsia="Arial" w:hAnsiTheme="minorBidi"/>
          <w:b/>
          <w:bCs/>
          <w:sz w:val="24"/>
          <w:szCs w:val="24"/>
        </w:rPr>
        <w:lastRenderedPageBreak/>
        <w:t>Cont. Task 1</w:t>
      </w:r>
    </w:p>
    <w:p w14:paraId="0621B51B" w14:textId="3CA79C1A" w:rsidR="000E1E24" w:rsidRPr="002170AC" w:rsidRDefault="000E1E24" w:rsidP="000E1E24">
      <w:pPr>
        <w:rPr>
          <w:rFonts w:asciiTheme="minorBidi" w:eastAsia="Calibri" w:hAnsiTheme="minorBidi"/>
          <w:i/>
          <w:iCs/>
          <w:sz w:val="24"/>
          <w:szCs w:val="24"/>
        </w:rPr>
      </w:pPr>
      <w:r w:rsidRPr="002170AC">
        <w:rPr>
          <w:rFonts w:asciiTheme="minorBidi" w:eastAsia="Arial" w:hAnsiTheme="minorBidi"/>
          <w:b/>
          <w:bCs/>
          <w:i/>
          <w:iCs/>
          <w:sz w:val="24"/>
          <w:szCs w:val="24"/>
        </w:rPr>
        <w:t xml:space="preserve">Task </w:t>
      </w:r>
      <w:r w:rsidRPr="002170AC">
        <w:rPr>
          <w:rFonts w:asciiTheme="minorBidi" w:eastAsia="Arial" w:hAnsiTheme="minorBidi"/>
          <w:b/>
          <w:bCs/>
          <w:i/>
          <w:iCs/>
          <w:color w:val="000000" w:themeColor="text1"/>
          <w:sz w:val="24"/>
          <w:szCs w:val="24"/>
        </w:rPr>
        <w:t>1: Reflection &amp; Personal Development</w:t>
      </w:r>
    </w:p>
    <w:tbl>
      <w:tblPr>
        <w:tblStyle w:val="TableGrid"/>
        <w:tblW w:w="0" w:type="auto"/>
        <w:tblLayout w:type="fixed"/>
        <w:tblLook w:val="06A0" w:firstRow="1" w:lastRow="0" w:firstColumn="1" w:lastColumn="0" w:noHBand="1" w:noVBand="1"/>
      </w:tblPr>
      <w:tblGrid>
        <w:gridCol w:w="9015"/>
      </w:tblGrid>
      <w:tr w:rsidR="000E1E24" w:rsidRPr="002170AC" w14:paraId="05185FB8" w14:textId="77777777" w:rsidTr="009E3F92">
        <w:tc>
          <w:tcPr>
            <w:tcW w:w="9015" w:type="dxa"/>
          </w:tcPr>
          <w:p w14:paraId="562D7352" w14:textId="77777777" w:rsidR="000E1E24" w:rsidRPr="002170AC" w:rsidRDefault="000E1E24" w:rsidP="009E3F92">
            <w:pPr>
              <w:rPr>
                <w:rFonts w:asciiTheme="minorBidi" w:eastAsia="Arial" w:hAnsiTheme="minorBidi"/>
                <w:i/>
                <w:iCs/>
                <w:sz w:val="24"/>
                <w:szCs w:val="24"/>
              </w:rPr>
            </w:pPr>
            <w:r w:rsidRPr="002170AC">
              <w:rPr>
                <w:rFonts w:asciiTheme="minorBidi" w:eastAsia="Arial" w:hAnsiTheme="minorBidi"/>
                <w:sz w:val="24"/>
                <w:szCs w:val="24"/>
              </w:rPr>
              <w:t>1a Using principles of reflection, critically evaluate your policing career focussing specifically on the last twelve (12) months. (e</w:t>
            </w:r>
            <w:r w:rsidRPr="002170AC">
              <w:rPr>
                <w:rFonts w:asciiTheme="minorBidi" w:eastAsia="Arial" w:hAnsiTheme="minorBidi"/>
                <w:i/>
                <w:iCs/>
                <w:sz w:val="24"/>
                <w:szCs w:val="24"/>
              </w:rPr>
              <w:t xml:space="preserve">.g., skills development, academic achievements, CPD, training, promotion, specialisation, etc.). </w:t>
            </w:r>
          </w:p>
          <w:p w14:paraId="28ADF891" w14:textId="77777777" w:rsidR="000E1E24" w:rsidRPr="002170AC" w:rsidRDefault="000E1E24" w:rsidP="009E3F92">
            <w:pPr>
              <w:rPr>
                <w:rFonts w:asciiTheme="minorBidi" w:hAnsiTheme="minorBidi"/>
                <w:sz w:val="24"/>
                <w:szCs w:val="24"/>
              </w:rPr>
            </w:pPr>
          </w:p>
          <w:p w14:paraId="35259C1B" w14:textId="77777777" w:rsidR="000E1E24" w:rsidRPr="002170AC" w:rsidRDefault="000E1E24" w:rsidP="009E3F92">
            <w:pPr>
              <w:rPr>
                <w:rFonts w:asciiTheme="minorBidi" w:eastAsia="Arial" w:hAnsiTheme="minorBidi"/>
                <w:b/>
                <w:bCs/>
                <w:sz w:val="24"/>
                <w:szCs w:val="24"/>
              </w:rPr>
            </w:pPr>
            <w:r w:rsidRPr="002170AC">
              <w:rPr>
                <w:rFonts w:asciiTheme="minorBidi" w:eastAsia="Arial" w:hAnsiTheme="minorBidi"/>
                <w:b/>
                <w:bCs/>
                <w:sz w:val="24"/>
                <w:szCs w:val="24"/>
              </w:rPr>
              <w:t xml:space="preserve">1b. Discuss the importance of continuous professional development in achieving organisation objectives and the relevance of reflective practice in professional development. </w:t>
            </w:r>
          </w:p>
          <w:p w14:paraId="7EE291F2" w14:textId="77777777" w:rsidR="000E1E24" w:rsidRPr="002170AC" w:rsidRDefault="000E1E24" w:rsidP="009E3F92">
            <w:pPr>
              <w:rPr>
                <w:rFonts w:asciiTheme="minorBidi" w:eastAsia="Arial" w:hAnsiTheme="minorBidi"/>
                <w:sz w:val="24"/>
                <w:szCs w:val="24"/>
              </w:rPr>
            </w:pPr>
          </w:p>
          <w:p w14:paraId="5505DE75" w14:textId="77777777" w:rsidR="000E1E24" w:rsidRPr="002170AC" w:rsidRDefault="000E1E24" w:rsidP="009E3F92">
            <w:pPr>
              <w:rPr>
                <w:rFonts w:asciiTheme="minorBidi" w:hAnsiTheme="minorBidi"/>
                <w:sz w:val="24"/>
                <w:szCs w:val="24"/>
              </w:rPr>
            </w:pPr>
          </w:p>
          <w:p w14:paraId="5D341DEC" w14:textId="77777777" w:rsidR="000E1E24" w:rsidRPr="002170AC" w:rsidRDefault="000E1E24" w:rsidP="009E3F92">
            <w:pPr>
              <w:rPr>
                <w:rFonts w:asciiTheme="minorBidi" w:hAnsiTheme="minorBidi"/>
                <w:sz w:val="24"/>
                <w:szCs w:val="24"/>
              </w:rPr>
            </w:pPr>
          </w:p>
          <w:p w14:paraId="336CC465" w14:textId="77777777" w:rsidR="000E1E24" w:rsidRPr="002170AC" w:rsidRDefault="000E1E24" w:rsidP="009E3F92">
            <w:pPr>
              <w:rPr>
                <w:rFonts w:asciiTheme="minorBidi" w:eastAsia="Calibri" w:hAnsiTheme="minorBidi"/>
                <w:sz w:val="24"/>
                <w:szCs w:val="24"/>
              </w:rPr>
            </w:pPr>
            <w:r w:rsidRPr="002170AC">
              <w:rPr>
                <w:rFonts w:asciiTheme="minorBidi" w:eastAsia="Arial" w:hAnsiTheme="minorBidi"/>
                <w:b/>
                <w:bCs/>
                <w:color w:val="000000" w:themeColor="text1"/>
                <w:sz w:val="24"/>
                <w:szCs w:val="24"/>
              </w:rPr>
              <w:t xml:space="preserve">2000 words </w:t>
            </w:r>
            <w:r w:rsidRPr="002170AC">
              <w:rPr>
                <w:rFonts w:asciiTheme="minorBidi" w:eastAsia="Arial" w:hAnsiTheme="minorBidi"/>
                <w:i/>
                <w:iCs/>
                <w:color w:val="000000" w:themeColor="text1"/>
                <w:sz w:val="24"/>
                <w:szCs w:val="24"/>
              </w:rPr>
              <w:t>(+/- 10%: include your actual word count at the end of each section)</w:t>
            </w:r>
          </w:p>
          <w:p w14:paraId="6EB7327A" w14:textId="77777777" w:rsidR="000E1E24" w:rsidRPr="002170AC" w:rsidRDefault="000E1E24" w:rsidP="009E3F92">
            <w:pPr>
              <w:rPr>
                <w:rFonts w:asciiTheme="minorBidi" w:hAnsiTheme="minorBidi"/>
                <w:sz w:val="24"/>
                <w:szCs w:val="24"/>
              </w:rPr>
            </w:pPr>
          </w:p>
        </w:tc>
      </w:tr>
    </w:tbl>
    <w:p w14:paraId="4E3F38C4" w14:textId="77777777" w:rsidR="000E1E24" w:rsidRPr="002170AC" w:rsidRDefault="000E1E24" w:rsidP="000E1E24">
      <w:pPr>
        <w:pStyle w:val="EndNoteBibliography"/>
        <w:spacing w:line="360" w:lineRule="auto"/>
        <w:ind w:left="720" w:hanging="720"/>
        <w:rPr>
          <w:rFonts w:asciiTheme="minorBidi" w:hAnsiTheme="minorBidi"/>
          <w:sz w:val="24"/>
          <w:szCs w:val="24"/>
        </w:rPr>
      </w:pPr>
    </w:p>
    <w:p w14:paraId="4D9FEF46" w14:textId="2409A555" w:rsidR="000E1E24" w:rsidRPr="002170AC" w:rsidRDefault="000E1E24" w:rsidP="000E1E24">
      <w:pPr>
        <w:rPr>
          <w:rFonts w:asciiTheme="minorBidi" w:eastAsia="Arial" w:hAnsiTheme="minorBidi"/>
          <w:b/>
          <w:bCs/>
          <w:color w:val="000000" w:themeColor="text1"/>
          <w:sz w:val="24"/>
          <w:szCs w:val="24"/>
        </w:rPr>
      </w:pPr>
      <w:r w:rsidRPr="002170AC">
        <w:rPr>
          <w:rFonts w:asciiTheme="minorBidi" w:hAnsiTheme="minorBidi"/>
          <w:sz w:val="24"/>
          <w:szCs w:val="24"/>
        </w:rPr>
        <w:fldChar w:fldCharType="end"/>
      </w:r>
      <w:r w:rsidRPr="002170AC">
        <w:rPr>
          <w:rFonts w:asciiTheme="minorBidi" w:eastAsia="Arial" w:hAnsiTheme="minorBidi"/>
          <w:b/>
          <w:bCs/>
          <w:color w:val="000000" w:themeColor="text1"/>
          <w:sz w:val="24"/>
          <w:szCs w:val="24"/>
        </w:rPr>
        <w:t>Task 1B</w:t>
      </w:r>
    </w:p>
    <w:p w14:paraId="0BAB2AA6" w14:textId="77777777" w:rsidR="000E1E24" w:rsidRPr="002170AC" w:rsidRDefault="000E1E24" w:rsidP="000E1E24">
      <w:pPr>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t>Answer:</w:t>
      </w:r>
    </w:p>
    <w:p w14:paraId="6E7BFA2E"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Continuous Professional Development (CPD) and reflective practice are critical components in the continually evolving landscape of modern policing, transforming individual careers and achieving organisational objectives, as noted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AuthorYear="1"&gt;&lt;Author&gt;Martin&lt;/Author&gt;&lt;Year&gt;2021&lt;/Year&gt;&lt;RecNum&gt;24&lt;/RecNum&gt;&lt;DisplayText&gt;Martin (2021)&lt;/DisplayText&gt;&lt;record&gt;&lt;rec-number&gt;24&lt;/rec-number&gt;&lt;foreign-keys&gt;&lt;key app="EN" db-id="wz0t59v5x5s02veepazxxvrv05t2xd9zr99t" timestamp="1735840626"&gt;24&lt;/key&gt;&lt;/foreign-keys&gt;&lt;ref-type name="Journal Article"&gt;17&lt;/ref-type&gt;&lt;contributors&gt;&lt;authors&gt;&lt;author&gt;Martin, Denise&lt;/author&gt;&lt;/authors&gt;&lt;/contributors&gt;&lt;titles&gt;&lt;title&gt;Understanding the reconstruction of police professionalism in the UK&lt;/title&gt;&lt;secondary-title&gt;Policing and Society&lt;/secondary-title&gt;&lt;/titles&gt;&lt;periodical&gt;&lt;full-title&gt;Policing and Society&lt;/full-title&gt;&lt;/periodical&gt;&lt;pages&gt;931-946&lt;/pages&gt;&lt;volume&gt;32&lt;/volume&gt;&lt;number&gt;7&lt;/number&gt;&lt;dates&gt;&lt;year&gt;2021&lt;/year&gt;&lt;pub-dates&gt;&lt;date&gt;2022/08/09&lt;/date&gt;&lt;/pub-dates&gt;&lt;/dates&gt;&lt;publisher&gt;Routledge&lt;/publisher&gt;&lt;isbn&gt;1043-9463&lt;/isbn&gt;&lt;urls&gt;&lt;related-urls&gt;&lt;url&gt;https://doi.org/10.1080/10439463.2021.1999447&lt;/url&gt;&lt;/related-urls&gt;&lt;/urls&gt;&lt;electronic-resource-num&gt;10.1080/10439463.2021.1999447&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Martin (2021)</w:t>
      </w:r>
      <w:r w:rsidRPr="002170AC">
        <w:rPr>
          <w:rFonts w:asciiTheme="minorBidi" w:hAnsiTheme="minorBidi"/>
          <w:sz w:val="24"/>
          <w:szCs w:val="24"/>
        </w:rPr>
        <w:fldChar w:fldCharType="end"/>
      </w:r>
      <w:r w:rsidRPr="002170AC">
        <w:rPr>
          <w:rFonts w:asciiTheme="minorBidi" w:hAnsiTheme="minorBidi"/>
          <w:sz w:val="24"/>
          <w:szCs w:val="24"/>
        </w:rPr>
        <w:t>.</w:t>
      </w:r>
    </w:p>
    <w:p w14:paraId="25399A84"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This essay explores the relationship between CPD and organisational objectives, analysing how reflective practice enhances professional development. It argues that structured CPD programs, integrated with systematic reflective practice, significantly contribute to organisational effectiveness through enhanced workforce capabilities and adaptive professional growth.</w:t>
      </w:r>
    </w:p>
    <w:p w14:paraId="2DE991B2"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AuthorYear="1"&gt;&lt;Author&gt;Watts&lt;/Author&gt;&lt;Year&gt;2021&lt;/Year&gt;&lt;RecNum&gt;11&lt;/RecNum&gt;&lt;DisplayText&gt;Watts and Watts (2021)&lt;/DisplayText&gt;&lt;record&gt;&lt;rec-number&gt;11&lt;/rec-number&gt;&lt;foreign-keys&gt;&lt;key app="EN" db-id="wz0t59v5x5s02veepazxxvrv05t2xd9zr99t" timestamp="1734832464"&gt;11&lt;/key&gt;&lt;/foreign-keys&gt;&lt;ref-type name="Book"&gt;6&lt;/ref-type&gt;&lt;contributors&gt;&lt;authors&gt;&lt;author&gt;Watts, Greg&lt;/author&gt;&lt;author&gt;Watts, Norman&lt;/author&gt;&lt;/authors&gt;&lt;/contributors&gt;&lt;titles&gt;&lt;title&gt;CPD in the Built Environment&lt;/title&gt;&lt;/titles&gt;&lt;dates&gt;&lt;year&gt;2021&lt;/year&gt;&lt;/dates&gt;&lt;pub-location&gt;Abingdon, Oxon ; New York &lt;/pub-location&gt;&lt;publisher&gt; Taylor &amp;amp; Francis Group/Routledge&lt;/publisher&gt;&lt;isbn&gt;0429353065&lt;/isbn&gt;&lt;urls&gt;&lt;/urls&gt;&lt;/record&gt;&lt;/Cite&gt;&lt;/EndNote&gt;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Watts and Watts (2021)</w:t>
      </w:r>
      <w:r w:rsidRPr="002170AC">
        <w:rPr>
          <w:rFonts w:asciiTheme="minorBidi" w:hAnsiTheme="minorBidi"/>
          <w:sz w:val="24"/>
          <w:szCs w:val="24"/>
        </w:rPr>
        <w:fldChar w:fldCharType="end"/>
      </w:r>
      <w:r w:rsidRPr="002170AC">
        <w:rPr>
          <w:rFonts w:asciiTheme="minorBidi" w:hAnsiTheme="minorBidi"/>
          <w:sz w:val="24"/>
          <w:szCs w:val="24"/>
        </w:rPr>
        <w:t>, Richard Gardner's introduction of "continuing professional development" in the 1970s marked a fundamental change in professional learning across sectors, including law, engineering, and accounting. This conceptual framework has been enriched by influential theorists shaping contemporary understanding of professional development.</w:t>
      </w:r>
    </w:p>
    <w:p w14:paraId="74872809" w14:textId="36DE3988"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Two theoretical frameworks illuminate professional development's organisational impact.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AuthorYear="1"&gt;&lt;Author&gt;McLeod&lt;/Author&gt;&lt;Year&gt;2024&lt;/Year&gt;&lt;RecNum&gt;21&lt;/RecNum&gt;&lt;DisplayText&gt;McLeod (2024)&lt;/DisplayText&gt;&lt;record&gt;&lt;rec-number&gt;21&lt;/rec-number&gt;&lt;foreign-keys&gt;&lt;key app="EN" db-id="wz0t59v5x5s02veepazxxvrv05t2xd9zr99t" timestamp="1734868227"&gt;21&lt;/key&gt;&lt;/foreign-keys&gt;&lt;ref-type name="Web Page"&gt;12&lt;/ref-type&gt;&lt;contributors&gt;&lt;authors&gt;&lt;author&gt;Saul McLeod&lt;/author&gt;&lt;/authors&gt;&lt;/contributors&gt;&lt;titles&gt;&lt;title&gt;Kolb’s Learning Styles and Experiential Learning Cycle&lt;/title&gt;&lt;/titles&gt;&lt;volume&gt;2024&lt;/volume&gt;&lt;number&gt;17 Dec.&lt;/number&gt;&lt;dates&gt;&lt;year&gt;2024&lt;/year&gt;&lt;/dates&gt;&lt;publisher&gt;Simply Psychology&lt;/publisher&gt;&lt;urls&gt;&lt;related-urls&gt;&lt;url&gt;https://www.simplypsychology.org/learning-kolb.html&lt;/url&gt;&lt;/related-urls&gt;&lt;/urls&gt;&lt;/record&gt;&lt;/Cite&gt;&lt;/EndNote&gt;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McLeod (2024)</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presents Kolb's Experiential Learning Cycle (ELC), characterising learning as a four-stage process: Concrete Experience, Reflective Observation, Abstract Conceptualisation, and Active Experimentation. This model demonstrates how individual learning contributes to organisational capability.</w:t>
      </w:r>
    </w:p>
    <w:p w14:paraId="0017E154" w14:textId="0651E024"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lastRenderedPageBreak/>
        <w:t xml:space="preserve">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AuthorYear="1"&gt;&lt;Author&gt;Bennett&lt;/Author&gt;&lt;Year&gt;1989&lt;/Year&gt;&lt;RecNum&gt;4&lt;/RecNum&gt;&lt;DisplayText&gt;Bennett (1989)&lt;/DisplayText&gt;&lt;record&gt;&lt;rec-number&gt;4&lt;/rec-number&gt;&lt;foreign-keys&gt;&lt;key app="EN" db-id="wz0t59v5x5s02veepazxxvrv05t2xd9zr99t" timestamp="1734831666"&gt;4&lt;/key&gt;&lt;/foreign-keys&gt;&lt;ref-type name="Journal Article"&gt;17&lt;/ref-type&gt;&lt;contributors&gt;&lt;authors&gt;&lt;author&gt;Bennett, Nancy L.&lt;/author&gt;&lt;/authors&gt;&lt;/contributors&gt;&lt;titles&gt;&lt;title&gt;Donald A. Schön, Educating the reflective practitioner. San Francisco: Jossey-Bass Publishers, 1987. 355 pages&lt;/title&gt;&lt;secondary-title&gt;Journal of Continuing Education in the Health Professions&lt;/secondary-title&gt;&lt;/titles&gt;&lt;periodical&gt;&lt;full-title&gt;Journal of Continuing Education in the Health Professions&lt;/full-title&gt;&lt;/periodical&gt;&lt;pages&gt;115-116&lt;/pages&gt;&lt;volume&gt;9&lt;/volume&gt;&lt;number&gt;2&lt;/number&gt;&lt;dates&gt;&lt;year&gt;1989&lt;/year&gt;&lt;/dates&gt;&lt;isbn&gt;0894-1912&lt;/isbn&gt;&lt;accession-num&gt;00005141-198909020-00006&lt;/accession-num&gt;&lt;urls&gt;&lt;related-urls&gt;&lt;url&gt;https://journals.lww.com/jcehp/fulltext/1989/09020/donald_a__sch_n,_educating_the_reflective.6.aspx&lt;/url&gt;&lt;/related-urls&gt;&lt;/urls&gt;&lt;electronic-resource-num&gt;10.1002/chp.4750090207&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Bennett (1989)</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Schön's Reflective Practice introduced "reflection-in-action" and "reflection-on-action." Professionals are adaptive practitioners learning through critical reflection. "Reflection-in-action" involves thinking critically during performance, while "reflection-on-action" analyses experiences post-occurrence to improve future performance.</w:t>
      </w:r>
    </w:p>
    <w:p w14:paraId="2F2BF0F7" w14:textId="0E106E5E"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Research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AuthorYear="1"&gt;&lt;Author&gt;Alexandrou&lt;/Author&gt;&lt;Year&gt;2005&lt;/Year&gt;&lt;RecNum&gt;2&lt;/RecNum&gt;&lt;DisplayText&gt;Alexandrou and Davis (2005)&lt;/DisplayText&gt;&lt;record&gt;&lt;rec-number&gt;2&lt;/rec-number&gt;&lt;foreign-keys&gt;&lt;key app="EN" db-id="wz0t59v5x5s02veepazxxvrv05t2xd9zr99t" timestamp="1734831389"&gt;2&lt;/key&gt;&lt;/foreign-keys&gt;&lt;ref-type name="Journal Article"&gt;17&lt;/ref-type&gt;&lt;contributors&gt;&lt;authors&gt;&lt;author&gt;Alexandrou, Alex&lt;/author&gt;&lt;author&gt;Davis, John Dwyfor&lt;/author&gt;&lt;/authors&gt;&lt;/contributors&gt;&lt;titles&gt;&lt;title&gt;Improving police probationer training through a democratic research process&lt;/title&gt;&lt;secondary-title&gt;Research in Post-Compulsory Education&lt;/secondary-title&gt;&lt;/titles&gt;&lt;periodical&gt;&lt;full-title&gt;Research in Post-Compulsory Education&lt;/full-title&gt;&lt;/periodical&gt;&lt;pages&gt;245-256&lt;/pages&gt;&lt;volume&gt;10&lt;/volume&gt;&lt;number&gt;2&lt;/number&gt;&lt;dates&gt;&lt;year&gt;2005&lt;/year&gt;&lt;pub-dates&gt;&lt;date&gt;2005/07/01&lt;/date&gt;&lt;/pub-dates&gt;&lt;/dates&gt;&lt;publisher&gt;Routledge&lt;/publisher&gt;&lt;isbn&gt;1359-6748&lt;/isbn&gt;&lt;urls&gt;&lt;related-urls&gt;&lt;url&gt;https://doi.org/10.1080/13596740500200204&lt;/url&gt;&lt;/related-urls&gt;&lt;/urls&gt;&lt;electronic-resource-num&gt;10.1080/13596740500200204&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Alexandrou and Davis (2005)</w:t>
      </w:r>
      <w:r w:rsidRPr="002170AC">
        <w:rPr>
          <w:rFonts w:asciiTheme="minorBidi" w:hAnsiTheme="minorBidi"/>
          <w:sz w:val="24"/>
          <w:szCs w:val="24"/>
        </w:rPr>
        <w:fldChar w:fldCharType="end"/>
      </w:r>
      <w:r w:rsidRPr="002170AC">
        <w:rPr>
          <w:rFonts w:asciiTheme="minorBidi" w:hAnsiTheme="minorBidi"/>
          <w:sz w:val="24"/>
          <w:szCs w:val="24"/>
        </w:rPr>
        <w:t xml:space="preserve"> and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AuthorYear="1"&gt;&lt;Author&gt;Bolton&lt;/Author&gt;&lt;Year&gt;2005&lt;/Year&gt;&lt;RecNum&gt;5&lt;/RecNum&gt;&lt;DisplayText&gt;Bolton et al. (2005)&lt;/DisplayText&gt;&lt;record&gt;&lt;rec-number&gt;5&lt;/rec-number&gt;&lt;foreign-keys&gt;&lt;key app="EN" db-id="wz0t59v5x5s02veepazxxvrv05t2xd9zr99t" timestamp="1734831791"&gt;5&lt;/key&gt;&lt;/foreign-keys&gt;&lt;ref-type name="Journal Article"&gt;17&lt;/ref-type&gt;&lt;contributors&gt;&lt;authors&gt;&lt;author&gt;Bolton, Anthony Howlett&lt;/author&gt;&lt;author&gt;Burden, Anthony&lt;/author&gt;&lt;author&gt;Caplin, Tony&lt;/author&gt;&lt;author&gt;Ramsbotham, David&lt;/author&gt;&lt;author&gt;Rutherford, Kate&lt;/author&gt;&lt;author&gt;Woodhead, Christopher&lt;/author&gt;&lt;author&gt;Lawlor, Sheila&lt;/author&gt;&lt;/authors&gt;&lt;/contributors&gt;&lt;titles&gt;&lt;title&gt;Policing Matters: Recruitment, Training and Motivation&lt;/title&gt;&lt;/titles&gt;&lt;dates&gt;&lt;year&gt;2005&lt;/year&gt;&lt;/dates&gt;&lt;urls&gt;&lt;/urls&gt;&lt;/record&gt;&lt;/Cite&gt;&lt;/EndNote&gt;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Bolton et al. (2005)</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revealed significant shortcomings in police training in England and Wales. Police officers expressed widespread dissatisfaction, citing limited training opportunities, poor delivery, and concerns about quality beyond initial probation periods.</w:t>
      </w:r>
    </w:p>
    <w:p w14:paraId="43C7F5F8"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The narrative demonstrates how professional development theories have transformed understanding of learning, particularly within high-stakes professional environments such as policing.</w:t>
      </w:r>
    </w:p>
    <w:p w14:paraId="69340215" w14:textId="3F2DEACC"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As noted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AuthorYear="1"&gt;&lt;Author&gt;Fox&lt;/Author&gt;&lt;Year&gt;2019&lt;/Year&gt;&lt;RecNum&gt;7&lt;/RecNum&gt;&lt;DisplayText&gt;Fox (2019)&lt;/DisplayText&gt;&lt;record&gt;&lt;rec-number&gt;7&lt;/rec-number&gt;&lt;foreign-keys&gt;&lt;key app="EN" db-id="wz0t59v5x5s02veepazxxvrv05t2xd9zr99t" timestamp="1734832077"&gt;7&lt;/key&gt;&lt;/foreign-keys&gt;&lt;ref-type name="Journal Article"&gt;17&lt;/ref-type&gt;&lt;contributors&gt;&lt;authors&gt;&lt;author&gt;Fox, Sarah Jane&lt;/author&gt;&lt;/authors&gt;&lt;/contributors&gt;&lt;titles&gt;&lt;title&gt;Policing - The technological revolution: Opportunities &amp;amp; challenges!&lt;/title&gt;&lt;secondary-title&gt;Technology in Society&lt;/secondary-title&gt;&lt;/titles&gt;&lt;periodical&gt;&lt;full-title&gt;Technology in Society&lt;/full-title&gt;&lt;/periodical&gt;&lt;pages&gt;69-78&lt;/pages&gt;&lt;volume&gt;56&lt;/volume&gt;&lt;dates&gt;&lt;year&gt;2019&lt;/year&gt;&lt;pub-dates&gt;&lt;date&gt;2019/02/01/&lt;/date&gt;&lt;/pub-dates&gt;&lt;/dates&gt;&lt;isbn&gt;0160-791X&lt;/isbn&gt;&lt;urls&gt;&lt;related-urls&gt;&lt;url&gt;https://www.sciencedirect.com/science/article/pii/S0160791X18301611&lt;/url&gt;&lt;/related-urls&gt;&lt;/urls&gt;&lt;electronic-resource-num&gt;https://doi.org/10.1016/j.techsoc.2018.09.006&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Fox (2019)</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policing is an ever-evolving profession requiring constant adaptation and learning. My initial training in 2001 seemed comprehensive, but I was naive. My first arrest and subsequent court appearance profoundly shaped my understanding of continuous professional development (CPD) and reflection, as highlighted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AuthorYear="1"&gt;&lt;Author&gt;Sheldon&lt;/Author&gt;&lt;Year&gt;2022&lt;/Year&gt;&lt;RecNum&gt;13&lt;/RecNum&gt;&lt;DisplayText&gt;Sheldon and Williams (2022)&lt;/DisplayText&gt;&lt;record&gt;&lt;rec-number&gt;13&lt;/rec-number&gt;&lt;foreign-keys&gt;&lt;key app="EN" db-id="wz0t59v5x5s02veepazxxvrv05t2xd9zr99t" timestamp="1734865475"&gt;13&lt;/key&gt;&lt;/foreign-keys&gt;&lt;ref-type name="Book"&gt;6&lt;/ref-type&gt;&lt;contributors&gt;&lt;authors&gt;&lt;author&gt;Sheldon, Barrie&lt;/author&gt;&lt;author&gt;Williams, Peter&lt;/author&gt;&lt;/authors&gt;&lt;/contributors&gt;&lt;titles&gt;&lt;title&gt;Understanding Policing and Professional Practice&lt;/title&gt;&lt;/titles&gt;&lt;dates&gt;&lt;year&gt;2022&lt;/year&gt;&lt;/dates&gt;&lt;publisher&gt;Critical Publishing&lt;/publisher&gt;&lt;isbn&gt;1914171969&lt;/isbn&gt;&lt;urls&gt;&lt;/urls&gt;&lt;/record&gt;&lt;/Cite&gt;&lt;/EndNote&gt;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Sheldon and Williams (2022)</w:t>
      </w:r>
      <w:r w:rsidRPr="002170AC">
        <w:rPr>
          <w:rFonts w:asciiTheme="minorBidi" w:hAnsiTheme="minorBidi"/>
          <w:sz w:val="24"/>
          <w:szCs w:val="24"/>
        </w:rPr>
        <w:fldChar w:fldCharType="end"/>
      </w:r>
      <w:r w:rsidR="00D25869">
        <w:rPr>
          <w:rFonts w:asciiTheme="minorBidi" w:hAnsiTheme="minorBidi"/>
          <w:sz w:val="24"/>
          <w:szCs w:val="24"/>
        </w:rPr>
        <w:t>.</w:t>
      </w:r>
    </w:p>
    <w:p w14:paraId="0B40DB6A" w14:textId="5F957271"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During my 23-year career, I have witnessed how CPD and reflective practice have transformed policing. The profession has become increasingly complex, particularly with challenges like county lines drug trafficking, as explained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AuthorYear="1"&gt;&lt;Author&gt;Coomber&lt;/Author&gt;&lt;Year&gt;2018&lt;/Year&gt;&lt;RecNum&gt;6&lt;/RecNum&gt;&lt;DisplayText&gt;Coomber and Moyle (2018)&lt;/DisplayText&gt;&lt;record&gt;&lt;rec-number&gt;6&lt;/rec-number&gt;&lt;foreign-keys&gt;&lt;key app="EN" db-id="wz0t59v5x5s02veepazxxvrv05t2xd9zr99t" timestamp="1734831888"&gt;6&lt;/key&gt;&lt;/foreign-keys&gt;&lt;ref-type name="Journal Article"&gt;17&lt;/ref-type&gt;&lt;contributors&gt;&lt;authors&gt;&lt;author&gt;Coomber, Ross&lt;/author&gt;&lt;author&gt;Moyle, Leah&lt;/author&gt;&lt;/authors&gt;&lt;/contributors&gt;&lt;titles&gt;&lt;title&gt;The Changing Shape of Street-Level Heroin and Crack Supply in England: Commuting, Holidaying and Cuckooing Drug Dealers Across ‘County Lines’&lt;/title&gt;&lt;secondary-title&gt;The British Journal of Criminology&lt;/secondary-title&gt;&lt;/titles&gt;&lt;periodical&gt;&lt;full-title&gt;The British Journal of Criminology&lt;/full-title&gt;&lt;/periodical&gt;&lt;pages&gt;1323-1342&lt;/pages&gt;&lt;volume&gt;58&lt;/volume&gt;&lt;number&gt;6&lt;/number&gt;&lt;dates&gt;&lt;year&gt;2018&lt;/year&gt;&lt;/dates&gt;&lt;isbn&gt;0007-0955&lt;/isbn&gt;&lt;urls&gt;&lt;related-urls&gt;&lt;url&gt;https://doi.org/10.1093/bjc/azx068&lt;/url&gt;&lt;/related-urls&gt;&lt;/urls&gt;&lt;electronic-resource-num&gt;10.1093/bjc/azx068&lt;/electronic-resource-num&gt;&lt;access-date&gt;12/22/2024&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Coomber and Moyle (2018)</w:t>
      </w:r>
      <w:r w:rsidRPr="002170AC">
        <w:rPr>
          <w:rFonts w:asciiTheme="minorBidi" w:hAnsiTheme="minorBidi"/>
          <w:sz w:val="24"/>
          <w:szCs w:val="24"/>
        </w:rPr>
        <w:fldChar w:fldCharType="end"/>
      </w:r>
      <w:r w:rsidRPr="002170AC">
        <w:rPr>
          <w:rFonts w:asciiTheme="minorBidi" w:hAnsiTheme="minorBidi"/>
          <w:sz w:val="24"/>
          <w:szCs w:val="24"/>
        </w:rPr>
        <w:t xml:space="preserve">. 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AuthorYear="1"&gt;&lt;Author&gt;Leek&lt;/Author&gt;&lt;Year&gt;2020&lt;/Year&gt;&lt;RecNum&gt;10&lt;/RecNum&gt;&lt;DisplayText&gt;Leek (2020)&lt;/DisplayText&gt;&lt;record&gt;&lt;rec-number&gt;10&lt;/rec-number&gt;&lt;foreign-keys&gt;&lt;key app="EN" db-id="wz0t59v5x5s02veepazxxvrv05t2xd9zr99t" timestamp="1734832453"&gt;10&lt;/key&gt;&lt;/foreign-keys&gt;&lt;ref-type name="Journal Article"&gt;17&lt;/ref-type&gt;&lt;contributors&gt;&lt;authors&gt;&lt;author&gt;Leek, Alex F.&lt;/author&gt;&lt;/authors&gt;&lt;/contributors&gt;&lt;titles&gt;&lt;title&gt;Police forces as learning organisations: learning through apprenticeships&lt;/title&gt;&lt;secondary-title&gt;Higher Education, Skills and Work-Based Learning&lt;/secondary-title&gt;&lt;/titles&gt;&lt;periodical&gt;&lt;full-title&gt;Higher Education, Skills and Work-Based Learning&lt;/full-title&gt;&lt;/periodical&gt;&lt;pages&gt;741-750&lt;/pages&gt;&lt;volume&gt;10&lt;/volume&gt;&lt;number&gt;5&lt;/number&gt;&lt;dates&gt;&lt;year&gt;2020&lt;/year&gt;&lt;/dates&gt;&lt;publisher&gt;Emerald Publishing Limited&lt;/publisher&gt;&lt;isbn&gt;2042-3896&lt;/isbn&gt;&lt;urls&gt;&lt;related-urls&gt;&lt;url&gt;https://doi.org/10.1108/HESWBL-05-2020-0104&lt;/url&gt;&lt;/related-urls&gt;&lt;/urls&gt;&lt;electronic-resource-num&gt;10.1108/HESWBL-05-2020-0104&lt;/electronic-resource-num&gt;&lt;access-date&gt;2024/12/22&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Leek (2020)</w:t>
      </w:r>
      <w:r w:rsidRPr="002170AC">
        <w:rPr>
          <w:rFonts w:asciiTheme="minorBidi" w:hAnsiTheme="minorBidi"/>
          <w:sz w:val="24"/>
          <w:szCs w:val="24"/>
        </w:rPr>
        <w:fldChar w:fldCharType="end"/>
      </w:r>
      <w:r w:rsidRPr="002170AC">
        <w:rPr>
          <w:rFonts w:asciiTheme="minorBidi" w:hAnsiTheme="minorBidi"/>
          <w:sz w:val="24"/>
          <w:szCs w:val="24"/>
        </w:rPr>
        <w:t xml:space="preserve">, CPD and reflective practice are essential for achieving organisational objectives, with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AuthorYear="1"&gt;&lt;Author&gt;Collin&lt;/Author&gt;&lt;Year&gt;2024&lt;/Year&gt;&lt;RecNum&gt;25&lt;/RecNum&gt;&lt;DisplayText&gt;Collin et al. (2024)&lt;/DisplayText&gt;&lt;record&gt;&lt;rec-number&gt;25&lt;/rec-number&gt;&lt;foreign-keys&gt;&lt;key app="EN" db-id="wz0t59v5x5s02veepazxxvrv05t2xd9zr99t" timestamp="1735842223"&gt;25&lt;/key&gt;&lt;/foreign-keys&gt;&lt;ref-type name="Journal Article"&gt;17&lt;/ref-type&gt;&lt;contributors&gt;&lt;authors&gt;&lt;author&gt;Collin, Kaija Marjukka&lt;/author&gt;&lt;author&gt;Jaakkola, Marianne&lt;/author&gt;&lt;author&gt;Keronen, Sara&lt;/author&gt;&lt;author&gt;Lemmetty, Soila&lt;/author&gt;&lt;/authors&gt;&lt;/contributors&gt;&lt;titles&gt;&lt;title&gt;Sustainability of learning at work: experiences of police, hospital, and ICT personnel&lt;/title&gt;&lt;secondary-title&gt;Studies in Continuing Education&lt;/secondary-title&gt;&lt;/titles&gt;&lt;periodical&gt;&lt;full-title&gt;Studies in Continuing Education&lt;/full-title&gt;&lt;/periodical&gt;&lt;pages&gt;1-19&lt;/pages&gt;&lt;dates&gt;&lt;year&gt;2024&lt;/year&gt;&lt;/dates&gt;&lt;publisher&gt;Routledge&lt;/publisher&gt;&lt;isbn&gt;0158-037X&lt;/isbn&gt;&lt;urls&gt;&lt;related-urls&gt;&lt;url&gt;https://doi.org/10.1080/0158037X.2024.2314695&lt;/url&gt;&lt;/related-urls&gt;&lt;/urls&gt;&lt;electronic-resource-num&gt;10.1080/0158037X.2024.2314695&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Collin et al. (2024)</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emphasising the need for a proactive approach to professional development.</w:t>
      </w:r>
    </w:p>
    <w:p w14:paraId="522E27AE"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In 2001, emphasis on CPD was minimal. Over time, I have observed a significant shift towards CPD, aligning with 2005 report recommendations, as reported by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AuthorYear="1"&gt;&lt;Author&gt;College of Policing&lt;/Author&gt;&lt;Year&gt;2023&lt;/Year&gt;&lt;RecNum&gt;15&lt;/RecNum&gt;&lt;DisplayText&gt;College of Policing (2023)&lt;/DisplayText&gt;&lt;record&gt;&lt;rec-number&gt;15&lt;/rec-number&gt;&lt;foreign-keys&gt;&lt;key app="EN" db-id="wz0t59v5x5s02veepazxxvrv05t2xd9zr99t" timestamp="1734866040"&gt;15&lt;/key&gt;&lt;/foreign-keys&gt;&lt;ref-type name="Web Page"&gt;12&lt;/ref-type&gt;&lt;contributors&gt;&lt;authors&gt;&lt;author&gt;College of Policing,&lt;/author&gt;&lt;/authors&gt;&lt;/contributors&gt;&lt;titles&gt;&lt;title&gt;A commitment to change The future of police leadership&lt;/title&gt;&lt;/titles&gt;&lt;volume&gt;2024&lt;/volume&gt;&lt;number&gt;16 Dec.&lt;/number&gt;&lt;dates&gt;&lt;year&gt;2023&lt;/year&gt;&lt;/dates&gt;&lt;urls&gt;&lt;related-urls&gt;&lt;url&gt;https://assets.college.police.uk/s3fs-public/2023-06/A-commitment-to-change-the-future-of-police-leadership.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College of Policing (2023)</w:t>
      </w:r>
      <w:r w:rsidRPr="002170AC">
        <w:rPr>
          <w:rFonts w:asciiTheme="minorBidi" w:hAnsiTheme="minorBidi"/>
          <w:sz w:val="24"/>
          <w:szCs w:val="24"/>
        </w:rPr>
        <w:fldChar w:fldCharType="end"/>
      </w:r>
      <w:r w:rsidRPr="002170AC">
        <w:rPr>
          <w:rFonts w:asciiTheme="minorBidi" w:hAnsiTheme="minorBidi"/>
          <w:b/>
          <w:bCs/>
          <w:sz w:val="24"/>
          <w:szCs w:val="24"/>
        </w:rPr>
        <w:t>.</w:t>
      </w:r>
    </w:p>
    <w:p w14:paraId="4FB52490"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The College of Policing's emphasis on CPD from 2020 onwards defines it as an ongoing process for maintaining, developing, and recognising professional competencies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&lt;EndNote&gt;&lt;Cite&gt;&lt;Author&gt;College of Policing&lt;/Author&gt;&lt;Year&gt;2020&lt;/Year&gt;&lt;RecNum&gt;12&lt;/RecNum&gt;&lt;DisplayText&gt;(College of Policing, 2020)&lt;/DisplayText&gt;&lt;record&gt;&lt;rec-number&gt;12&lt;/rec-number&gt;&lt;foreign-keys&gt;&lt;key app="EN" db-id="wz0t59v5x5s02veepazxxvrv05t2xd9zr99t" timestamp="1734865039"&gt;12&lt;/key&gt;&lt;/foreign-keys&gt;&lt;ref-type name="Web Page"&gt;12&lt;/ref-type&gt;&lt;contributors&gt;&lt;authors&gt;&lt;author&gt;College of Policing,&lt;/author&gt;&lt;/authors&gt;&lt;/contributors&gt;&lt;titles&gt;&lt;title&gt;Definition and principles of CPD in focus 2020&lt;/title&gt;&lt;/titles&gt;&lt;volume&gt;2024&lt;/volume&gt;&lt;number&gt;15 Dec.&lt;/number&gt;&lt;dates&gt;&lt;year&gt;2020&lt;/year&gt;&lt;/dates&gt;&lt;urls&gt;&lt;related-urls&gt;&lt;url&gt;https://www.college.police.uk/career-learning/career-development/CPD&lt;/url&gt;&lt;/related-urls&gt;&lt;/urls&gt;&lt;/record&gt;&lt;/Cite&gt;&lt;/EndNote&gt;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(College of Policing, 2020)</w:t>
      </w:r>
      <w:r w:rsidRPr="002170AC">
        <w:rPr>
          <w:rFonts w:asciiTheme="minorBidi" w:hAnsiTheme="minorBidi"/>
          <w:sz w:val="24"/>
          <w:szCs w:val="24"/>
        </w:rPr>
        <w:fldChar w:fldCharType="end"/>
      </w:r>
      <w:r w:rsidRPr="002170AC">
        <w:rPr>
          <w:rFonts w:asciiTheme="minorBidi" w:hAnsiTheme="minorBidi"/>
          <w:sz w:val="24"/>
          <w:szCs w:val="24"/>
        </w:rPr>
        <w:t>. This comprehensive approach addresses organisational needs, including technological adaptation, community relations, evidence-based practices, leadership development, and officer well-being.</w:t>
      </w:r>
    </w:p>
    <w:p w14:paraId="734886CB"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lastRenderedPageBreak/>
        <w:t xml:space="preserve">As noted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AuthorYear="1"&gt;&lt;Author&gt;Modise&lt;/Author&gt;&lt;Year&gt;2023&lt;/Year&gt;&lt;RecNum&gt;18&lt;/RecNum&gt;&lt;DisplayText&gt;Modise (2023)&lt;/DisplayText&gt;&lt;record&gt;&lt;rec-number&gt;18&lt;/rec-number&gt;&lt;foreign-keys&gt;&lt;key app="EN" db-id="wz0t59v5x5s02veepazxxvrv05t2xd9zr99t" timestamp="1734866868"&gt;18&lt;/key&gt;&lt;/foreign-keys&gt;&lt;ref-type name="Journal Article"&gt;17&lt;/ref-type&gt;&lt;contributors&gt;&lt;authors&gt;&lt;author&gt;Modise, John Motsamai&lt;/author&gt;&lt;/authors&gt;&lt;/contributors&gt;&lt;titles&gt;&lt;title&gt;A Higher Level of Education in Police Work is Essential to Improving Professional Development and Opportunities for Advancement&lt;/title&gt;&lt;secondary-title&gt;International Journal of Innovative Science and Research Technology&lt;/secondary-title&gt;&lt;/titles&gt;&lt;periodical&gt;&lt;full-title&gt;International Journal of Innovative Science and Research Technology&lt;/full-title&gt;&lt;/periodical&gt;&lt;dates&gt;&lt;year&gt;2023&lt;/year&gt;&lt;/dates&gt;&lt;urls&gt;&lt;related-urls&gt;&lt;url&gt;https://ijisrt.com/assets/upload/files/IJISRT23JUN659.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Modise (2023)</w:t>
      </w:r>
      <w:r w:rsidRPr="002170AC">
        <w:rPr>
          <w:rFonts w:asciiTheme="minorBidi" w:hAnsiTheme="minorBidi"/>
          <w:sz w:val="24"/>
          <w:szCs w:val="24"/>
        </w:rPr>
        <w:fldChar w:fldCharType="end"/>
      </w:r>
      <w:r w:rsidRPr="002170AC">
        <w:rPr>
          <w:rFonts w:asciiTheme="minorBidi" w:hAnsiTheme="minorBidi"/>
          <w:sz w:val="24"/>
          <w:szCs w:val="24"/>
        </w:rPr>
        <w:t>, CPD addresses critical law enforcement aspects by ensuring officers remain current with legal changes, technological advancements, and investigative methods. It enhances community relations through diversity training, promotes officer safety, supports mental health and resilience, and provides career progression opportunities.</w:t>
      </w:r>
    </w:p>
    <w:p w14:paraId="40681BD2"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Reflective practice is crucial in maximising the effectiveness of professional development initiatives. 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AuthorYear="1"&gt;&lt;Author&gt;Baikie&lt;/Author&gt;&lt;Year&gt;2005&lt;/Year&gt;&lt;RecNum&gt;3&lt;/RecNum&gt;&lt;DisplayText&gt;Baikie and Wilhelm (2005)&lt;/DisplayText&gt;&lt;record&gt;&lt;rec-number&gt;3&lt;/rec-number&gt;&lt;foreign-keys&gt;&lt;key app="EN" db-id="wz0t59v5x5s02veepazxxvrv05t2xd9zr99t" timestamp="1734831566"&gt;3&lt;/key&gt;&lt;/foreign-keys&gt;&lt;ref-type name="Journal Article"&gt;17&lt;/ref-type&gt;&lt;contributors&gt;&lt;authors&gt;&lt;author&gt;Baikie, Karen A.&lt;/author&gt;&lt;author&gt;Wilhelm, Kay&lt;/author&gt;&lt;/authors&gt;&lt;/contributors&gt;&lt;titles&gt;&lt;title&gt;Emotional and physical health benefits of expressive writing&lt;/title&gt;&lt;secondary-title&gt;Advances in Psychiatric Treatment&lt;/secondary-title&gt;&lt;/titles&gt;&lt;periodical&gt;&lt;full-title&gt;Advances in Psychiatric Treatment&lt;/full-title&gt;&lt;/periodical&gt;&lt;pages&gt;338-346&lt;/pages&gt;&lt;volume&gt;11&lt;/volume&gt;&lt;number&gt;5&lt;/number&gt;&lt;edition&gt;2018/01/02&lt;/edition&gt;&lt;dates&gt;&lt;year&gt;2005&lt;/year&gt;&lt;/dates&gt;&lt;publisher&gt;Cambridge University Press&lt;/publisher&gt;&lt;isbn&gt;1355-5146&lt;/isbn&gt;&lt;urls&gt;&lt;related-urls&gt;&lt;url&gt;https://www.cambridge.org/core/product/ED2976A61F5DE56B46F07A1CE9EA9F9F&lt;/url&gt;&lt;/related-urls&gt;&lt;/urls&gt;&lt;electronic-resource-num&gt;10.1192/apt.11.5.338&lt;/electronic-resource-num&gt;&lt;remote-database-name&gt;Cambridge Core&lt;/remote-database-name&gt;&lt;remote-database-provider&gt;Cambridge University Press&lt;/remote-database-provider&gt;&lt;/record&gt;&lt;/Cite&gt;&lt;/EndNote&gt;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Baikie and Wilhelm (2005)</w:t>
      </w:r>
      <w:r w:rsidRPr="002170AC">
        <w:rPr>
          <w:rFonts w:asciiTheme="minorBidi" w:hAnsiTheme="minorBidi"/>
          <w:sz w:val="24"/>
          <w:szCs w:val="24"/>
        </w:rPr>
        <w:fldChar w:fldCharType="end"/>
      </w:r>
      <w:r w:rsidRPr="002170AC">
        <w:rPr>
          <w:rFonts w:asciiTheme="minorBidi" w:hAnsiTheme="minorBidi"/>
          <w:sz w:val="24"/>
          <w:szCs w:val="24"/>
        </w:rPr>
        <w:t>, structured reflection significantly enhances learning outcomes and professional competency development. By systematically analysing experiences and critically examining professional performance, practitioners can transform individual encounters into meaningful learning opportunities.</w:t>
      </w:r>
    </w:p>
    <w:p w14:paraId="75002DB7" w14:textId="3B2A0584"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Reflective journaling emerges as a powerful tool for professional development, offering diverse benefits across personal and organisational domains.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AuthorYear="1"&gt;&lt;Author&gt;Jobya&lt;/Author&gt;&lt;Year&gt;2024&lt;/Year&gt;&lt;RecNum&gt;19&lt;/RecNum&gt;&lt;DisplayText&gt;Jobya (2024)&lt;/DisplayText&gt;&lt;record&gt;&lt;rec-number&gt;19&lt;/rec-number&gt;&lt;foreign-keys&gt;&lt;key app="EN" db-id="wz0t59v5x5s02veepazxxvrv05t2xd9zr99t" timestamp="1734867581"&gt;19&lt;/key&gt;&lt;/foreign-keys&gt;&lt;ref-type name="Web Page"&gt;12&lt;/ref-type&gt;&lt;contributors&gt;&lt;authors&gt;&lt;author&gt;Jobya &lt;/author&gt;&lt;/authors&gt;&lt;/contributors&gt;&lt;titles&gt;&lt;title&gt;Career Development: The Importance of Keeping a Career Journal&lt;/title&gt;&lt;/titles&gt;&lt;volume&gt;2024&lt;/volume&gt;&lt;number&gt;17 Dec.&lt;/number&gt;&lt;dates&gt;&lt;year&gt;2024&lt;/year&gt;&lt;/dates&gt;&lt;publisher&gt;Jobya Learning Center&lt;/publisher&gt;&lt;urls&gt;&lt;related-urls&gt;&lt;url&gt;https://jobya.com/learn/career_advice/career_development/the_importance_of_keeping_a_career_journal &lt;/url&gt;&lt;/related-urls&gt;&lt;/urls&gt;&lt;/record&gt;&lt;/Cite&gt;&lt;/EndNote&gt;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Jobya (2024)</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demonstrates that systematic journaling enhances skills and fosters growth through documenting training, reflections, feedback, and goals.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AuthorYear="1"&gt;&lt;Author&gt;Pell&lt;/Author&gt;&lt;Year&gt;2023&lt;/Year&gt;&lt;RecNum&gt;27&lt;/RecNum&gt;&lt;DisplayText&gt;Pell (2023)&lt;/DisplayText&gt;&lt;record&gt;&lt;rec-number&gt;27&lt;/rec-number&gt;&lt;foreign-keys&gt;&lt;key app="EN" db-id="wz0t59v5x5s02veepazxxvrv05t2xd9zr99t" timestamp="1736655080"&gt;27&lt;/key&gt;&lt;/foreign-keys&gt;&lt;ref-type name="Book"&gt;6&lt;/ref-type&gt;&lt;contributors&gt;&lt;authors&gt;&lt;author&gt;Pell, Gina R&lt;/author&gt;&lt;/authors&gt;&lt;/contributors&gt;&lt;titles&gt;&lt;title&gt;Tearing Down and Building Up in the Contemporary Workplace: How Reflective Writing Inspires Workplace Learning and Well-Being&lt;/title&gt;&lt;/titles&gt;&lt;dates&gt;&lt;year&gt;2023&lt;/year&gt;&lt;/dates&gt;&lt;publisher&gt;Southeastern University&lt;/publisher&gt;&lt;isbn&gt;9798379681654&lt;/isbn&gt;&lt;urls&gt;&lt;/urls&gt;&lt;/record&gt;&lt;/Cite&gt;&lt;/EndNote&gt;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Pell (2023)</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further elaborates on the emotional and organisational advantages, including improvements in well-being, individual development, and strategic learning. While these insights underscore the potential of reflective journaling,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AuthorYear="1"&gt;&lt;Author&gt;Stosny&lt;/Author&gt;&lt;Year&gt;2013&lt;/Year&gt;&lt;RecNum&gt;22&lt;/RecNum&gt;&lt;DisplayText&gt;Stosny (2013)&lt;/DisplayText&gt;&lt;record&gt;&lt;rec-number&gt;22&lt;/rec-number&gt;&lt;foreign-keys&gt;&lt;key app="EN" db-id="wz0t59v5x5s02veepazxxvrv05t2xd9zr99t" timestamp="1734868550"&gt;22&lt;/key&gt;&lt;/foreign-keys&gt;&lt;ref-type name="Web Page"&gt;12&lt;/ref-type&gt;&lt;contributors&gt;&lt;authors&gt;&lt;author&gt;Steven Stosny&lt;/author&gt;&lt;/authors&gt;&lt;/contributors&gt;&lt;titles&gt;&lt;title&gt;The Good and the Bad of Journaling&lt;/title&gt;&lt;/titles&gt;&lt;volume&gt;2024&lt;/volume&gt;&lt;number&gt;18 Dec.&lt;/number&gt;&lt;dates&gt;&lt;year&gt;2013&lt;/year&gt;&lt;/dates&gt;&lt;publisher&gt;Psychology Today&lt;/publisher&gt;&lt;urls&gt;&lt;related-urls&gt;&lt;url&gt;https://www.psychologytoday.com/gb/blog/anger-in-the-age-entitlement/201309/the-good-and-the-bad-journaling&lt;/url&gt;&lt;/related-urls&gt;&lt;/urls&gt;&lt;/record&gt;&lt;/Cite&gt;&lt;/EndNote&gt;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Stosny (2013)</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provides a refined perspective, cautioning that such practices can potentially lead to frustration and overthinking if not systematically maintained.</w:t>
      </w:r>
    </w:p>
    <w:p w14:paraId="22E6AAEF"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Continuous Professional Development (CPD) has become a critical strategy for modern organisations to achieve their strategic objectives effectively. For South Wales Police (SWP), the 2021-2025 organisational plan illustrates this approach, highlighting CPD as a fundamental system for developing staff capabilities and organisational resilience. As outlined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AuthorYear="1"&gt;&lt;Author&gt;South Wales Police&lt;/Author&gt;&lt;Year&gt;n.d.&lt;/Year&gt;&lt;RecNum&gt;20&lt;/RecNum&gt;&lt;DisplayText&gt;South Wales Police (n.d.)&lt;/DisplayText&gt;&lt;record&gt;&lt;rec-number&gt;20&lt;/rec-number&gt;&lt;foreign-keys&gt;&lt;key app="EN" db-id="wz0t59v5x5s02veepazxxvrv05t2xd9zr99t" timestamp="1734867928"&gt;20&lt;/key&gt;&lt;/foreign-keys&gt;&lt;ref-type name="Web Page"&gt;12&lt;/ref-type&gt;&lt;contributors&gt;&lt;authors&gt;&lt;author&gt;South Wales Police,&lt;/author&gt;&lt;/authors&gt;&lt;/contributors&gt;&lt;titles&gt;&lt;title&gt;South Wales Police &amp;amp; Crime Plan 2021-25,  EXECUTIVE SUMMARY&lt;/title&gt;&lt;/titles&gt;&lt;volume&gt;2024&lt;/volume&gt;&lt;number&gt;17 Dec.&lt;/number&gt;&lt;dates&gt;&lt;year&gt;n.d.&lt;/year&gt;&lt;/dates&gt;&lt;urls&gt;&lt;related-urls&gt;&lt;url&gt;https://www.apccs.police.uk/media/6362/eng-police-and-crime-plan-2021-25.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South Wales Police (n.d.)</w:t>
      </w:r>
      <w:r w:rsidRPr="002170AC">
        <w:rPr>
          <w:rFonts w:asciiTheme="minorBidi" w:hAnsiTheme="minorBidi"/>
          <w:sz w:val="24"/>
          <w:szCs w:val="24"/>
        </w:rPr>
        <w:fldChar w:fldCharType="end"/>
      </w:r>
      <w:r w:rsidRPr="002170AC">
        <w:rPr>
          <w:rFonts w:asciiTheme="minorBidi" w:hAnsiTheme="minorBidi"/>
          <w:sz w:val="24"/>
          <w:szCs w:val="24"/>
        </w:rPr>
        <w:t>, CPD serves multiple strategic purposes: fostering innovation, promoting evidence-based practices, ensuring digital inclusivity, and supporting organisational well-being through a comprehensive approach to staff development.</w:t>
      </w:r>
    </w:p>
    <w:p w14:paraId="06386A92"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Organisational development in policing reflects evolving strategic priorities, as evidenced by comparing the South Wales Police Authority Legacy Statement (1995-2012) with the current Wales Police &amp; Crime Plan (2021-2025). The legacy statement from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AuthorYear="1"&gt;&lt;Author&gt;SOUTH WALES POLICE AUTHORITY&lt;/Author&gt;&lt;Year&gt;1995&lt;/Year&gt;&lt;RecNum&gt;26&lt;/RecNum&gt;&lt;DisplayText&gt;SOUTH WALES POLICE AUTHORITY (1995)&lt;/DisplayText&gt;&lt;record&gt;&lt;rec-number&gt;26&lt;/rec-number&gt;&lt;foreign-keys&gt;&lt;key app="EN" db-id="wz0t59v5x5s02veepazxxvrv05t2xd9zr99t" timestamp="1735843673"&gt;26&lt;/key&gt;&lt;/foreign-keys&gt;&lt;ref-type name="Web Page"&gt;12&lt;/ref-type&gt;&lt;contributors&gt;&lt;authors&gt;&lt;author&gt;SOUTH WALES POLICE AUTHORITY,&lt;/author&gt;&lt;/authors&gt;&lt;/contributors&gt;&lt;titles&gt;&lt;title&gt;LEGACY STATEMENT Forewords and Key Achievements 3&lt;/title&gt;&lt;/titles&gt;&lt;volume&gt;2024&lt;/volume&gt;&lt;number&gt;23 Dec.&lt;/number&gt;&lt;dates&gt;&lt;year&gt;1995&lt;/year&gt;&lt;/dates&gt;&lt;urls&gt;&lt;related-urls&gt;&lt;url&gt;chrome-extension://efaidnbmnnnibpcajpcglclefindmkaj/https://pcclivewww.blob.core.windows.net/wordpress-uploads/South-Wales-Police-Authority-Legacy-Statement.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SOUTH WALES POLICE AUTHORITY (1995)</w:t>
      </w:r>
      <w:r w:rsidRPr="002170AC">
        <w:rPr>
          <w:rFonts w:asciiTheme="minorBidi" w:hAnsiTheme="minorBidi"/>
          <w:sz w:val="24"/>
          <w:szCs w:val="24"/>
        </w:rPr>
        <w:fldChar w:fldCharType="end"/>
      </w:r>
      <w:r w:rsidRPr="002170AC">
        <w:rPr>
          <w:rFonts w:asciiTheme="minorBidi" w:hAnsiTheme="minorBidi"/>
          <w:sz w:val="24"/>
          <w:szCs w:val="24"/>
        </w:rPr>
        <w:t xml:space="preserve"> reveals a </w:t>
      </w:r>
      <w:r w:rsidRPr="002170AC">
        <w:rPr>
          <w:rFonts w:asciiTheme="minorBidi" w:hAnsiTheme="minorBidi"/>
          <w:sz w:val="24"/>
          <w:szCs w:val="24"/>
        </w:rPr>
        <w:lastRenderedPageBreak/>
        <w:t>markedly different approach to professional development, with minimal consideration placed on continuous professional development (CPD), digital inclusivity, or organisational well-being. This comparative analysis exposes a significant transformation in policing strategies, demonstrating how CPD has emerged as a critical component in achieving contemporary organisational objectives.</w:t>
      </w:r>
    </w:p>
    <w:p w14:paraId="3D5D0B0D" w14:textId="5622683A"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 xml:space="preserve">As a sergeant, I now implement Continuous Professional Development (CPD) and reflective practice during staff check-ins and performance reviews, aligning team activities with organisational objectives. Reflection is integral to my approach, particularly following significant investigations or incidents. I employ SWOT analysis during debriefing sessions to facilitate staff self-assessment of strengths, weaknesses, opportunities, and threats, thereby promoting professional growth. This approach aligns with research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AuthorYear="1"&gt;&lt;Author&gt;Puyt&lt;/Author&gt;&lt;Year&gt;2023&lt;/Year&gt;&lt;RecNum&gt;8&lt;/RecNum&gt;&lt;DisplayText&gt;Puyt, Lie and Wilderom (2023)&lt;/DisplayText&gt;&lt;record&gt;&lt;rec-number&gt;8&lt;/rec-number&gt;&lt;foreign-keys&gt;&lt;key app="EN" db-id="wz0t59v5x5s02veepazxxvrv05t2xd9zr99t" timestamp="1734832158"&gt;8&lt;/key&gt;&lt;/foreign-keys&gt;&lt;ref-type name="Journal Article"&gt;17&lt;/ref-type&gt;&lt;contributors&gt;&lt;authors&gt;&lt;author&gt;Puyt, Richard W.&lt;/author&gt;&lt;author&gt;Lie, Finn Birger&lt;/author&gt;&lt;author&gt;Wilderom, Celeste P. M.&lt;/author&gt;&lt;/authors&gt;&lt;/contributors&gt;&lt;titles&gt;&lt;title&gt;The origins of SWOT analysis&lt;/title&gt;&lt;secondary-title&gt;Long Range Planning&lt;/secondary-title&gt;&lt;/titles&gt;&lt;periodical&gt;&lt;full-title&gt;Long Range Planning&lt;/full-title&gt;&lt;/periodical&gt;&lt;pages&gt;102304&lt;/pages&gt;&lt;volume&gt;56&lt;/volume&gt;&lt;number&gt;3&lt;/number&gt;&lt;keywords&gt;&lt;keyword&gt;SWOT analysis&lt;/keyword&gt;&lt;keyword&gt;Management history&lt;/keyword&gt;&lt;keyword&gt;Stakeholder analysis&lt;/keyword&gt;&lt;keyword&gt;Strategic planning&lt;/keyword&gt;&lt;/keywords&gt;&lt;dates&gt;&lt;year&gt;2023&lt;/year&gt;&lt;pub-dates&gt;&lt;date&gt;2023/06/01/&lt;/date&gt;&lt;/pub-dates&gt;&lt;/dates&gt;&lt;isbn&gt;0024-6301&lt;/isbn&gt;&lt;urls&gt;&lt;related-urls&gt;&lt;url&gt;https://www.sciencedirect.com/science/article/pii/S0024630123000110&lt;/url&gt;&lt;/related-urls&gt;&lt;/urls&gt;&lt;electronic-resource-num&gt;https://doi.org/10.1016/j.lrp.2023.102304&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Puyt, Lie and Wilderom (2023)</w:t>
      </w:r>
      <w:r w:rsidRPr="002170AC">
        <w:rPr>
          <w:rFonts w:asciiTheme="minorBidi" w:hAnsiTheme="minorBidi"/>
          <w:sz w:val="24"/>
          <w:szCs w:val="24"/>
        </w:rPr>
        <w:fldChar w:fldCharType="end"/>
      </w:r>
      <w:r w:rsidRPr="002170AC">
        <w:rPr>
          <w:rFonts w:asciiTheme="minorBidi" w:hAnsiTheme="minorBidi"/>
          <w:sz w:val="24"/>
          <w:szCs w:val="24"/>
        </w:rPr>
        <w:t xml:space="preserve">, which highlights the strategic value of reflective methodologies in organisational settings. By encouraging team members to critically evaluate their performance—identifying what went well and areas for improvement—I support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AuthorYear="1"&gt;&lt;Author&gt;Bennett&lt;/Author&gt;&lt;Year&gt;1989&lt;/Year&gt;&lt;RecNum&gt;4&lt;/RecNum&gt;&lt;DisplayText&gt;Bennett (1989)&lt;/DisplayText&gt;&lt;record&gt;&lt;rec-number&gt;4&lt;/rec-number&gt;&lt;foreign-keys&gt;&lt;key app="EN" db-id="wz0t59v5x5s02veepazxxvrv05t2xd9zr99t" timestamp="1734831666"&gt;4&lt;/key&gt;&lt;/foreign-keys&gt;&lt;ref-type name="Journal Article"&gt;17&lt;/ref-type&gt;&lt;contributors&gt;&lt;authors&gt;&lt;author&gt;Bennett, Nancy L.&lt;/author&gt;&lt;/authors&gt;&lt;/contributors&gt;&lt;titles&gt;&lt;title&gt;Donald A. Schön, Educating the reflective practitioner. San Francisco: Jossey-Bass Publishers, 1987. 355 pages&lt;/title&gt;&lt;secondary-title&gt;Journal of Continuing Education in the Health Professions&lt;/secondary-title&gt;&lt;/titles&gt;&lt;periodical&gt;&lt;full-title&gt;Journal of Continuing Education in the Health Professions&lt;/full-title&gt;&lt;/periodical&gt;&lt;pages&gt;115-116&lt;/pages&gt;&lt;volume&gt;9&lt;/volume&gt;&lt;number&gt;2&lt;/number&gt;&lt;dates&gt;&lt;year&gt;1989&lt;/year&gt;&lt;/dates&gt;&lt;isbn&gt;0894-1912&lt;/isbn&gt;&lt;accession-num&gt;00005141-198909020-00006&lt;/accession-num&gt;&lt;urls&gt;&lt;related-urls&gt;&lt;url&gt;https://journals.lww.com/jcehp/fulltext/1989/09020/donald_a__sch_n,_educating_the_reflective.6.aspx&lt;/url&gt;&lt;/related-urls&gt;&lt;/urls&gt;&lt;electronic-resource-num&gt;10.1002/chp.4750090207&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Bennett (1989)</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assertion of self-reflection as a cornerstone of professional development.</w:t>
      </w:r>
    </w:p>
    <w:p w14:paraId="357DCB6A" w14:textId="77777777" w:rsidR="000E1E24" w:rsidRPr="002170AC" w:rsidRDefault="000E1E24" w:rsidP="000E1E24">
      <w:pPr>
        <w:spacing w:line="360" w:lineRule="auto"/>
        <w:rPr>
          <w:rFonts w:asciiTheme="minorBidi" w:hAnsiTheme="minorBidi"/>
          <w:b/>
          <w:bCs/>
          <w:sz w:val="24"/>
          <w:szCs w:val="24"/>
        </w:rPr>
      </w:pPr>
      <w:r w:rsidRPr="002170AC">
        <w:rPr>
          <w:rFonts w:asciiTheme="minorBidi" w:hAnsiTheme="minorBidi"/>
          <w:b/>
          <w:bCs/>
          <w:sz w:val="24"/>
          <w:szCs w:val="24"/>
        </w:rPr>
        <w:t>Conclusion</w:t>
      </w:r>
    </w:p>
    <w:p w14:paraId="35F1653E"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t>CPD, when effectively integrated with reflective practice, plays a crucial role in achieving organisational objectives. This relationship is evident in law enforcement, where rapid societal changes and evolving criminal methodologies demand continuous adaptation and learning. Integrating reflection into daily practices helps align staff with organisational goals and objectives, supports personal growth, and fosters a learning-orientated culture, ultimately improving team effectiveness. As I continue my policing journey, I remain committed to this cycle of learning and reflection, recognising their intrinsic link in achieving current organisational objectives and fostering a professional, skilled, adaptable, and cognisant workforce.</w:t>
      </w:r>
    </w:p>
    <w:p w14:paraId="50BF1DB9" w14:textId="42CE2A07" w:rsidR="000E1E24" w:rsidRPr="00583D68" w:rsidRDefault="000E1E24" w:rsidP="000E1E24">
      <w:pPr>
        <w:spacing w:line="360" w:lineRule="auto"/>
        <w:rPr>
          <w:rFonts w:asciiTheme="minorBidi" w:hAnsiTheme="minorBidi"/>
          <w:b/>
          <w:bCs/>
          <w:sz w:val="24"/>
          <w:szCs w:val="24"/>
          <w:u w:val="single"/>
        </w:rPr>
      </w:pPr>
      <w:r w:rsidRPr="00583D68">
        <w:rPr>
          <w:rFonts w:asciiTheme="minorBidi" w:hAnsiTheme="minorBidi"/>
          <w:b/>
          <w:bCs/>
          <w:sz w:val="24"/>
          <w:szCs w:val="24"/>
          <w:u w:val="single"/>
        </w:rPr>
        <w:t>Word count = 98</w:t>
      </w:r>
      <w:r w:rsidR="008F0046">
        <w:rPr>
          <w:rFonts w:asciiTheme="minorBidi" w:hAnsiTheme="minorBidi"/>
          <w:b/>
          <w:bCs/>
          <w:sz w:val="24"/>
          <w:szCs w:val="24"/>
          <w:u w:val="single"/>
        </w:rPr>
        <w:t>4</w:t>
      </w:r>
      <w:r w:rsidRPr="00583D68">
        <w:rPr>
          <w:rFonts w:asciiTheme="minorBidi" w:hAnsiTheme="minorBidi"/>
          <w:b/>
          <w:bCs/>
          <w:sz w:val="24"/>
          <w:szCs w:val="24"/>
          <w:u w:val="single"/>
        </w:rPr>
        <w:t xml:space="preserve"> words.</w:t>
      </w:r>
    </w:p>
    <w:p w14:paraId="0D42A4F6" w14:textId="77777777" w:rsidR="000E1E24" w:rsidRPr="002170AC" w:rsidRDefault="000E1E24" w:rsidP="000E1E24">
      <w:pPr>
        <w:spacing w:line="360" w:lineRule="auto"/>
        <w:rPr>
          <w:rFonts w:asciiTheme="minorBidi" w:hAnsiTheme="minorBidi"/>
          <w:sz w:val="24"/>
          <w:szCs w:val="24"/>
        </w:rPr>
      </w:pPr>
    </w:p>
    <w:p w14:paraId="08C5DD29" w14:textId="77777777"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br w:type="page"/>
      </w:r>
    </w:p>
    <w:p w14:paraId="29C21502" w14:textId="77777777" w:rsidR="000E1E24" w:rsidRPr="002170AC" w:rsidRDefault="000E1E24" w:rsidP="000E1E24">
      <w:pPr>
        <w:spacing w:line="360" w:lineRule="auto"/>
        <w:rPr>
          <w:rFonts w:asciiTheme="minorBidi" w:hAnsiTheme="minorBidi"/>
          <w:b/>
          <w:bCs/>
          <w:sz w:val="24"/>
          <w:szCs w:val="24"/>
        </w:rPr>
      </w:pPr>
      <w:r w:rsidRPr="002170AC">
        <w:rPr>
          <w:rFonts w:asciiTheme="minorBidi" w:hAnsiTheme="minorBidi"/>
          <w:b/>
          <w:bCs/>
          <w:sz w:val="24"/>
          <w:szCs w:val="24"/>
        </w:rPr>
        <w:lastRenderedPageBreak/>
        <w:t>Reference</w:t>
      </w:r>
    </w:p>
    <w:p w14:paraId="15ACC086"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fldChar w:fldCharType="begin"/>
      </w:r>
      <w:r w:rsidRPr="002170AC">
        <w:rPr>
          <w:rFonts w:asciiTheme="minorBidi" w:hAnsiTheme="minorBidi"/>
          <w:sz w:val="24"/>
          <w:szCs w:val="24"/>
        </w:rPr>
        <w:instrText xml:space="preserve"> ADDIN EN.REFLIST </w:instrText>
      </w:r>
      <w:r w:rsidRPr="002170AC">
        <w:rPr>
          <w:rFonts w:asciiTheme="minorBidi" w:hAnsiTheme="minorBidi"/>
          <w:sz w:val="24"/>
          <w:szCs w:val="24"/>
        </w:rPr>
        <w:fldChar w:fldCharType="separate"/>
      </w:r>
      <w:r w:rsidRPr="002170AC">
        <w:rPr>
          <w:rFonts w:asciiTheme="minorBidi" w:hAnsiTheme="minorBidi"/>
          <w:sz w:val="24"/>
          <w:szCs w:val="24"/>
        </w:rPr>
        <w:t xml:space="preserve">Alexandrou, A. &amp; Davis, J. D. 2005. Improving police probationer training through a democratic research process. </w:t>
      </w:r>
      <w:r w:rsidRPr="002170AC">
        <w:rPr>
          <w:rFonts w:asciiTheme="minorBidi" w:hAnsiTheme="minorBidi"/>
          <w:i/>
          <w:sz w:val="24"/>
          <w:szCs w:val="24"/>
        </w:rPr>
        <w:t>Research in Post-Compulsory Education,</w:t>
      </w:r>
      <w:r w:rsidRPr="002170AC">
        <w:rPr>
          <w:rFonts w:asciiTheme="minorBidi" w:hAnsiTheme="minorBidi"/>
          <w:sz w:val="24"/>
          <w:szCs w:val="24"/>
        </w:rPr>
        <w:t xml:space="preserve"> 10</w:t>
      </w:r>
      <w:r w:rsidRPr="002170AC">
        <w:rPr>
          <w:rFonts w:asciiTheme="minorBidi" w:hAnsiTheme="minorBidi"/>
          <w:b/>
          <w:sz w:val="24"/>
          <w:szCs w:val="24"/>
        </w:rPr>
        <w:t>,</w:t>
      </w:r>
      <w:r w:rsidRPr="002170AC">
        <w:rPr>
          <w:rFonts w:asciiTheme="minorBidi" w:hAnsiTheme="minorBidi"/>
          <w:sz w:val="24"/>
          <w:szCs w:val="24"/>
        </w:rPr>
        <w:t xml:space="preserve"> 245-256.</w:t>
      </w:r>
    </w:p>
    <w:p w14:paraId="1F62A382"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Baikie, K. A. &amp; Wilhelm, K. 2005. Emotional and physical health benefits of expressive writing. </w:t>
      </w:r>
      <w:r w:rsidRPr="002170AC">
        <w:rPr>
          <w:rFonts w:asciiTheme="minorBidi" w:hAnsiTheme="minorBidi"/>
          <w:i/>
          <w:sz w:val="24"/>
          <w:szCs w:val="24"/>
        </w:rPr>
        <w:t>Advances in Psychiatric Treatment,</w:t>
      </w:r>
      <w:r w:rsidRPr="002170AC">
        <w:rPr>
          <w:rFonts w:asciiTheme="minorBidi" w:hAnsiTheme="minorBidi"/>
          <w:sz w:val="24"/>
          <w:szCs w:val="24"/>
        </w:rPr>
        <w:t xml:space="preserve"> 11</w:t>
      </w:r>
      <w:r w:rsidRPr="002170AC">
        <w:rPr>
          <w:rFonts w:asciiTheme="minorBidi" w:hAnsiTheme="minorBidi"/>
          <w:b/>
          <w:sz w:val="24"/>
          <w:szCs w:val="24"/>
        </w:rPr>
        <w:t>,</w:t>
      </w:r>
      <w:r w:rsidRPr="002170AC">
        <w:rPr>
          <w:rFonts w:asciiTheme="minorBidi" w:hAnsiTheme="minorBidi"/>
          <w:sz w:val="24"/>
          <w:szCs w:val="24"/>
        </w:rPr>
        <w:t xml:space="preserve"> 338-346.</w:t>
      </w:r>
    </w:p>
    <w:p w14:paraId="26276900"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Bennett, N. L. 1989. Donald A. Schön, Educating the reflective practitioner. San Francisco: Jossey-Bass Publishers, 1987. 355 pages. </w:t>
      </w:r>
      <w:r w:rsidRPr="002170AC">
        <w:rPr>
          <w:rFonts w:asciiTheme="minorBidi" w:hAnsiTheme="minorBidi"/>
          <w:i/>
          <w:sz w:val="24"/>
          <w:szCs w:val="24"/>
        </w:rPr>
        <w:t>Journal of Continuing Education in the Health Professions,</w:t>
      </w:r>
      <w:r w:rsidRPr="002170AC">
        <w:rPr>
          <w:rFonts w:asciiTheme="minorBidi" w:hAnsiTheme="minorBidi"/>
          <w:sz w:val="24"/>
          <w:szCs w:val="24"/>
        </w:rPr>
        <w:t xml:space="preserve"> 9</w:t>
      </w:r>
      <w:r w:rsidRPr="002170AC">
        <w:rPr>
          <w:rFonts w:asciiTheme="minorBidi" w:hAnsiTheme="minorBidi"/>
          <w:b/>
          <w:sz w:val="24"/>
          <w:szCs w:val="24"/>
        </w:rPr>
        <w:t>,</w:t>
      </w:r>
      <w:r w:rsidRPr="002170AC">
        <w:rPr>
          <w:rFonts w:asciiTheme="minorBidi" w:hAnsiTheme="minorBidi"/>
          <w:sz w:val="24"/>
          <w:szCs w:val="24"/>
        </w:rPr>
        <w:t xml:space="preserve"> 115-116.</w:t>
      </w:r>
    </w:p>
    <w:p w14:paraId="50F3F65F"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Bolton, A. H., Burden, A., Caplin, T., Ramsbotham, D., Rutherford, K., Woodhead, C. &amp; Lawlor, S. 2005. Policing Matters: Recruitment, Training and Motivation.</w:t>
      </w:r>
    </w:p>
    <w:p w14:paraId="3A3F7E64"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College of Policing. 2020. </w:t>
      </w:r>
      <w:r w:rsidRPr="002170AC">
        <w:rPr>
          <w:rFonts w:asciiTheme="minorBidi" w:hAnsiTheme="minorBidi"/>
          <w:i/>
          <w:sz w:val="24"/>
          <w:szCs w:val="24"/>
        </w:rPr>
        <w:t xml:space="preserve">Definition and principles of CPD in focus 2020 </w:t>
      </w:r>
      <w:r w:rsidRPr="002170AC">
        <w:rPr>
          <w:rFonts w:asciiTheme="minorBidi" w:hAnsiTheme="minorBidi"/>
          <w:sz w:val="24"/>
          <w:szCs w:val="24"/>
        </w:rPr>
        <w:t xml:space="preserve">[Online]. Available: </w:t>
      </w:r>
      <w:hyperlink r:id="rId14" w:history="1">
        <w:r w:rsidRPr="002170AC">
          <w:rPr>
            <w:rStyle w:val="Hyperlink"/>
            <w:rFonts w:asciiTheme="minorBidi" w:hAnsiTheme="minorBidi"/>
            <w:sz w:val="24"/>
            <w:szCs w:val="24"/>
          </w:rPr>
          <w:t>https://www.college.police.uk/career-learning/career-development/CPD</w:t>
        </w:r>
      </w:hyperlink>
      <w:r w:rsidRPr="002170AC">
        <w:rPr>
          <w:rFonts w:asciiTheme="minorBidi" w:hAnsiTheme="minorBidi"/>
          <w:sz w:val="24"/>
          <w:szCs w:val="24"/>
        </w:rPr>
        <w:t xml:space="preserve"> [Accessed 15 Dec. 2024].</w:t>
      </w:r>
    </w:p>
    <w:p w14:paraId="30E0A10A"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College of Policing. 2023. </w:t>
      </w:r>
      <w:r w:rsidRPr="002170AC">
        <w:rPr>
          <w:rFonts w:asciiTheme="minorBidi" w:hAnsiTheme="minorBidi"/>
          <w:i/>
          <w:sz w:val="24"/>
          <w:szCs w:val="24"/>
        </w:rPr>
        <w:t xml:space="preserve">A commitment to change The future of police leadership </w:t>
      </w:r>
      <w:r w:rsidRPr="002170AC">
        <w:rPr>
          <w:rFonts w:asciiTheme="minorBidi" w:hAnsiTheme="minorBidi"/>
          <w:sz w:val="24"/>
          <w:szCs w:val="24"/>
        </w:rPr>
        <w:t xml:space="preserve">[Online]. Available: </w:t>
      </w:r>
      <w:hyperlink r:id="rId15" w:history="1">
        <w:r w:rsidRPr="002170AC">
          <w:rPr>
            <w:rStyle w:val="Hyperlink"/>
            <w:rFonts w:asciiTheme="minorBidi" w:hAnsiTheme="minorBidi"/>
            <w:sz w:val="24"/>
            <w:szCs w:val="24"/>
          </w:rPr>
          <w:t>https://assets.college.police.uk/s3fs-public/2023-06/A-commitment-to-change-the-future-of-police-leadership.pdf</w:t>
        </w:r>
      </w:hyperlink>
      <w:r w:rsidRPr="002170AC">
        <w:rPr>
          <w:rFonts w:asciiTheme="minorBidi" w:hAnsiTheme="minorBidi"/>
          <w:sz w:val="24"/>
          <w:szCs w:val="24"/>
        </w:rPr>
        <w:t xml:space="preserve"> [Accessed 16 Dec. 2024].</w:t>
      </w:r>
    </w:p>
    <w:p w14:paraId="348EC6E3"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Collin, K. M., Jaakkola, M., Keronen, S. &amp; Lemmetty, S. 2024. Sustainability of learning at work: experiences of police, hospital, and ICT personnel. </w:t>
      </w:r>
      <w:r w:rsidRPr="002170AC">
        <w:rPr>
          <w:rFonts w:asciiTheme="minorBidi" w:hAnsiTheme="minorBidi"/>
          <w:i/>
          <w:sz w:val="24"/>
          <w:szCs w:val="24"/>
        </w:rPr>
        <w:t>Studies in Continuing Education</w:t>
      </w:r>
      <w:r w:rsidRPr="002170AC">
        <w:rPr>
          <w:rFonts w:asciiTheme="minorBidi" w:hAnsiTheme="minorBidi"/>
          <w:b/>
          <w:sz w:val="24"/>
          <w:szCs w:val="24"/>
        </w:rPr>
        <w:t>,</w:t>
      </w:r>
      <w:r w:rsidRPr="002170AC">
        <w:rPr>
          <w:rFonts w:asciiTheme="minorBidi" w:hAnsiTheme="minorBidi"/>
          <w:sz w:val="24"/>
          <w:szCs w:val="24"/>
        </w:rPr>
        <w:t xml:space="preserve"> 1-19.</w:t>
      </w:r>
    </w:p>
    <w:p w14:paraId="6470CC87"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Coomber, R. &amp; Moyle, L. 2018. The Changing Shape of Street-Level Heroin and Crack Supply in England: Commuting, Holidaying and Cuckooing Drug Dealers Across ‘County Lines’. </w:t>
      </w:r>
      <w:r w:rsidRPr="002170AC">
        <w:rPr>
          <w:rFonts w:asciiTheme="minorBidi" w:hAnsiTheme="minorBidi"/>
          <w:i/>
          <w:sz w:val="24"/>
          <w:szCs w:val="24"/>
        </w:rPr>
        <w:t>The British Journal of Criminology,</w:t>
      </w:r>
      <w:r w:rsidRPr="002170AC">
        <w:rPr>
          <w:rFonts w:asciiTheme="minorBidi" w:hAnsiTheme="minorBidi"/>
          <w:sz w:val="24"/>
          <w:szCs w:val="24"/>
        </w:rPr>
        <w:t xml:space="preserve"> 58</w:t>
      </w:r>
      <w:r w:rsidRPr="002170AC">
        <w:rPr>
          <w:rFonts w:asciiTheme="minorBidi" w:hAnsiTheme="minorBidi"/>
          <w:b/>
          <w:sz w:val="24"/>
          <w:szCs w:val="24"/>
        </w:rPr>
        <w:t>,</w:t>
      </w:r>
      <w:r w:rsidRPr="002170AC">
        <w:rPr>
          <w:rFonts w:asciiTheme="minorBidi" w:hAnsiTheme="minorBidi"/>
          <w:sz w:val="24"/>
          <w:szCs w:val="24"/>
        </w:rPr>
        <w:t xml:space="preserve"> 1323-1342.</w:t>
      </w:r>
    </w:p>
    <w:p w14:paraId="56633D9E"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Fox, S. J. 2019. Policing - The technological revolution: Opportunities &amp; challenges! </w:t>
      </w:r>
      <w:r w:rsidRPr="002170AC">
        <w:rPr>
          <w:rFonts w:asciiTheme="minorBidi" w:hAnsiTheme="minorBidi"/>
          <w:i/>
          <w:sz w:val="24"/>
          <w:szCs w:val="24"/>
        </w:rPr>
        <w:t>Technology in Society,</w:t>
      </w:r>
      <w:r w:rsidRPr="002170AC">
        <w:rPr>
          <w:rFonts w:asciiTheme="minorBidi" w:hAnsiTheme="minorBidi"/>
          <w:sz w:val="24"/>
          <w:szCs w:val="24"/>
        </w:rPr>
        <w:t xml:space="preserve"> 56</w:t>
      </w:r>
      <w:r w:rsidRPr="002170AC">
        <w:rPr>
          <w:rFonts w:asciiTheme="minorBidi" w:hAnsiTheme="minorBidi"/>
          <w:b/>
          <w:sz w:val="24"/>
          <w:szCs w:val="24"/>
        </w:rPr>
        <w:t>,</w:t>
      </w:r>
      <w:r w:rsidRPr="002170AC">
        <w:rPr>
          <w:rFonts w:asciiTheme="minorBidi" w:hAnsiTheme="minorBidi"/>
          <w:sz w:val="24"/>
          <w:szCs w:val="24"/>
        </w:rPr>
        <w:t xml:space="preserve"> 69-78.</w:t>
      </w:r>
    </w:p>
    <w:p w14:paraId="383FC9CA"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Jobya. 2024. </w:t>
      </w:r>
      <w:r w:rsidRPr="002170AC">
        <w:rPr>
          <w:rFonts w:asciiTheme="minorBidi" w:hAnsiTheme="minorBidi"/>
          <w:i/>
          <w:sz w:val="24"/>
          <w:szCs w:val="24"/>
        </w:rPr>
        <w:t xml:space="preserve">Career Development: The Importance of Keeping a Career Journal </w:t>
      </w:r>
      <w:r w:rsidRPr="002170AC">
        <w:rPr>
          <w:rFonts w:asciiTheme="minorBidi" w:hAnsiTheme="minorBidi"/>
          <w:sz w:val="24"/>
          <w:szCs w:val="24"/>
        </w:rPr>
        <w:t xml:space="preserve">[Online]. Jobya Learning Center. Available: </w:t>
      </w:r>
      <w:hyperlink r:id="rId16" w:history="1">
        <w:r w:rsidRPr="002170AC">
          <w:rPr>
            <w:rStyle w:val="Hyperlink"/>
            <w:rFonts w:asciiTheme="minorBidi" w:hAnsiTheme="minorBidi"/>
            <w:sz w:val="24"/>
            <w:szCs w:val="24"/>
          </w:rPr>
          <w:t>https://jobya.com/learn/career_advice/career_development/the_importance_of_keeping_a_career_journal</w:t>
        </w:r>
      </w:hyperlink>
      <w:r w:rsidRPr="002170AC">
        <w:rPr>
          <w:rFonts w:asciiTheme="minorBidi" w:hAnsiTheme="minorBidi"/>
          <w:sz w:val="24"/>
          <w:szCs w:val="24"/>
        </w:rPr>
        <w:t xml:space="preserve"> [Accessed 17 Dec. 2024].</w:t>
      </w:r>
    </w:p>
    <w:p w14:paraId="022D19BC"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lastRenderedPageBreak/>
        <w:t xml:space="preserve">Leek, A. F. 2020. Police forces as learning organisations: learning through apprenticeships. </w:t>
      </w:r>
      <w:r w:rsidRPr="002170AC">
        <w:rPr>
          <w:rFonts w:asciiTheme="minorBidi" w:hAnsiTheme="minorBidi"/>
          <w:i/>
          <w:sz w:val="24"/>
          <w:szCs w:val="24"/>
        </w:rPr>
        <w:t>Higher Education, Skills and Work-Based Learning,</w:t>
      </w:r>
      <w:r w:rsidRPr="002170AC">
        <w:rPr>
          <w:rFonts w:asciiTheme="minorBidi" w:hAnsiTheme="minorBidi"/>
          <w:sz w:val="24"/>
          <w:szCs w:val="24"/>
        </w:rPr>
        <w:t xml:space="preserve"> 10</w:t>
      </w:r>
      <w:r w:rsidRPr="002170AC">
        <w:rPr>
          <w:rFonts w:asciiTheme="minorBidi" w:hAnsiTheme="minorBidi"/>
          <w:b/>
          <w:sz w:val="24"/>
          <w:szCs w:val="24"/>
        </w:rPr>
        <w:t>,</w:t>
      </w:r>
      <w:r w:rsidRPr="002170AC">
        <w:rPr>
          <w:rFonts w:asciiTheme="minorBidi" w:hAnsiTheme="minorBidi"/>
          <w:sz w:val="24"/>
          <w:szCs w:val="24"/>
        </w:rPr>
        <w:t xml:space="preserve"> 741-750.</w:t>
      </w:r>
    </w:p>
    <w:p w14:paraId="1741027D"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Martin, D. 2021. Understanding the reconstruction of police professionalism in the UK. </w:t>
      </w:r>
      <w:r w:rsidRPr="002170AC">
        <w:rPr>
          <w:rFonts w:asciiTheme="minorBidi" w:hAnsiTheme="minorBidi"/>
          <w:i/>
          <w:sz w:val="24"/>
          <w:szCs w:val="24"/>
        </w:rPr>
        <w:t>Policing and Society,</w:t>
      </w:r>
      <w:r w:rsidRPr="002170AC">
        <w:rPr>
          <w:rFonts w:asciiTheme="minorBidi" w:hAnsiTheme="minorBidi"/>
          <w:sz w:val="24"/>
          <w:szCs w:val="24"/>
        </w:rPr>
        <w:t xml:space="preserve"> 32</w:t>
      </w:r>
      <w:r w:rsidRPr="002170AC">
        <w:rPr>
          <w:rFonts w:asciiTheme="minorBidi" w:hAnsiTheme="minorBidi"/>
          <w:b/>
          <w:sz w:val="24"/>
          <w:szCs w:val="24"/>
        </w:rPr>
        <w:t>,</w:t>
      </w:r>
      <w:r w:rsidRPr="002170AC">
        <w:rPr>
          <w:rFonts w:asciiTheme="minorBidi" w:hAnsiTheme="minorBidi"/>
          <w:sz w:val="24"/>
          <w:szCs w:val="24"/>
        </w:rPr>
        <w:t xml:space="preserve"> 931-946.</w:t>
      </w:r>
    </w:p>
    <w:p w14:paraId="340929F0"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Mcleod, S. 2024. </w:t>
      </w:r>
      <w:r w:rsidRPr="002170AC">
        <w:rPr>
          <w:rFonts w:asciiTheme="minorBidi" w:hAnsiTheme="minorBidi"/>
          <w:i/>
          <w:sz w:val="24"/>
          <w:szCs w:val="24"/>
        </w:rPr>
        <w:t xml:space="preserve">Kolb’s Learning Styles and Experiential Learning Cycle </w:t>
      </w:r>
      <w:r w:rsidRPr="002170AC">
        <w:rPr>
          <w:rFonts w:asciiTheme="minorBidi" w:hAnsiTheme="minorBidi"/>
          <w:sz w:val="24"/>
          <w:szCs w:val="24"/>
        </w:rPr>
        <w:t xml:space="preserve">[Online]. Simply Psychology. Available: </w:t>
      </w:r>
      <w:hyperlink r:id="rId17" w:history="1">
        <w:r w:rsidRPr="002170AC">
          <w:rPr>
            <w:rStyle w:val="Hyperlink"/>
            <w:rFonts w:asciiTheme="minorBidi" w:hAnsiTheme="minorBidi"/>
            <w:sz w:val="24"/>
            <w:szCs w:val="24"/>
          </w:rPr>
          <w:t>https://www.simplypsychology.org/learning-kolb.html</w:t>
        </w:r>
      </w:hyperlink>
      <w:r w:rsidRPr="002170AC">
        <w:rPr>
          <w:rFonts w:asciiTheme="minorBidi" w:hAnsiTheme="minorBidi"/>
          <w:sz w:val="24"/>
          <w:szCs w:val="24"/>
        </w:rPr>
        <w:t xml:space="preserve"> [Accessed 17 Dec. 2024].</w:t>
      </w:r>
    </w:p>
    <w:p w14:paraId="5E9AB354"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Modise, J. M. 2023. A Higher Level of Education in Police Work is Essential to Improving Professional Development and Opportunities for Advancement. </w:t>
      </w:r>
      <w:r w:rsidRPr="002170AC">
        <w:rPr>
          <w:rFonts w:asciiTheme="minorBidi" w:hAnsiTheme="minorBidi"/>
          <w:i/>
          <w:sz w:val="24"/>
          <w:szCs w:val="24"/>
        </w:rPr>
        <w:t>International Journal of Innovative Science and Research Technology</w:t>
      </w:r>
      <w:r w:rsidRPr="002170AC">
        <w:rPr>
          <w:rFonts w:asciiTheme="minorBidi" w:hAnsiTheme="minorBidi"/>
          <w:sz w:val="24"/>
          <w:szCs w:val="24"/>
        </w:rPr>
        <w:t>.</w:t>
      </w:r>
    </w:p>
    <w:p w14:paraId="6FDE80DE"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Pell, G. R. 2023. </w:t>
      </w:r>
      <w:r w:rsidRPr="002170AC">
        <w:rPr>
          <w:rFonts w:asciiTheme="minorBidi" w:hAnsiTheme="minorBidi"/>
          <w:i/>
          <w:sz w:val="24"/>
          <w:szCs w:val="24"/>
        </w:rPr>
        <w:t>Tearing Down and Building Up in the Contemporary Workplace: How Reflective Writing Inspires Workplace Learning and Well-Being</w:t>
      </w:r>
      <w:r w:rsidRPr="002170AC">
        <w:rPr>
          <w:rFonts w:asciiTheme="minorBidi" w:hAnsiTheme="minorBidi"/>
          <w:sz w:val="24"/>
          <w:szCs w:val="24"/>
        </w:rPr>
        <w:t>, Southeastern University.</w:t>
      </w:r>
    </w:p>
    <w:p w14:paraId="4602BF4E"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Puyt, R. W., Lie, F. B. &amp; Wilderom, C. P. M. 2023. The origins of SWOT analysis. </w:t>
      </w:r>
      <w:r w:rsidRPr="002170AC">
        <w:rPr>
          <w:rFonts w:asciiTheme="minorBidi" w:hAnsiTheme="minorBidi"/>
          <w:i/>
          <w:sz w:val="24"/>
          <w:szCs w:val="24"/>
        </w:rPr>
        <w:t>Long Range Planning,</w:t>
      </w:r>
      <w:r w:rsidRPr="002170AC">
        <w:rPr>
          <w:rFonts w:asciiTheme="minorBidi" w:hAnsiTheme="minorBidi"/>
          <w:sz w:val="24"/>
          <w:szCs w:val="24"/>
        </w:rPr>
        <w:t xml:space="preserve"> 56</w:t>
      </w:r>
      <w:r w:rsidRPr="002170AC">
        <w:rPr>
          <w:rFonts w:asciiTheme="minorBidi" w:hAnsiTheme="minorBidi"/>
          <w:b/>
          <w:sz w:val="24"/>
          <w:szCs w:val="24"/>
        </w:rPr>
        <w:t>,</w:t>
      </w:r>
      <w:r w:rsidRPr="002170AC">
        <w:rPr>
          <w:rFonts w:asciiTheme="minorBidi" w:hAnsiTheme="minorBidi"/>
          <w:sz w:val="24"/>
          <w:szCs w:val="24"/>
        </w:rPr>
        <w:t xml:space="preserve"> 102304.</w:t>
      </w:r>
    </w:p>
    <w:p w14:paraId="7271FA82"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Sheldon, B. &amp; Williams, P. 2022. </w:t>
      </w:r>
      <w:r w:rsidRPr="002170AC">
        <w:rPr>
          <w:rFonts w:asciiTheme="minorBidi" w:hAnsiTheme="minorBidi"/>
          <w:i/>
          <w:sz w:val="24"/>
          <w:szCs w:val="24"/>
        </w:rPr>
        <w:t>Understanding Policing and Professional Practice</w:t>
      </w:r>
      <w:r w:rsidRPr="002170AC">
        <w:rPr>
          <w:rFonts w:asciiTheme="minorBidi" w:hAnsiTheme="minorBidi"/>
          <w:sz w:val="24"/>
          <w:szCs w:val="24"/>
        </w:rPr>
        <w:t>, Critical Publishing.</w:t>
      </w:r>
    </w:p>
    <w:p w14:paraId="19A45201"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South Wales Police. n.d. </w:t>
      </w:r>
      <w:r w:rsidRPr="002170AC">
        <w:rPr>
          <w:rFonts w:asciiTheme="minorBidi" w:hAnsiTheme="minorBidi"/>
          <w:i/>
          <w:sz w:val="24"/>
          <w:szCs w:val="24"/>
        </w:rPr>
        <w:t xml:space="preserve">South Wales Police &amp; Crime Plan 2021-25,  EXECUTIVE SUMMARY </w:t>
      </w:r>
      <w:r w:rsidRPr="002170AC">
        <w:rPr>
          <w:rFonts w:asciiTheme="minorBidi" w:hAnsiTheme="minorBidi"/>
          <w:sz w:val="24"/>
          <w:szCs w:val="24"/>
        </w:rPr>
        <w:t xml:space="preserve">[Online]. Available: </w:t>
      </w:r>
      <w:hyperlink r:id="rId18" w:history="1">
        <w:r w:rsidRPr="002170AC">
          <w:rPr>
            <w:rStyle w:val="Hyperlink"/>
            <w:rFonts w:asciiTheme="minorBidi" w:hAnsiTheme="minorBidi"/>
            <w:sz w:val="24"/>
            <w:szCs w:val="24"/>
          </w:rPr>
          <w:t>https://www.apccs.police.uk/media/6362/eng-police-and-crime-plan-2021-25.pdf</w:t>
        </w:r>
      </w:hyperlink>
      <w:r w:rsidRPr="002170AC">
        <w:rPr>
          <w:rFonts w:asciiTheme="minorBidi" w:hAnsiTheme="minorBidi"/>
          <w:sz w:val="24"/>
          <w:szCs w:val="24"/>
        </w:rPr>
        <w:t xml:space="preserve"> [Accessed 17 Dec. 2024].</w:t>
      </w:r>
    </w:p>
    <w:p w14:paraId="4FEA9EBE"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South Wales Police Authority. 1995. </w:t>
      </w:r>
      <w:r w:rsidRPr="002170AC">
        <w:rPr>
          <w:rFonts w:asciiTheme="minorBidi" w:hAnsiTheme="minorBidi"/>
          <w:i/>
          <w:sz w:val="24"/>
          <w:szCs w:val="24"/>
        </w:rPr>
        <w:t xml:space="preserve">LEGACY STATEMENT Forewords and Key Achievements 3 </w:t>
      </w:r>
      <w:r w:rsidRPr="002170AC">
        <w:rPr>
          <w:rFonts w:asciiTheme="minorBidi" w:hAnsiTheme="minorBidi"/>
          <w:sz w:val="24"/>
          <w:szCs w:val="24"/>
        </w:rPr>
        <w:t>[Online]. Available: chrome-extension://efaidnbmnnnibpcajpcglclefindmkaj/</w:t>
      </w:r>
      <w:hyperlink r:id="rId19" w:history="1">
        <w:r w:rsidRPr="002170AC">
          <w:rPr>
            <w:rStyle w:val="Hyperlink"/>
            <w:rFonts w:asciiTheme="minorBidi" w:hAnsiTheme="minorBidi"/>
            <w:sz w:val="24"/>
            <w:szCs w:val="24"/>
          </w:rPr>
          <w:t>https://pcclivewww.blob.core.windows.net/wordpress-uploads/South-Wales-Police-Authority-Legacy-Statement.pdf</w:t>
        </w:r>
      </w:hyperlink>
      <w:r w:rsidRPr="002170AC">
        <w:rPr>
          <w:rFonts w:asciiTheme="minorBidi" w:hAnsiTheme="minorBidi"/>
          <w:sz w:val="24"/>
          <w:szCs w:val="24"/>
        </w:rPr>
        <w:t xml:space="preserve"> [Accessed 23 Dec. 2024].</w:t>
      </w:r>
    </w:p>
    <w:p w14:paraId="76D8C992" w14:textId="77777777" w:rsidR="000E1E24" w:rsidRPr="002170AC" w:rsidRDefault="000E1E24" w:rsidP="000E1E24">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Stosny, S. 2013. </w:t>
      </w:r>
      <w:r w:rsidRPr="002170AC">
        <w:rPr>
          <w:rFonts w:asciiTheme="minorBidi" w:hAnsiTheme="minorBidi"/>
          <w:i/>
          <w:sz w:val="24"/>
          <w:szCs w:val="24"/>
        </w:rPr>
        <w:t xml:space="preserve">The Good and the Bad of Journaling </w:t>
      </w:r>
      <w:r w:rsidRPr="002170AC">
        <w:rPr>
          <w:rFonts w:asciiTheme="minorBidi" w:hAnsiTheme="minorBidi"/>
          <w:sz w:val="24"/>
          <w:szCs w:val="24"/>
        </w:rPr>
        <w:t xml:space="preserve">[Online]. Psychology Today. Available: </w:t>
      </w:r>
      <w:hyperlink r:id="rId20" w:history="1">
        <w:r w:rsidRPr="002170AC">
          <w:rPr>
            <w:rStyle w:val="Hyperlink"/>
            <w:rFonts w:asciiTheme="minorBidi" w:hAnsiTheme="minorBidi"/>
            <w:sz w:val="24"/>
            <w:szCs w:val="24"/>
          </w:rPr>
          <w:t>https://www.psychologytoday.com/gb/blog/anger-in-the-age-entitlement/201309/the-good-and-the-bad-journaling</w:t>
        </w:r>
      </w:hyperlink>
      <w:r w:rsidRPr="002170AC">
        <w:rPr>
          <w:rFonts w:asciiTheme="minorBidi" w:hAnsiTheme="minorBidi"/>
          <w:sz w:val="24"/>
          <w:szCs w:val="24"/>
        </w:rPr>
        <w:t xml:space="preserve"> [Accessed 18 Dec. 2024].</w:t>
      </w:r>
    </w:p>
    <w:p w14:paraId="75B9CB1D" w14:textId="77777777" w:rsidR="000E1E24" w:rsidRPr="002170AC" w:rsidRDefault="000E1E24" w:rsidP="000E1E24">
      <w:pPr>
        <w:pStyle w:val="EndNoteBibliography"/>
        <w:spacing w:line="360" w:lineRule="auto"/>
        <w:ind w:left="720" w:hanging="720"/>
        <w:rPr>
          <w:rFonts w:asciiTheme="minorBidi" w:hAnsiTheme="minorBidi"/>
          <w:sz w:val="24"/>
          <w:szCs w:val="24"/>
        </w:rPr>
      </w:pPr>
      <w:r w:rsidRPr="002170AC">
        <w:rPr>
          <w:rFonts w:asciiTheme="minorBidi" w:hAnsiTheme="minorBidi"/>
          <w:sz w:val="24"/>
          <w:szCs w:val="24"/>
        </w:rPr>
        <w:t xml:space="preserve">Watts, G. &amp; Watts, N. 2021. </w:t>
      </w:r>
      <w:r w:rsidRPr="002170AC">
        <w:rPr>
          <w:rFonts w:asciiTheme="minorBidi" w:hAnsiTheme="minorBidi"/>
          <w:i/>
          <w:sz w:val="24"/>
          <w:szCs w:val="24"/>
        </w:rPr>
        <w:t xml:space="preserve">CPD in the Built Environment, </w:t>
      </w:r>
      <w:r w:rsidRPr="002170AC">
        <w:rPr>
          <w:rFonts w:asciiTheme="minorBidi" w:hAnsiTheme="minorBidi"/>
          <w:sz w:val="24"/>
          <w:szCs w:val="24"/>
        </w:rPr>
        <w:t>Abingdon, Oxon ; New York  Taylor &amp; Francis Group/Routledge.</w:t>
      </w:r>
    </w:p>
    <w:p w14:paraId="6C956688" w14:textId="73B21915" w:rsidR="000E1E24" w:rsidRPr="002170AC" w:rsidRDefault="000E1E24" w:rsidP="000E1E24">
      <w:pPr>
        <w:spacing w:line="360" w:lineRule="auto"/>
        <w:rPr>
          <w:rFonts w:asciiTheme="minorBidi" w:hAnsiTheme="minorBidi"/>
          <w:sz w:val="24"/>
          <w:szCs w:val="24"/>
        </w:rPr>
      </w:pPr>
      <w:r w:rsidRPr="002170AC">
        <w:rPr>
          <w:rFonts w:asciiTheme="minorBidi" w:hAnsiTheme="minorBidi"/>
          <w:sz w:val="24"/>
          <w:szCs w:val="24"/>
        </w:rPr>
        <w:fldChar w:fldCharType="end"/>
      </w:r>
    </w:p>
    <w:p w14:paraId="180C0FF3" w14:textId="6FA5992B" w:rsidR="46EDD448" w:rsidRPr="002170AC" w:rsidRDefault="000E1E24" w:rsidP="4E4E3FA4">
      <w:pPr>
        <w:ind w:left="3600" w:right="107" w:firstLine="720"/>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lastRenderedPageBreak/>
        <w:t>Task 2</w:t>
      </w:r>
    </w:p>
    <w:p w14:paraId="3D2D2A88" w14:textId="6BD37E65" w:rsidR="7DD7F507" w:rsidRPr="002170AC" w:rsidRDefault="7DD7F507" w:rsidP="7DD7F507">
      <w:pPr>
        <w:rPr>
          <w:rFonts w:asciiTheme="minorBidi" w:eastAsia="Arial" w:hAnsiTheme="minorBidi"/>
          <w:b/>
          <w:bCs/>
          <w:sz w:val="24"/>
          <w:szCs w:val="24"/>
        </w:rPr>
      </w:pPr>
    </w:p>
    <w:p w14:paraId="640CBB2B" w14:textId="61567952" w:rsidR="7336895D" w:rsidRPr="002170AC" w:rsidRDefault="010A2EC9" w:rsidP="1329C8D5">
      <w:pPr>
        <w:rPr>
          <w:rFonts w:asciiTheme="minorBidi" w:eastAsia="Arial" w:hAnsiTheme="minorBidi"/>
          <w:b/>
          <w:bCs/>
          <w:i/>
          <w:iCs/>
          <w:sz w:val="24"/>
          <w:szCs w:val="24"/>
        </w:rPr>
      </w:pPr>
      <w:r w:rsidRPr="002170AC">
        <w:rPr>
          <w:rFonts w:asciiTheme="minorBidi" w:eastAsia="Arial" w:hAnsiTheme="minorBidi"/>
          <w:b/>
          <w:bCs/>
          <w:i/>
          <w:iCs/>
          <w:sz w:val="24"/>
          <w:szCs w:val="24"/>
        </w:rPr>
        <w:t xml:space="preserve">Task 2: </w:t>
      </w:r>
      <w:r w:rsidR="28E71A26" w:rsidRPr="002170AC">
        <w:rPr>
          <w:rFonts w:asciiTheme="minorBidi" w:eastAsia="Arial" w:hAnsiTheme="minorBidi"/>
          <w:b/>
          <w:bCs/>
          <w:i/>
          <w:iCs/>
          <w:sz w:val="24"/>
          <w:szCs w:val="24"/>
        </w:rPr>
        <w:t>Investigation Challenges</w:t>
      </w:r>
    </w:p>
    <w:p w14:paraId="2A30A3F0" w14:textId="128EA37F" w:rsidR="7336895D" w:rsidRPr="002170AC" w:rsidRDefault="1EA28BE6" w:rsidP="1329C8D5">
      <w:pPr>
        <w:rPr>
          <w:rFonts w:asciiTheme="minorBidi" w:eastAsia="Arial" w:hAnsiTheme="minorBidi"/>
          <w:sz w:val="24"/>
          <w:szCs w:val="24"/>
        </w:rPr>
      </w:pPr>
      <w:r w:rsidRPr="002170AC">
        <w:rPr>
          <w:rFonts w:asciiTheme="minorBidi" w:eastAsia="Arial" w:hAnsiTheme="minorBidi"/>
          <w:sz w:val="24"/>
          <w:szCs w:val="24"/>
        </w:rPr>
        <w:t>You must choose a serious and complex investigation in which you played a sig</w:t>
      </w:r>
      <w:r w:rsidR="54A7A6DA" w:rsidRPr="002170AC">
        <w:rPr>
          <w:rFonts w:asciiTheme="minorBidi" w:eastAsia="Arial" w:hAnsiTheme="minorBidi"/>
          <w:sz w:val="24"/>
          <w:szCs w:val="24"/>
        </w:rPr>
        <w:t>nificant</w:t>
      </w:r>
      <w:r w:rsidRPr="002170AC">
        <w:rPr>
          <w:rFonts w:asciiTheme="minorBidi" w:eastAsia="Arial" w:hAnsiTheme="minorBidi"/>
          <w:sz w:val="24"/>
          <w:szCs w:val="24"/>
        </w:rPr>
        <w:t xml:space="preserve"> role and reflect upon what happened. </w:t>
      </w:r>
    </w:p>
    <w:tbl>
      <w:tblPr>
        <w:tblStyle w:val="TableGrid"/>
        <w:tblW w:w="0" w:type="auto"/>
        <w:tblLayout w:type="fixed"/>
        <w:tblLook w:val="06A0" w:firstRow="1" w:lastRow="0" w:firstColumn="1" w:lastColumn="0" w:noHBand="1" w:noVBand="1"/>
      </w:tblPr>
      <w:tblGrid>
        <w:gridCol w:w="9015"/>
      </w:tblGrid>
      <w:tr w:rsidR="7336895D" w:rsidRPr="002170AC" w14:paraId="377E1D5D" w14:textId="77777777" w:rsidTr="799553ED">
        <w:tc>
          <w:tcPr>
            <w:tcW w:w="9015" w:type="dxa"/>
          </w:tcPr>
          <w:p w14:paraId="77EB8991" w14:textId="1C7BACBC" w:rsidR="7336895D" w:rsidRPr="002170AC" w:rsidRDefault="7336895D" w:rsidP="7336895D">
            <w:pPr>
              <w:rPr>
                <w:rFonts w:asciiTheme="minorBidi" w:eastAsia="Arial" w:hAnsiTheme="minorBidi"/>
                <w:b/>
                <w:bCs/>
                <w:color w:val="000000" w:themeColor="text1"/>
                <w:sz w:val="24"/>
                <w:szCs w:val="24"/>
              </w:rPr>
            </w:pPr>
          </w:p>
          <w:p w14:paraId="5B7D7E98" w14:textId="307771C5" w:rsidR="7336895D" w:rsidRPr="002170AC" w:rsidRDefault="4A0A416C" w:rsidP="7DD7F507">
            <w:pPr>
              <w:ind w:right="237"/>
              <w:jc w:val="both"/>
              <w:rPr>
                <w:rFonts w:asciiTheme="minorBidi" w:eastAsia="Arial" w:hAnsiTheme="minorBidi"/>
                <w:sz w:val="24"/>
                <w:szCs w:val="24"/>
              </w:rPr>
            </w:pPr>
            <w:r w:rsidRPr="002170AC">
              <w:rPr>
                <w:rFonts w:asciiTheme="minorBidi" w:eastAsia="Arial" w:hAnsiTheme="minorBidi"/>
                <w:b/>
                <w:bCs/>
                <w:color w:val="000000" w:themeColor="text1"/>
                <w:sz w:val="24"/>
                <w:szCs w:val="24"/>
              </w:rPr>
              <w:t xml:space="preserve">2a. </w:t>
            </w:r>
            <w:r w:rsidR="06A32601" w:rsidRPr="002170AC">
              <w:rPr>
                <w:rFonts w:asciiTheme="minorBidi" w:eastAsia="Arial" w:hAnsiTheme="minorBidi"/>
                <w:b/>
                <w:bCs/>
                <w:color w:val="000000" w:themeColor="text1"/>
                <w:sz w:val="24"/>
                <w:szCs w:val="24"/>
              </w:rPr>
              <w:t>Give a brief description</w:t>
            </w:r>
            <w:r w:rsidR="06A32601" w:rsidRPr="002170AC">
              <w:rPr>
                <w:rFonts w:asciiTheme="minorBidi" w:eastAsia="Arial" w:hAnsiTheme="minorBidi"/>
                <w:color w:val="000000" w:themeColor="text1"/>
                <w:sz w:val="24"/>
                <w:szCs w:val="24"/>
              </w:rPr>
              <w:t xml:space="preserve"> of the </w:t>
            </w:r>
            <w:r w:rsidR="38BB7493" w:rsidRPr="002170AC">
              <w:rPr>
                <w:rFonts w:asciiTheme="minorBidi" w:eastAsia="Arial" w:hAnsiTheme="minorBidi"/>
                <w:color w:val="000000" w:themeColor="text1"/>
                <w:sz w:val="24"/>
                <w:szCs w:val="24"/>
              </w:rPr>
              <w:t>investigation</w:t>
            </w:r>
            <w:r w:rsidR="06A32601" w:rsidRPr="002170AC">
              <w:rPr>
                <w:rFonts w:asciiTheme="minorBidi" w:eastAsia="Arial" w:hAnsiTheme="minorBidi"/>
                <w:color w:val="000000" w:themeColor="text1"/>
                <w:sz w:val="24"/>
                <w:szCs w:val="24"/>
              </w:rPr>
              <w:t xml:space="preserve"> including social and legislative contexts and any relevant cultural, ethnicity and language issues. </w:t>
            </w:r>
            <w:r w:rsidR="06A32601" w:rsidRPr="002170AC">
              <w:rPr>
                <w:rFonts w:asciiTheme="minorBidi" w:eastAsia="Arial" w:hAnsiTheme="minorBidi"/>
                <w:sz w:val="24"/>
                <w:szCs w:val="24"/>
              </w:rPr>
              <w:t xml:space="preserve"> </w:t>
            </w:r>
          </w:p>
          <w:p w14:paraId="2A0EC8D3" w14:textId="4FDE4D25" w:rsidR="7336895D" w:rsidRPr="002170AC" w:rsidRDefault="7336895D" w:rsidP="03DEED5D">
            <w:pPr>
              <w:rPr>
                <w:rFonts w:asciiTheme="minorBidi" w:eastAsia="Arial" w:hAnsiTheme="minorBidi"/>
                <w:b/>
                <w:bCs/>
                <w:color w:val="000000" w:themeColor="text1"/>
                <w:sz w:val="24"/>
                <w:szCs w:val="24"/>
              </w:rPr>
            </w:pPr>
          </w:p>
          <w:p w14:paraId="3F7FC78A" w14:textId="53371C85" w:rsidR="05E3B04D" w:rsidRPr="002170AC" w:rsidRDefault="05E3B04D" w:rsidP="799553ED">
            <w:pPr>
              <w:rPr>
                <w:rFonts w:asciiTheme="minorBidi" w:eastAsia="Arial" w:hAnsiTheme="minorBidi"/>
                <w:color w:val="000000" w:themeColor="text1"/>
                <w:sz w:val="24"/>
                <w:szCs w:val="24"/>
              </w:rPr>
            </w:pPr>
            <w:r w:rsidRPr="002170AC">
              <w:rPr>
                <w:rFonts w:asciiTheme="minorBidi" w:eastAsia="Arial" w:hAnsiTheme="minorBidi"/>
                <w:b/>
                <w:bCs/>
                <w:color w:val="000000" w:themeColor="text1"/>
                <w:sz w:val="24"/>
                <w:szCs w:val="24"/>
              </w:rPr>
              <w:t xml:space="preserve">2b </w:t>
            </w:r>
            <w:r w:rsidRPr="002170AC">
              <w:rPr>
                <w:rFonts w:asciiTheme="minorBidi" w:eastAsia="Arial" w:hAnsiTheme="minorBidi"/>
                <w:color w:val="000000" w:themeColor="text1"/>
                <w:sz w:val="24"/>
                <w:szCs w:val="24"/>
              </w:rPr>
              <w:t>Critically evaluate</w:t>
            </w:r>
            <w:r w:rsidRPr="002170AC">
              <w:rPr>
                <w:rFonts w:asciiTheme="minorBidi" w:eastAsia="Arial" w:hAnsiTheme="minorBidi"/>
                <w:b/>
                <w:bCs/>
                <w:color w:val="000000" w:themeColor="text1"/>
                <w:sz w:val="24"/>
                <w:szCs w:val="24"/>
              </w:rPr>
              <w:t xml:space="preserve"> </w:t>
            </w:r>
            <w:r w:rsidRPr="002170AC">
              <w:rPr>
                <w:rFonts w:asciiTheme="minorBidi" w:eastAsia="Arial" w:hAnsiTheme="minorBidi"/>
                <w:color w:val="000000" w:themeColor="text1"/>
                <w:sz w:val="24"/>
                <w:szCs w:val="24"/>
              </w:rPr>
              <w:t>the challenges associated with the investigation and the actions you took to effectively deal with such challeng</w:t>
            </w:r>
            <w:r w:rsidR="7B0A393B" w:rsidRPr="002170AC">
              <w:rPr>
                <w:rFonts w:asciiTheme="minorBidi" w:eastAsia="Arial" w:hAnsiTheme="minorBidi"/>
                <w:color w:val="000000" w:themeColor="text1"/>
                <w:sz w:val="24"/>
                <w:szCs w:val="24"/>
              </w:rPr>
              <w:t>es</w:t>
            </w:r>
            <w:r w:rsidRPr="002170AC">
              <w:rPr>
                <w:rFonts w:asciiTheme="minorBidi" w:eastAsia="Arial" w:hAnsiTheme="minorBidi"/>
                <w:color w:val="000000" w:themeColor="text1"/>
                <w:sz w:val="24"/>
                <w:szCs w:val="24"/>
              </w:rPr>
              <w:t>.</w:t>
            </w:r>
          </w:p>
          <w:p w14:paraId="405C5C7A" w14:textId="5442D236" w:rsidR="799553ED" w:rsidRPr="002170AC" w:rsidRDefault="799553ED" w:rsidP="799553ED">
            <w:pPr>
              <w:rPr>
                <w:rFonts w:asciiTheme="minorBidi" w:eastAsia="Arial" w:hAnsiTheme="minorBidi"/>
                <w:color w:val="000000" w:themeColor="text1"/>
                <w:sz w:val="24"/>
                <w:szCs w:val="24"/>
              </w:rPr>
            </w:pPr>
          </w:p>
          <w:p w14:paraId="6308EF80" w14:textId="6D575F9F" w:rsidR="7336895D" w:rsidRPr="002170AC" w:rsidRDefault="6E08C16E" w:rsidP="329D81C7">
            <w:pPr>
              <w:rPr>
                <w:rFonts w:asciiTheme="minorBidi" w:eastAsia="Arial" w:hAnsiTheme="minorBidi"/>
                <w:color w:val="000000" w:themeColor="text1"/>
                <w:sz w:val="24"/>
                <w:szCs w:val="24"/>
              </w:rPr>
            </w:pPr>
            <w:r w:rsidRPr="002170AC">
              <w:rPr>
                <w:rFonts w:asciiTheme="minorBidi" w:eastAsia="Arial" w:hAnsiTheme="minorBidi"/>
                <w:color w:val="000000" w:themeColor="text1"/>
                <w:sz w:val="24"/>
                <w:szCs w:val="24"/>
              </w:rPr>
              <w:t>2</w:t>
            </w:r>
            <w:r w:rsidR="10A808F5" w:rsidRPr="002170AC">
              <w:rPr>
                <w:rFonts w:asciiTheme="minorBidi" w:eastAsia="Arial" w:hAnsiTheme="minorBidi"/>
                <w:color w:val="000000" w:themeColor="text1"/>
                <w:sz w:val="24"/>
                <w:szCs w:val="24"/>
              </w:rPr>
              <w:t>b</w:t>
            </w:r>
            <w:r w:rsidRPr="002170AC">
              <w:rPr>
                <w:rFonts w:asciiTheme="minorBidi" w:eastAsia="Arial" w:hAnsiTheme="minorBidi"/>
                <w:color w:val="000000" w:themeColor="text1"/>
                <w:sz w:val="24"/>
                <w:szCs w:val="24"/>
              </w:rPr>
              <w:t xml:space="preserve">. </w:t>
            </w:r>
            <w:r w:rsidR="0F297BE4" w:rsidRPr="002170AC">
              <w:rPr>
                <w:rFonts w:asciiTheme="minorBidi" w:eastAsia="Arial" w:hAnsiTheme="minorBidi"/>
                <w:color w:val="000000" w:themeColor="text1"/>
                <w:sz w:val="24"/>
                <w:szCs w:val="24"/>
              </w:rPr>
              <w:t xml:space="preserve">Critically reflect on </w:t>
            </w:r>
            <w:r w:rsidR="16CD0206" w:rsidRPr="002170AC">
              <w:rPr>
                <w:rFonts w:asciiTheme="minorBidi" w:eastAsia="Arial" w:hAnsiTheme="minorBidi"/>
                <w:color w:val="000000" w:themeColor="text1"/>
                <w:sz w:val="24"/>
                <w:szCs w:val="24"/>
              </w:rPr>
              <w:t xml:space="preserve">your thinking, </w:t>
            </w:r>
            <w:r w:rsidR="05B55FD9" w:rsidRPr="002170AC">
              <w:rPr>
                <w:rFonts w:asciiTheme="minorBidi" w:eastAsia="Arial" w:hAnsiTheme="minorBidi"/>
                <w:color w:val="000000" w:themeColor="text1"/>
                <w:sz w:val="24"/>
                <w:szCs w:val="24"/>
              </w:rPr>
              <w:t>analysis</w:t>
            </w:r>
            <w:r w:rsidR="6ED9F74E" w:rsidRPr="002170AC">
              <w:rPr>
                <w:rFonts w:asciiTheme="minorBidi" w:eastAsia="Arial" w:hAnsiTheme="minorBidi"/>
                <w:color w:val="000000" w:themeColor="text1"/>
                <w:sz w:val="24"/>
                <w:szCs w:val="24"/>
              </w:rPr>
              <w:t xml:space="preserve">, </w:t>
            </w:r>
            <w:r w:rsidR="16CD0206" w:rsidRPr="002170AC">
              <w:rPr>
                <w:rFonts w:asciiTheme="minorBidi" w:eastAsia="Arial" w:hAnsiTheme="minorBidi"/>
                <w:color w:val="000000" w:themeColor="text1"/>
                <w:sz w:val="24"/>
                <w:szCs w:val="24"/>
              </w:rPr>
              <w:t xml:space="preserve">evaluation of </w:t>
            </w:r>
            <w:r w:rsidR="22199504" w:rsidRPr="002170AC">
              <w:rPr>
                <w:rFonts w:asciiTheme="minorBidi" w:eastAsia="Arial" w:hAnsiTheme="minorBidi"/>
                <w:color w:val="000000" w:themeColor="text1"/>
                <w:sz w:val="24"/>
                <w:szCs w:val="24"/>
              </w:rPr>
              <w:t xml:space="preserve">any </w:t>
            </w:r>
            <w:r w:rsidR="16CD0206" w:rsidRPr="002170AC">
              <w:rPr>
                <w:rFonts w:asciiTheme="minorBidi" w:eastAsia="Arial" w:hAnsiTheme="minorBidi"/>
                <w:color w:val="000000" w:themeColor="text1"/>
                <w:sz w:val="24"/>
                <w:szCs w:val="24"/>
              </w:rPr>
              <w:t>assumptions</w:t>
            </w:r>
            <w:r w:rsidR="201ED1BA" w:rsidRPr="002170AC">
              <w:rPr>
                <w:rFonts w:asciiTheme="minorBidi" w:eastAsia="Arial" w:hAnsiTheme="minorBidi"/>
                <w:color w:val="000000" w:themeColor="text1"/>
                <w:sz w:val="24"/>
                <w:szCs w:val="24"/>
              </w:rPr>
              <w:t xml:space="preserve"> or</w:t>
            </w:r>
            <w:r w:rsidR="69C1DB61" w:rsidRPr="002170AC">
              <w:rPr>
                <w:rFonts w:asciiTheme="minorBidi" w:eastAsia="Arial" w:hAnsiTheme="minorBidi"/>
                <w:color w:val="000000" w:themeColor="text1"/>
                <w:sz w:val="24"/>
                <w:szCs w:val="24"/>
              </w:rPr>
              <w:t xml:space="preserve"> generalisations </w:t>
            </w:r>
            <w:r w:rsidR="3453F1AC" w:rsidRPr="002170AC">
              <w:rPr>
                <w:rFonts w:asciiTheme="minorBidi" w:eastAsia="Arial" w:hAnsiTheme="minorBidi"/>
                <w:color w:val="000000" w:themeColor="text1"/>
                <w:sz w:val="24"/>
                <w:szCs w:val="24"/>
              </w:rPr>
              <w:t xml:space="preserve">that had an impact on how you dealt with the investigation and/or how you </w:t>
            </w:r>
            <w:r w:rsidR="69C1DB61" w:rsidRPr="002170AC">
              <w:rPr>
                <w:rFonts w:asciiTheme="minorBidi" w:eastAsia="Arial" w:hAnsiTheme="minorBidi"/>
                <w:color w:val="000000" w:themeColor="text1"/>
                <w:sz w:val="24"/>
                <w:szCs w:val="24"/>
              </w:rPr>
              <w:t xml:space="preserve">communicated your conclusions to </w:t>
            </w:r>
            <w:r w:rsidR="5F3220B8" w:rsidRPr="002170AC">
              <w:rPr>
                <w:rFonts w:asciiTheme="minorBidi" w:eastAsia="Arial" w:hAnsiTheme="minorBidi"/>
                <w:color w:val="000000" w:themeColor="text1"/>
                <w:sz w:val="24"/>
                <w:szCs w:val="24"/>
              </w:rPr>
              <w:t xml:space="preserve">others </w:t>
            </w:r>
            <w:r w:rsidR="3BC0FD3A" w:rsidRPr="002170AC">
              <w:rPr>
                <w:rFonts w:asciiTheme="minorBidi" w:eastAsia="Arial" w:hAnsiTheme="minorBidi"/>
                <w:color w:val="000000" w:themeColor="text1"/>
                <w:sz w:val="24"/>
                <w:szCs w:val="24"/>
              </w:rPr>
              <w:t>(e.g.</w:t>
            </w:r>
            <w:r w:rsidR="5F3220B8" w:rsidRPr="002170AC">
              <w:rPr>
                <w:rFonts w:asciiTheme="minorBidi" w:eastAsia="Arial" w:hAnsiTheme="minorBidi"/>
                <w:color w:val="000000" w:themeColor="text1"/>
                <w:sz w:val="24"/>
                <w:szCs w:val="24"/>
              </w:rPr>
              <w:t xml:space="preserve"> senior officers, </w:t>
            </w:r>
            <w:r w:rsidR="69C1DB61" w:rsidRPr="002170AC">
              <w:rPr>
                <w:rFonts w:asciiTheme="minorBidi" w:eastAsia="Arial" w:hAnsiTheme="minorBidi"/>
                <w:color w:val="000000" w:themeColor="text1"/>
                <w:sz w:val="24"/>
                <w:szCs w:val="24"/>
              </w:rPr>
              <w:t>spe</w:t>
            </w:r>
            <w:r w:rsidR="16E13BDC" w:rsidRPr="002170AC">
              <w:rPr>
                <w:rFonts w:asciiTheme="minorBidi" w:eastAsia="Arial" w:hAnsiTheme="minorBidi"/>
                <w:color w:val="000000" w:themeColor="text1"/>
                <w:sz w:val="24"/>
                <w:szCs w:val="24"/>
              </w:rPr>
              <w:t>cialis</w:t>
            </w:r>
            <w:r w:rsidR="69C1DB61" w:rsidRPr="002170AC">
              <w:rPr>
                <w:rFonts w:asciiTheme="minorBidi" w:eastAsia="Arial" w:hAnsiTheme="minorBidi"/>
                <w:color w:val="000000" w:themeColor="text1"/>
                <w:sz w:val="24"/>
                <w:szCs w:val="24"/>
              </w:rPr>
              <w:t xml:space="preserve">t and </w:t>
            </w:r>
            <w:r w:rsidR="715BD7B6" w:rsidRPr="002170AC">
              <w:rPr>
                <w:rFonts w:asciiTheme="minorBidi" w:eastAsia="Arial" w:hAnsiTheme="minorBidi"/>
                <w:color w:val="000000" w:themeColor="text1"/>
                <w:sz w:val="24"/>
                <w:szCs w:val="24"/>
              </w:rPr>
              <w:t>non-specialist</w:t>
            </w:r>
            <w:r w:rsidR="7C7F9138" w:rsidRPr="002170AC">
              <w:rPr>
                <w:rFonts w:asciiTheme="minorBidi" w:eastAsia="Arial" w:hAnsiTheme="minorBidi"/>
                <w:color w:val="000000" w:themeColor="text1"/>
                <w:sz w:val="24"/>
                <w:szCs w:val="24"/>
              </w:rPr>
              <w:t xml:space="preserve"> </w:t>
            </w:r>
            <w:r w:rsidR="30586C1C" w:rsidRPr="002170AC">
              <w:rPr>
                <w:rFonts w:asciiTheme="minorBidi" w:eastAsia="Arial" w:hAnsiTheme="minorBidi"/>
                <w:color w:val="000000" w:themeColor="text1"/>
                <w:sz w:val="24"/>
                <w:szCs w:val="24"/>
              </w:rPr>
              <w:t>investigators/departments</w:t>
            </w:r>
            <w:r w:rsidR="01800419" w:rsidRPr="002170AC">
              <w:rPr>
                <w:rFonts w:asciiTheme="minorBidi" w:eastAsia="Arial" w:hAnsiTheme="minorBidi"/>
                <w:color w:val="000000" w:themeColor="text1"/>
                <w:sz w:val="24"/>
                <w:szCs w:val="24"/>
              </w:rPr>
              <w:t xml:space="preserve"> etc.).</w:t>
            </w:r>
          </w:p>
          <w:p w14:paraId="3581A5A9" w14:textId="4571C8BC" w:rsidR="03DEED5D" w:rsidRPr="002170AC" w:rsidRDefault="03DEED5D" w:rsidP="03DEED5D">
            <w:pPr>
              <w:rPr>
                <w:rFonts w:asciiTheme="minorBidi" w:eastAsia="Arial" w:hAnsiTheme="minorBidi"/>
                <w:color w:val="000000" w:themeColor="text1"/>
                <w:sz w:val="24"/>
                <w:szCs w:val="24"/>
              </w:rPr>
            </w:pPr>
          </w:p>
          <w:p w14:paraId="3F6AF353" w14:textId="372B94E9" w:rsidR="03DEED5D" w:rsidRPr="002170AC" w:rsidRDefault="03DEED5D" w:rsidP="03DEED5D">
            <w:pPr>
              <w:rPr>
                <w:rFonts w:asciiTheme="minorBidi" w:eastAsia="Arial" w:hAnsiTheme="minorBidi"/>
                <w:color w:val="000000" w:themeColor="text1"/>
                <w:sz w:val="24"/>
                <w:szCs w:val="24"/>
              </w:rPr>
            </w:pPr>
          </w:p>
          <w:p w14:paraId="517D5725" w14:textId="763BA0DA" w:rsidR="7336895D" w:rsidRPr="002170AC" w:rsidRDefault="7336895D" w:rsidP="7336895D">
            <w:pPr>
              <w:rPr>
                <w:rFonts w:asciiTheme="minorBidi" w:eastAsia="Arial" w:hAnsiTheme="minorBidi"/>
                <w:b/>
                <w:bCs/>
                <w:color w:val="000000" w:themeColor="text1"/>
                <w:sz w:val="24"/>
                <w:szCs w:val="24"/>
              </w:rPr>
            </w:pPr>
          </w:p>
          <w:p w14:paraId="46D1E276" w14:textId="18E33863" w:rsidR="7336895D" w:rsidRPr="002170AC" w:rsidRDefault="0A5122EB" w:rsidP="03DEED5D">
            <w:pPr>
              <w:rPr>
                <w:rFonts w:asciiTheme="minorBidi" w:eastAsia="Arial" w:hAnsiTheme="minorBidi"/>
                <w:sz w:val="24"/>
                <w:szCs w:val="24"/>
              </w:rPr>
            </w:pPr>
            <w:r w:rsidRPr="002170AC">
              <w:rPr>
                <w:rFonts w:asciiTheme="minorBidi" w:eastAsia="Arial" w:hAnsiTheme="minorBidi"/>
                <w:b/>
                <w:bCs/>
                <w:color w:val="000000" w:themeColor="text1"/>
                <w:sz w:val="24"/>
                <w:szCs w:val="24"/>
              </w:rPr>
              <w:t>2000 words</w:t>
            </w:r>
            <w:r w:rsidRPr="002170AC">
              <w:rPr>
                <w:rFonts w:asciiTheme="minorBidi" w:eastAsia="Arial" w:hAnsiTheme="minorBidi"/>
                <w:color w:val="000000" w:themeColor="text1"/>
                <w:sz w:val="24"/>
                <w:szCs w:val="24"/>
              </w:rPr>
              <w:t xml:space="preserve"> </w:t>
            </w:r>
            <w:r w:rsidRPr="002170AC">
              <w:rPr>
                <w:rFonts w:asciiTheme="minorBidi" w:eastAsia="Arial" w:hAnsiTheme="minorBidi"/>
                <w:i/>
                <w:iCs/>
                <w:color w:val="000000" w:themeColor="text1"/>
                <w:sz w:val="24"/>
                <w:szCs w:val="24"/>
              </w:rPr>
              <w:t>(+/- 10%: include your actual word count at the end of each section)</w:t>
            </w:r>
          </w:p>
          <w:p w14:paraId="33BEFD48" w14:textId="6AFBAA09" w:rsidR="7336895D" w:rsidRPr="002170AC" w:rsidRDefault="7336895D" w:rsidP="799553ED">
            <w:pPr>
              <w:rPr>
                <w:rFonts w:asciiTheme="minorBidi" w:eastAsia="Arial" w:hAnsiTheme="minorBidi"/>
                <w:b/>
                <w:bCs/>
                <w:color w:val="000000" w:themeColor="text1"/>
                <w:sz w:val="24"/>
                <w:szCs w:val="24"/>
              </w:rPr>
            </w:pPr>
          </w:p>
        </w:tc>
      </w:tr>
    </w:tbl>
    <w:p w14:paraId="3EC961EA" w14:textId="073F4DE0" w:rsidR="1329C8D5" w:rsidRPr="002170AC" w:rsidRDefault="1329C8D5" w:rsidP="1D7E7DB7">
      <w:pPr>
        <w:ind w:left="3600" w:right="107"/>
        <w:jc w:val="both"/>
        <w:rPr>
          <w:rFonts w:asciiTheme="minorBidi" w:eastAsia="Arial" w:hAnsiTheme="minorBidi"/>
          <w:b/>
          <w:bCs/>
          <w:color w:val="000000" w:themeColor="text1"/>
          <w:sz w:val="24"/>
          <w:szCs w:val="24"/>
        </w:rPr>
      </w:pPr>
    </w:p>
    <w:p w14:paraId="5B567E8D" w14:textId="77777777" w:rsidR="002170AC" w:rsidRPr="002170AC" w:rsidRDefault="002170AC" w:rsidP="002170AC">
      <w:pPr>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t>Answer:</w:t>
      </w:r>
    </w:p>
    <w:p w14:paraId="1AF098D5"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Background</w:t>
      </w:r>
    </w:p>
    <w:p w14:paraId="1B23D762"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In 2022, my team and I embarked on a multi-agency investigation codenamed Operation Shotton, focusing on an organised crime group (OCG) suspected of recruiting and trafficking children for drug dealing. The offences under investigation were conspiracy to supply Class A controlled drugs as defined by </w:t>
      </w:r>
      <w:r w:rsidRPr="002170AC">
        <w:rPr>
          <w:rFonts w:asciiTheme="minorBidi" w:hAnsiTheme="minorBidi"/>
          <w:i/>
          <w:iCs/>
          <w:sz w:val="24"/>
          <w:szCs w:val="24"/>
        </w:rPr>
        <w:t xml:space="preserve">Section 1 of the </w:t>
      </w:r>
      <w:r w:rsidRPr="002170AC">
        <w:rPr>
          <w:rFonts w:asciiTheme="minorBidi" w:hAnsiTheme="minorBidi"/>
          <w:i/>
          <w:iCs/>
          <w:sz w:val="24"/>
          <w:szCs w:val="24"/>
        </w:rPr>
        <w:fldChar w:fldCharType="begin"/>
      </w:r>
      <w:r w:rsidRPr="002170AC">
        <w:rPr>
          <w:rFonts w:asciiTheme="minorBidi" w:hAnsiTheme="minorBidi"/>
          <w:i/>
          <w:iCs/>
          <w:sz w:val="24"/>
          <w:szCs w:val="24"/>
        </w:rPr>
        <w:instrText xml:space="preserve"> ADDIN EN.CITE &lt;EndNote&gt;&lt;Cite&gt;&lt;RecNum&gt;24&lt;/RecNum&gt;&lt;DisplayText&gt;(&lt;style face="italic"&gt;Criminal Law Act 1977&lt;/style&gt;)&lt;/DisplayText&gt;&lt;record&gt;&lt;rec-number&gt;24&lt;/rec-number&gt;&lt;foreign-keys&gt;&lt;key app="EN" db-id="zr0055er0vs0x1evsd5vera60raep290wv95" timestamp="1736095349"&gt;24&lt;/key&gt;&lt;/foreign-keys&gt;&lt;ref-type name="Statute"&gt;31&lt;/ref-type&gt;&lt;contributors&gt;&lt;/contributors&gt;&lt;titles&gt;&lt;title&gt;Criminal Law Act 1977&lt;/title&gt;&lt;/titles&gt;&lt;section&gt;The First Section&lt;/section&gt;&lt;dates&gt;&lt;/dates&gt;&lt;publisher&gt;Legislation.gov.uk. &lt;/publisher&gt;&lt;urls&gt;&lt;related-urls&gt;&lt;url&gt;https://www.legislation.gov.uk/ukpga/1977/45/section/1.&lt;/url&gt;&lt;/related-urls&gt;&lt;/urls&gt;&lt;access-date&gt;29 Dec. 2024&lt;/access-date&gt;&lt;/record&gt;&lt;/Cite&gt;&lt;/EndNote&gt;</w:instrText>
      </w:r>
      <w:r w:rsidRPr="002170AC">
        <w:rPr>
          <w:rFonts w:asciiTheme="minorBidi" w:hAnsiTheme="minorBidi"/>
          <w:i/>
          <w:iCs/>
          <w:sz w:val="24"/>
          <w:szCs w:val="24"/>
        </w:rPr>
        <w:fldChar w:fldCharType="separate"/>
      </w:r>
      <w:r w:rsidRPr="002170AC">
        <w:rPr>
          <w:rFonts w:asciiTheme="minorBidi" w:hAnsiTheme="minorBidi"/>
          <w:i/>
          <w:iCs/>
          <w:noProof/>
          <w:sz w:val="24"/>
          <w:szCs w:val="24"/>
        </w:rPr>
        <w:t>(Criminal Law Act 1977)</w:t>
      </w:r>
      <w:r w:rsidRPr="002170AC">
        <w:rPr>
          <w:rFonts w:asciiTheme="minorBidi" w:hAnsiTheme="minorBidi"/>
          <w:i/>
          <w:iCs/>
          <w:sz w:val="24"/>
          <w:szCs w:val="24"/>
        </w:rPr>
        <w:fldChar w:fldCharType="end"/>
      </w:r>
      <w:r w:rsidRPr="002170AC">
        <w:rPr>
          <w:rFonts w:asciiTheme="minorBidi" w:hAnsiTheme="minorBidi"/>
          <w:sz w:val="24"/>
          <w:szCs w:val="24"/>
        </w:rPr>
        <w:t xml:space="preserve"> and arranging or facilitating the travel of another person with a view to exploitation under </w:t>
      </w:r>
      <w:r w:rsidRPr="002170AC">
        <w:rPr>
          <w:rFonts w:asciiTheme="minorBidi" w:hAnsiTheme="minorBidi"/>
          <w:i/>
          <w:iCs/>
          <w:sz w:val="24"/>
          <w:szCs w:val="24"/>
        </w:rPr>
        <w:t xml:space="preserve">Section 2 of the </w:t>
      </w:r>
      <w:r w:rsidRPr="002170AC">
        <w:rPr>
          <w:rFonts w:asciiTheme="minorBidi" w:hAnsiTheme="minorBidi"/>
          <w:i/>
          <w:iCs/>
          <w:sz w:val="24"/>
          <w:szCs w:val="24"/>
        </w:rPr>
        <w:fldChar w:fldCharType="begin"/>
      </w:r>
      <w:r w:rsidRPr="002170AC">
        <w:rPr>
          <w:rFonts w:asciiTheme="minorBidi" w:hAnsiTheme="minorBidi"/>
          <w:i/>
          <w:iCs/>
          <w:sz w:val="24"/>
          <w:szCs w:val="24"/>
        </w:rPr>
        <w:instrText xml:space="preserve"> ADDIN EN.CITE &lt;EndNote&gt;&lt;Cite&gt;&lt;RecNum&gt;29&lt;/RecNum&gt;&lt;DisplayText&gt;(&lt;style face="italic"&gt;Modern Slavery Act 2015&lt;/style&gt;)&lt;/DisplayText&gt;&lt;record&gt;&lt;rec-number&gt;29&lt;/rec-number&gt;&lt;foreign-keys&gt;&lt;key app="EN" db-id="zr0055er0vs0x1evsd5vera60raep290wv95" timestamp="1736742897"&gt;29&lt;/key&gt;&lt;/foreign-keys&gt;&lt;ref-type name="Statute"&gt;31&lt;/ref-type&gt;&lt;contributors&gt;&lt;/contributors&gt;&lt;titles&gt;&lt;title&gt;Modern Slavery Act 2015&lt;/title&gt;&lt;/titles&gt;&lt;section&gt;The Second Section&lt;/section&gt;&lt;dates&gt;&lt;/dates&gt;&lt;publisher&gt;Legislation.gov.uk. &lt;/publisher&gt;&lt;urls&gt;&lt;related-urls&gt;&lt;url&gt;https://www.legislation.gov.uk/ukpga/2015/30/section/2&lt;/url&gt;&lt;/related-urls&gt;&lt;/urls&gt;&lt;access-date&gt;17 Dec 2024&lt;/access-date&gt;&lt;/record&gt;&lt;/Cite&gt;&lt;/EndNote&gt;</w:instrText>
      </w:r>
      <w:r w:rsidRPr="002170AC">
        <w:rPr>
          <w:rFonts w:asciiTheme="minorBidi" w:hAnsiTheme="minorBidi"/>
          <w:i/>
          <w:iCs/>
          <w:sz w:val="24"/>
          <w:szCs w:val="24"/>
        </w:rPr>
        <w:fldChar w:fldCharType="separate"/>
      </w:r>
      <w:r w:rsidRPr="002170AC">
        <w:rPr>
          <w:rFonts w:asciiTheme="minorBidi" w:hAnsiTheme="minorBidi"/>
          <w:i/>
          <w:iCs/>
          <w:noProof/>
          <w:sz w:val="24"/>
          <w:szCs w:val="24"/>
        </w:rPr>
        <w:t>(Modern Slavery Act 2015)</w:t>
      </w:r>
      <w:r w:rsidRPr="002170AC">
        <w:rPr>
          <w:rFonts w:asciiTheme="minorBidi" w:hAnsiTheme="minorBidi"/>
          <w:i/>
          <w:iCs/>
          <w:sz w:val="24"/>
          <w:szCs w:val="24"/>
        </w:rPr>
        <w:fldChar w:fldCharType="end"/>
      </w:r>
      <w:r w:rsidRPr="002170AC">
        <w:rPr>
          <w:rFonts w:asciiTheme="minorBidi" w:hAnsiTheme="minorBidi"/>
          <w:sz w:val="24"/>
          <w:szCs w:val="24"/>
        </w:rPr>
        <w:t>. The investigation was initiated following the arrest and imprisonment of the OCG's leader in 2021. However, reliable intelligence indicated that despite his incarceration, he continued to be actively involved in drug trafficking and child exploitation criminality while maintaining overall control over his criminal network.</w:t>
      </w:r>
    </w:p>
    <w:p w14:paraId="490A8053"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Challenges</w:t>
      </w:r>
    </w:p>
    <w:p w14:paraId="32E9D30F"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phenomenon of county lines, where OCGs expand their drug trafficking operations into rural or suburban areas by exploiting children and vulnerable adults </w:t>
      </w:r>
      <w:r w:rsidRPr="002170AC">
        <w:rPr>
          <w:rFonts w:asciiTheme="minorBidi" w:hAnsiTheme="minorBidi"/>
          <w:sz w:val="24"/>
          <w:szCs w:val="24"/>
        </w:rPr>
        <w:lastRenderedPageBreak/>
        <w:t xml:space="preserve">as drug couriers, remains a significant challenge in the United Kingdom. A recent Strategic Threat Risk Assessment conducted by the National Police Chiefs Council (NPCC) between April 2023 and March 2024 suggests that county lines are becoming increasingly localised within force boundaries. This trend reflects a shift in the drug distribution strategies employed by criminal networks, as they adapt to operate more effectively within their immediate geographical areas. However, despite this localisation, county lines criminality continues to be closely linked with human trafficking, with OCGs exploiting children and vulnerable individuals for both drug distribution and sexual exploitation purposes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&lt;EndNote&gt;&lt;Cite&gt;&lt;Author&gt;NPCC&lt;/Author&gt;&lt;Year&gt;2024&lt;/Year&gt;&lt;RecNum&gt;13&lt;/RecNum&gt;&lt;DisplayText&gt;(NPCC, 2024)&lt;/DisplayText&gt;&lt;record&gt;&lt;rec-number&gt;13&lt;/rec-number&gt;&lt;foreign-keys&gt;&lt;key app="EN" db-id="zr0055er0vs0x1evsd5vera60raep290wv95" timestamp="1736091910"&gt;13&lt;/key&gt;&lt;/foreign-keys&gt;&lt;ref-type name="Web Page"&gt;12&lt;/ref-type&gt;&lt;contributors&gt;&lt;authors&gt;&lt;author&gt;NPCC&lt;/author&gt;&lt;/authors&gt;&lt;/contributors&gt;&lt;titles&gt;&lt;title&gt;County Lines are changing to become more localised, reveals new County Lines Strategic Threat Risk Assessment&lt;/title&gt;&lt;/titles&gt;&lt;volume&gt;2024&lt;/volume&gt;&lt;number&gt;24 Dec.&lt;/number&gt;&lt;dates&gt;&lt;year&gt;2024&lt;/year&gt;&lt;/dates&gt;&lt;publisher&gt;National Police Chiefs’ Council (NPCC)&lt;/publisher&gt;&lt;urls&gt;&lt;related-urls&gt;&lt;url&gt;https://news.npcc.police.uk/releases/county-lines-are-changing-to-become-more-localised-reveals-new-county-lines-strategic-threat-risk-assessment&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(NPCC, 2024)</w:t>
      </w:r>
      <w:r w:rsidRPr="002170AC">
        <w:rPr>
          <w:rFonts w:asciiTheme="minorBidi" w:hAnsiTheme="minorBidi"/>
          <w:sz w:val="24"/>
          <w:szCs w:val="24"/>
        </w:rPr>
        <w:fldChar w:fldCharType="end"/>
      </w:r>
      <w:r w:rsidRPr="002170AC">
        <w:rPr>
          <w:rFonts w:asciiTheme="minorBidi" w:hAnsiTheme="minorBidi"/>
          <w:sz w:val="24"/>
          <w:szCs w:val="24"/>
        </w:rPr>
        <w:t>.</w:t>
      </w:r>
    </w:p>
    <w:p w14:paraId="4F52B74C"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social and legislative contexts surrounding Operation Shotton are complex and multifaceted. The investigation took place against the backdrop of growing public concern about the impact of county lines on communities across the United Kingdom. The government has introduced various legislative measures to combat this issue, such as the </w:t>
      </w:r>
      <w:r w:rsidRPr="002170AC">
        <w:rPr>
          <w:rFonts w:asciiTheme="minorBidi" w:hAnsiTheme="minorBidi"/>
          <w:i/>
          <w:iCs/>
          <w:sz w:val="24"/>
          <w:szCs w:val="24"/>
        </w:rPr>
        <w:fldChar w:fldCharType="begin"/>
      </w:r>
      <w:r w:rsidRPr="002170AC">
        <w:rPr>
          <w:rFonts w:asciiTheme="minorBidi" w:hAnsiTheme="minorBidi"/>
          <w:i/>
          <w:iCs/>
          <w:sz w:val="24"/>
          <w:szCs w:val="24"/>
        </w:rPr>
        <w:instrText xml:space="preserve"> ADDIN EN.CITE &lt;EndNote&gt;&lt;Cite&gt;&lt;RecNum&gt;29&lt;/RecNum&gt;&lt;DisplayText&gt;(&lt;style face="italic"&gt;Modern Slavery Act 2015&lt;/style&gt;)&lt;/DisplayText&gt;&lt;record&gt;&lt;rec-number&gt;29&lt;/rec-number&gt;&lt;foreign-keys&gt;&lt;key app="EN" db-id="zr0055er0vs0x1evsd5vera60raep290wv95" timestamp="1736742897"&gt;29&lt;/key&gt;&lt;/foreign-keys&gt;&lt;ref-type name="Statute"&gt;31&lt;/ref-type&gt;&lt;contributors&gt;&lt;/contributors&gt;&lt;titles&gt;&lt;title&gt;Modern Slavery Act 2015&lt;/title&gt;&lt;/titles&gt;&lt;section&gt;The Second Section&lt;/section&gt;&lt;dates&gt;&lt;/dates&gt;&lt;publisher&gt;Legislation.gov.uk. &lt;/publisher&gt;&lt;urls&gt;&lt;related-urls&gt;&lt;url&gt;https://www.legislation.gov.uk/ukpga/2015/30/section/2&lt;/url&gt;&lt;/related-urls&gt;&lt;/urls&gt;&lt;access-date&gt;17 Dec 2024&lt;/access-date&gt;&lt;/record&gt;&lt;/Cite&gt;&lt;/EndNote&gt;</w:instrText>
      </w:r>
      <w:r w:rsidRPr="002170AC">
        <w:rPr>
          <w:rFonts w:asciiTheme="minorBidi" w:hAnsiTheme="minorBidi"/>
          <w:i/>
          <w:iCs/>
          <w:sz w:val="24"/>
          <w:szCs w:val="24"/>
        </w:rPr>
        <w:fldChar w:fldCharType="separate"/>
      </w:r>
      <w:r w:rsidRPr="002170AC">
        <w:rPr>
          <w:rFonts w:asciiTheme="minorBidi" w:hAnsiTheme="minorBidi"/>
          <w:i/>
          <w:iCs/>
          <w:noProof/>
          <w:sz w:val="24"/>
          <w:szCs w:val="24"/>
        </w:rPr>
        <w:t>(Modern Slavery Act 2015)</w:t>
      </w:r>
      <w:r w:rsidRPr="002170AC">
        <w:rPr>
          <w:rFonts w:asciiTheme="minorBidi" w:hAnsiTheme="minorBidi"/>
          <w:i/>
          <w:iCs/>
          <w:sz w:val="24"/>
          <w:szCs w:val="24"/>
        </w:rPr>
        <w:fldChar w:fldCharType="end"/>
      </w:r>
      <w:r w:rsidRPr="002170AC">
        <w:rPr>
          <w:rFonts w:asciiTheme="minorBidi" w:hAnsiTheme="minorBidi"/>
          <w:sz w:val="24"/>
          <w:szCs w:val="24"/>
        </w:rPr>
        <w:t>, which provides a framework for protecting victims and prosecuting perpetrators of human trafficking and exploitation. However, the effectiveness of these measures relies heavily on the ability of law enforcement agencies to navigate the complex social and cultural dynamics that underpin county lines criminality.</w:t>
      </w:r>
    </w:p>
    <w:p w14:paraId="334EB813"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One of the key challenges in investigating county lines and human trafficking criminality is the fact that many of the victims come from marginalised and disadvantaged backgrounds. These individuals often face a range of social and economic barriers that make them more vulnerable to exploitation by OCGs. 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AuthorYear="1"&gt;&lt;Author&gt;Windle&lt;/Author&gt;&lt;Year&gt;2020&lt;/Year&gt;&lt;RecNum&gt;1&lt;/RecNum&gt;&lt;DisplayText&gt;Windle, Moyle and Coomber (2020)&lt;/DisplayText&gt;&lt;record&gt;&lt;rec-number&gt;1&lt;/rec-number&gt;&lt;foreign-keys&gt;&lt;key app="EN" db-id="zr0055er0vs0x1evsd5vera60raep290wv95" timestamp="1736088369"&gt;1&lt;/key&gt;&lt;/foreign-keys&gt;&lt;ref-type name="Journal Article"&gt;17&lt;/ref-type&gt;&lt;contributors&gt;&lt;authors&gt;&lt;author&gt;Windle, James; &lt;/author&gt;&lt;author&gt;Moyle, Leah&lt;/author&gt;&lt;author&gt;Coomber, Ross&lt;/author&gt;&lt;/authors&gt;&lt;/contributors&gt;&lt;titles&gt;&lt;title&gt;‘Vulnerable’ Kids Going Country: Children and Young People’s Involvement in County Lines Drug Dealing&lt;/title&gt;&lt;secondary-title&gt;Youth Justice&lt;/secondary-title&gt;&lt;/titles&gt;&lt;periodical&gt;&lt;full-title&gt;Youth Justice&lt;/full-title&gt;&lt;/periodical&gt;&lt;pages&gt;64-78&lt;/pages&gt;&lt;volume&gt;20&lt;/volume&gt;&lt;number&gt;1-2&lt;/number&gt;&lt;keywords&gt;&lt;keyword&gt;adverse childhood experiences,county lines,drug dealing,gangs,human trafficking,safeguarding,vulnerable young people&lt;/keyword&gt;&lt;/keywords&gt;&lt;dates&gt;&lt;year&gt;2020&lt;/year&gt;&lt;/dates&gt;&lt;urls&gt;&lt;related-urls&gt;&lt;url&gt;https://journals.sagepub.com/doi/abs/10.1177/1473225420902840&lt;/url&gt;&lt;/related-urls&gt;&lt;/urls&gt;&lt;electronic-resource-num&gt;10.1177/1473225420902840&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Windle, Moyle and Coomber (2020)</w:t>
      </w:r>
      <w:r w:rsidRPr="002170AC">
        <w:rPr>
          <w:rFonts w:asciiTheme="minorBidi" w:hAnsiTheme="minorBidi"/>
          <w:sz w:val="24"/>
          <w:szCs w:val="24"/>
        </w:rPr>
        <w:fldChar w:fldCharType="end"/>
      </w:r>
      <w:r w:rsidRPr="002170AC">
        <w:rPr>
          <w:rFonts w:asciiTheme="minorBidi" w:hAnsiTheme="minorBidi"/>
          <w:sz w:val="24"/>
          <w:szCs w:val="24"/>
        </w:rPr>
        <w:t>, many of the children recruited into county lines come from broken or dysfunctional homes, have a history of abuse or neglect, or struggle with mental health issues or substance abuse problems. These factors can make it difficult for victims to seek help or cooperate with law enforcement, as they may fear retribution from their exploiters or lack trust in the authorities.</w:t>
      </w:r>
    </w:p>
    <w:p w14:paraId="6DF88618"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Furthermore, the cultural diversity of the communities affected by county lines can pose additional challenges for investigators. Some of the victims and perpetrators come from ethnic minority backgrounds and speak languages other than English as their first language. This can create barriers to communication and understanding </w:t>
      </w:r>
      <w:r w:rsidRPr="002170AC">
        <w:rPr>
          <w:rFonts w:asciiTheme="minorBidi" w:hAnsiTheme="minorBidi"/>
          <w:sz w:val="24"/>
          <w:szCs w:val="24"/>
        </w:rPr>
        <w:lastRenderedPageBreak/>
        <w:t xml:space="preserve">and may require specialist resources and expertise to overcome. It is essential that investigators are sensitive to these cultural and linguistic differences and take steps to build trust and rapport with victims and witnesses from diverse backgrounds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&lt;EndNote&gt;&lt;Cite&gt;&lt;Author&gt;Hope&lt;/Author&gt;&lt;Year&gt;2022&lt;/Year&gt;&lt;RecNum&gt;30&lt;/RecNum&gt;&lt;DisplayText&gt;(Hope et al., 2022)&lt;/DisplayText&gt;&lt;record&gt;&lt;rec-number&gt;30&lt;/rec-number&gt;&lt;foreign-keys&gt;&lt;key app="EN" db-id="zr0055er0vs0x1evsd5vera60raep290wv95" timestamp="1736804086"&gt;30&lt;/key&gt;&lt;/foreign-keys&gt;&lt;ref-type name="Journal Article"&gt;17&lt;/ref-type&gt;&lt;contributors&gt;&lt;authors&gt;&lt;author&gt;Hope, Lorraine&lt;/author&gt;&lt;author&gt;Anakwah, Nkansah&lt;/author&gt;&lt;author&gt;Antfolk, Jan&lt;/author&gt;&lt;author&gt;Brubacher, Sonja P.&lt;/author&gt;&lt;author&gt;Flowe, Heather&lt;/author&gt;&lt;author&gt;Gabbert, Fiona&lt;/author&gt;&lt;author&gt;Giebels, Ellen&lt;/author&gt;&lt;author&gt;Kanja, Wangu&lt;/author&gt;&lt;author&gt;Korkman, Julia&lt;/author&gt;&lt;author&gt;Kyo, Akira&lt;/author&gt;&lt;author&gt;Naka, Makiko&lt;/author&gt;&lt;author&gt;Otgaar, Henry&lt;/author&gt;&lt;author&gt;Powell, Martine B.&lt;/author&gt;&lt;author&gt;Selim, Hedayat&lt;/author&gt;&lt;author&gt;Skrifvars, Jenny&lt;/author&gt;&lt;author&gt;Sorkpah, Isaac Kwasi&lt;/author&gt;&lt;author&gt;Sowatey, Emmanuel A.&lt;/author&gt;&lt;author&gt;Steele, Linda C.&lt;/author&gt;&lt;author&gt;Stevens, Laura&lt;/author&gt;&lt;author&gt;Sumampouw, Nathanael E. J.&lt;/author&gt;&lt;author&gt;Taylor, Paul J.&lt;/author&gt;&lt;author&gt;Trevino-Rangel, Javier&lt;/author&gt;&lt;author&gt;van Veldhuizen, Tanja&lt;/author&gt;&lt;author&gt;Wang, Jianqin&lt;/author&gt;&lt;author&gt;Wells, Simon&lt;/author&gt;&lt;author&gt;Anonymous&lt;/author&gt;&lt;/authors&gt;&lt;/contributors&gt;&lt;titles&gt;&lt;title&gt;Urgent issues and prospects at the intersection of culture, memory, and witness interviews: Exploring the challenges for research and practice&lt;/title&gt;&lt;secondary-title&gt;Legal and Criminological Psychology&lt;/secondary-title&gt;&lt;/titles&gt;&lt;periodical&gt;&lt;full-title&gt;Legal and Criminological Psychology&lt;/full-title&gt;&lt;/periodical&gt;&lt;pages&gt;1-31&lt;/pages&gt;&lt;volume&gt;27&lt;/volume&gt;&lt;number&gt;1&lt;/number&gt;&lt;dates&gt;&lt;year&gt;2022&lt;/year&gt;&lt;/dates&gt;&lt;isbn&gt;1355-3259&lt;/isbn&gt;&lt;urls&gt;&lt;related-urls&gt;&lt;url&gt;https://bpspsychub.onlinelibrary.wiley.com/doi/abs/10.1111/lcrp.12202&lt;/url&gt;&lt;/related-urls&gt;&lt;/urls&gt;&lt;electronic-resource-num&gt;https://doi.org/10.1111/lcrp.12202&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(Hope et al., 2022)</w:t>
      </w:r>
      <w:r w:rsidRPr="002170AC">
        <w:rPr>
          <w:rFonts w:asciiTheme="minorBidi" w:hAnsiTheme="minorBidi"/>
          <w:sz w:val="24"/>
          <w:szCs w:val="24"/>
        </w:rPr>
        <w:fldChar w:fldCharType="end"/>
      </w:r>
      <w:r w:rsidRPr="002170AC">
        <w:rPr>
          <w:rFonts w:asciiTheme="minorBidi" w:hAnsiTheme="minorBidi"/>
          <w:sz w:val="24"/>
          <w:szCs w:val="24"/>
        </w:rPr>
        <w:t>.</w:t>
      </w:r>
    </w:p>
    <w:p w14:paraId="723D34B6" w14:textId="010559A8"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Operation Shotton presented a multitude of challenges that required strategic and sensitive handling. One of the primary challenges was dealing with reluctant and terrified trafficking victims, some of whom were unaware of their own exploitation. 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AuthorYear="1"&gt;&lt;Author&gt;Atkinson-Sheppard&lt;/Author&gt;&lt;Year&gt;2023&lt;/Year&gt;&lt;RecNum&gt;2&lt;/RecNum&gt;&lt;DisplayText&gt;Atkinson-Sheppard et al. (2023)&lt;/DisplayText&gt;&lt;record&gt;&lt;rec-number&gt;2&lt;/rec-number&gt;&lt;foreign-keys&gt;&lt;key app="EN" db-id="zr0055er0vs0x1evsd5vera60raep290wv95" timestamp="1736089565"&gt;2&lt;/key&gt;&lt;/foreign-keys&gt;&lt;ref-type name="Journal Article"&gt;17&lt;/ref-type&gt;&lt;contributors&gt;&lt;authors&gt;&lt;author&gt;Atkinson-Sheppard, Sally&lt;/author&gt;&lt;author&gt;Dando, Coral&lt;/author&gt;&lt;author&gt;Ormerod, Tom&lt;/author&gt;&lt;author&gt;Robinson, Bregetta&lt;/author&gt;&lt;/authors&gt;&lt;/contributors&gt;&lt;titles&gt;&lt;title&gt;Coercion and crime: Convergences, divergences and ‘county lines’&lt;/title&gt;&lt;secondary-title&gt;Criminology &amp;amp; Criminal Justice&lt;/secondary-title&gt;&lt;/titles&gt;&lt;periodical&gt;&lt;full-title&gt;Criminology &amp;amp; Criminal Justice&lt;/full-title&gt;&lt;/periodical&gt;&lt;pages&gt;17488958231153981&lt;/pages&gt;&lt;volume&gt;0&lt;/volume&gt;&lt;number&gt;0&lt;/number&gt;&lt;keywords&gt;&lt;keyword&gt;Agency,coercion,county lines,gangs,grooming,organised crime&lt;/keyword&gt;&lt;/keywords&gt;&lt;dates&gt;&lt;year&gt;2023&lt;/year&gt;&lt;/dates&gt;&lt;urls&gt;&lt;related-urls&gt;&lt;url&gt;https://journals.sagepub.com/doi/abs/10.1177/17488958231153981&lt;/url&gt;&lt;/related-urls&gt;&lt;/urls&gt;&lt;electronic-resource-num&gt;10.1177/17488958231153981&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Atkinson-Sheppard et al. (2023)</w:t>
      </w:r>
      <w:r w:rsidRPr="002170AC">
        <w:rPr>
          <w:rFonts w:asciiTheme="minorBidi" w:hAnsiTheme="minorBidi"/>
          <w:sz w:val="24"/>
          <w:szCs w:val="24"/>
        </w:rPr>
        <w:fldChar w:fldCharType="end"/>
      </w:r>
      <w:r w:rsidRPr="002170AC">
        <w:rPr>
          <w:rFonts w:asciiTheme="minorBidi" w:hAnsiTheme="minorBidi"/>
          <w:sz w:val="24"/>
          <w:szCs w:val="24"/>
        </w:rPr>
        <w:t xml:space="preserve">, some victims of trafficking are not even aware that they have been exploited, as they have been manipulated into believing they were helping their traffickers, as they saw them as being their "friends" or "family." Therefore, victims require sensitive handling to encourage their cooperation without re-traumatising them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&lt;EndNote&gt;&lt;Cite&gt;&lt;Author&gt;Derbyshiresab.org.uk&lt;/Author&gt;&lt;Year&gt;n.d.&lt;/Year&gt;&lt;RecNum&gt;14&lt;/RecNum&gt;&lt;DisplayText&gt;(Derbyshiresab.org.uk, n.d.)&lt;/DisplayText&gt;&lt;record&gt;&lt;rec-number&gt;14&lt;/rec-number&gt;&lt;foreign-keys&gt;&lt;key app="EN" db-id="zr0055er0vs0x1evsd5vera60raep290wv95" timestamp="1736092172"&gt;14&lt;/key&gt;&lt;/foreign-keys&gt;&lt;ref-type name="Web Page"&gt;12&lt;/ref-type&gt;&lt;contributors&gt;&lt;authors&gt;&lt;author&gt;Derbyshiresab.org.uk&lt;/author&gt;&lt;/authors&gt;&lt;/contributors&gt;&lt;titles&gt;&lt;title&gt;Trauma-informed practice in safeguarding &lt;/title&gt;&lt;/titles&gt;&lt;volume&gt;2024&lt;/volume&gt;&lt;number&gt;24 Dec.&lt;/number&gt;&lt;dates&gt;&lt;year&gt;n.d.&lt;/year&gt;&lt;/dates&gt;&lt;publisher&gt;Derbyshire Safeguarding Adults Board&lt;/publisher&gt;&lt;urls&gt;&lt;related-urls&gt;&lt;url&gt;https://www.derbyshiresab.org.uk/safeguarding-topics/trauma-informed-practice-in-safeguarding.aspx&lt;/url&gt;&lt;/related-urls&gt;&lt;/urls&gt;&lt;/record&gt;&lt;/Cite&gt;&lt;/EndNote&gt;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(Derbyshiresab.org.uk, n.d.)</w:t>
      </w:r>
      <w:r w:rsidRPr="002170AC">
        <w:rPr>
          <w:rFonts w:asciiTheme="minorBidi" w:hAnsiTheme="minorBidi"/>
          <w:sz w:val="24"/>
          <w:szCs w:val="24"/>
        </w:rPr>
        <w:fldChar w:fldCharType="end"/>
      </w:r>
      <w:r w:rsidRPr="002170AC">
        <w:rPr>
          <w:rFonts w:asciiTheme="minorBidi" w:hAnsiTheme="minorBidi"/>
          <w:sz w:val="24"/>
          <w:szCs w:val="24"/>
        </w:rPr>
        <w:t xml:space="preserve">. Human trafficking organisations report victims are experiencing Stockholm Syndrome, a psychological condition first identified after a 1973 bank robbery in Stockholm, Sweden, where hostages developed emotional bonds with their captors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&lt;EndNote&gt;&lt;Cite&gt;&lt;Author&gt;Namnyak&lt;/Author&gt;&lt;Year&gt;2008&lt;/Year&gt;&lt;RecNum&gt;3&lt;/RecNum&gt;&lt;DisplayText&gt;(Namnyak et al., 2008)&lt;/DisplayText&gt;&lt;record&gt;&lt;rec-number&gt;3&lt;/rec-number&gt;&lt;foreign-keys&gt;&lt;key app="EN" db-id="zr0055er0vs0x1evsd5vera60raep290wv95" timestamp="1736089712"&gt;3&lt;/key&gt;&lt;/foreign-keys&gt;&lt;ref-type name="Journal Article"&gt;17&lt;/ref-type&gt;&lt;contributors&gt;&lt;authors&gt;&lt;author&gt;Namnyak, M.&lt;/author&gt;&lt;author&gt;Tufton, N.&lt;/author&gt;&lt;author&gt;Szekely, R.&lt;/author&gt;&lt;author&gt;Toal, M.&lt;/author&gt;&lt;author&gt;Worboys, S.&lt;/author&gt;&lt;author&gt;Sampson, E. L.&lt;/author&gt;&lt;/authors&gt;&lt;/contributors&gt;&lt;titles&gt;&lt;title&gt;‘Stockholm syndrome’: psychiatric diagnosis or urban myth?&lt;/title&gt;&lt;secondary-title&gt;Acta Psychiatrica Scandinavica&lt;/secondary-title&gt;&lt;/titles&gt;&lt;periodical&gt;&lt;full-title&gt;Acta Psychiatrica Scandinavica&lt;/full-title&gt;&lt;/periodical&gt;&lt;pages&gt;4-11&lt;/pages&gt;&lt;volume&gt;117&lt;/volume&gt;&lt;number&gt;1&lt;/number&gt;&lt;dates&gt;&lt;year&gt;2008&lt;/year&gt;&lt;/dates&gt;&lt;isbn&gt;0001-690X&lt;/isbn&gt;&lt;urls&gt;&lt;related-urls&gt;&lt;url&gt;https://onlinelibrary.wiley.com/doi/abs/10.1111/j.1600-0447.2007.01112.x&lt;/url&gt;&lt;/related-urls&gt;&lt;/urls&gt;&lt;electronic-resource-num&gt;https://doi.org/10.1111/j.1600-0447.2007.01112.x&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(Namnyak et al., 2008)</w:t>
      </w:r>
      <w:r w:rsidRPr="002170AC">
        <w:rPr>
          <w:rFonts w:asciiTheme="minorBidi" w:hAnsiTheme="minorBidi"/>
          <w:sz w:val="24"/>
          <w:szCs w:val="24"/>
        </w:rPr>
        <w:fldChar w:fldCharType="end"/>
      </w:r>
      <w:r w:rsidR="00D25869">
        <w:rPr>
          <w:rFonts w:asciiTheme="minorBidi" w:hAnsiTheme="minorBidi"/>
          <w:sz w:val="24"/>
          <w:szCs w:val="24"/>
        </w:rPr>
        <w:t>.</w:t>
      </w:r>
    </w:p>
    <w:p w14:paraId="311C1CD5" w14:textId="454D3AAD"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AuthorYear="1"&gt;&lt;Author&gt;Namnyak&lt;/Author&gt;&lt;Year&gt;2008&lt;/Year&gt;&lt;RecNum&gt;3&lt;/RecNum&gt;&lt;DisplayText&gt;Namnyak et al. (2008)&lt;/DisplayText&gt;&lt;record&gt;&lt;rec-number&gt;3&lt;/rec-number&gt;&lt;foreign-keys&gt;&lt;key app="EN" db-id="zr0055er0vs0x1evsd5vera60raep290wv95" timestamp="1736089712"&gt;3&lt;/key&gt;&lt;/foreign-keys&gt;&lt;ref-type name="Journal Article"&gt;17&lt;/ref-type&gt;&lt;contributors&gt;&lt;authors&gt;&lt;author&gt;Namnyak, M.&lt;/author&gt;&lt;author&gt;Tufton, N.&lt;/author&gt;&lt;author&gt;Szekely, R.&lt;/author&gt;&lt;author&gt;Toal, M.&lt;/author&gt;&lt;author&gt;Worboys, S.&lt;/author&gt;&lt;author&gt;Sampson, E. L.&lt;/author&gt;&lt;/authors&gt;&lt;/contributors&gt;&lt;titles&gt;&lt;title&gt;‘Stockholm syndrome’: psychiatric diagnosis or urban myth?&lt;/title&gt;&lt;secondary-title&gt;Acta Psychiatrica Scandinavica&lt;/secondary-title&gt;&lt;/titles&gt;&lt;periodical&gt;&lt;full-title&gt;Acta Psychiatrica Scandinavica&lt;/full-title&gt;&lt;/periodical&gt;&lt;pages&gt;4-11&lt;/pages&gt;&lt;volume&gt;117&lt;/volume&gt;&lt;number&gt;1&lt;/number&gt;&lt;dates&gt;&lt;year&gt;2008&lt;/year&gt;&lt;/dates&gt;&lt;isbn&gt;0001-690X&lt;/isbn&gt;&lt;urls&gt;&lt;related-urls&gt;&lt;url&gt;https://onlinelibrary.wiley.com/doi/abs/10.1111/j.1600-0447.2007.01112.x&lt;/url&gt;&lt;/related-urls&gt;&lt;/urls&gt;&lt;electronic-resource-num&gt;https://doi.org/10.1111/j.1600-0447.2007.01112.x&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Namnyak et al. (2008)</w:t>
      </w:r>
      <w:r w:rsidRPr="002170AC">
        <w:rPr>
          <w:rFonts w:asciiTheme="minorBidi" w:hAnsiTheme="minorBidi"/>
          <w:sz w:val="24"/>
          <w:szCs w:val="24"/>
        </w:rPr>
        <w:fldChar w:fldCharType="end"/>
      </w:r>
      <w:r w:rsidRPr="002170AC">
        <w:rPr>
          <w:rFonts w:asciiTheme="minorBidi" w:hAnsiTheme="minorBidi"/>
          <w:sz w:val="24"/>
          <w:szCs w:val="24"/>
        </w:rPr>
        <w:t xml:space="preserve">, Stockholm syndrome is a psychological response where a captive or hostage develops a bond, empathy, or sympathetic identification with their captor. It is named after a 1973 bank robbery in Stockholm, Sweden, during which hostages ultimately ended up defending their captors after being freed.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AuthorYear="1"&gt;&lt;Author&gt;Namnyak&lt;/Author&gt;&lt;Year&gt;2008&lt;/Year&gt;&lt;RecNum&gt;3&lt;/RecNum&gt;&lt;DisplayText&gt;Namnyak et al. (2008)&lt;/DisplayText&gt;&lt;record&gt;&lt;rec-number&gt;3&lt;/rec-number&gt;&lt;foreign-keys&gt;&lt;key app="EN" db-id="zr0055er0vs0x1evsd5vera60raep290wv95" timestamp="1736089712"&gt;3&lt;/key&gt;&lt;/foreign-keys&gt;&lt;ref-type name="Journal Article"&gt;17&lt;/ref-type&gt;&lt;contributors&gt;&lt;authors&gt;&lt;author&gt;Namnyak, M.&lt;/author&gt;&lt;author&gt;Tufton, N.&lt;/author&gt;&lt;author&gt;Szekely, R.&lt;/author&gt;&lt;author&gt;Toal, M.&lt;/author&gt;&lt;author&gt;Worboys, S.&lt;/author&gt;&lt;author&gt;Sampson, E. L.&lt;/author&gt;&lt;/authors&gt;&lt;/contributors&gt;&lt;titles&gt;&lt;title&gt;‘Stockholm syndrome’: psychiatric diagnosis or urban myth?&lt;/title&gt;&lt;secondary-title&gt;Acta Psychiatrica Scandinavica&lt;/secondary-title&gt;&lt;/titles&gt;&lt;periodical&gt;&lt;full-title&gt;Acta Psychiatrica Scandinavica&lt;/full-title&gt;&lt;/periodical&gt;&lt;pages&gt;4-11&lt;/pages&gt;&lt;volume&gt;117&lt;/volume&gt;&lt;number&gt;1&lt;/number&gt;&lt;dates&gt;&lt;year&gt;2008&lt;/year&gt;&lt;/dates&gt;&lt;isbn&gt;0001-690X&lt;/isbn&gt;&lt;urls&gt;&lt;related-urls&gt;&lt;url&gt;https://onlinelibrary.wiley.com/doi/abs/10.1111/j.1600-0447.2007.01112.x&lt;/url&gt;&lt;/related-urls&gt;&lt;/urls&gt;&lt;electronic-resource-num&gt;https://doi.org/10.1111/j.1600-0447.2007.01112.x&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Namnyak et al. (2008)</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article suggests that while the specific "syndrome" label may be debated, victims can still exhibit complex emotional and behavioural responses to captivity, including the development of positive feelings, empathy, or loyalty towards their captors, despite the abusive situation. A reluctance to cooperate with authorities trying to rescue them. Defending or justifying the actions of their captors and minimising or denying the seriousness of their own victimisation. Those types of responses are believed to be coping mechanisms or survival strategies that victims adopt to deal with the trauma and uncertainty of being held hostage or captive.</w:t>
      </w:r>
    </w:p>
    <w:p w14:paraId="1E8AF4D1"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It could be argued that in some cases, children and vulnerable people, especially those from broken/dysfunctional homes, are in fact being held hostage or captive by </w:t>
      </w:r>
      <w:r w:rsidRPr="002170AC">
        <w:rPr>
          <w:rFonts w:asciiTheme="minorBidi" w:hAnsiTheme="minorBidi"/>
          <w:sz w:val="24"/>
          <w:szCs w:val="24"/>
        </w:rPr>
        <w:lastRenderedPageBreak/>
        <w:t>the OCG that recruited them, but they don’t fully understand or realise that they are, especially when it comes to children.</w:t>
      </w:r>
    </w:p>
    <w:p w14:paraId="53DEBCCF"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According to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AuthorYear="1"&gt;&lt;Author&gt;Windle&lt;/Author&gt;&lt;Year&gt;2020&lt;/Year&gt;&lt;RecNum&gt;1&lt;/RecNum&gt;&lt;DisplayText&gt;Windle, Moyle and Coomber (2020)&lt;/DisplayText&gt;&lt;record&gt;&lt;rec-number&gt;1&lt;/rec-number&gt;&lt;foreign-keys&gt;&lt;key app="EN" db-id="zr0055er0vs0x1evsd5vera60raep290wv95" timestamp="1736088369"&gt;1&lt;/key&gt;&lt;/foreign-keys&gt;&lt;ref-type name="Journal Article"&gt;17&lt;/ref-type&gt;&lt;contributors&gt;&lt;authors&gt;&lt;author&gt;Windle, James; &lt;/author&gt;&lt;author&gt;Moyle, Leah&lt;/author&gt;&lt;author&gt;Coomber, Ross&lt;/author&gt;&lt;/authors&gt;&lt;/contributors&gt;&lt;titles&gt;&lt;title&gt;‘Vulnerable’ Kids Going Country: Children and Young People’s Involvement in County Lines Drug Dealing&lt;/title&gt;&lt;secondary-title&gt;Youth Justice&lt;/secondary-title&gt;&lt;/titles&gt;&lt;periodical&gt;&lt;full-title&gt;Youth Justice&lt;/full-title&gt;&lt;/periodical&gt;&lt;pages&gt;64-78&lt;/pages&gt;&lt;volume&gt;20&lt;/volume&gt;&lt;number&gt;1-2&lt;/number&gt;&lt;keywords&gt;&lt;keyword&gt;adverse childhood experiences,county lines,drug dealing,gangs,human trafficking,safeguarding,vulnerable young people&lt;/keyword&gt;&lt;/keywords&gt;&lt;dates&gt;&lt;year&gt;2020&lt;/year&gt;&lt;/dates&gt;&lt;urls&gt;&lt;related-urls&gt;&lt;url&gt;https://journals.sagepub.com/doi/abs/10.1177/1473225420902840&lt;/url&gt;&lt;/related-urls&gt;&lt;/urls&gt;&lt;electronic-resource-num&gt;10.1177/1473225420902840&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Windle, Moyle and Coomber (2020)</w:t>
      </w:r>
      <w:r w:rsidRPr="002170AC">
        <w:rPr>
          <w:rFonts w:asciiTheme="minorBidi" w:hAnsiTheme="minorBidi"/>
          <w:sz w:val="24"/>
          <w:szCs w:val="24"/>
        </w:rPr>
        <w:fldChar w:fldCharType="end"/>
      </w:r>
      <w:r w:rsidRPr="002170AC">
        <w:rPr>
          <w:rFonts w:asciiTheme="minorBidi" w:hAnsiTheme="minorBidi"/>
          <w:sz w:val="24"/>
          <w:szCs w:val="24"/>
        </w:rPr>
        <w:t xml:space="preserve">, children and vulnerable people that become involved with county lines criminality often come from vulnerable backgrounds, such as those with mental health issues, a history of abuse, or family breakdowns. Research conducted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AuthorYear="1"&gt;&lt;Author&gt;Coomber&lt;/Author&gt;&lt;Year&gt;2018&lt;/Year&gt;&lt;RecNum&gt;4&lt;/RecNum&gt;&lt;DisplayText&gt;Coomber and Moyle (2018)&lt;/DisplayText&gt;&lt;record&gt;&lt;rec-number&gt;4&lt;/rec-number&gt;&lt;foreign-keys&gt;&lt;key app="EN" db-id="zr0055er0vs0x1evsd5vera60raep290wv95" timestamp="1736090037"&gt;4&lt;/key&gt;&lt;/foreign-keys&gt;&lt;ref-type name="Journal Article"&gt;17&lt;/ref-type&gt;&lt;contributors&gt;&lt;authors&gt;&lt;author&gt;Coomber, Ross&lt;/author&gt;&lt;author&gt;Moyle, Leah&lt;/author&gt;&lt;/authors&gt;&lt;/contributors&gt;&lt;titles&gt;&lt;title&gt;The Changing Shape of Street-Level Heroin and Crack Supply in England: Commuting, Holidaying and Cuckooing Drug Dealers Across ‘County Lines’&lt;/title&gt;&lt;secondary-title&gt;The British Journal of Criminology&lt;/secondary-title&gt;&lt;/titles&gt;&lt;periodical&gt;&lt;full-title&gt;The British Journal of Criminology&lt;/full-title&gt;&lt;/periodical&gt;&lt;pages&gt;1323-1342&lt;/pages&gt;&lt;volume&gt;58&lt;/volume&gt;&lt;number&gt;6&lt;/number&gt;&lt;dates&gt;&lt;year&gt;2018&lt;/year&gt;&lt;/dates&gt;&lt;isbn&gt;0007-0955&lt;/isbn&gt;&lt;urls&gt;&lt;related-urls&gt;&lt;url&gt;https://doi.org/10.1093/bjc/azx068&lt;/url&gt;&lt;/related-urls&gt;&lt;/urls&gt;&lt;electronic-resource-num&gt;10.1093/bjc/azx068&lt;/electronic-resource-num&gt;&lt;access-date&gt;1/5/2025&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Coomber and Moyle (2018)</w:t>
      </w:r>
      <w:r w:rsidRPr="002170AC">
        <w:rPr>
          <w:rFonts w:asciiTheme="minorBidi" w:hAnsiTheme="minorBidi"/>
          <w:sz w:val="24"/>
          <w:szCs w:val="24"/>
        </w:rPr>
        <w:fldChar w:fldCharType="end"/>
      </w:r>
      <w:r w:rsidRPr="002170AC">
        <w:rPr>
          <w:rFonts w:asciiTheme="minorBidi" w:hAnsiTheme="minorBidi"/>
          <w:sz w:val="24"/>
          <w:szCs w:val="24"/>
        </w:rPr>
        <w:t>, shows that children exploited by county lines are often driven by economic insecurity and/or unstable, chaotic home lives. Therefore, those factors can pose significant problems for investigators.</w:t>
      </w:r>
    </w:p>
    <w:p w14:paraId="22FE2499" w14:textId="3ED0E4FA"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Further challenges we encountered related to the OCG being prepared to use intimidation and violence to control their victims. Another difficulty involved the OCG employing sophisticated tactics to evade detection by law enforcement, such as using different rental companies to hire vehicles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&lt;EndNote&gt;&lt;Cite&gt;&lt;Author&gt;TransUnion&lt;/Author&gt;&lt;Year&gt;n.d.&lt;/Year&gt;&lt;RecNum&gt;18&lt;/RecNum&gt;&lt;DisplayText&gt;(TransUnion, n.d., Interventions Alliance, 2021)&lt;/DisplayText&gt;&lt;record&gt;&lt;rec-number&gt;18&lt;/rec-number&gt;&lt;foreign-keys&gt;&lt;key app="EN" db-id="zr0055er0vs0x1evsd5vera60raep290wv95" timestamp="1736093244"&gt;18&lt;/key&gt;&lt;/foreign-keys&gt;&lt;ref-type name="Blog"&gt;56&lt;/ref-type&gt;&lt;contributors&gt;&lt;authors&gt;&lt;author&gt;TransUnion&lt;/author&gt;&lt;/authors&gt;&lt;/contributors&gt;&lt;titles&gt;&lt;title&gt;County lines in focus: drug dealing gangs using rental firms to avoid police detection&lt;/title&gt;&lt;/titles&gt;&lt;volume&gt;2024&lt;/volume&gt;&lt;number&gt;28 Dec.&lt;/number&gt;&lt;dates&gt;&lt;year&gt;n.d.&lt;/year&gt;&lt;/dates&gt;&lt;urls&gt;&lt;related-urls&gt;&lt;url&gt;https://www.transunion.co.uk/blog/county-lines-in-focus-drug-dealing-gangs-using-rental-firms-to-avoid-police-detection&lt;/url&gt;&lt;/related-urls&gt;&lt;/urls&gt;&lt;/record&gt;&lt;/Cite&gt;&lt;Cite&gt;&lt;Author&gt;Interventions Alliance&lt;/Author&gt;&lt;Year&gt;2021&lt;/Year&gt;&lt;RecNum&gt;17&lt;/RecNum&gt;&lt;record&gt;&lt;rec-number&gt;17&lt;/rec-number&gt;&lt;foreign-keys&gt;&lt;key app="EN" db-id="zr0055er0vs0x1evsd5vera60raep290wv95" timestamp="1736093045"&gt;17&lt;/key&gt;&lt;/foreign-keys&gt;&lt;ref-type name="Web Page"&gt;12&lt;/ref-type&gt;&lt;contributors&gt;&lt;authors&gt;&lt;author&gt;Interventions Alliance,&lt;/author&gt;&lt;/authors&gt;&lt;/contributors&gt;&lt;titles&gt;&lt;title&gt;County Lines (Literature Review)&lt;/title&gt;&lt;/titles&gt;&lt;volume&gt;2024&lt;/volume&gt;&lt;number&gt;29 Dec.&lt;/number&gt;&lt;dates&gt;&lt;year&gt;2021&lt;/year&gt;&lt;/dates&gt;&lt;publisher&gt;Interventions Alliance&lt;/publisher&gt;&lt;urls&gt;&lt;related-urls&gt;&lt;url&gt;https://interventionsalliance.com/county-lines-literature-review/&lt;/url&gt;&lt;/related-urls&gt;&lt;/urls&gt;&lt;/record&gt;&lt;/Cite&gt;&lt;/EndNote&gt;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(TransUnion, n.d., Interventions Alliance, 2021)</w:t>
      </w:r>
      <w:r w:rsidRPr="002170AC">
        <w:rPr>
          <w:rFonts w:asciiTheme="minorBidi" w:hAnsiTheme="minorBidi"/>
          <w:sz w:val="24"/>
          <w:szCs w:val="24"/>
        </w:rPr>
        <w:fldChar w:fldCharType="end"/>
      </w:r>
      <w:r w:rsidRPr="002170AC">
        <w:rPr>
          <w:rFonts w:asciiTheme="minorBidi" w:hAnsiTheme="minorBidi"/>
          <w:sz w:val="24"/>
          <w:szCs w:val="24"/>
        </w:rPr>
        <w:t xml:space="preserve">. The investigation also raised complex legal and ethical issues regarding balancing the need for law enforcement action alongside the protection of a 15-year-old child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&lt;EndNote&gt;&lt;Cite&gt;&lt;Author&gt;Espeute&lt;/Author&gt;&lt;Year&gt;2023&lt;/Year&gt;&lt;RecNum&gt;7&lt;/RecNum&gt;&lt;DisplayText&gt;(Espeute and Lanskey, 2023, University of Nottingham, n.d.)&lt;/DisplayText&gt;&lt;record&gt;&lt;rec-number&gt;7&lt;/rec-number&gt;&lt;foreign-keys&gt;&lt;key app="EN" db-id="zr0055er0vs0x1evsd5vera60raep290wv95" timestamp="1736090296"&gt;7&lt;/key&gt;&lt;/foreign-keys&gt;&lt;ref-type name="Journal Article"&gt;17&lt;/ref-type&gt;&lt;contributors&gt;&lt;authors&gt;&lt;author&gt;Espeute, Serena&lt;/author&gt;&lt;author&gt;Lanskey, Caroline&lt;/author&gt;&lt;/authors&gt;&lt;/contributors&gt;&lt;titles&gt;&lt;title&gt;An exploration of police discretion in the identification of child victims of county lines drug trafficking&lt;/title&gt;&lt;secondary-title&gt;Policing and Society&lt;/secondary-title&gt;&lt;/titles&gt;&lt;periodical&gt;&lt;full-title&gt;Policing and Society&lt;/full-title&gt;&lt;/periodical&gt;&lt;pages&gt;1031-1050&lt;/pages&gt;&lt;volume&gt;33&lt;/volume&gt;&lt;number&gt;9-10&lt;/number&gt;&lt;dates&gt;&lt;year&gt;2023&lt;/year&gt;&lt;pub-dates&gt;&lt;date&gt;2023/11/26&lt;/date&gt;&lt;/pub-dates&gt;&lt;/dates&gt;&lt;publisher&gt;Routledge&lt;/publisher&gt;&lt;isbn&gt;1043-9463&lt;/isbn&gt;&lt;urls&gt;&lt;related-urls&gt;&lt;url&gt;https://doi.org/10.1080/10439463.2023.2223341&lt;/url&gt;&lt;/related-urls&gt;&lt;/urls&gt;&lt;electronic-resource-num&gt;10.1080/10439463.2023.2223341&lt;/electronic-resource-num&gt;&lt;/record&gt;&lt;/Cite&gt;&lt;Cite&gt;&lt;Author&gt;University of Nottingham&lt;/Author&gt;&lt;Year&gt;n.d.&lt;/Year&gt;&lt;RecNum&gt;19&lt;/RecNum&gt;&lt;record&gt;&lt;rec-number&gt;19&lt;/rec-number&gt;&lt;foreign-keys&gt;&lt;key app="EN" db-id="zr0055er0vs0x1evsd5vera60raep290wv95" timestamp="1736093609"&gt;19&lt;/key&gt;&lt;/foreign-keys&gt;&lt;ref-type name="Web Page"&gt;12&lt;/ref-type&gt;&lt;contributors&gt;&lt;authors&gt;&lt;author&gt;University of Nottingham,&lt;/author&gt;&lt;/authors&gt;&lt;/contributors&gt;&lt;titles&gt;&lt;title&gt;News - New research reveals the alarming reality of child modern slavery in the UK and calls for urgent action to protect children - University of Nottingham&lt;/title&gt;&lt;/titles&gt;&lt;volume&gt;2024&lt;/volume&gt;&lt;number&gt;23 Dec.&lt;/number&gt;&lt;dates&gt;&lt;year&gt;n.d.&lt;/year&gt;&lt;/dates&gt;&lt;publisher&gt;University of Nottingham&lt;/publisher&gt;&lt;urls&gt;&lt;related-urls&gt;&lt;url&gt;https://www.nottingham.ac.uk/news/alarming-reality-of-child-modern-slavery&lt;/url&gt;&lt;/related-urls&gt;&lt;/urls&gt;&lt;/record&gt;&lt;/Cite&gt;&lt;/EndNote&gt;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(Espeute and Lanskey, 2023, University of Nottingham, n.d.)</w:t>
      </w:r>
      <w:r w:rsidRPr="002170AC">
        <w:rPr>
          <w:rFonts w:asciiTheme="minorBidi" w:hAnsiTheme="minorBidi"/>
          <w:sz w:val="24"/>
          <w:szCs w:val="24"/>
        </w:rPr>
        <w:fldChar w:fldCharType="end"/>
      </w:r>
      <w:r w:rsidR="00D25869">
        <w:rPr>
          <w:rFonts w:asciiTheme="minorBidi" w:hAnsiTheme="minorBidi"/>
          <w:sz w:val="24"/>
          <w:szCs w:val="24"/>
        </w:rPr>
        <w:t>,</w:t>
      </w:r>
      <w:r w:rsidRPr="002170AC">
        <w:rPr>
          <w:rFonts w:asciiTheme="minorBidi" w:hAnsiTheme="minorBidi"/>
          <w:sz w:val="24"/>
          <w:szCs w:val="24"/>
        </w:rPr>
        <w:t xml:space="preserve"> that the OCG had trafficked for the sole purpose of unlawfully supplying controlled drugs.</w:t>
      </w:r>
    </w:p>
    <w:p w14:paraId="0ACEBB6E"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Following a period of reflection, we adopted a victim-centred approach, ensuring that individuals coerced into criminal activities, such as the 15-year-old child referred to as "B," received appropriate safeguarding measures rather than prosecution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&lt;EndNote&gt;&lt;Cite&gt;&lt;Author&gt;Munro-Kramer&lt;/Author&gt;&lt;Year&gt;2020&lt;/Year&gt;&lt;RecNum&gt;8&lt;/RecNum&gt;&lt;DisplayText&gt;(Munro-Kramer et al., 2020)&lt;/DisplayText&gt;&lt;record&gt;&lt;rec-number&gt;8&lt;/rec-number&gt;&lt;foreign-keys&gt;&lt;key app="EN" db-id="zr0055er0vs0x1evsd5vera60raep290wv95" timestamp="1736090358"&gt;8&lt;/key&gt;&lt;/foreign-keys&gt;&lt;ref-type name="Journal Article"&gt;17&lt;/ref-type&gt;&lt;contributors&gt;&lt;authors&gt;&lt;author&gt;Munro-Kramer, Michelle&lt;/author&gt;&lt;author&gt;Beck, Dana&lt;/author&gt;&lt;author&gt;Choi, Kristen&lt;/author&gt;&lt;author&gt;Singer, Rebecca&lt;/author&gt;&lt;author&gt;Gebhard, Annemarie&lt;/author&gt;&lt;author&gt;Carr, Bridgette&lt;/author&gt;&lt;/authors&gt;&lt;/contributors&gt;&lt;titles&gt;&lt;title&gt;Human Trafficking Victim’s Service Needs and Outcomes: An Analysis of Clinical Law Data&lt;/title&gt;&lt;secondary-title&gt;Journal of Human Trafficking&lt;/secondary-title&gt;&lt;/titles&gt;&lt;periodical&gt;&lt;full-title&gt;Journal of Human Trafficking&lt;/full-title&gt;&lt;/periodical&gt;&lt;pages&gt;95-108&lt;/pages&gt;&lt;volume&gt;6&lt;/volume&gt;&lt;number&gt;1&lt;/number&gt;&lt;dates&gt;&lt;year&gt;2020&lt;/year&gt;&lt;pub-dates&gt;&lt;date&gt;2020/01/01&lt;/date&gt;&lt;/pub-dates&gt;&lt;/dates&gt;&lt;publisher&gt;Routledge&lt;/publisher&gt;&lt;isbn&gt;2332-2705&lt;/isbn&gt;&lt;urls&gt;&lt;related-urls&gt;&lt;url&gt;https://doi.org/10.1080/23322705.2019.1574476&lt;/url&gt;&lt;/related-urls&gt;&lt;/urls&gt;&lt;electronic-resource-num&gt;10.1080/23322705.2019.1574476&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(Munro-Kramer et al., 2020)</w:t>
      </w:r>
      <w:r w:rsidRPr="002170AC">
        <w:rPr>
          <w:rFonts w:asciiTheme="minorBidi" w:hAnsiTheme="minorBidi"/>
          <w:sz w:val="24"/>
          <w:szCs w:val="24"/>
        </w:rPr>
        <w:fldChar w:fldCharType="end"/>
      </w:r>
      <w:r w:rsidRPr="002170AC">
        <w:rPr>
          <w:rFonts w:asciiTheme="minorBidi" w:hAnsiTheme="minorBidi"/>
          <w:sz w:val="24"/>
          <w:szCs w:val="24"/>
        </w:rPr>
        <w:t xml:space="preserve">. This involved working closely with social services and other support agencies to provide victims with the necessary care and protection while also gathering evidence to build a prosecution case against their exploiters. We recognised that some of the individuals involved in county lines criminality are themselves victims of exploitation and abuse and that a punitive approach is sometimes counterproductive in these cases. Therefore, we utilised the National Referral Mechanism (NRM), which is a framework used for identifying and referring victims of modern slavery and ensuring they receive appropriate support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&lt;EndNote&gt;&lt;Cite&gt;&lt;Author&gt;O’Brien&lt;/Author&gt;&lt;Year&gt;2022&lt;/Year&gt;&lt;RecNum&gt;31&lt;/RecNum&gt;&lt;DisplayText&gt;(O’Brien, Palmer and Blinkhorn, 2022)&lt;/DisplayText&gt;&lt;record&gt;&lt;rec-number&gt;31&lt;/rec-number&gt;&lt;foreign-keys&gt;&lt;key app="EN" db-id="zr0055er0vs0x1evsd5vera60raep290wv95" timestamp="1736805015"&gt;31&lt;/key&gt;&lt;/foreign-keys&gt;&lt;ref-type name="Journal Article"&gt;17&lt;/ref-type&gt;&lt;contributors&gt;&lt;authors&gt;&lt;author&gt;O’Brien, Freya&lt;/author&gt;&lt;author&gt;Palmer, Sasha&lt;/author&gt;&lt;author&gt;Blinkhorn, Victoria&lt;/author&gt;&lt;/authors&gt;&lt;/contributors&gt;&lt;titles&gt;&lt;title&gt;Factors that predict the referral of adult Modern Day Slavery cases to the UK&amp;apos;s National Referral Mechanism&lt;/title&gt;&lt;secondary-title&gt;International Journal of Police Science &amp;amp; Management&lt;/secondary-title&gt;&lt;/titles&gt;&lt;periodical&gt;&lt;full-title&gt;International Journal of Police Science &amp;amp; Management&lt;/full-title&gt;&lt;/periodical&gt;&lt;pages&gt;273-284&lt;/pages&gt;&lt;volume&gt;24&lt;/volume&gt;&lt;number&gt;3&lt;/number&gt;&lt;keywords&gt;&lt;keyword&gt;Modern Day Slavery,exploitation,trafficking,attrition,National Referral Mechanism&lt;/keyword&gt;&lt;/keywords&gt;&lt;dates&gt;&lt;year&gt;2022&lt;/year&gt;&lt;/dates&gt;&lt;urls&gt;&lt;related-urls&gt;&lt;url&gt;https://journals.sagepub.com/doi/abs/10.1177/14613557221074989&lt;/url&gt;&lt;/related-urls&gt;&lt;/urls&gt;&lt;electronic-resource-num&gt;10.1177/14613557221074989&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(O’Brien, Palmer and Blinkhorn, 2022)</w:t>
      </w:r>
      <w:r w:rsidRPr="002170AC">
        <w:rPr>
          <w:rFonts w:asciiTheme="minorBidi" w:hAnsiTheme="minorBidi"/>
          <w:sz w:val="24"/>
          <w:szCs w:val="24"/>
        </w:rPr>
        <w:fldChar w:fldCharType="end"/>
      </w:r>
      <w:r w:rsidRPr="002170AC">
        <w:rPr>
          <w:rFonts w:asciiTheme="minorBidi" w:hAnsiTheme="minorBidi"/>
          <w:b/>
          <w:bCs/>
          <w:sz w:val="24"/>
          <w:szCs w:val="24"/>
        </w:rPr>
        <w:t>.</w:t>
      </w:r>
    </w:p>
    <w:p w14:paraId="37F92721"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investigation culminated in successful prosecutions, with prison sentences totalling 35 years being secured against key OCG members. Additionally, three Slavery Trafficking Prevention Orders were obtained, marking a significant </w:t>
      </w:r>
      <w:r w:rsidRPr="002170AC">
        <w:rPr>
          <w:rFonts w:asciiTheme="minorBidi" w:hAnsiTheme="minorBidi"/>
          <w:sz w:val="24"/>
          <w:szCs w:val="24"/>
        </w:rPr>
        <w:lastRenderedPageBreak/>
        <w:t xml:space="preserve">achievement for the South Wales Police Regional Organised Crime Unit. The OCG's operations were effectively dismantled, highlighting the importance of proactive and integrated approaches in tackling complex organised crime groups involved in county lines criminality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&lt;EndNote&gt;&lt;Cite&gt;&lt;Author&gt;Pournara&lt;/Author&gt;&lt;Year&gt;n.d.&lt;/Year&gt;&lt;RecNum&gt;20&lt;/RecNum&gt;&lt;DisplayText&gt;(Pournara, n.d.)&lt;/DisplayText&gt;&lt;record&gt;&lt;rec-number&gt;20&lt;/rec-number&gt;&lt;foreign-keys&gt;&lt;key app="EN" db-id="zr0055er0vs0x1evsd5vera60raep290wv95" timestamp="1736094065"&gt;20&lt;/key&gt;&lt;/foreign-keys&gt;&lt;ref-type name="Thesis"&gt;32&lt;/ref-type&gt;&lt;contributors&gt;&lt;authors&gt;&lt;author&gt;Pournara, Maria.&lt;/author&gt;&lt;/authors&gt;&lt;/contributors&gt;&lt;titles&gt;&lt;title&gt;STRATEGIC POLICE DECISION-MAKING IN TACKLING ORGANISED CRIME Constructing and prioritising organised crime problems in the UK&lt;/title&gt;&lt;secondary-title&gt;School of Social Sciences &lt;/secondary-title&gt;&lt;/titles&gt;&lt;volume&gt;PhD thesis&lt;/volume&gt;&lt;dates&gt;&lt;year&gt;n.d.&lt;/year&gt;&lt;/dates&gt;&lt;publisher&gt;Cardiff University &lt;/publisher&gt;&lt;urls&gt;&lt;related-urls&gt;&lt;url&gt;https://orca.cardiff.ac.uk/id/eprint/130197/1/Maria%20Pournara_thesis2020_corrected_final.pdf&lt;/url&gt;&lt;/related-urls&gt;&lt;/urls&gt;&lt;access-date&gt;21 Dec. 2024&lt;/access-date&gt;&lt;/record&gt;&lt;/Cite&gt;&lt;/EndNote&gt;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(Pournara, n.d.)</w:t>
      </w:r>
      <w:r w:rsidRPr="002170AC">
        <w:rPr>
          <w:rFonts w:asciiTheme="minorBidi" w:hAnsiTheme="minorBidi"/>
          <w:sz w:val="24"/>
          <w:szCs w:val="24"/>
        </w:rPr>
        <w:fldChar w:fldCharType="end"/>
      </w:r>
      <w:r w:rsidRPr="002170AC">
        <w:rPr>
          <w:rFonts w:asciiTheme="minorBidi" w:hAnsiTheme="minorBidi"/>
          <w:sz w:val="24"/>
          <w:szCs w:val="24"/>
        </w:rPr>
        <w:t xml:space="preserve">. We also recognised that the impact of our actions went beyond the immediate disruption of criminal activity and that ongoing support and intervention would be necessary to prevent re-victimisation and re-offending. This approach was previously emphasised in the Association of Police and Crime Commissioners 2021 report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&lt;EndNote&gt;&lt;Cite&gt;&lt;Author&gt;Association of Police and Crime Commissioners&lt;/Author&gt;&lt;Year&gt;n.d.&lt;/Year&gt;&lt;RecNum&gt;34&lt;/RecNum&gt;&lt;DisplayText&gt;(Association of Police and Crime Commissioners, n.d.)&lt;/DisplayText&gt;&lt;record&gt;&lt;rec-number&gt;34&lt;/rec-number&gt;&lt;foreign-keys&gt;&lt;key app="EN" db-id="zr0055er0vs0x1evsd5vera60raep290wv95" timestamp="1736806848"&gt;34&lt;/key&gt;&lt;/foreign-keys&gt;&lt;ref-type name="Web Page"&gt;12&lt;/ref-type&gt;&lt;contributors&gt;&lt;authors&gt;&lt;author&gt;Association of Police and Crime Commissioners,&lt;/author&gt;&lt;/authors&gt;&lt;/contributors&gt;&lt;titles&gt;&lt;title&gt;PCCs MAKING A DIFFERENCE REDUCING REOFFENDING IN FOCUS: Creating safer communities by giving people in the criminal justice system the opportunity to change and the skills to rebuild their lives.&lt;/title&gt;&lt;/titles&gt;&lt;volume&gt;2025&lt;/volume&gt;&lt;number&gt;11 Jan&lt;/number&gt;&lt;dates&gt;&lt;year&gt;n.d.&lt;/year&gt;&lt;/dates&gt;&lt;urls&gt;&lt;related-urls&gt;&lt;url&gt;https://www.apccs.police.uk/media/6147/reducing-reoffending-in-focus.pdf&lt;/url&gt;&lt;/related-urls&gt;&lt;/urls&gt;&lt;/record&gt;&lt;/Cite&gt;&lt;/EndNote&gt;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(Association of Police and Crime Commissioners, n.d.)</w:t>
      </w:r>
      <w:r w:rsidRPr="002170AC">
        <w:rPr>
          <w:rFonts w:asciiTheme="minorBidi" w:hAnsiTheme="minorBidi"/>
          <w:sz w:val="24"/>
          <w:szCs w:val="24"/>
        </w:rPr>
        <w:fldChar w:fldCharType="end"/>
      </w:r>
      <w:r w:rsidRPr="002170AC">
        <w:rPr>
          <w:rFonts w:asciiTheme="minorBidi" w:hAnsiTheme="minorBidi"/>
          <w:b/>
          <w:bCs/>
          <w:sz w:val="24"/>
          <w:szCs w:val="24"/>
        </w:rPr>
        <w:t>.</w:t>
      </w:r>
    </w:p>
    <w:p w14:paraId="6C5EF15B"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Critical Reflection</w:t>
      </w:r>
    </w:p>
    <w:p w14:paraId="115E1E22"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Reflecting on Operation Shotton using the ERA (Experience, Reflection, Action) cycle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&lt;EndNote&gt;&lt;Cite&gt;&lt;Author&gt;Jasper&lt;/Author&gt;&lt;Year&gt;2013&lt;/Year&gt;&lt;RecNum&gt;21&lt;/RecNum&gt;&lt;DisplayText&gt;(Jasper, 2013)&lt;/DisplayText&gt;&lt;record&gt;&lt;rec-number&gt;21&lt;/rec-number&gt;&lt;foreign-keys&gt;&lt;key app="EN" db-id="zr0055er0vs0x1evsd5vera60raep290wv95" timestamp="1736094583"&gt;21&lt;/key&gt;&lt;/foreign-keys&gt;&lt;ref-type name="Book"&gt;6&lt;/ref-type&gt;&lt;contributors&gt;&lt;authors&gt;&lt;author&gt;Jasper, M.&lt;/author&gt;&lt;/authors&gt;&lt;/contributors&gt;&lt;titles&gt;&lt;title&gt;Beginning Reflective Practice&lt;/title&gt;&lt;/titles&gt;&lt;dates&gt;&lt;year&gt;2013&lt;/year&gt;&lt;/dates&gt;&lt;publisher&gt;Cengage Learning&lt;/publisher&gt;&lt;isbn&gt;9781408074879&lt;/isbn&gt;&lt;urls&gt;&lt;related-urls&gt;&lt;url&gt;https://books.google.co.uk/books?id=K4epDAEACAAJ&lt;/url&gt;&lt;/related-urls&gt;&lt;/urls&gt;&lt;/record&gt;&lt;/Cite&gt;&lt;/EndNote&gt;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(Jasper, 2013)</w:t>
      </w:r>
      <w:r w:rsidRPr="002170AC">
        <w:rPr>
          <w:rFonts w:asciiTheme="minorBidi" w:hAnsiTheme="minorBidi"/>
          <w:sz w:val="24"/>
          <w:szCs w:val="24"/>
        </w:rPr>
        <w:fldChar w:fldCharType="end"/>
      </w:r>
      <w:r w:rsidRPr="002170AC">
        <w:rPr>
          <w:rFonts w:asciiTheme="minorBidi" w:hAnsiTheme="minorBidi"/>
          <w:sz w:val="24"/>
          <w:szCs w:val="24"/>
        </w:rPr>
        <w:t xml:space="preserve">, I critically evaluated the processes that were utilised and the outcomes. As noted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AuthorYear="1"&gt;&lt;Author&gt;Gürel&lt;/Author&gt;&lt;Year&gt;2017&lt;/Year&gt;&lt;RecNum&gt;9&lt;/RecNum&gt;&lt;DisplayText&gt;Gürel (2017)&lt;/DisplayText&gt;&lt;record&gt;&lt;rec-number&gt;9&lt;/rec-number&gt;&lt;foreign-keys&gt;&lt;key app="EN" db-id="zr0055er0vs0x1evsd5vera60raep290wv95" timestamp="1736090426"&gt;9&lt;/key&gt;&lt;/foreign-keys&gt;&lt;ref-type name="Journal Article"&gt;17&lt;/ref-type&gt;&lt;contributors&gt;&lt;authors&gt;&lt;author&gt;Gürel, Emet&lt;/author&gt;&lt;/authors&gt;&lt;/contributors&gt;&lt;titles&gt;&lt;title&gt;SWOT ANALYSIS: A THEORETICAL REVIEW&lt;/title&gt;&lt;secondary-title&gt;Journal of International Social Research&lt;/secondary-title&gt;&lt;/titles&gt;&lt;periodical&gt;&lt;full-title&gt;Journal of International Social Research&lt;/full-title&gt;&lt;/periodical&gt;&lt;pages&gt;994-1006&lt;/pages&gt;&lt;volume&gt;10&lt;/volume&gt;&lt;dates&gt;&lt;year&gt;2017&lt;/year&gt;&lt;pub-dates&gt;&lt;date&gt;08/30&lt;/date&gt;&lt;/pub-dates&gt;&lt;/dates&gt;&lt;urls&gt;&lt;/urls&gt;&lt;electronic-resource-num&gt;10.17719/jisr.2017.1832&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Gürel (2017)</w:t>
      </w:r>
      <w:r w:rsidRPr="002170AC">
        <w:rPr>
          <w:rFonts w:asciiTheme="minorBidi" w:hAnsiTheme="minorBidi"/>
          <w:sz w:val="24"/>
          <w:szCs w:val="24"/>
        </w:rPr>
        <w:fldChar w:fldCharType="end"/>
      </w:r>
      <w:r w:rsidRPr="002170AC">
        <w:rPr>
          <w:rFonts w:asciiTheme="minorBidi" w:hAnsiTheme="minorBidi"/>
          <w:sz w:val="24"/>
          <w:szCs w:val="24"/>
        </w:rPr>
        <w:t xml:space="preserve">, during our debriefs, we employed SWOT (Strengths, Weaknesses, Opportunities, Threats) analysis to identify areas for improvement. One benefit of the analysis was identifying the potential advantages of deploying surveillance teams earlier in the investigation. The effectiveness of SWOT analysis relies on regular repetition and thoroughness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&lt;EndNote&gt;&lt;Cite&gt;&lt;Author&gt;CIPD&lt;/Author&gt;&lt;Year&gt;n.d.&lt;/Year&gt;&lt;RecNum&gt;22&lt;/RecNum&gt;&lt;DisplayText&gt;(CIPD, n.d.)&lt;/DisplayText&gt;&lt;record&gt;&lt;rec-number&gt;22&lt;/rec-number&gt;&lt;foreign-keys&gt;&lt;key app="EN" db-id="zr0055er0vs0x1evsd5vera60raep290wv95" timestamp="1736094737"&gt;22&lt;/key&gt;&lt;/foreign-keys&gt;&lt;ref-type name="Web Page"&gt;12&lt;/ref-type&gt;&lt;contributors&gt;&lt;authors&gt;&lt;author&gt;CIPD&lt;/author&gt;&lt;/authors&gt;&lt;/contributors&gt;&lt;titles&gt;&lt;title&gt;CIPD | SWOT Analysis | Factsheets&lt;/title&gt;&lt;/titles&gt;&lt;volume&gt;2024&lt;/volume&gt;&lt;number&gt;19 Dec. &lt;/number&gt;&lt;dates&gt;&lt;year&gt;n.d.&lt;/year&gt;&lt;/dates&gt;&lt;publisher&gt;CIPD&lt;/publisher&gt;&lt;urls&gt;&lt;related-urls&gt;&lt;url&gt;https://www.cipd.org/uk/knowledge/factsheets/swot-analysis-factsheet&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(CIPD, n.d.)</w:t>
      </w:r>
      <w:r w:rsidRPr="002170AC">
        <w:rPr>
          <w:rFonts w:asciiTheme="minorBidi" w:hAnsiTheme="minorBidi"/>
          <w:sz w:val="24"/>
          <w:szCs w:val="24"/>
        </w:rPr>
        <w:fldChar w:fldCharType="end"/>
      </w:r>
      <w:r w:rsidRPr="002170AC">
        <w:rPr>
          <w:rFonts w:asciiTheme="minorBidi" w:hAnsiTheme="minorBidi"/>
          <w:sz w:val="24"/>
          <w:szCs w:val="24"/>
        </w:rPr>
        <w:t xml:space="preserve">, while the face-to-face format of our debriefs allowed for immediate clarification and feedback, thereby enhancing the overall learning experience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&lt;EndNote&gt;&lt;Cite&gt;&lt;Author&gt;Erjavec&lt;/Author&gt;&lt;Year&gt;2018&lt;/Year&gt;&lt;RecNum&gt;11&lt;/RecNum&gt;&lt;DisplayText&gt;(Erjavec, Arsenijević and Starc, 2018)&lt;/DisplayText&gt;&lt;record&gt;&lt;rec-number&gt;11&lt;/rec-number&gt;&lt;foreign-keys&gt;&lt;key app="EN" db-id="zr0055er0vs0x1evsd5vera60raep290wv95" timestamp="1736090866"&gt;11&lt;/key&gt;&lt;/foreign-keys&gt;&lt;ref-type name="Journal Article"&gt;17&lt;/ref-type&gt;&lt;contributors&gt;&lt;authors&gt;&lt;author&gt;Erjavec, Karmen&lt;/author&gt;&lt;author&gt;Arsenijević, Olja&lt;/author&gt;&lt;author&gt;Starc, Jasmina&lt;/author&gt;&lt;/authors&gt;&lt;/contributors&gt;&lt;titles&gt;&lt;title&gt;Satisfaction with managers’ use of communication channels and its effect on employee-organisation relationships&lt;/title&gt;&lt;secondary-title&gt;Journal of East European Management Studies&lt;/secondary-title&gt;&lt;/titles&gt;&lt;periodical&gt;&lt;full-title&gt;Journal of East European Management Studies&lt;/full-title&gt;&lt;/periodical&gt;&lt;pages&gt;559-578&lt;/pages&gt;&lt;volume&gt;23&lt;/volume&gt;&lt;dates&gt;&lt;year&gt;2018&lt;/year&gt;&lt;pub-dates&gt;&lt;date&gt;01/01&lt;/date&gt;&lt;/pub-dates&gt;&lt;/dates&gt;&lt;urls&gt;&lt;/urls&gt;&lt;electronic-resource-num&gt;10.5771/0949-6181-2018-4-559&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(Erjavec, Arsenijević and Starc, 2018)</w:t>
      </w:r>
      <w:r w:rsidRPr="002170AC">
        <w:rPr>
          <w:rFonts w:asciiTheme="minorBidi" w:hAnsiTheme="minorBidi"/>
          <w:sz w:val="24"/>
          <w:szCs w:val="24"/>
        </w:rPr>
        <w:fldChar w:fldCharType="end"/>
      </w:r>
      <w:r w:rsidRPr="002170AC">
        <w:rPr>
          <w:rFonts w:asciiTheme="minorBidi" w:hAnsiTheme="minorBidi"/>
          <w:sz w:val="24"/>
          <w:szCs w:val="24"/>
        </w:rPr>
        <w:t>.</w:t>
      </w:r>
    </w:p>
    <w:p w14:paraId="62B6AB62"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Ethical leadership also played a crucial role in fostering an environment of trust and integrity, ensuring open communication within the team and with external partners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&lt;EndNote&gt;&lt;Cite&gt;&lt;Author&gt;Tushar&lt;/Author&gt;&lt;Year&gt;2017&lt;/Year&gt;&lt;RecNum&gt;12&lt;/RecNum&gt;&lt;DisplayText&gt;(Tushar, 2017)&lt;/DisplayText&gt;&lt;record&gt;&lt;rec-number&gt;12&lt;/rec-number&gt;&lt;foreign-keys&gt;&lt;key app="EN" db-id="zr0055er0vs0x1evsd5vera60raep290wv95" timestamp="1736091668"&gt;12&lt;/key&gt;&lt;/foreign-keys&gt;&lt;ref-type name="Journal Article"&gt;17&lt;/ref-type&gt;&lt;contributors&gt;&lt;authors&gt;&lt;author&gt;Tushar, Hasanuzzaman&lt;/author&gt;&lt;/authors&gt;&lt;/contributors&gt;&lt;titles&gt;&lt;title&gt;The Role of Ethical Leadership in Developing Sustainable Organization&lt;/title&gt;&lt;secondary-title&gt;International Journal of Business Governance and Ethics&lt;/secondary-title&gt;&lt;/titles&gt;&lt;periodical&gt;&lt;full-title&gt;International Journal of Business Governance and Ethics&lt;/full-title&gt;&lt;/periodical&gt;&lt;pages&gt;83-95&lt;/pages&gt;&lt;volume&gt;2&lt;/volume&gt;&lt;dates&gt;&lt;year&gt;2017&lt;/year&gt;&lt;pub-dates&gt;&lt;date&gt;10/01&lt;/date&gt;&lt;/pub-dates&gt;&lt;/dates&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(Tushar, 2017)</w:t>
      </w:r>
      <w:r w:rsidRPr="002170AC">
        <w:rPr>
          <w:rFonts w:asciiTheme="minorBidi" w:hAnsiTheme="minorBidi"/>
          <w:sz w:val="24"/>
          <w:szCs w:val="24"/>
        </w:rPr>
        <w:fldChar w:fldCharType="end"/>
      </w:r>
      <w:r w:rsidRPr="002170AC">
        <w:rPr>
          <w:rFonts w:asciiTheme="minorBidi" w:hAnsiTheme="minorBidi"/>
          <w:sz w:val="24"/>
          <w:szCs w:val="24"/>
        </w:rPr>
        <w:t xml:space="preserve">. In line with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AuthorYear="1"&gt;&lt;Author&gt;Rowe&lt;/Author&gt;&lt;Year&gt;2024&lt;/Year&gt;&lt;RecNum&gt;35&lt;/RecNum&gt;&lt;DisplayText&gt;Rowe and Low (2024)&lt;/DisplayText&gt;&lt;record&gt;&lt;rec-number&gt;35&lt;/rec-number&gt;&lt;foreign-keys&gt;&lt;key app="EN" db-id="zr0055er0vs0x1evsd5vera60raep290wv95" timestamp="1736877420"&gt;35&lt;/key&gt;&lt;/foreign-keys&gt;&lt;ref-type name="Web Page"&gt;12&lt;/ref-type&gt;&lt;contributors&gt;&lt;authors&gt;&lt;author&gt;Rowe, Shekera &lt;/author&gt;&lt;author&gt;Low, Natalie &lt;/author&gt;&lt;/authors&gt;&lt;/contributors&gt;&lt;titles&gt;&lt;title&gt;Children and young people and the criminal justice system&lt;/title&gt;&lt;/titles&gt;&lt;volume&gt;2025&lt;/volume&gt;&lt;number&gt;5 Jan&lt;/number&gt;&lt;dates&gt;&lt;year&gt;2024&lt;/year&gt;&lt;/dates&gt;&lt;urls&gt;&lt;related-urls&gt;&lt;url&gt;https://post.parliament.uk/children-and-young-people-and-the-criminal-justice-system/&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Rowe and Low (2024)</w:t>
      </w:r>
      <w:r w:rsidRPr="002170AC">
        <w:rPr>
          <w:rFonts w:asciiTheme="minorBidi" w:hAnsiTheme="minorBidi"/>
          <w:sz w:val="24"/>
          <w:szCs w:val="24"/>
        </w:rPr>
        <w:fldChar w:fldCharType="end"/>
      </w:r>
      <w:r w:rsidRPr="002170AC">
        <w:rPr>
          <w:rFonts w:asciiTheme="minorBidi" w:hAnsiTheme="minorBidi"/>
          <w:sz w:val="24"/>
          <w:szCs w:val="24"/>
        </w:rPr>
        <w:t>, this was reflected in our decision not to prosecute coerced victims, instead prioritising their well-being and safeguarding them.</w:t>
      </w:r>
    </w:p>
    <w:p w14:paraId="14D9AED0"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In line with the Local Government Association 2015 report, we also recognised that the traditional, enforcement-led approach to tackling organised crime is often insufficient in addressing the complex social and cultural factors that underpin county lines criminality. Instead, we adopted a more holistic and collaborative multi-agency approach, working closely with partner agencies and community stakeholders to address the root causes of the problem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&lt;EndNote&gt;&lt;Cite&gt;&lt;Author&gt;Local Government Association&lt;/Author&gt;&lt;Year&gt;2015&lt;/Year&gt;&lt;RecNum&gt;33&lt;/RecNum&gt;&lt;DisplayText&gt;(Local Government Association, 2015)&lt;/DisplayText&gt;&lt;record&gt;&lt;rec-number&gt;33&lt;/rec-number&gt;&lt;foreign-keys&gt;&lt;key app="EN" db-id="zr0055er0vs0x1evsd5vera60raep290wv95" timestamp="1736806244"&gt;33&lt;/key&gt;&lt;/foreign-keys&gt;&lt;ref-type name="Web Page"&gt;12&lt;/ref-type&gt;&lt;contributors&gt;&lt;authors&gt;&lt;author&gt;Local Government Association,&lt;/author&gt;&lt;/authors&gt;&lt;/contributors&gt;&lt;titles&gt;&lt;title&gt;Tackling serious and organised crime a local response Report.&lt;/title&gt;&lt;/titles&gt;&lt;volume&gt;2025&lt;/volume&gt;&lt;number&gt;11 Jan&lt;/number&gt;&lt;dates&gt;&lt;year&gt;2015&lt;/year&gt;&lt;/dates&gt;&lt;urls&gt;&lt;related-urls&gt;&lt;url&gt;https://www.local.gov.uk/sites/default/files/documents/tackling-serious-and-orga-44a.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(Local Government Association, 2015)</w:t>
      </w:r>
      <w:r w:rsidRPr="002170AC">
        <w:rPr>
          <w:rFonts w:asciiTheme="minorBidi" w:hAnsiTheme="minorBidi"/>
          <w:sz w:val="24"/>
          <w:szCs w:val="24"/>
        </w:rPr>
        <w:fldChar w:fldCharType="end"/>
      </w:r>
      <w:r w:rsidRPr="002170AC">
        <w:rPr>
          <w:rFonts w:asciiTheme="minorBidi" w:hAnsiTheme="minorBidi"/>
          <w:sz w:val="24"/>
          <w:szCs w:val="24"/>
        </w:rPr>
        <w:t>.</w:t>
      </w:r>
    </w:p>
    <w:p w14:paraId="4AD98C0F" w14:textId="016A277C"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approach I adopted was further informed by the ‘4P’ model (Pursue, Prevent, Protect, Prepare), initially developed as part of the UK’s Counter-Terrorism Strategy </w:t>
      </w:r>
      <w:r w:rsidRPr="002170AC">
        <w:rPr>
          <w:rFonts w:asciiTheme="minorBidi" w:hAnsiTheme="minorBidi"/>
          <w:sz w:val="24"/>
          <w:szCs w:val="24"/>
        </w:rPr>
        <w:lastRenderedPageBreak/>
        <w:fldChar w:fldCharType="begin"/>
      </w:r>
      <w:r w:rsidRPr="002170AC">
        <w:rPr>
          <w:rFonts w:asciiTheme="minorBidi" w:hAnsiTheme="minorBidi"/>
          <w:sz w:val="24"/>
          <w:szCs w:val="24"/>
        </w:rPr>
        <w:instrText xml:space="preserve"> ADDIN EN.CITE &lt;EndNote&gt;&lt;Cite&gt;&lt;Author&gt;Bonino&lt;/Author&gt;&lt;Year&gt;2012&lt;/Year&gt;&lt;RecNum&gt;10&lt;/RecNum&gt;&lt;DisplayText&gt;(Bonino, 2012)&lt;/DisplayText&gt;&lt;record&gt;&lt;rec-number&gt;10&lt;/rec-number&gt;&lt;foreign-keys&gt;&lt;key app="EN" db-id="zr0055er0vs0x1evsd5vera60raep290wv95" timestamp="1736090492"&gt;10&lt;/key&gt;&lt;/foreign-keys&gt;&lt;ref-type name="Journal Article"&gt;17&lt;/ref-type&gt;&lt;contributors&gt;&lt;authors&gt;&lt;author&gt;Bonino, Stefano&lt;/author&gt;&lt;/authors&gt;&lt;/contributors&gt;&lt;titles&gt;&lt;title&gt;Policing Strategies against Islamic Terrorism in the UK after 9/11: The Socio-Political Realities for British Muslims&lt;/title&gt;&lt;secondary-title&gt;Journal of Muslim Minority Affairs&lt;/secondary-title&gt;&lt;/titles&gt;&lt;periodical&gt;&lt;full-title&gt;Journal of Muslim Minority Affairs&lt;/full-title&gt;&lt;/periodical&gt;&lt;pages&gt;5-31&lt;/pages&gt;&lt;volume&gt;32&lt;/volume&gt;&lt;number&gt;1&lt;/number&gt;&lt;dates&gt;&lt;year&gt;2012&lt;/year&gt;&lt;pub-dates&gt;&lt;date&gt;2012/03/01&lt;/date&gt;&lt;/pub-dates&gt;&lt;/dates&gt;&lt;publisher&gt;Routledge&lt;/publisher&gt;&lt;isbn&gt;1360-2004&lt;/isbn&gt;&lt;urls&gt;&lt;related-urls&gt;&lt;url&gt;https://doi.org/10.1080/13602004.2012.665619&lt;/url&gt;&lt;/related-urls&gt;&lt;/urls&gt;&lt;electronic-resource-num&gt;10.1080/13602004.2012.665619&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(Bonino, 2012)</w:t>
      </w:r>
      <w:r w:rsidRPr="002170AC">
        <w:rPr>
          <w:rFonts w:asciiTheme="minorBidi" w:hAnsiTheme="minorBidi"/>
          <w:sz w:val="24"/>
          <w:szCs w:val="24"/>
        </w:rPr>
        <w:fldChar w:fldCharType="end"/>
      </w:r>
      <w:r w:rsidRPr="002170AC">
        <w:rPr>
          <w:rFonts w:asciiTheme="minorBidi" w:hAnsiTheme="minorBidi"/>
          <w:sz w:val="24"/>
          <w:szCs w:val="24"/>
        </w:rPr>
        <w:t xml:space="preserve">. This framework underscored the importance of a comprehensive strategy that extends beyond law enforcement to include preventive measures and societal engagement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&lt;EndNote&gt;&lt;Cite&gt;&lt;Author&gt;Parliament.uk&lt;/Author&gt;&lt;Year&gt;2018&lt;/Year&gt;&lt;RecNum&gt;23&lt;/RecNum&gt;&lt;DisplayText&gt;(Parliament.uk, 2018)&lt;/DisplayText&gt;&lt;record&gt;&lt;rec-number&gt;23&lt;/rec-number&gt;&lt;foreign-keys&gt;&lt;key app="EN" db-id="zr0055er0vs0x1evsd5vera60raep290wv95" timestamp="1736095064"&gt;23&lt;/key&gt;&lt;/foreign-keys&gt;&lt;ref-type name="Web Page"&gt;12&lt;/ref-type&gt;&lt;contributors&gt;&lt;authors&gt;&lt;author&gt;Parliament.uk&lt;/author&gt;&lt;/authors&gt;&lt;/contributors&gt;&lt;titles&gt;&lt;title&gt;Serious and Organised Crime - Committee of Public Accounts - House of Commons&lt;/title&gt;&lt;/titles&gt;&lt;volume&gt;2024&lt;/volume&gt;&lt;number&gt;16 Dec.&lt;/number&gt;&lt;dates&gt;&lt;year&gt;2018&lt;/year&gt;&lt;/dates&gt;&lt;urls&gt;&lt;related-urls&gt;&lt;url&gt;https://publications.parliament.uk/pa/cm201719/cmselect/cmpubacc/2049/204904.htm&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(Parliament.uk, 2018)</w:t>
      </w:r>
      <w:r w:rsidRPr="002170AC">
        <w:rPr>
          <w:rFonts w:asciiTheme="minorBidi" w:hAnsiTheme="minorBidi"/>
          <w:sz w:val="24"/>
          <w:szCs w:val="24"/>
        </w:rPr>
        <w:fldChar w:fldCharType="end"/>
      </w:r>
      <w:r w:rsidRPr="002170AC">
        <w:rPr>
          <w:rFonts w:asciiTheme="minorBidi" w:hAnsiTheme="minorBidi"/>
          <w:sz w:val="24"/>
          <w:szCs w:val="24"/>
        </w:rPr>
        <w:t xml:space="preserve">. We also recognised that pursuing and prosecuting offenders is only one part of the equation, and that equal emphasis must be placed on preventing exploitation, protecting victims, and preparing communities to resist the influence of organised crime. This is highlighted in the Muir, 2021 report, whereby Muir explains how preventing organised crime exploitation requires a multi-agency, public health-orientated approach targeting vulnerable populations. By implementing early intervention strategies, creating violence reduction units, and addressing root causes like drug markets, communities can build resilience against criminal recruitment. Comprehensive prevention involves coordinating intelligence, providing trauma-informed support, developing alternative pathways for at-risk youth, and establishing legal frameworks that make exploitation more difficult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&lt;EndNote&gt;&lt;Cite&gt;&lt;Author&gt;Muir&lt;/Author&gt;&lt;Year&gt;2021&lt;/Year&gt;&lt;RecNum&gt;32&lt;/RecNum&gt;&lt;DisplayText&gt;(Muir, 2021)&lt;/DisplayText&gt;&lt;record&gt;&lt;rec-number&gt;32&lt;/rec-number&gt;&lt;foreign-keys&gt;&lt;key app="EN" db-id="zr0055er0vs0x1evsd5vera60raep290wv95" timestamp="1736806028"&gt;32&lt;/key&gt;&lt;/foreign-keys&gt;&lt;ref-type name="Web Page"&gt;12&lt;/ref-type&gt;&lt;contributors&gt;&lt;authors&gt;&lt;author&gt;Muir, Rick&lt;/author&gt;&lt;/authors&gt;&lt;/contributors&gt;&lt;titles&gt;&lt;title&gt;The Strategic Review of Policing in England and Wales: Taking Prevention Seriously: The Case for a Crime and Harm Prevention System&lt;/title&gt;&lt;/titles&gt;&lt;volume&gt;2025&lt;/volume&gt;&lt;number&gt;11 Jan &lt;/number&gt;&lt;dates&gt;&lt;year&gt;2021&lt;/year&gt;&lt;/dates&gt;&lt;publisher&gt;The Police Foundation&lt;/publisher&gt;&lt;urls&gt;&lt;related-urls&gt;&lt;url&gt;https://prohic.nl/wp-content/uploads/2021/05/210-10mei2021-HarmPreventionSystemPolice.pdf&lt;/url&gt;&lt;/related-urls&gt;&lt;/urls&gt;&lt;/record&gt;&lt;/Cite&gt;&lt;/EndNote&gt;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(Muir, 2021)</w:t>
      </w:r>
      <w:r w:rsidRPr="002170AC">
        <w:rPr>
          <w:rFonts w:asciiTheme="minorBidi" w:hAnsiTheme="minorBidi"/>
          <w:sz w:val="24"/>
          <w:szCs w:val="24"/>
        </w:rPr>
        <w:fldChar w:fldCharType="end"/>
      </w:r>
      <w:r w:rsidRPr="002170AC">
        <w:rPr>
          <w:rFonts w:asciiTheme="minorBidi" w:hAnsiTheme="minorBidi"/>
          <w:sz w:val="24"/>
          <w:szCs w:val="24"/>
        </w:rPr>
        <w:t>.</w:t>
      </w:r>
    </w:p>
    <w:p w14:paraId="16DEEC73"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Conclusion</w:t>
      </w:r>
    </w:p>
    <w:p w14:paraId="0121B8D2"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The lessons learnt from Operation Shotton emphasise the crucial role of early intervention and prevention in tackling county lines criminality at its roots. Effective collaboration among schools, community groups, and other stakeholders is vital for raising awareness and implementing safeguards to protect vulnerable children and youth from exploitation. These institutions are uniquely positioned to identify and support at-risk individuals, necessitating close partnership with law enforcement.</w:t>
      </w:r>
    </w:p>
    <w:p w14:paraId="05BBF6E2"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Despite the successful dismantling of the OCG, it is evident that the complex issues of county lines and human trafficking extend beyond the scope of law enforcement alone. Confronting these challenges demands a comprehensive, society-wide approach encompassing robust preventive measures, education, and close cooperation with families and communities. Building resilience and capacity within local populations is paramount for preventing the spread of county lines, requiring sustained, multi-agency efforts.</w:t>
      </w:r>
    </w:p>
    <w:p w14:paraId="16FADE1F"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Furthermore, the investigation underscored the imperative for law enforcement to continually adapt to the sophisticated tactics employed by OCGs, especially their exploitation of digital technologies. Staying at the forefront of these developments and employing advanced investigative methods is essential for effectively combating </w:t>
      </w:r>
      <w:r w:rsidRPr="002170AC">
        <w:rPr>
          <w:rFonts w:asciiTheme="minorBidi" w:hAnsiTheme="minorBidi"/>
          <w:sz w:val="24"/>
          <w:szCs w:val="24"/>
        </w:rPr>
        <w:lastRenderedPageBreak/>
        <w:t>modern forms of exploitation. The evolving nature of organised crime necessitates a shift from traditional, reactive policing to a proactive, intelligence-driven approach.</w:t>
      </w:r>
    </w:p>
    <w:p w14:paraId="31281C12"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Operation Shotton serves as a stark reminder of the persistent, deep-seated issues in safeguarding vulnerable children and vulnerable people from modern exploitation. It reinforces the indispensable need for comprehensive, collaborative strategies transcending the boundaries of law enforcement. The experience highlights the pivotal importance of ethical, compassionate policing and multi-faceted approaches in protecting society's most vulnerable from the ever-evolving threats of county lines criminality. As investigators, vigilance, adaptability, and tireless efforts to foster trust, resilience, and capacity within the communities we serve are paramount in the face of these challenges.</w:t>
      </w:r>
    </w:p>
    <w:p w14:paraId="435F8333" w14:textId="56C13350" w:rsidR="002170AC" w:rsidRPr="00583D68" w:rsidRDefault="002170AC" w:rsidP="002170AC">
      <w:pPr>
        <w:spacing w:line="360" w:lineRule="auto"/>
        <w:rPr>
          <w:rFonts w:asciiTheme="minorBidi" w:hAnsiTheme="minorBidi"/>
          <w:b/>
          <w:bCs/>
          <w:sz w:val="24"/>
          <w:szCs w:val="24"/>
          <w:u w:val="single"/>
        </w:rPr>
      </w:pPr>
      <w:r w:rsidRPr="00583D68">
        <w:rPr>
          <w:rFonts w:asciiTheme="minorBidi" w:hAnsiTheme="minorBidi"/>
          <w:b/>
          <w:bCs/>
          <w:sz w:val="24"/>
          <w:szCs w:val="24"/>
          <w:u w:val="single"/>
        </w:rPr>
        <w:t>Word count = 1</w:t>
      </w:r>
      <w:r w:rsidR="008F0046">
        <w:rPr>
          <w:rFonts w:asciiTheme="minorBidi" w:hAnsiTheme="minorBidi"/>
          <w:b/>
          <w:bCs/>
          <w:sz w:val="24"/>
          <w:szCs w:val="24"/>
          <w:u w:val="single"/>
        </w:rPr>
        <w:t>,</w:t>
      </w:r>
      <w:r w:rsidRPr="00583D68">
        <w:rPr>
          <w:rFonts w:asciiTheme="minorBidi" w:hAnsiTheme="minorBidi"/>
          <w:b/>
          <w:bCs/>
          <w:sz w:val="24"/>
          <w:szCs w:val="24"/>
          <w:u w:val="single"/>
        </w:rPr>
        <w:t>94</w:t>
      </w:r>
      <w:r w:rsidR="008F0046">
        <w:rPr>
          <w:rFonts w:asciiTheme="minorBidi" w:hAnsiTheme="minorBidi"/>
          <w:b/>
          <w:bCs/>
          <w:sz w:val="24"/>
          <w:szCs w:val="24"/>
          <w:u w:val="single"/>
        </w:rPr>
        <w:t>6</w:t>
      </w:r>
      <w:r w:rsidRPr="00583D68">
        <w:rPr>
          <w:rFonts w:asciiTheme="minorBidi" w:hAnsiTheme="minorBidi"/>
          <w:b/>
          <w:bCs/>
          <w:sz w:val="24"/>
          <w:szCs w:val="24"/>
          <w:u w:val="single"/>
        </w:rPr>
        <w:t xml:space="preserve"> words.</w:t>
      </w:r>
    </w:p>
    <w:p w14:paraId="4B1D7006" w14:textId="77777777" w:rsidR="002170AC" w:rsidRPr="002170AC" w:rsidRDefault="002170AC" w:rsidP="002170AC">
      <w:pPr>
        <w:spacing w:line="360" w:lineRule="auto"/>
        <w:rPr>
          <w:rFonts w:asciiTheme="minorBidi" w:hAnsiTheme="minorBidi"/>
          <w:sz w:val="24"/>
          <w:szCs w:val="24"/>
        </w:rPr>
      </w:pPr>
    </w:p>
    <w:p w14:paraId="6AC999B6"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br w:type="page"/>
      </w:r>
    </w:p>
    <w:p w14:paraId="531ACFDB" w14:textId="77777777" w:rsidR="002170AC" w:rsidRPr="002170AC" w:rsidRDefault="002170AC" w:rsidP="002170AC">
      <w:pPr>
        <w:spacing w:line="360" w:lineRule="auto"/>
        <w:rPr>
          <w:rFonts w:asciiTheme="minorBidi" w:hAnsiTheme="minorBidi"/>
          <w:b/>
          <w:bCs/>
          <w:sz w:val="24"/>
          <w:szCs w:val="24"/>
        </w:rPr>
      </w:pPr>
      <w:r w:rsidRPr="002170AC">
        <w:rPr>
          <w:rFonts w:asciiTheme="minorBidi" w:hAnsiTheme="minorBidi"/>
          <w:b/>
          <w:bCs/>
          <w:sz w:val="24"/>
          <w:szCs w:val="24"/>
        </w:rPr>
        <w:lastRenderedPageBreak/>
        <w:t>Reference</w:t>
      </w:r>
    </w:p>
    <w:p w14:paraId="46A4DE66"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fldChar w:fldCharType="begin"/>
      </w:r>
      <w:r w:rsidRPr="002170AC">
        <w:rPr>
          <w:rFonts w:asciiTheme="minorBidi" w:hAnsiTheme="minorBidi"/>
          <w:sz w:val="24"/>
          <w:szCs w:val="24"/>
        </w:rPr>
        <w:instrText xml:space="preserve"> ADDIN EN.REFLIST </w:instrText>
      </w:r>
      <w:r w:rsidRPr="002170AC">
        <w:rPr>
          <w:rFonts w:asciiTheme="minorBidi" w:hAnsiTheme="minorBidi"/>
          <w:sz w:val="24"/>
          <w:szCs w:val="24"/>
        </w:rPr>
        <w:fldChar w:fldCharType="separate"/>
      </w:r>
      <w:r w:rsidRPr="002170AC">
        <w:rPr>
          <w:rFonts w:asciiTheme="minorBidi" w:hAnsiTheme="minorBidi"/>
          <w:sz w:val="24"/>
          <w:szCs w:val="24"/>
        </w:rPr>
        <w:t xml:space="preserve">Association of Police and Crime Commissioners. n.d. </w:t>
      </w:r>
      <w:r w:rsidRPr="002170AC">
        <w:rPr>
          <w:rFonts w:asciiTheme="minorBidi" w:hAnsiTheme="minorBidi"/>
          <w:i/>
          <w:sz w:val="24"/>
          <w:szCs w:val="24"/>
        </w:rPr>
        <w:t xml:space="preserve">PCCs MAKING A DIFFERENCE REDUCING REOFFENDING IN FOCUS: Creating safer communities by giving people in the criminal justice system the opportunity to change and the skills to rebuild their lives. </w:t>
      </w:r>
      <w:r w:rsidRPr="002170AC">
        <w:rPr>
          <w:rFonts w:asciiTheme="minorBidi" w:hAnsiTheme="minorBidi"/>
          <w:sz w:val="24"/>
          <w:szCs w:val="24"/>
        </w:rPr>
        <w:t xml:space="preserve">[Online]. Available: </w:t>
      </w:r>
      <w:hyperlink r:id="rId21" w:history="1">
        <w:r w:rsidRPr="002170AC">
          <w:rPr>
            <w:rStyle w:val="Hyperlink"/>
            <w:rFonts w:asciiTheme="minorBidi" w:hAnsiTheme="minorBidi"/>
            <w:sz w:val="24"/>
            <w:szCs w:val="24"/>
          </w:rPr>
          <w:t>https://www.apccs.police.uk/media/6147/reducing-reoffending-in-focus.pdf</w:t>
        </w:r>
      </w:hyperlink>
      <w:r w:rsidRPr="002170AC">
        <w:rPr>
          <w:rFonts w:asciiTheme="minorBidi" w:hAnsiTheme="minorBidi"/>
          <w:sz w:val="24"/>
          <w:szCs w:val="24"/>
        </w:rPr>
        <w:t xml:space="preserve"> [Accessed 11 Jan 2025].</w:t>
      </w:r>
    </w:p>
    <w:p w14:paraId="3DF4C0BA"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Atkinson-Sheppard, S., Dando, C., Ormerod, T. &amp; Robinson, B. 2023. Coercion and crime: Convergences, divergences and ‘county lines’. </w:t>
      </w:r>
      <w:r w:rsidRPr="002170AC">
        <w:rPr>
          <w:rFonts w:asciiTheme="minorBidi" w:hAnsiTheme="minorBidi"/>
          <w:i/>
          <w:sz w:val="24"/>
          <w:szCs w:val="24"/>
        </w:rPr>
        <w:t>Criminology &amp; Criminal Justice,</w:t>
      </w:r>
      <w:r w:rsidRPr="002170AC">
        <w:rPr>
          <w:rFonts w:asciiTheme="minorBidi" w:hAnsiTheme="minorBidi"/>
          <w:sz w:val="24"/>
          <w:szCs w:val="24"/>
        </w:rPr>
        <w:t xml:space="preserve"> 0</w:t>
      </w:r>
      <w:r w:rsidRPr="002170AC">
        <w:rPr>
          <w:rFonts w:asciiTheme="minorBidi" w:hAnsiTheme="minorBidi"/>
          <w:b/>
          <w:sz w:val="24"/>
          <w:szCs w:val="24"/>
        </w:rPr>
        <w:t>,</w:t>
      </w:r>
      <w:r w:rsidRPr="002170AC">
        <w:rPr>
          <w:rFonts w:asciiTheme="minorBidi" w:hAnsiTheme="minorBidi"/>
          <w:sz w:val="24"/>
          <w:szCs w:val="24"/>
        </w:rPr>
        <w:t xml:space="preserve"> 17488958231153981.</w:t>
      </w:r>
    </w:p>
    <w:p w14:paraId="719278F5"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Bonino, S. 2012. Policing Strategies against Islamic Terrorism in the UK after 9/11: The Socio-Political Realities for British Muslims. </w:t>
      </w:r>
      <w:r w:rsidRPr="002170AC">
        <w:rPr>
          <w:rFonts w:asciiTheme="minorBidi" w:hAnsiTheme="minorBidi"/>
          <w:i/>
          <w:sz w:val="24"/>
          <w:szCs w:val="24"/>
        </w:rPr>
        <w:t>Journal of Muslim Minority Affairs,</w:t>
      </w:r>
      <w:r w:rsidRPr="002170AC">
        <w:rPr>
          <w:rFonts w:asciiTheme="minorBidi" w:hAnsiTheme="minorBidi"/>
          <w:sz w:val="24"/>
          <w:szCs w:val="24"/>
        </w:rPr>
        <w:t xml:space="preserve"> 32</w:t>
      </w:r>
      <w:r w:rsidRPr="002170AC">
        <w:rPr>
          <w:rFonts w:asciiTheme="minorBidi" w:hAnsiTheme="minorBidi"/>
          <w:b/>
          <w:sz w:val="24"/>
          <w:szCs w:val="24"/>
        </w:rPr>
        <w:t>,</w:t>
      </w:r>
      <w:r w:rsidRPr="002170AC">
        <w:rPr>
          <w:rFonts w:asciiTheme="minorBidi" w:hAnsiTheme="minorBidi"/>
          <w:sz w:val="24"/>
          <w:szCs w:val="24"/>
        </w:rPr>
        <w:t xml:space="preserve"> 5-31.</w:t>
      </w:r>
    </w:p>
    <w:p w14:paraId="1B374398"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Cipd. n.d. </w:t>
      </w:r>
      <w:r w:rsidRPr="002170AC">
        <w:rPr>
          <w:rFonts w:asciiTheme="minorBidi" w:hAnsiTheme="minorBidi"/>
          <w:i/>
          <w:sz w:val="24"/>
          <w:szCs w:val="24"/>
        </w:rPr>
        <w:t xml:space="preserve">CIPD | SWOT Analysis | Factsheets </w:t>
      </w:r>
      <w:r w:rsidRPr="002170AC">
        <w:rPr>
          <w:rFonts w:asciiTheme="minorBidi" w:hAnsiTheme="minorBidi"/>
          <w:sz w:val="24"/>
          <w:szCs w:val="24"/>
        </w:rPr>
        <w:t xml:space="preserve">[Online]. CIPD. Available: </w:t>
      </w:r>
      <w:hyperlink r:id="rId22" w:history="1">
        <w:r w:rsidRPr="002170AC">
          <w:rPr>
            <w:rStyle w:val="Hyperlink"/>
            <w:rFonts w:asciiTheme="minorBidi" w:hAnsiTheme="minorBidi"/>
            <w:sz w:val="24"/>
            <w:szCs w:val="24"/>
          </w:rPr>
          <w:t>https://www.cipd.org/uk/knowledge/factsheets/swot-analysis-factsheet</w:t>
        </w:r>
      </w:hyperlink>
      <w:r w:rsidRPr="002170AC">
        <w:rPr>
          <w:rFonts w:asciiTheme="minorBidi" w:hAnsiTheme="minorBidi"/>
          <w:sz w:val="24"/>
          <w:szCs w:val="24"/>
        </w:rPr>
        <w:t xml:space="preserve"> [Accessed 19 Dec. 2024].</w:t>
      </w:r>
    </w:p>
    <w:p w14:paraId="3228E9F9"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Coomber, R. &amp; Moyle, L. 2018. The Changing Shape of Street-Level Heroin and Crack Supply in England: Commuting, Holidaying and Cuckooing Drug Dealers Across ‘County Lines’. </w:t>
      </w:r>
      <w:r w:rsidRPr="002170AC">
        <w:rPr>
          <w:rFonts w:asciiTheme="minorBidi" w:hAnsiTheme="minorBidi"/>
          <w:i/>
          <w:sz w:val="24"/>
          <w:szCs w:val="24"/>
        </w:rPr>
        <w:t>The British Journal of Criminology,</w:t>
      </w:r>
      <w:r w:rsidRPr="002170AC">
        <w:rPr>
          <w:rFonts w:asciiTheme="minorBidi" w:hAnsiTheme="minorBidi"/>
          <w:sz w:val="24"/>
          <w:szCs w:val="24"/>
        </w:rPr>
        <w:t xml:space="preserve"> 58</w:t>
      </w:r>
      <w:r w:rsidRPr="002170AC">
        <w:rPr>
          <w:rFonts w:asciiTheme="minorBidi" w:hAnsiTheme="minorBidi"/>
          <w:b/>
          <w:sz w:val="24"/>
          <w:szCs w:val="24"/>
        </w:rPr>
        <w:t>,</w:t>
      </w:r>
      <w:r w:rsidRPr="002170AC">
        <w:rPr>
          <w:rFonts w:asciiTheme="minorBidi" w:hAnsiTheme="minorBidi"/>
          <w:sz w:val="24"/>
          <w:szCs w:val="24"/>
        </w:rPr>
        <w:t xml:space="preserve"> 1323-1342.</w:t>
      </w:r>
    </w:p>
    <w:p w14:paraId="66A4C16F"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i/>
          <w:sz w:val="24"/>
          <w:szCs w:val="24"/>
        </w:rPr>
        <w:t>Criminal Law Act 1977, The First Section</w:t>
      </w:r>
      <w:r w:rsidRPr="002170AC">
        <w:rPr>
          <w:rFonts w:asciiTheme="minorBidi" w:hAnsiTheme="minorBidi"/>
          <w:sz w:val="24"/>
          <w:szCs w:val="24"/>
        </w:rPr>
        <w:t xml:space="preserve">, [Online]  Available at: </w:t>
      </w:r>
      <w:hyperlink r:id="rId23" w:history="1">
        <w:r w:rsidRPr="002170AC">
          <w:rPr>
            <w:rStyle w:val="Hyperlink"/>
            <w:rFonts w:asciiTheme="minorBidi" w:hAnsiTheme="minorBidi"/>
            <w:sz w:val="24"/>
            <w:szCs w:val="24"/>
          </w:rPr>
          <w:t>https://www.legislation.gov.uk/ukpga/1977/45/section/1</w:t>
        </w:r>
      </w:hyperlink>
      <w:r w:rsidRPr="002170AC">
        <w:rPr>
          <w:rFonts w:asciiTheme="minorBidi" w:hAnsiTheme="minorBidi"/>
          <w:sz w:val="24"/>
          <w:szCs w:val="24"/>
        </w:rPr>
        <w:t>. [Accessed 29 Dec. 2024].</w:t>
      </w:r>
    </w:p>
    <w:p w14:paraId="599DA035"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Derbyshiresab.Org.Uk. n.d. </w:t>
      </w:r>
      <w:r w:rsidRPr="002170AC">
        <w:rPr>
          <w:rFonts w:asciiTheme="minorBidi" w:hAnsiTheme="minorBidi"/>
          <w:i/>
          <w:sz w:val="24"/>
          <w:szCs w:val="24"/>
        </w:rPr>
        <w:t xml:space="preserve">Trauma-informed practice in safeguarding </w:t>
      </w:r>
      <w:r w:rsidRPr="002170AC">
        <w:rPr>
          <w:rFonts w:asciiTheme="minorBidi" w:hAnsiTheme="minorBidi"/>
          <w:sz w:val="24"/>
          <w:szCs w:val="24"/>
        </w:rPr>
        <w:t xml:space="preserve">[Online]. Derbyshire Safeguarding Adults Board. Available: </w:t>
      </w:r>
      <w:hyperlink r:id="rId24" w:history="1">
        <w:r w:rsidRPr="002170AC">
          <w:rPr>
            <w:rStyle w:val="Hyperlink"/>
            <w:rFonts w:asciiTheme="minorBidi" w:hAnsiTheme="minorBidi"/>
            <w:sz w:val="24"/>
            <w:szCs w:val="24"/>
          </w:rPr>
          <w:t>https://www.derbyshiresab.org.uk/safeguarding-topics/trauma-informed-practice-in-safeguarding.aspx</w:t>
        </w:r>
      </w:hyperlink>
      <w:r w:rsidRPr="002170AC">
        <w:rPr>
          <w:rFonts w:asciiTheme="minorBidi" w:hAnsiTheme="minorBidi"/>
          <w:sz w:val="24"/>
          <w:szCs w:val="24"/>
        </w:rPr>
        <w:t xml:space="preserve"> [Accessed 24 Dec. 2024].</w:t>
      </w:r>
    </w:p>
    <w:p w14:paraId="0F17E5C7"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Erjavec, K., Arsenijević, O. &amp; Starc, J. 2018. Satisfaction with managers’ use of communication channels and its effect on employee-organisation relationships. </w:t>
      </w:r>
      <w:r w:rsidRPr="002170AC">
        <w:rPr>
          <w:rFonts w:asciiTheme="minorBidi" w:hAnsiTheme="minorBidi"/>
          <w:i/>
          <w:sz w:val="24"/>
          <w:szCs w:val="24"/>
        </w:rPr>
        <w:t>Journal of East European Management Studies,</w:t>
      </w:r>
      <w:r w:rsidRPr="002170AC">
        <w:rPr>
          <w:rFonts w:asciiTheme="minorBidi" w:hAnsiTheme="minorBidi"/>
          <w:sz w:val="24"/>
          <w:szCs w:val="24"/>
        </w:rPr>
        <w:t xml:space="preserve"> 23</w:t>
      </w:r>
      <w:r w:rsidRPr="002170AC">
        <w:rPr>
          <w:rFonts w:asciiTheme="minorBidi" w:hAnsiTheme="minorBidi"/>
          <w:b/>
          <w:sz w:val="24"/>
          <w:szCs w:val="24"/>
        </w:rPr>
        <w:t>,</w:t>
      </w:r>
      <w:r w:rsidRPr="002170AC">
        <w:rPr>
          <w:rFonts w:asciiTheme="minorBidi" w:hAnsiTheme="minorBidi"/>
          <w:sz w:val="24"/>
          <w:szCs w:val="24"/>
        </w:rPr>
        <w:t xml:space="preserve"> 559-578.</w:t>
      </w:r>
    </w:p>
    <w:p w14:paraId="22D6B293"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Espeute, S. &amp; Lanskey, C. 2023. An exploration of police discretion in the identification of child victims of county lines drug trafficking. </w:t>
      </w:r>
      <w:r w:rsidRPr="002170AC">
        <w:rPr>
          <w:rFonts w:asciiTheme="minorBidi" w:hAnsiTheme="minorBidi"/>
          <w:i/>
          <w:sz w:val="24"/>
          <w:szCs w:val="24"/>
        </w:rPr>
        <w:t>Policing and Society,</w:t>
      </w:r>
      <w:r w:rsidRPr="002170AC">
        <w:rPr>
          <w:rFonts w:asciiTheme="minorBidi" w:hAnsiTheme="minorBidi"/>
          <w:sz w:val="24"/>
          <w:szCs w:val="24"/>
        </w:rPr>
        <w:t xml:space="preserve"> 33</w:t>
      </w:r>
      <w:r w:rsidRPr="002170AC">
        <w:rPr>
          <w:rFonts w:asciiTheme="minorBidi" w:hAnsiTheme="minorBidi"/>
          <w:b/>
          <w:sz w:val="24"/>
          <w:szCs w:val="24"/>
        </w:rPr>
        <w:t>,</w:t>
      </w:r>
      <w:r w:rsidRPr="002170AC">
        <w:rPr>
          <w:rFonts w:asciiTheme="minorBidi" w:hAnsiTheme="minorBidi"/>
          <w:sz w:val="24"/>
          <w:szCs w:val="24"/>
        </w:rPr>
        <w:t xml:space="preserve"> 1031-1050.</w:t>
      </w:r>
    </w:p>
    <w:p w14:paraId="218D7C7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lastRenderedPageBreak/>
        <w:t xml:space="preserve">Gürel, E. 2017. SWOT ANALYSIS: A THEORETICAL REVIEW. </w:t>
      </w:r>
      <w:r w:rsidRPr="002170AC">
        <w:rPr>
          <w:rFonts w:asciiTheme="minorBidi" w:hAnsiTheme="minorBidi"/>
          <w:i/>
          <w:sz w:val="24"/>
          <w:szCs w:val="24"/>
        </w:rPr>
        <w:t>Journal of International Social Research,</w:t>
      </w:r>
      <w:r w:rsidRPr="002170AC">
        <w:rPr>
          <w:rFonts w:asciiTheme="minorBidi" w:hAnsiTheme="minorBidi"/>
          <w:sz w:val="24"/>
          <w:szCs w:val="24"/>
        </w:rPr>
        <w:t xml:space="preserve"> 10</w:t>
      </w:r>
      <w:r w:rsidRPr="002170AC">
        <w:rPr>
          <w:rFonts w:asciiTheme="minorBidi" w:hAnsiTheme="minorBidi"/>
          <w:b/>
          <w:sz w:val="24"/>
          <w:szCs w:val="24"/>
        </w:rPr>
        <w:t>,</w:t>
      </w:r>
      <w:r w:rsidRPr="002170AC">
        <w:rPr>
          <w:rFonts w:asciiTheme="minorBidi" w:hAnsiTheme="minorBidi"/>
          <w:sz w:val="24"/>
          <w:szCs w:val="24"/>
        </w:rPr>
        <w:t xml:space="preserve"> 994-1006.</w:t>
      </w:r>
    </w:p>
    <w:p w14:paraId="4BED54A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Hope, L., Anakwah, N., Antfolk, J., Brubacher, S. P., Flowe, H., Gabbert, F., Giebels, E., Kanja, W., Korkman, J., Kyo, A., Naka, M., Otgaar, H., Powell, M. B., Selim, H., Skrifvars, J., Sorkpah, I. K., Sowatey, E. A., Steele, L. C., Stevens, L., Sumampouw, N. E. J., Taylor, P. J., Trevino-Rangel, J., Van Veldhuizen, T., Wang, J., Wells, S. &amp; Anonymous 2022. Urgent issues and prospects at the intersection of culture, memory, and witness interviews: Exploring the challenges for research and practice. </w:t>
      </w:r>
      <w:r w:rsidRPr="002170AC">
        <w:rPr>
          <w:rFonts w:asciiTheme="minorBidi" w:hAnsiTheme="minorBidi"/>
          <w:i/>
          <w:sz w:val="24"/>
          <w:szCs w:val="24"/>
        </w:rPr>
        <w:t>Legal and Criminological Psychology,</w:t>
      </w:r>
      <w:r w:rsidRPr="002170AC">
        <w:rPr>
          <w:rFonts w:asciiTheme="minorBidi" w:hAnsiTheme="minorBidi"/>
          <w:sz w:val="24"/>
          <w:szCs w:val="24"/>
        </w:rPr>
        <w:t xml:space="preserve"> 27</w:t>
      </w:r>
      <w:r w:rsidRPr="002170AC">
        <w:rPr>
          <w:rFonts w:asciiTheme="minorBidi" w:hAnsiTheme="minorBidi"/>
          <w:b/>
          <w:sz w:val="24"/>
          <w:szCs w:val="24"/>
        </w:rPr>
        <w:t>,</w:t>
      </w:r>
      <w:r w:rsidRPr="002170AC">
        <w:rPr>
          <w:rFonts w:asciiTheme="minorBidi" w:hAnsiTheme="minorBidi"/>
          <w:sz w:val="24"/>
          <w:szCs w:val="24"/>
        </w:rPr>
        <w:t xml:space="preserve"> 1-31.</w:t>
      </w:r>
    </w:p>
    <w:p w14:paraId="6AD62A17"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Interventions Alliance. 2021. </w:t>
      </w:r>
      <w:r w:rsidRPr="002170AC">
        <w:rPr>
          <w:rFonts w:asciiTheme="minorBidi" w:hAnsiTheme="minorBidi"/>
          <w:i/>
          <w:sz w:val="24"/>
          <w:szCs w:val="24"/>
        </w:rPr>
        <w:t xml:space="preserve">County Lines (Literature Review) </w:t>
      </w:r>
      <w:r w:rsidRPr="002170AC">
        <w:rPr>
          <w:rFonts w:asciiTheme="minorBidi" w:hAnsiTheme="minorBidi"/>
          <w:sz w:val="24"/>
          <w:szCs w:val="24"/>
        </w:rPr>
        <w:t xml:space="preserve">[Online]. Interventions Alliance. Available: </w:t>
      </w:r>
      <w:hyperlink r:id="rId25" w:history="1">
        <w:r w:rsidRPr="002170AC">
          <w:rPr>
            <w:rStyle w:val="Hyperlink"/>
            <w:rFonts w:asciiTheme="minorBidi" w:hAnsiTheme="minorBidi"/>
            <w:sz w:val="24"/>
            <w:szCs w:val="24"/>
          </w:rPr>
          <w:t>https://interventionsalliance.com/county-lines-literature-review/</w:t>
        </w:r>
      </w:hyperlink>
      <w:r w:rsidRPr="002170AC">
        <w:rPr>
          <w:rFonts w:asciiTheme="minorBidi" w:hAnsiTheme="minorBidi"/>
          <w:sz w:val="24"/>
          <w:szCs w:val="24"/>
        </w:rPr>
        <w:t xml:space="preserve"> [Accessed 29 Dec. 2024].</w:t>
      </w:r>
    </w:p>
    <w:p w14:paraId="3519ABDE"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Jasper, M. 2013. </w:t>
      </w:r>
      <w:r w:rsidRPr="002170AC">
        <w:rPr>
          <w:rFonts w:asciiTheme="minorBidi" w:hAnsiTheme="minorBidi"/>
          <w:i/>
          <w:sz w:val="24"/>
          <w:szCs w:val="24"/>
        </w:rPr>
        <w:t>Beginning Reflective Practice</w:t>
      </w:r>
      <w:r w:rsidRPr="002170AC">
        <w:rPr>
          <w:rFonts w:asciiTheme="minorBidi" w:hAnsiTheme="minorBidi"/>
          <w:sz w:val="24"/>
          <w:szCs w:val="24"/>
        </w:rPr>
        <w:t>, Cengage Learning.</w:t>
      </w:r>
    </w:p>
    <w:p w14:paraId="34E332B3"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Local Government Association. 2015. </w:t>
      </w:r>
      <w:r w:rsidRPr="002170AC">
        <w:rPr>
          <w:rFonts w:asciiTheme="minorBidi" w:hAnsiTheme="minorBidi"/>
          <w:i/>
          <w:sz w:val="24"/>
          <w:szCs w:val="24"/>
        </w:rPr>
        <w:t xml:space="preserve">Tackling serious and organised crime a local response Report. </w:t>
      </w:r>
      <w:r w:rsidRPr="002170AC">
        <w:rPr>
          <w:rFonts w:asciiTheme="minorBidi" w:hAnsiTheme="minorBidi"/>
          <w:sz w:val="24"/>
          <w:szCs w:val="24"/>
        </w:rPr>
        <w:t xml:space="preserve">[Online]. Available: </w:t>
      </w:r>
      <w:hyperlink r:id="rId26" w:history="1">
        <w:r w:rsidRPr="002170AC">
          <w:rPr>
            <w:rStyle w:val="Hyperlink"/>
            <w:rFonts w:asciiTheme="minorBidi" w:hAnsiTheme="minorBidi"/>
            <w:sz w:val="24"/>
            <w:szCs w:val="24"/>
          </w:rPr>
          <w:t>https://www.local.gov.uk/sites/default/files/documents/tackling-serious-and-orga-44a.pdf</w:t>
        </w:r>
      </w:hyperlink>
      <w:r w:rsidRPr="002170AC">
        <w:rPr>
          <w:rFonts w:asciiTheme="minorBidi" w:hAnsiTheme="minorBidi"/>
          <w:sz w:val="24"/>
          <w:szCs w:val="24"/>
        </w:rPr>
        <w:t xml:space="preserve"> [Accessed 11 Jan 2025].</w:t>
      </w:r>
    </w:p>
    <w:p w14:paraId="0B1CC8B5"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i/>
          <w:sz w:val="24"/>
          <w:szCs w:val="24"/>
        </w:rPr>
        <w:t>Modern Slavery Act 2015, The Second Section</w:t>
      </w:r>
      <w:r w:rsidRPr="002170AC">
        <w:rPr>
          <w:rFonts w:asciiTheme="minorBidi" w:hAnsiTheme="minorBidi"/>
          <w:sz w:val="24"/>
          <w:szCs w:val="24"/>
        </w:rPr>
        <w:t xml:space="preserve">, [Online]  Available at: </w:t>
      </w:r>
      <w:hyperlink r:id="rId27" w:history="1">
        <w:r w:rsidRPr="002170AC">
          <w:rPr>
            <w:rStyle w:val="Hyperlink"/>
            <w:rFonts w:asciiTheme="minorBidi" w:hAnsiTheme="minorBidi"/>
            <w:sz w:val="24"/>
            <w:szCs w:val="24"/>
          </w:rPr>
          <w:t>https://www.legislation.gov.uk/ukpga/2015/30/section/2</w:t>
        </w:r>
      </w:hyperlink>
      <w:r w:rsidRPr="002170AC">
        <w:rPr>
          <w:rFonts w:asciiTheme="minorBidi" w:hAnsiTheme="minorBidi"/>
          <w:sz w:val="24"/>
          <w:szCs w:val="24"/>
        </w:rPr>
        <w:t xml:space="preserve"> [Accessed 17 Dec 2024].</w:t>
      </w:r>
    </w:p>
    <w:p w14:paraId="6A4C8CC3"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Muir, R. 2021. </w:t>
      </w:r>
      <w:r w:rsidRPr="002170AC">
        <w:rPr>
          <w:rFonts w:asciiTheme="minorBidi" w:hAnsiTheme="minorBidi"/>
          <w:i/>
          <w:sz w:val="24"/>
          <w:szCs w:val="24"/>
        </w:rPr>
        <w:t xml:space="preserve">The Strategic Review of Policing in England and Wales: Taking Prevention Seriously: The Case for a Crime and Harm Prevention System </w:t>
      </w:r>
      <w:r w:rsidRPr="002170AC">
        <w:rPr>
          <w:rFonts w:asciiTheme="minorBidi" w:hAnsiTheme="minorBidi"/>
          <w:sz w:val="24"/>
          <w:szCs w:val="24"/>
        </w:rPr>
        <w:t xml:space="preserve">[Online]. The Police Foundation. Available: </w:t>
      </w:r>
      <w:hyperlink r:id="rId28" w:history="1">
        <w:r w:rsidRPr="002170AC">
          <w:rPr>
            <w:rStyle w:val="Hyperlink"/>
            <w:rFonts w:asciiTheme="minorBidi" w:hAnsiTheme="minorBidi"/>
            <w:sz w:val="24"/>
            <w:szCs w:val="24"/>
          </w:rPr>
          <w:t>https://prohic.nl/wp-content/uploads/2021/05/210-10mei2021-HarmPreventionSystemPolice.pdf</w:t>
        </w:r>
      </w:hyperlink>
      <w:r w:rsidRPr="002170AC">
        <w:rPr>
          <w:rFonts w:asciiTheme="minorBidi" w:hAnsiTheme="minorBidi"/>
          <w:sz w:val="24"/>
          <w:szCs w:val="24"/>
        </w:rPr>
        <w:t xml:space="preserve"> [Accessed 11 Jan 2025].</w:t>
      </w:r>
    </w:p>
    <w:p w14:paraId="15C0F9D9"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Munro-Kramer, M., Beck, D., Choi, K., Singer, R., Gebhard, A. &amp; Carr, B. 2020. Human Trafficking Victim’s Service Needs and Outcomes: An Analysis of Clinical Law Data. </w:t>
      </w:r>
      <w:r w:rsidRPr="002170AC">
        <w:rPr>
          <w:rFonts w:asciiTheme="minorBidi" w:hAnsiTheme="minorBidi"/>
          <w:i/>
          <w:sz w:val="24"/>
          <w:szCs w:val="24"/>
        </w:rPr>
        <w:t>Journal of Human Trafficking,</w:t>
      </w:r>
      <w:r w:rsidRPr="002170AC">
        <w:rPr>
          <w:rFonts w:asciiTheme="minorBidi" w:hAnsiTheme="minorBidi"/>
          <w:sz w:val="24"/>
          <w:szCs w:val="24"/>
        </w:rPr>
        <w:t xml:space="preserve"> 6</w:t>
      </w:r>
      <w:r w:rsidRPr="002170AC">
        <w:rPr>
          <w:rFonts w:asciiTheme="minorBidi" w:hAnsiTheme="minorBidi"/>
          <w:b/>
          <w:sz w:val="24"/>
          <w:szCs w:val="24"/>
        </w:rPr>
        <w:t>,</w:t>
      </w:r>
      <w:r w:rsidRPr="002170AC">
        <w:rPr>
          <w:rFonts w:asciiTheme="minorBidi" w:hAnsiTheme="minorBidi"/>
          <w:sz w:val="24"/>
          <w:szCs w:val="24"/>
        </w:rPr>
        <w:t xml:space="preserve"> 95-108.</w:t>
      </w:r>
    </w:p>
    <w:p w14:paraId="273DA79D"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Namnyak, M., Tufton, N., Szekely, R., Toal, M., Worboys, S. &amp; Sampson, E. L. 2008. ‘Stockholm syndrome’: psychiatric diagnosis or urban myth? </w:t>
      </w:r>
      <w:r w:rsidRPr="002170AC">
        <w:rPr>
          <w:rFonts w:asciiTheme="minorBidi" w:hAnsiTheme="minorBidi"/>
          <w:i/>
          <w:sz w:val="24"/>
          <w:szCs w:val="24"/>
        </w:rPr>
        <w:t>Acta Psychiatrica Scandinavica,</w:t>
      </w:r>
      <w:r w:rsidRPr="002170AC">
        <w:rPr>
          <w:rFonts w:asciiTheme="minorBidi" w:hAnsiTheme="minorBidi"/>
          <w:sz w:val="24"/>
          <w:szCs w:val="24"/>
        </w:rPr>
        <w:t xml:space="preserve"> 117</w:t>
      </w:r>
      <w:r w:rsidRPr="002170AC">
        <w:rPr>
          <w:rFonts w:asciiTheme="minorBidi" w:hAnsiTheme="minorBidi"/>
          <w:b/>
          <w:sz w:val="24"/>
          <w:szCs w:val="24"/>
        </w:rPr>
        <w:t>,</w:t>
      </w:r>
      <w:r w:rsidRPr="002170AC">
        <w:rPr>
          <w:rFonts w:asciiTheme="minorBidi" w:hAnsiTheme="minorBidi"/>
          <w:sz w:val="24"/>
          <w:szCs w:val="24"/>
        </w:rPr>
        <w:t xml:space="preserve"> 4-11.</w:t>
      </w:r>
    </w:p>
    <w:p w14:paraId="03540B34"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Npcc. 2024. </w:t>
      </w:r>
      <w:r w:rsidRPr="002170AC">
        <w:rPr>
          <w:rFonts w:asciiTheme="minorBidi" w:hAnsiTheme="minorBidi"/>
          <w:i/>
          <w:sz w:val="24"/>
          <w:szCs w:val="24"/>
        </w:rPr>
        <w:t xml:space="preserve">County Lines are changing to become more localised, reveals new County Lines Strategic Threat Risk Assessment </w:t>
      </w:r>
      <w:r w:rsidRPr="002170AC">
        <w:rPr>
          <w:rFonts w:asciiTheme="minorBidi" w:hAnsiTheme="minorBidi"/>
          <w:sz w:val="24"/>
          <w:szCs w:val="24"/>
        </w:rPr>
        <w:t xml:space="preserve">[Online]. National Police </w:t>
      </w:r>
      <w:r w:rsidRPr="002170AC">
        <w:rPr>
          <w:rFonts w:asciiTheme="minorBidi" w:hAnsiTheme="minorBidi"/>
          <w:sz w:val="24"/>
          <w:szCs w:val="24"/>
        </w:rPr>
        <w:lastRenderedPageBreak/>
        <w:t xml:space="preserve">Chiefs’ Council (NPCC). Available: </w:t>
      </w:r>
      <w:hyperlink r:id="rId29" w:history="1">
        <w:r w:rsidRPr="002170AC">
          <w:rPr>
            <w:rStyle w:val="Hyperlink"/>
            <w:rFonts w:asciiTheme="minorBidi" w:hAnsiTheme="minorBidi"/>
            <w:sz w:val="24"/>
            <w:szCs w:val="24"/>
          </w:rPr>
          <w:t>https://news.npcc.police.uk/releases/county-lines-are-changing-to-become-more-localised-reveals-new-county-lines-strategic-threat-risk-assessment</w:t>
        </w:r>
      </w:hyperlink>
      <w:r w:rsidRPr="002170AC">
        <w:rPr>
          <w:rFonts w:asciiTheme="minorBidi" w:hAnsiTheme="minorBidi"/>
          <w:sz w:val="24"/>
          <w:szCs w:val="24"/>
        </w:rPr>
        <w:t xml:space="preserve"> [Accessed 24 Dec. 2024].</w:t>
      </w:r>
    </w:p>
    <w:p w14:paraId="4A3E8336"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O’brien, F., Palmer, S. &amp; Blinkhorn, V. 2022. Factors that predict the referral of adult Modern Day Slavery cases to the UK's National Referral Mechanism. </w:t>
      </w:r>
      <w:r w:rsidRPr="002170AC">
        <w:rPr>
          <w:rFonts w:asciiTheme="minorBidi" w:hAnsiTheme="minorBidi"/>
          <w:i/>
          <w:sz w:val="24"/>
          <w:szCs w:val="24"/>
        </w:rPr>
        <w:t>International Journal of Police Science &amp; Management,</w:t>
      </w:r>
      <w:r w:rsidRPr="002170AC">
        <w:rPr>
          <w:rFonts w:asciiTheme="minorBidi" w:hAnsiTheme="minorBidi"/>
          <w:sz w:val="24"/>
          <w:szCs w:val="24"/>
        </w:rPr>
        <w:t xml:space="preserve"> 24</w:t>
      </w:r>
      <w:r w:rsidRPr="002170AC">
        <w:rPr>
          <w:rFonts w:asciiTheme="minorBidi" w:hAnsiTheme="minorBidi"/>
          <w:b/>
          <w:sz w:val="24"/>
          <w:szCs w:val="24"/>
        </w:rPr>
        <w:t>,</w:t>
      </w:r>
      <w:r w:rsidRPr="002170AC">
        <w:rPr>
          <w:rFonts w:asciiTheme="minorBidi" w:hAnsiTheme="minorBidi"/>
          <w:sz w:val="24"/>
          <w:szCs w:val="24"/>
        </w:rPr>
        <w:t xml:space="preserve"> 273-284.</w:t>
      </w:r>
    </w:p>
    <w:p w14:paraId="5B3C86B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Parliament.Uk. 2018. </w:t>
      </w:r>
      <w:r w:rsidRPr="002170AC">
        <w:rPr>
          <w:rFonts w:asciiTheme="minorBidi" w:hAnsiTheme="minorBidi"/>
          <w:i/>
          <w:sz w:val="24"/>
          <w:szCs w:val="24"/>
        </w:rPr>
        <w:t xml:space="preserve">Serious and Organised Crime - Committee of Public Accounts - House of Commons </w:t>
      </w:r>
      <w:r w:rsidRPr="002170AC">
        <w:rPr>
          <w:rFonts w:asciiTheme="minorBidi" w:hAnsiTheme="minorBidi"/>
          <w:sz w:val="24"/>
          <w:szCs w:val="24"/>
        </w:rPr>
        <w:t xml:space="preserve">[Online]. Available: </w:t>
      </w:r>
      <w:hyperlink r:id="rId30" w:history="1">
        <w:r w:rsidRPr="002170AC">
          <w:rPr>
            <w:rStyle w:val="Hyperlink"/>
            <w:rFonts w:asciiTheme="minorBidi" w:hAnsiTheme="minorBidi"/>
            <w:sz w:val="24"/>
            <w:szCs w:val="24"/>
          </w:rPr>
          <w:t>https://publications.parliament.uk/pa/cm201719/cmselect/cmpubacc/2049/204904.htm</w:t>
        </w:r>
      </w:hyperlink>
      <w:r w:rsidRPr="002170AC">
        <w:rPr>
          <w:rFonts w:asciiTheme="minorBidi" w:hAnsiTheme="minorBidi"/>
          <w:sz w:val="24"/>
          <w:szCs w:val="24"/>
        </w:rPr>
        <w:t xml:space="preserve"> [Accessed 16 Dec. 2024].</w:t>
      </w:r>
    </w:p>
    <w:p w14:paraId="3C09BC27"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Pournara, M. n.d. </w:t>
      </w:r>
      <w:r w:rsidRPr="002170AC">
        <w:rPr>
          <w:rFonts w:asciiTheme="minorBidi" w:hAnsiTheme="minorBidi"/>
          <w:i/>
          <w:sz w:val="24"/>
          <w:szCs w:val="24"/>
        </w:rPr>
        <w:t>STRATEGIC POLICE DECISION-MAKING IN TACKLING ORGANISED CRIME Constructing and prioritising organised crime problems in the UK.</w:t>
      </w:r>
      <w:r w:rsidRPr="002170AC">
        <w:rPr>
          <w:rFonts w:asciiTheme="minorBidi" w:hAnsiTheme="minorBidi"/>
          <w:sz w:val="24"/>
          <w:szCs w:val="24"/>
        </w:rPr>
        <w:t xml:space="preserve"> PhD thesis, Cardiff University </w:t>
      </w:r>
    </w:p>
    <w:p w14:paraId="5C84068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Rowe, S. &amp; Low, N. 2024. </w:t>
      </w:r>
      <w:r w:rsidRPr="002170AC">
        <w:rPr>
          <w:rFonts w:asciiTheme="minorBidi" w:hAnsiTheme="minorBidi"/>
          <w:i/>
          <w:sz w:val="24"/>
          <w:szCs w:val="24"/>
        </w:rPr>
        <w:t xml:space="preserve">Children and young people and the criminal justice system </w:t>
      </w:r>
      <w:r w:rsidRPr="002170AC">
        <w:rPr>
          <w:rFonts w:asciiTheme="minorBidi" w:hAnsiTheme="minorBidi"/>
          <w:sz w:val="24"/>
          <w:szCs w:val="24"/>
        </w:rPr>
        <w:t xml:space="preserve">[Online]. Available: </w:t>
      </w:r>
      <w:hyperlink r:id="rId31" w:history="1">
        <w:r w:rsidRPr="002170AC">
          <w:rPr>
            <w:rStyle w:val="Hyperlink"/>
            <w:rFonts w:asciiTheme="minorBidi" w:hAnsiTheme="minorBidi"/>
            <w:sz w:val="24"/>
            <w:szCs w:val="24"/>
          </w:rPr>
          <w:t>https://post.parliament.uk/children-and-young-people-and-the-criminal-justice-system/</w:t>
        </w:r>
      </w:hyperlink>
      <w:r w:rsidRPr="002170AC">
        <w:rPr>
          <w:rFonts w:asciiTheme="minorBidi" w:hAnsiTheme="minorBidi"/>
          <w:sz w:val="24"/>
          <w:szCs w:val="24"/>
        </w:rPr>
        <w:t xml:space="preserve"> [Accessed 5 Jan 2025].</w:t>
      </w:r>
    </w:p>
    <w:p w14:paraId="4FFC15A8"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Transunion. n.d. County lines in focus: drug dealing gangs using rental firms to avoid police detection. Available from: </w:t>
      </w:r>
      <w:hyperlink r:id="rId32" w:history="1">
        <w:r w:rsidRPr="002170AC">
          <w:rPr>
            <w:rStyle w:val="Hyperlink"/>
            <w:rFonts w:asciiTheme="minorBidi" w:hAnsiTheme="minorBidi"/>
            <w:sz w:val="24"/>
            <w:szCs w:val="24"/>
          </w:rPr>
          <w:t>https://www.transunion.co.uk/blog/county-lines-in-focus-drug-dealing-gangs-using-rental-firms-to-avoid-police-detection</w:t>
        </w:r>
      </w:hyperlink>
      <w:r w:rsidRPr="002170AC">
        <w:rPr>
          <w:rFonts w:asciiTheme="minorBidi" w:hAnsiTheme="minorBidi"/>
          <w:sz w:val="24"/>
          <w:szCs w:val="24"/>
        </w:rPr>
        <w:t xml:space="preserve"> [Accessed 28 Dec. 2024].</w:t>
      </w:r>
    </w:p>
    <w:p w14:paraId="14D79DF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Tushar, H. 2017. The Role of Ethical Leadership in Developing Sustainable Organization. </w:t>
      </w:r>
      <w:r w:rsidRPr="002170AC">
        <w:rPr>
          <w:rFonts w:asciiTheme="minorBidi" w:hAnsiTheme="minorBidi"/>
          <w:i/>
          <w:sz w:val="24"/>
          <w:szCs w:val="24"/>
        </w:rPr>
        <w:t>International Journal of Business Governance and Ethics,</w:t>
      </w:r>
      <w:r w:rsidRPr="002170AC">
        <w:rPr>
          <w:rFonts w:asciiTheme="minorBidi" w:hAnsiTheme="minorBidi"/>
          <w:sz w:val="24"/>
          <w:szCs w:val="24"/>
        </w:rPr>
        <w:t xml:space="preserve"> 2</w:t>
      </w:r>
      <w:r w:rsidRPr="002170AC">
        <w:rPr>
          <w:rFonts w:asciiTheme="minorBidi" w:hAnsiTheme="minorBidi"/>
          <w:b/>
          <w:sz w:val="24"/>
          <w:szCs w:val="24"/>
        </w:rPr>
        <w:t>,</w:t>
      </w:r>
      <w:r w:rsidRPr="002170AC">
        <w:rPr>
          <w:rFonts w:asciiTheme="minorBidi" w:hAnsiTheme="minorBidi"/>
          <w:sz w:val="24"/>
          <w:szCs w:val="24"/>
        </w:rPr>
        <w:t xml:space="preserve"> 83-95.</w:t>
      </w:r>
    </w:p>
    <w:p w14:paraId="2ED478C2"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University of Nottingham. n.d. </w:t>
      </w:r>
      <w:r w:rsidRPr="002170AC">
        <w:rPr>
          <w:rFonts w:asciiTheme="minorBidi" w:hAnsiTheme="minorBidi"/>
          <w:i/>
          <w:sz w:val="24"/>
          <w:szCs w:val="24"/>
        </w:rPr>
        <w:t xml:space="preserve">News - New research reveals the alarming reality of child modern slavery in the UK and calls for urgent action to protect children - University of Nottingham </w:t>
      </w:r>
      <w:r w:rsidRPr="002170AC">
        <w:rPr>
          <w:rFonts w:asciiTheme="minorBidi" w:hAnsiTheme="minorBidi"/>
          <w:sz w:val="24"/>
          <w:szCs w:val="24"/>
        </w:rPr>
        <w:t xml:space="preserve">[Online]. University of Nottingham. Available: </w:t>
      </w:r>
      <w:hyperlink r:id="rId33" w:history="1">
        <w:r w:rsidRPr="002170AC">
          <w:rPr>
            <w:rStyle w:val="Hyperlink"/>
            <w:rFonts w:asciiTheme="minorBidi" w:hAnsiTheme="minorBidi"/>
            <w:sz w:val="24"/>
            <w:szCs w:val="24"/>
          </w:rPr>
          <w:t>https://www.nottingham.ac.uk/news/alarming-reality-of-child-modern-slavery</w:t>
        </w:r>
      </w:hyperlink>
      <w:r w:rsidRPr="002170AC">
        <w:rPr>
          <w:rFonts w:asciiTheme="minorBidi" w:hAnsiTheme="minorBidi"/>
          <w:sz w:val="24"/>
          <w:szCs w:val="24"/>
        </w:rPr>
        <w:t xml:space="preserve"> [Accessed 23 Dec. 2024].</w:t>
      </w:r>
    </w:p>
    <w:p w14:paraId="28296466" w14:textId="77777777" w:rsidR="002170AC" w:rsidRPr="002170AC" w:rsidRDefault="002170AC" w:rsidP="002170AC">
      <w:pPr>
        <w:pStyle w:val="EndNoteBibliography"/>
        <w:spacing w:line="360" w:lineRule="auto"/>
        <w:ind w:left="720" w:hanging="720"/>
        <w:rPr>
          <w:rFonts w:asciiTheme="minorBidi" w:hAnsiTheme="minorBidi"/>
          <w:sz w:val="24"/>
          <w:szCs w:val="24"/>
        </w:rPr>
      </w:pPr>
      <w:r w:rsidRPr="002170AC">
        <w:rPr>
          <w:rFonts w:asciiTheme="minorBidi" w:hAnsiTheme="minorBidi"/>
          <w:sz w:val="24"/>
          <w:szCs w:val="24"/>
        </w:rPr>
        <w:t xml:space="preserve">Windle, J., Moyle, L. &amp; Coomber, R. 2020. ‘Vulnerable’ Kids Going Country: Children and Young People’s Involvement in County Lines Drug Dealing. </w:t>
      </w:r>
      <w:r w:rsidRPr="002170AC">
        <w:rPr>
          <w:rFonts w:asciiTheme="minorBidi" w:hAnsiTheme="minorBidi"/>
          <w:i/>
          <w:sz w:val="24"/>
          <w:szCs w:val="24"/>
        </w:rPr>
        <w:t>Youth Justice,</w:t>
      </w:r>
      <w:r w:rsidRPr="002170AC">
        <w:rPr>
          <w:rFonts w:asciiTheme="minorBidi" w:hAnsiTheme="minorBidi"/>
          <w:sz w:val="24"/>
          <w:szCs w:val="24"/>
        </w:rPr>
        <w:t xml:space="preserve"> 20</w:t>
      </w:r>
      <w:r w:rsidRPr="002170AC">
        <w:rPr>
          <w:rFonts w:asciiTheme="minorBidi" w:hAnsiTheme="minorBidi"/>
          <w:b/>
          <w:sz w:val="24"/>
          <w:szCs w:val="24"/>
        </w:rPr>
        <w:t>,</w:t>
      </w:r>
      <w:r w:rsidRPr="002170AC">
        <w:rPr>
          <w:rFonts w:asciiTheme="minorBidi" w:hAnsiTheme="minorBidi"/>
          <w:sz w:val="24"/>
          <w:szCs w:val="24"/>
        </w:rPr>
        <w:t xml:space="preserve"> 64-78.</w:t>
      </w:r>
    </w:p>
    <w:p w14:paraId="56FD6030"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fldChar w:fldCharType="end"/>
      </w:r>
    </w:p>
    <w:p w14:paraId="7D1851D6" w14:textId="4E135229" w:rsidR="002170AC" w:rsidRPr="002170AC" w:rsidRDefault="002170AC" w:rsidP="002170AC">
      <w:pPr>
        <w:ind w:left="3600" w:right="107" w:firstLine="720"/>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lastRenderedPageBreak/>
        <w:t>Task 3</w:t>
      </w:r>
    </w:p>
    <w:p w14:paraId="6664E868" w14:textId="286DD0F7" w:rsidR="4AF6DABA" w:rsidRPr="002170AC" w:rsidRDefault="4AF6DABA" w:rsidP="799553ED">
      <w:pPr>
        <w:ind w:right="107"/>
        <w:jc w:val="both"/>
        <w:rPr>
          <w:rFonts w:asciiTheme="minorBidi" w:eastAsia="Arial" w:hAnsiTheme="minorBidi"/>
          <w:b/>
          <w:bCs/>
          <w:i/>
          <w:iCs/>
          <w:color w:val="000000" w:themeColor="text1"/>
          <w:sz w:val="24"/>
          <w:szCs w:val="24"/>
        </w:rPr>
      </w:pPr>
      <w:r w:rsidRPr="002170AC">
        <w:rPr>
          <w:rFonts w:asciiTheme="minorBidi" w:eastAsia="Arial" w:hAnsiTheme="minorBidi"/>
          <w:b/>
          <w:bCs/>
          <w:i/>
          <w:iCs/>
          <w:color w:val="000000" w:themeColor="text1"/>
          <w:sz w:val="24"/>
          <w:szCs w:val="24"/>
        </w:rPr>
        <w:t xml:space="preserve">Task 3: </w:t>
      </w:r>
      <w:r w:rsidR="0873C75C" w:rsidRPr="002170AC">
        <w:rPr>
          <w:rFonts w:asciiTheme="minorBidi" w:eastAsia="Arial" w:hAnsiTheme="minorBidi"/>
          <w:b/>
          <w:bCs/>
          <w:i/>
          <w:iCs/>
          <w:color w:val="000000" w:themeColor="text1"/>
          <w:sz w:val="24"/>
          <w:szCs w:val="24"/>
        </w:rPr>
        <w:t>Investigation Techniques</w:t>
      </w:r>
    </w:p>
    <w:p w14:paraId="61AB2B59" w14:textId="399A9044" w:rsidR="6AF475AF" w:rsidRPr="002170AC" w:rsidRDefault="6AF475AF" w:rsidP="03DEED5D">
      <w:pPr>
        <w:ind w:right="107"/>
        <w:rPr>
          <w:rFonts w:asciiTheme="minorBidi" w:eastAsia="Arial" w:hAnsiTheme="minorBidi"/>
          <w:color w:val="000000" w:themeColor="text1"/>
          <w:sz w:val="24"/>
          <w:szCs w:val="24"/>
        </w:rPr>
      </w:pPr>
      <w:r w:rsidRPr="002170AC">
        <w:rPr>
          <w:rFonts w:asciiTheme="minorBidi" w:eastAsia="Arial" w:hAnsiTheme="minorBidi"/>
          <w:color w:val="000000" w:themeColor="text1"/>
          <w:sz w:val="24"/>
          <w:szCs w:val="24"/>
        </w:rPr>
        <w:t xml:space="preserve">You must choose a serious and complex criminal investigation in which you played a significant role in providing a response. </w:t>
      </w:r>
    </w:p>
    <w:tbl>
      <w:tblPr>
        <w:tblStyle w:val="TableGrid"/>
        <w:tblW w:w="0" w:type="auto"/>
        <w:tblLayout w:type="fixed"/>
        <w:tblLook w:val="06A0" w:firstRow="1" w:lastRow="0" w:firstColumn="1" w:lastColumn="0" w:noHBand="1" w:noVBand="1"/>
      </w:tblPr>
      <w:tblGrid>
        <w:gridCol w:w="9015"/>
      </w:tblGrid>
      <w:tr w:rsidR="7336895D" w:rsidRPr="002170AC" w14:paraId="66F0C074" w14:textId="77777777" w:rsidTr="799553ED">
        <w:tc>
          <w:tcPr>
            <w:tcW w:w="9015" w:type="dxa"/>
          </w:tcPr>
          <w:p w14:paraId="4B914903" w14:textId="7C2B39DE" w:rsidR="7336895D" w:rsidRPr="002170AC" w:rsidRDefault="7336895D" w:rsidP="7336895D">
            <w:pPr>
              <w:rPr>
                <w:rFonts w:asciiTheme="minorBidi" w:eastAsia="Arial" w:hAnsiTheme="minorBidi"/>
                <w:b/>
                <w:bCs/>
                <w:color w:val="000000" w:themeColor="text1"/>
                <w:sz w:val="24"/>
                <w:szCs w:val="24"/>
              </w:rPr>
            </w:pPr>
          </w:p>
          <w:p w14:paraId="1582804F" w14:textId="6413FD50" w:rsidR="7336895D" w:rsidRPr="002170AC" w:rsidRDefault="35A5AEAB" w:rsidP="7DD7F507">
            <w:pPr>
              <w:ind w:right="237"/>
              <w:jc w:val="both"/>
              <w:rPr>
                <w:rFonts w:asciiTheme="minorBidi" w:eastAsia="Arial" w:hAnsiTheme="minorBidi"/>
                <w:sz w:val="24"/>
                <w:szCs w:val="24"/>
              </w:rPr>
            </w:pPr>
            <w:r w:rsidRPr="002170AC">
              <w:rPr>
                <w:rFonts w:asciiTheme="minorBidi" w:eastAsia="Arial" w:hAnsiTheme="minorBidi"/>
                <w:b/>
                <w:bCs/>
                <w:color w:val="000000" w:themeColor="text1"/>
                <w:sz w:val="24"/>
                <w:szCs w:val="24"/>
              </w:rPr>
              <w:t xml:space="preserve">3a. </w:t>
            </w:r>
            <w:r w:rsidR="1EBB9EA9" w:rsidRPr="002170AC">
              <w:rPr>
                <w:rFonts w:asciiTheme="minorBidi" w:eastAsia="Arial" w:hAnsiTheme="minorBidi"/>
                <w:b/>
                <w:bCs/>
                <w:color w:val="000000" w:themeColor="text1"/>
                <w:sz w:val="24"/>
                <w:szCs w:val="24"/>
              </w:rPr>
              <w:t>Give a brief description</w:t>
            </w:r>
            <w:r w:rsidR="1EBB9EA9" w:rsidRPr="002170AC">
              <w:rPr>
                <w:rFonts w:asciiTheme="minorBidi" w:eastAsia="Arial" w:hAnsiTheme="minorBidi"/>
                <w:color w:val="000000" w:themeColor="text1"/>
                <w:sz w:val="24"/>
                <w:szCs w:val="24"/>
              </w:rPr>
              <w:t xml:space="preserve"> of the incident including social and legislative contexts and any relevant cultural, ethnicity and language issues. </w:t>
            </w:r>
            <w:r w:rsidR="1EBB9EA9" w:rsidRPr="002170AC">
              <w:rPr>
                <w:rFonts w:asciiTheme="minorBidi" w:eastAsia="Arial" w:hAnsiTheme="minorBidi"/>
                <w:sz w:val="24"/>
                <w:szCs w:val="24"/>
              </w:rPr>
              <w:t xml:space="preserve"> </w:t>
            </w:r>
          </w:p>
          <w:p w14:paraId="271C4687" w14:textId="55ED8BE0" w:rsidR="7336895D" w:rsidRPr="002170AC" w:rsidRDefault="7336895D" w:rsidP="4E4E3FA4">
            <w:pPr>
              <w:rPr>
                <w:rFonts w:asciiTheme="minorBidi" w:eastAsia="Arial" w:hAnsiTheme="minorBidi"/>
                <w:b/>
                <w:bCs/>
                <w:color w:val="000000" w:themeColor="text1"/>
                <w:sz w:val="24"/>
                <w:szCs w:val="24"/>
              </w:rPr>
            </w:pPr>
          </w:p>
          <w:p w14:paraId="56052BFD" w14:textId="59636B5F" w:rsidR="7336895D" w:rsidRPr="002170AC" w:rsidRDefault="5E931E8F" w:rsidP="03DEED5D">
            <w:pPr>
              <w:rPr>
                <w:rFonts w:asciiTheme="minorBidi" w:eastAsia="Arial" w:hAnsiTheme="minorBidi"/>
                <w:color w:val="000000" w:themeColor="text1"/>
                <w:sz w:val="24"/>
                <w:szCs w:val="24"/>
              </w:rPr>
            </w:pPr>
            <w:r w:rsidRPr="002170AC">
              <w:rPr>
                <w:rFonts w:asciiTheme="minorBidi" w:eastAsia="Arial" w:hAnsiTheme="minorBidi"/>
                <w:color w:val="000000" w:themeColor="text1"/>
                <w:sz w:val="24"/>
                <w:szCs w:val="24"/>
              </w:rPr>
              <w:t xml:space="preserve">3b. </w:t>
            </w:r>
            <w:r w:rsidR="37ABA781" w:rsidRPr="002170AC">
              <w:rPr>
                <w:rFonts w:asciiTheme="minorBidi" w:eastAsia="Arial" w:hAnsiTheme="minorBidi"/>
                <w:color w:val="000000" w:themeColor="text1"/>
                <w:sz w:val="24"/>
                <w:szCs w:val="24"/>
              </w:rPr>
              <w:t>Outline the established techniques used to</w:t>
            </w:r>
            <w:r w:rsidR="5E4F4F1F" w:rsidRPr="002170AC">
              <w:rPr>
                <w:rFonts w:asciiTheme="minorBidi" w:eastAsia="Arial" w:hAnsiTheme="minorBidi"/>
                <w:color w:val="000000" w:themeColor="text1"/>
                <w:sz w:val="24"/>
                <w:szCs w:val="24"/>
              </w:rPr>
              <w:t xml:space="preserve"> </w:t>
            </w:r>
            <w:r w:rsidR="67C6FF79" w:rsidRPr="002170AC">
              <w:rPr>
                <w:rFonts w:asciiTheme="minorBidi" w:eastAsia="Arial" w:hAnsiTheme="minorBidi"/>
                <w:color w:val="000000" w:themeColor="text1"/>
                <w:sz w:val="24"/>
                <w:szCs w:val="24"/>
              </w:rPr>
              <w:t xml:space="preserve">progress the investigation. </w:t>
            </w:r>
          </w:p>
          <w:p w14:paraId="0FF12AE3" w14:textId="0F7578B9" w:rsidR="799553ED" w:rsidRPr="002170AC" w:rsidRDefault="799553ED" w:rsidP="799553ED">
            <w:pPr>
              <w:rPr>
                <w:rFonts w:asciiTheme="minorBidi" w:eastAsia="Arial" w:hAnsiTheme="minorBidi"/>
                <w:color w:val="000000" w:themeColor="text1"/>
                <w:sz w:val="24"/>
                <w:szCs w:val="24"/>
              </w:rPr>
            </w:pPr>
          </w:p>
          <w:p w14:paraId="052C74D8" w14:textId="107F9E19" w:rsidR="7C819BBD" w:rsidRPr="002170AC" w:rsidRDefault="7C819BBD" w:rsidP="799553ED">
            <w:pPr>
              <w:rPr>
                <w:rFonts w:asciiTheme="minorBidi" w:eastAsia="Arial" w:hAnsiTheme="minorBidi"/>
                <w:sz w:val="24"/>
                <w:szCs w:val="24"/>
              </w:rPr>
            </w:pPr>
            <w:r w:rsidRPr="002170AC">
              <w:rPr>
                <w:rFonts w:asciiTheme="minorBidi" w:eastAsia="Arial" w:hAnsiTheme="minorBidi"/>
                <w:color w:val="000000" w:themeColor="text1"/>
                <w:sz w:val="24"/>
                <w:szCs w:val="24"/>
              </w:rPr>
              <w:t>3c. Critically explore the use of each investigative technique that you applied to the investigation and demonstrate your understanding of their use</w:t>
            </w:r>
          </w:p>
          <w:p w14:paraId="0C0DB411" w14:textId="17C62268" w:rsidR="7336895D" w:rsidRPr="002170AC" w:rsidRDefault="7336895D" w:rsidP="03DEED5D">
            <w:pPr>
              <w:rPr>
                <w:rFonts w:asciiTheme="minorBidi" w:eastAsia="Arial" w:hAnsiTheme="minorBidi"/>
                <w:color w:val="000000" w:themeColor="text1"/>
                <w:sz w:val="24"/>
                <w:szCs w:val="24"/>
              </w:rPr>
            </w:pPr>
          </w:p>
          <w:p w14:paraId="49577BB7" w14:textId="5D32A43B" w:rsidR="7336895D" w:rsidRPr="002170AC" w:rsidRDefault="4AF291CB" w:rsidP="03DEED5D">
            <w:pPr>
              <w:rPr>
                <w:rFonts w:asciiTheme="minorBidi" w:eastAsia="Arial" w:hAnsiTheme="minorBidi"/>
                <w:color w:val="000000" w:themeColor="text1"/>
                <w:sz w:val="24"/>
                <w:szCs w:val="24"/>
              </w:rPr>
            </w:pPr>
            <w:r w:rsidRPr="002170AC">
              <w:rPr>
                <w:rFonts w:asciiTheme="minorBidi" w:eastAsia="Arial" w:hAnsiTheme="minorBidi"/>
                <w:color w:val="000000" w:themeColor="text1"/>
                <w:sz w:val="24"/>
                <w:szCs w:val="24"/>
              </w:rPr>
              <w:t xml:space="preserve">3c. </w:t>
            </w:r>
            <w:r w:rsidR="5B940C1E" w:rsidRPr="002170AC">
              <w:rPr>
                <w:rFonts w:asciiTheme="minorBidi" w:eastAsia="Arial" w:hAnsiTheme="minorBidi"/>
                <w:color w:val="000000" w:themeColor="text1"/>
                <w:sz w:val="24"/>
                <w:szCs w:val="24"/>
              </w:rPr>
              <w:t xml:space="preserve">Critically evaluate </w:t>
            </w:r>
            <w:r w:rsidR="43DF6036" w:rsidRPr="002170AC">
              <w:rPr>
                <w:rFonts w:asciiTheme="minorBidi" w:eastAsia="Arial" w:hAnsiTheme="minorBidi"/>
                <w:color w:val="000000" w:themeColor="text1"/>
                <w:sz w:val="24"/>
                <w:szCs w:val="24"/>
              </w:rPr>
              <w:t>how you applied specific legislation and</w:t>
            </w:r>
            <w:r w:rsidR="67577802" w:rsidRPr="002170AC">
              <w:rPr>
                <w:rFonts w:asciiTheme="minorBidi" w:eastAsia="Arial" w:hAnsiTheme="minorBidi"/>
                <w:color w:val="000000" w:themeColor="text1"/>
                <w:sz w:val="24"/>
                <w:szCs w:val="24"/>
              </w:rPr>
              <w:t>/</w:t>
            </w:r>
            <w:r w:rsidR="43DF6036" w:rsidRPr="002170AC">
              <w:rPr>
                <w:rFonts w:asciiTheme="minorBidi" w:eastAsia="Arial" w:hAnsiTheme="minorBidi"/>
                <w:color w:val="000000" w:themeColor="text1"/>
                <w:sz w:val="24"/>
                <w:szCs w:val="24"/>
              </w:rPr>
              <w:t>or powers to the investigatio</w:t>
            </w:r>
            <w:r w:rsidR="02D9E2D3" w:rsidRPr="002170AC">
              <w:rPr>
                <w:rFonts w:asciiTheme="minorBidi" w:eastAsia="Arial" w:hAnsiTheme="minorBidi"/>
                <w:color w:val="000000" w:themeColor="text1"/>
                <w:sz w:val="24"/>
                <w:szCs w:val="24"/>
              </w:rPr>
              <w:t xml:space="preserve">n. </w:t>
            </w:r>
          </w:p>
          <w:p w14:paraId="21190093" w14:textId="7BF16024" w:rsidR="03DEED5D" w:rsidRPr="002170AC" w:rsidRDefault="03DEED5D" w:rsidP="03DEED5D">
            <w:pPr>
              <w:rPr>
                <w:rFonts w:asciiTheme="minorBidi" w:eastAsia="Arial" w:hAnsiTheme="minorBidi"/>
                <w:color w:val="000000" w:themeColor="text1"/>
                <w:sz w:val="24"/>
                <w:szCs w:val="24"/>
              </w:rPr>
            </w:pPr>
          </w:p>
          <w:p w14:paraId="55587379" w14:textId="08A8A4E7" w:rsidR="7336895D" w:rsidRPr="002170AC" w:rsidRDefault="7336895D" w:rsidP="1329C8D5">
            <w:pPr>
              <w:rPr>
                <w:rFonts w:asciiTheme="minorBidi" w:eastAsia="Arial" w:hAnsiTheme="minorBidi"/>
                <w:b/>
                <w:bCs/>
                <w:color w:val="000000" w:themeColor="text1"/>
                <w:sz w:val="24"/>
                <w:szCs w:val="24"/>
              </w:rPr>
            </w:pPr>
          </w:p>
          <w:p w14:paraId="3578E565" w14:textId="25B5CCAF" w:rsidR="7336895D" w:rsidRPr="002170AC" w:rsidRDefault="3736D817" w:rsidP="03DEED5D">
            <w:pPr>
              <w:rPr>
                <w:rFonts w:asciiTheme="minorBidi" w:eastAsia="Arial" w:hAnsiTheme="minorBidi"/>
                <w:sz w:val="24"/>
                <w:szCs w:val="24"/>
              </w:rPr>
            </w:pPr>
            <w:r w:rsidRPr="002170AC">
              <w:rPr>
                <w:rFonts w:asciiTheme="minorBidi" w:eastAsia="Arial" w:hAnsiTheme="minorBidi"/>
                <w:b/>
                <w:bCs/>
                <w:color w:val="000000" w:themeColor="text1"/>
                <w:sz w:val="24"/>
                <w:szCs w:val="24"/>
              </w:rPr>
              <w:t>2000 words</w:t>
            </w:r>
            <w:r w:rsidRPr="002170AC">
              <w:rPr>
                <w:rFonts w:asciiTheme="minorBidi" w:eastAsia="Arial" w:hAnsiTheme="minorBidi"/>
                <w:color w:val="000000" w:themeColor="text1"/>
                <w:sz w:val="24"/>
                <w:szCs w:val="24"/>
              </w:rPr>
              <w:t xml:space="preserve"> </w:t>
            </w:r>
            <w:r w:rsidRPr="002170AC">
              <w:rPr>
                <w:rFonts w:asciiTheme="minorBidi" w:eastAsia="Arial" w:hAnsiTheme="minorBidi"/>
                <w:i/>
                <w:iCs/>
                <w:color w:val="000000" w:themeColor="text1"/>
                <w:sz w:val="24"/>
                <w:szCs w:val="24"/>
              </w:rPr>
              <w:t>(+/- 10%: include your actual word count at the end of each section)</w:t>
            </w:r>
          </w:p>
          <w:p w14:paraId="296E3AF7" w14:textId="2CDF19B3" w:rsidR="7336895D" w:rsidRPr="002170AC" w:rsidRDefault="7336895D" w:rsidP="1329C8D5">
            <w:pPr>
              <w:rPr>
                <w:rFonts w:asciiTheme="minorBidi" w:eastAsia="Arial" w:hAnsiTheme="minorBidi"/>
                <w:b/>
                <w:bCs/>
                <w:color w:val="000000" w:themeColor="text1"/>
                <w:sz w:val="24"/>
                <w:szCs w:val="24"/>
              </w:rPr>
            </w:pPr>
          </w:p>
        </w:tc>
      </w:tr>
    </w:tbl>
    <w:p w14:paraId="4C0F96BF" w14:textId="7D206F2C" w:rsidR="00265ECE" w:rsidRPr="002170AC" w:rsidRDefault="00265ECE" w:rsidP="002170AC">
      <w:pPr>
        <w:ind w:right="107"/>
        <w:jc w:val="both"/>
        <w:rPr>
          <w:rFonts w:asciiTheme="minorBidi" w:eastAsia="Arial" w:hAnsiTheme="minorBidi"/>
          <w:b/>
          <w:bCs/>
          <w:color w:val="000000" w:themeColor="text1"/>
          <w:sz w:val="24"/>
          <w:szCs w:val="24"/>
        </w:rPr>
      </w:pPr>
    </w:p>
    <w:p w14:paraId="04754392" w14:textId="1936F3B9" w:rsidR="002170AC" w:rsidRPr="002170AC" w:rsidRDefault="002170AC" w:rsidP="002170AC">
      <w:pPr>
        <w:ind w:right="107"/>
        <w:jc w:val="both"/>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t xml:space="preserve">Answer: </w:t>
      </w:r>
    </w:p>
    <w:p w14:paraId="2574E97A"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Introduction</w:t>
      </w:r>
    </w:p>
    <w:p w14:paraId="112DADC3"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The effectiveness of criminal investigations relies heavily on the appropriate selection and application of various investigative techniques. This essay critically examines the primary investigative methods employed during Operation Shotton - a complex case involving an organised crime group (OCG) led by a serving prisoner in a Welsh prison. The essay will discuss each technique in turn, evaluating their strengths, limitations, and the legal frameworks that governed their use. Through this analysis, the essay aims to demonstrate the importance of strategic integration of multiple investigative techniques, legal compliance, and ethical considerations in successfully resolving complex criminal cases.</w:t>
      </w:r>
    </w:p>
    <w:p w14:paraId="206FCD69"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Directed Surveillance Authorisations</w:t>
      </w:r>
    </w:p>
    <w:p w14:paraId="7C27F821"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Covert surveillance of the OCG leader involved monitoring his communications across multiple channels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ExcludeAuth="1"&gt;&lt;RecNum&gt;16&lt;/RecNum&gt;&lt;DisplayText&gt;(Investigatory Powers Act 2016)&lt;/DisplayText&gt;&lt;record&gt;&lt;rec-number&gt;16&lt;/rec-number&gt;&lt;foreign-keys&gt;&lt;key app="EN" db-id="eveasawp25fawzewwwy5sdsyewsv0wsdaptr" timestamp="1736111015"&gt;16&lt;/key&gt;&lt;/foreign-keys&gt;&lt;ref-type name="Statute"&gt;31&lt;/ref-type&gt;&lt;contributors&gt;&lt;/contributors&gt;&lt;titles&gt;&lt;title&gt;Investigatory Powers Act 2016&lt;/title&gt;&lt;/titles&gt;&lt;dates&gt;&lt;pub-dates&gt;&lt;date&gt;29 November 2016&lt;/date&gt;&lt;/pub-dates&gt;&lt;/dates&gt;&lt;publisher&gt;Legislation.gov.uk&lt;/publisher&gt;&lt;urls&gt;&lt;related-urls&gt;&lt;url&gt;https://www.legislation.gov.uk/ukpga/2016/25/contents&lt;/url&gt;&lt;/related-urls&gt;&lt;/urls&gt;&lt;custom5&gt;Legislation.gov.uk&lt;/custom5&gt;&lt;access-date&gt;9 Jan 2025&lt;/access-date&gt;&lt;/record&gt;&lt;/Cite&gt;&lt;/EndNote&gt;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w:t>
      </w:r>
      <w:r w:rsidRPr="002170AC">
        <w:rPr>
          <w:rFonts w:asciiTheme="minorBidi" w:hAnsiTheme="minorBidi"/>
          <w:i/>
          <w:iCs/>
          <w:noProof/>
          <w:sz w:val="24"/>
          <w:szCs w:val="24"/>
        </w:rPr>
        <w:t>Investigatory Powers Act 2016</w:t>
      </w:r>
      <w:r w:rsidRPr="002170AC">
        <w:rPr>
          <w:rFonts w:asciiTheme="minorBidi" w:hAnsiTheme="minorBidi"/>
          <w:noProof/>
          <w:sz w:val="24"/>
          <w:szCs w:val="24"/>
        </w:rPr>
        <w:t>)</w:t>
      </w:r>
      <w:r w:rsidRPr="002170AC">
        <w:rPr>
          <w:rFonts w:asciiTheme="minorBidi" w:hAnsiTheme="minorBidi"/>
          <w:sz w:val="24"/>
          <w:szCs w:val="24"/>
        </w:rPr>
        <w:fldChar w:fldCharType="end"/>
      </w:r>
      <w:r w:rsidRPr="002170AC">
        <w:rPr>
          <w:rFonts w:asciiTheme="minorBidi" w:hAnsiTheme="minorBidi"/>
          <w:sz w:val="24"/>
          <w:szCs w:val="24"/>
        </w:rPr>
        <w:t xml:space="preserve">. This technique yielded real-time intelligence about the OCG's structure and trafficking victims, despite significant challenges. The tactics used were resource-intensive, with some technical equipment failures and human errors occurring during some important prison visits. </w:t>
      </w:r>
      <w:r w:rsidRPr="002170AC">
        <w:rPr>
          <w:rFonts w:asciiTheme="minorBidi" w:hAnsiTheme="minorBidi"/>
          <w:sz w:val="24"/>
          <w:szCs w:val="24"/>
        </w:rPr>
        <w:lastRenderedPageBreak/>
        <w:t>In addition, there was a persistent risk of the surveillance operation being compromised by the subject or his associates discovering the monitoring equipment that had been deployed.</w:t>
      </w:r>
    </w:p>
    <w:p w14:paraId="2466F2AA"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Another major challenge was the duration and extent of the surveillance operation. Regular reviews and renewals of the surveillance authorisations were required to assess if the surveillance remained proportionate and necessary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ExcludeAuth="1"&gt;&lt;RecNum&gt;16&lt;/RecNum&gt;&lt;DisplayText&gt;(Investigatory Powers Act 2016)&lt;/DisplayText&gt;&lt;record&gt;&lt;rec-number&gt;16&lt;/rec-number&gt;&lt;foreign-keys&gt;&lt;key app="EN" db-id="eveasawp25fawzewwwy5sdsyewsv0wsdaptr" timestamp="1736111015"&gt;16&lt;/key&gt;&lt;/foreign-keys&gt;&lt;ref-type name="Statute"&gt;31&lt;/ref-type&gt;&lt;contributors&gt;&lt;/contributors&gt;&lt;titles&gt;&lt;title&gt;Investigatory Powers Act 2016&lt;/title&gt;&lt;/titles&gt;&lt;dates&gt;&lt;pub-dates&gt;&lt;date&gt;29 November 2016&lt;/date&gt;&lt;/pub-dates&gt;&lt;/dates&gt;&lt;publisher&gt;Legislation.gov.uk&lt;/publisher&gt;&lt;urls&gt;&lt;related-urls&gt;&lt;url&gt;https://www.legislation.gov.uk/ukpga/2016/25/contents&lt;/url&gt;&lt;/related-urls&gt;&lt;/urls&gt;&lt;custom5&gt;Legislation.gov.uk&lt;/custom5&gt;&lt;access-date&gt;9 Jan 2025&lt;/access-date&gt;&lt;/record&gt;&lt;/Cite&gt;&lt;/EndNote&gt;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w:t>
      </w:r>
      <w:r w:rsidRPr="002170AC">
        <w:rPr>
          <w:rFonts w:asciiTheme="minorBidi" w:hAnsiTheme="minorBidi"/>
          <w:i/>
          <w:iCs/>
          <w:noProof/>
          <w:sz w:val="24"/>
          <w:szCs w:val="24"/>
        </w:rPr>
        <w:t>Investigatory Powers Act 2016</w:t>
      </w:r>
      <w:r w:rsidRPr="002170AC">
        <w:rPr>
          <w:rFonts w:asciiTheme="minorBidi" w:hAnsiTheme="minorBidi"/>
          <w:noProof/>
          <w:sz w:val="24"/>
          <w:szCs w:val="24"/>
        </w:rPr>
        <w:t>)</w:t>
      </w:r>
      <w:r w:rsidRPr="002170AC">
        <w:rPr>
          <w:rFonts w:asciiTheme="minorBidi" w:hAnsiTheme="minorBidi"/>
          <w:sz w:val="24"/>
          <w:szCs w:val="24"/>
        </w:rPr>
        <w:fldChar w:fldCharType="end"/>
      </w:r>
      <w:r w:rsidRPr="002170AC">
        <w:rPr>
          <w:rFonts w:asciiTheme="minorBidi" w:hAnsiTheme="minorBidi"/>
          <w:sz w:val="24"/>
          <w:szCs w:val="24"/>
        </w:rPr>
        <w:t>. This investigation became one of the longest prison-focused cases managed by South Wales Police's covert authority bureau.</w:t>
      </w:r>
    </w:p>
    <w:p w14:paraId="1C783429" w14:textId="5415A114"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balance between the sensitive covert tactic that was yielding crucial intelligence and evidence and the potential impact it may have on the privacy of individuals who were not involved in the OCG, such as some of the subject’s family members, had to be carefully considered.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AuthorYear="1"&gt;&lt;Author&gt;Bhatt&lt;/Author&gt;&lt;Year&gt;2006&lt;/Year&gt;&lt;RecNum&gt;2&lt;/RecNum&gt;&lt;DisplayText&gt;Bhatt (2006)&lt;/DisplayText&gt;&lt;record&gt;&lt;rec-number&gt;2&lt;/rec-number&gt;&lt;foreign-keys&gt;&lt;key app="EN" db-id="eveasawp25fawzewwwy5sdsyewsv0wsdaptr" timestamp="1736107238"&gt;2&lt;/key&gt;&lt;/foreign-keys&gt;&lt;ref-type name="Journal Article"&gt;17&lt;/ref-type&gt;&lt;contributors&gt;&lt;authors&gt;&lt;author&gt;Bhatt, Hiral&lt;/author&gt;&lt;/authors&gt;&lt;/contributors&gt;&lt;titles&gt;&lt;title&gt;RIPA 2000: A human rights examination&lt;/title&gt;&lt;secondary-title&gt;The International Journal of Human Rights&lt;/secondary-title&gt;&lt;/titles&gt;&lt;periodical&gt;&lt;full-title&gt;The International Journal of Human Rights&lt;/full-title&gt;&lt;/periodical&gt;&lt;pages&gt;285-314&lt;/pages&gt;&lt;volume&gt;10&lt;/volume&gt;&lt;number&gt;3&lt;/number&gt;&lt;dates&gt;&lt;year&gt;2006&lt;/year&gt;&lt;pub-dates&gt;&lt;date&gt;2006/09/01&lt;/date&gt;&lt;/pub-dates&gt;&lt;/dates&gt;&lt;publisher&gt;Routledge&lt;/publisher&gt;&lt;isbn&gt;1364-2987&lt;/isbn&gt;&lt;urls&gt;&lt;related-urls&gt;&lt;url&gt;https://doi.org/10.1080/13642980600828602&lt;/url&gt;&lt;/related-urls&gt;&lt;/urls&gt;&lt;electronic-resource-num&gt;10.1080/13642980600828602&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Bhatt (2006)</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highlights the importance of this balance, noting that while surveillance can be a powerful tool for law enforcement, it must be used sensibly and with respect for individual rights. Upon reflection, the surveillance was justified due to the serious offences that were being investigated; therefore, the legislation was applied correctly.</w:t>
      </w:r>
    </w:p>
    <w:p w14:paraId="4A75B88C"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Telecommunications Data</w:t>
      </w:r>
    </w:p>
    <w:p w14:paraId="2135C0C8"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Telecommunications data analysis proved crucial in the investigation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&lt;EndNote&gt;&lt;Cite&gt;&lt;Author&gt;Information Commissioner’s Office&lt;/Author&gt;&lt;Year&gt;2020&lt;/Year&gt;&lt;RecNum&gt;17&lt;/RecNum&gt;&lt;DisplayText&gt;(Information Commissioner’s Office, 2020)&lt;/DisplayText&gt;&lt;record&gt;&lt;rec-number&gt;17&lt;/rec-number&gt;&lt;foreign-keys&gt;&lt;key app="EN" db-id="eveasawp25fawzewwwy5sdsyewsv0wsdaptr" timestamp="1736111247"&gt;17&lt;/key&gt;&lt;/foreign-keys&gt;&lt;ref-type name="Web Page"&gt;12&lt;/ref-type&gt;&lt;contributors&gt;&lt;authors&gt;&lt;author&gt;Information Commissioner’s Office,&lt;/author&gt;&lt;/authors&gt;&lt;/contributors&gt;&lt;titles&gt;&lt;title&gt;Mobile phone data extraction by police forces in Information Commissioner&amp;apos;s Office&lt;/title&gt;&lt;/titles&gt;&lt;volume&gt;2024&lt;/volume&gt;&lt;number&gt;19 Dec.&lt;/number&gt;&lt;dates&gt;&lt;year&gt;2020&lt;/year&gt;&lt;/dates&gt;&lt;urls&gt;&lt;related-urls&gt;&lt;url&gt;https://ico.org.uk/media/about-the-ico/documents/2617838/ico-report-on-mpe-in-england-and-wales-v1_1.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(Information Commissioner’s Office, 2020)</w:t>
      </w:r>
      <w:r w:rsidRPr="002170AC">
        <w:rPr>
          <w:rFonts w:asciiTheme="minorBidi" w:hAnsiTheme="minorBidi"/>
          <w:sz w:val="24"/>
          <w:szCs w:val="24"/>
        </w:rPr>
        <w:fldChar w:fldCharType="end"/>
      </w:r>
      <w:r w:rsidRPr="002170AC">
        <w:rPr>
          <w:rFonts w:asciiTheme="minorBidi" w:hAnsiTheme="minorBidi"/>
          <w:sz w:val="24"/>
          <w:szCs w:val="24"/>
        </w:rPr>
        <w:t xml:space="preserve">. As highlighted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AuthorYear="1"&gt;&lt;Author&gt;McMillan&lt;/Author&gt;&lt;Year&gt;2013&lt;/Year&gt;&lt;RecNum&gt;5&lt;/RecNum&gt;&lt;DisplayText&gt;McMillan, Glisson and Bromby (2013)&lt;/DisplayText&gt;&lt;record&gt;&lt;rec-number&gt;5&lt;/rec-number&gt;&lt;foreign-keys&gt;&lt;key app="EN" db-id="eveasawp25fawzewwwy5sdsyewsv0wsdaptr" timestamp="1736107417"&gt;5&lt;/key&gt;&lt;/foreign-keys&gt;&lt;ref-type name="Journal Article"&gt;17&lt;/ref-type&gt;&lt;contributors&gt;&lt;authors&gt;&lt;author&gt;McMillan, Jacklyn R.&lt;/author&gt;&lt;author&gt;Glisson, William Bradley&lt;/author&gt;&lt;author&gt;Bromby, Michael C.&lt;/author&gt;&lt;/authors&gt;&lt;/contributors&gt;&lt;titles&gt;&lt;title&gt;Investigating the Increase in Mobile Phone Evidence in Criminal Activities&lt;/title&gt;&lt;secondary-title&gt;2013 46th Hawaii International Conference on System Sciences&lt;/secondary-title&gt;&lt;/titles&gt;&lt;periodical&gt;&lt;full-title&gt;2013 46th Hawaii International Conference on System Sciences&lt;/full-title&gt;&lt;/periodical&gt;&lt;pages&gt;4900-4909&lt;/pages&gt;&lt;dates&gt;&lt;year&gt;2013&lt;/year&gt;&lt;/dates&gt;&lt;urls&gt;&lt;/urls&gt;&lt;/record&gt;&lt;/Cite&gt;&lt;/EndNote&gt;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McMillan, Glisson and Bromby (2013)</w:t>
      </w:r>
      <w:r w:rsidRPr="002170AC">
        <w:rPr>
          <w:rFonts w:asciiTheme="minorBidi" w:hAnsiTheme="minorBidi"/>
          <w:sz w:val="24"/>
          <w:szCs w:val="24"/>
        </w:rPr>
        <w:fldChar w:fldCharType="end"/>
      </w:r>
      <w:r w:rsidRPr="002170AC">
        <w:rPr>
          <w:rFonts w:asciiTheme="minorBidi" w:hAnsiTheme="minorBidi"/>
          <w:sz w:val="24"/>
          <w:szCs w:val="24"/>
        </w:rPr>
        <w:t>, this technique enabled investigators to analyse historical call data records and cell site data, which later assisted with attributing key telephones with key OCG members plus victims the OCG had trafficked for the purpose of bolstering their drug trafficking operation. It also helped to co-locate suspects and track their movements. That led to the identification of previously unknown vehicles and co-conspirators. It resulted in the successful identification of addresses that were being used as safe houses.</w:t>
      </w:r>
    </w:p>
    <w:p w14:paraId="26317E0B"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However, the technique had limitations. Two analysts were required, plus there were occasions with delays regarding data acquisition and interpretation. Occasionally, data anomalies were encountered. Furthermore, despite popular portrayals in the media, cell site data does not precisely pinpoint the locations of mobile telephones. Other challenges included tracking OCG members who frequently changed telephone numbers to try and evade detection.</w:t>
      </w:r>
    </w:p>
    <w:p w14:paraId="53BD271D" w14:textId="5CD157D4"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lastRenderedPageBreak/>
        <w:t xml:space="preserve">The use of telecommunications data also raises important privacy concerns.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AuthorYear="1"&gt;&lt;Author&gt;Information Commissioner’s Office&lt;/Author&gt;&lt;Year&gt;2020&lt;/Year&gt;&lt;RecNum&gt;17&lt;/RecNum&gt;&lt;DisplayText&gt;Information Commissioner’s Office (2020)&lt;/DisplayText&gt;&lt;record&gt;&lt;rec-number&gt;17&lt;/rec-number&gt;&lt;foreign-keys&gt;&lt;key app="EN" db-id="eveasawp25fawzewwwy5sdsyewsv0wsdaptr" timestamp="1736111247"&gt;17&lt;/key&gt;&lt;/foreign-keys&gt;&lt;ref-type name="Web Page"&gt;12&lt;/ref-type&gt;&lt;contributors&gt;&lt;authors&gt;&lt;author&gt;Information Commissioner’s Office,&lt;/author&gt;&lt;/authors&gt;&lt;/contributors&gt;&lt;titles&gt;&lt;title&gt;Mobile phone data extraction by police forces in Information Commissioner&amp;apos;s Office&lt;/title&gt;&lt;/titles&gt;&lt;volume&gt;2024&lt;/volume&gt;&lt;number&gt;19 Dec.&lt;/number&gt;&lt;dates&gt;&lt;year&gt;2020&lt;/year&gt;&lt;/dates&gt;&lt;urls&gt;&lt;related-urls&gt;&lt;url&gt;https://ico.org.uk/media/about-the-ico/documents/2617838/ico-report-on-mpe-in-england-and-wales-v1_1.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Information Commissioner’s Office (2020)</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emphasises the need for strict adherence to data protection rules and principles and the importance of only using such data for legitimate purposes. Therefore, investigators must ensure that the acquisition and use of telecommunications data is necessary, proportionate, and in accordance with the law.</w:t>
      </w:r>
    </w:p>
    <w:p w14:paraId="1A926971"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ANPR Data</w:t>
      </w:r>
    </w:p>
    <w:p w14:paraId="7DE3C8B9"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Automatic Number Plate Recognition (ANPR) technology allowed for both historical analysis and real-time intelligence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&lt;EndNote&gt;&lt;Cite&gt;&lt;Author&gt;College Of Policing&lt;/Author&gt;&lt;Year&gt;2023&lt;/Year&gt;&lt;RecNum&gt;13&lt;/RecNum&gt;&lt;DisplayText&gt;(College Of Policing, 2023)&lt;/DisplayText&gt;&lt;record&gt;&lt;rec-number&gt;13&lt;/rec-number&gt;&lt;foreign-keys&gt;&lt;key app="EN" db-id="eveasawp25fawzewwwy5sdsyewsv0wsdaptr" timestamp="1736110155"&gt;13&lt;/key&gt;&lt;/foreign-keys&gt;&lt;ref-type name="Web Page"&gt;12&lt;/ref-type&gt;&lt;contributors&gt;&lt;authors&gt;&lt;author&gt;College Of Policing,&lt;/author&gt;&lt;/authors&gt;&lt;/contributors&gt;&lt;titles&gt;&lt;title&gt;Automatic number plate recognition (ANPR)&lt;/title&gt;&lt;/titles&gt;&lt;volume&gt;2024&lt;/volume&gt;&lt;number&gt;21 Dec.&lt;/number&gt;&lt;dates&gt;&lt;year&gt;2023&lt;/year&gt;&lt;/dates&gt;&lt;publisher&gt;College of Policing&lt;/publisher&gt;&lt;urls&gt;&lt;related-urls&gt;&lt;url&gt;https://www.college.police.uk/app/investigation/investigative-strategies/automatic-number-plate-recognition-anpr&lt;/url&gt;&lt;/related-urls&gt;&lt;/urls&gt;&lt;/record&gt;&lt;/Cite&gt;&lt;/EndNote&gt;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(College Of Policing, 2023)</w:t>
      </w:r>
      <w:r w:rsidRPr="002170AC">
        <w:rPr>
          <w:rFonts w:asciiTheme="minorBidi" w:hAnsiTheme="minorBidi"/>
          <w:sz w:val="24"/>
          <w:szCs w:val="24"/>
        </w:rPr>
        <w:fldChar w:fldCharType="end"/>
      </w:r>
      <w:r w:rsidRPr="002170AC">
        <w:rPr>
          <w:rFonts w:asciiTheme="minorBidi" w:hAnsiTheme="minorBidi"/>
          <w:sz w:val="24"/>
          <w:szCs w:val="24"/>
        </w:rPr>
        <w:t>. It led to intelligence markers being placed on key vehicles, with those vehicles being added to ANPR hot lists. However, this technique had some limitations, such as insufficient coverage due to a lack of cameras in some areas, adverse weather conditions affecting camera reads, and occasional misreads being returned.</w:t>
      </w:r>
    </w:p>
    <w:p w14:paraId="269855A6"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Again, like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AuthorYear="1"&gt;&lt;Author&gt;Bhatt&lt;/Author&gt;&lt;Year&gt;2006&lt;/Year&gt;&lt;RecNum&gt;2&lt;/RecNum&gt;&lt;DisplayText&gt;Bhatt (2006)&lt;/DisplayText&gt;&lt;record&gt;&lt;rec-number&gt;2&lt;/rec-number&gt;&lt;foreign-keys&gt;&lt;key app="EN" db-id="eveasawp25fawzewwwy5sdsyewsv0wsdaptr" timestamp="1736107238"&gt;2&lt;/key&gt;&lt;/foreign-keys&gt;&lt;ref-type name="Journal Article"&gt;17&lt;/ref-type&gt;&lt;contributors&gt;&lt;authors&gt;&lt;author&gt;Bhatt, Hiral&lt;/author&gt;&lt;/authors&gt;&lt;/contributors&gt;&lt;titles&gt;&lt;title&gt;RIPA 2000: A human rights examination&lt;/title&gt;&lt;secondary-title&gt;The International Journal of Human Rights&lt;/secondary-title&gt;&lt;/titles&gt;&lt;periodical&gt;&lt;full-title&gt;The International Journal of Human Rights&lt;/full-title&gt;&lt;/periodical&gt;&lt;pages&gt;285-314&lt;/pages&gt;&lt;volume&gt;10&lt;/volume&gt;&lt;number&gt;3&lt;/number&gt;&lt;dates&gt;&lt;year&gt;2006&lt;/year&gt;&lt;pub-dates&gt;&lt;date&gt;2006/09/01&lt;/date&gt;&lt;/pub-dates&gt;&lt;/dates&gt;&lt;publisher&gt;Routledge&lt;/publisher&gt;&lt;isbn&gt;1364-2987&lt;/isbn&gt;&lt;urls&gt;&lt;related-urls&gt;&lt;url&gt;https://doi.org/10.1080/13642980600828602&lt;/url&gt;&lt;/related-urls&gt;&lt;/urls&gt;&lt;electronic-resource-num&gt;10.1080/13642980600828602&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Bhatt (2006)</w:t>
      </w:r>
      <w:r w:rsidRPr="002170AC">
        <w:rPr>
          <w:rFonts w:asciiTheme="minorBidi" w:hAnsiTheme="minorBidi"/>
          <w:sz w:val="24"/>
          <w:szCs w:val="24"/>
        </w:rPr>
        <w:fldChar w:fldCharType="end"/>
      </w:r>
      <w:r w:rsidRPr="002170AC">
        <w:rPr>
          <w:rFonts w:asciiTheme="minorBidi" w:hAnsiTheme="minorBidi"/>
          <w:sz w:val="24"/>
          <w:szCs w:val="24"/>
        </w:rPr>
        <w:t xml:space="preserve">, the use of ANPR data raises questions about the balance between effective policing and individual privacy rights. As noted by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AuthorYear="1"&gt;&lt;Author&gt;College Of Policing&lt;/Author&gt;&lt;Year&gt;2023&lt;/Year&gt;&lt;RecNum&gt;13&lt;/RecNum&gt;&lt;DisplayText&gt;College Of Policing (2023)&lt;/DisplayText&gt;&lt;record&gt;&lt;rec-number&gt;13&lt;/rec-number&gt;&lt;foreign-keys&gt;&lt;key app="EN" db-id="eveasawp25fawzewwwy5sdsyewsv0wsdaptr" timestamp="1736110155"&gt;13&lt;/key&gt;&lt;/foreign-keys&gt;&lt;ref-type name="Web Page"&gt;12&lt;/ref-type&gt;&lt;contributors&gt;&lt;authors&gt;&lt;author&gt;College Of Policing,&lt;/author&gt;&lt;/authors&gt;&lt;/contributors&gt;&lt;titles&gt;&lt;title&gt;Automatic number plate recognition (ANPR)&lt;/title&gt;&lt;/titles&gt;&lt;volume&gt;2024&lt;/volume&gt;&lt;number&gt;21 Dec.&lt;/number&gt;&lt;dates&gt;&lt;year&gt;2023&lt;/year&gt;&lt;/dates&gt;&lt;publisher&gt;College of Policing&lt;/publisher&gt;&lt;urls&gt;&lt;related-urls&gt;&lt;url&gt;https://www.college.police.uk/app/investigation/investigative-strategies/automatic-number-plate-recognition-anpr&lt;/url&gt;&lt;/related-urls&gt;&lt;/urls&gt;&lt;/record&gt;&lt;/Cite&gt;&lt;/EndNote&gt;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College Of Policing (2023)</w:t>
      </w:r>
      <w:r w:rsidRPr="002170AC">
        <w:rPr>
          <w:rFonts w:asciiTheme="minorBidi" w:hAnsiTheme="minorBidi"/>
          <w:sz w:val="24"/>
          <w:szCs w:val="24"/>
        </w:rPr>
        <w:fldChar w:fldCharType="end"/>
      </w:r>
      <w:r w:rsidRPr="002170AC">
        <w:rPr>
          <w:rFonts w:asciiTheme="minorBidi" w:hAnsiTheme="minorBidi"/>
          <w:sz w:val="24"/>
          <w:szCs w:val="24"/>
        </w:rPr>
        <w:t>, the use of ANPR must be proportionate, necessary, and in accordance with the law. Investigators must ensure that ANPR data is only used for legitimate policing purposes and that appropriate safeguards are in place to protect individual privacy.</w:t>
      </w:r>
    </w:p>
    <w:p w14:paraId="3D1A7F45"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Overlaying Telecommunications Data and ANPR Data</w:t>
      </w:r>
    </w:p>
    <w:p w14:paraId="3C915C39"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combination of telecommunications data and ANPR analysis provided a powerful tool for tracking suspect movements and establishing patterns. By cross-referencing call locations with vehicle movements, investigators were able to build a comprehensive intelligence picture of the OCG's activities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&lt;EndNote&gt;&lt;Cite&gt;&lt;Author&gt;Chorus Intelligence Ltd&lt;/Author&gt;&lt;Year&gt;2019&lt;/Year&gt;&lt;RecNum&gt;19&lt;/RecNum&gt;&lt;DisplayText&gt;(Chorus Intelligence Ltd, 2019)&lt;/DisplayText&gt;&lt;record&gt;&lt;rec-number&gt;19&lt;/rec-number&gt;&lt;foreign-keys&gt;&lt;key app="EN" db-id="eveasawp25fawzewwwy5sdsyewsv0wsdaptr" timestamp="1736454435"&gt;19&lt;/key&gt;&lt;/foreign-keys&gt;&lt;ref-type name="Web Page"&gt;12&lt;/ref-type&gt;&lt;contributors&gt;&lt;authors&gt;&lt;author&gt;Chorus Intelligence Ltd,&lt;/author&gt;&lt;/authors&gt;&lt;/contributors&gt;&lt;titles&gt;&lt;title&gt;Chorus Analyse - Communications data cleansing and digital data analysis software - Digital Marketplace&lt;/title&gt;&lt;/titles&gt;&lt;volume&gt;2025&lt;/volume&gt;&lt;number&gt;09 Jan&lt;/number&gt;&lt;dates&gt;&lt;year&gt;2019&lt;/year&gt;&lt;/dates&gt;&lt;urls&gt;&lt;related-urls&gt;&lt;url&gt;https://www.applytosupply.digitalmarketplace.service.gov.uk/g-cloud/services/456194698041330&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(Chorus Intelligence Ltd, 2019)</w:t>
      </w:r>
      <w:r w:rsidRPr="002170AC">
        <w:rPr>
          <w:rFonts w:asciiTheme="minorBidi" w:hAnsiTheme="minorBidi"/>
          <w:sz w:val="24"/>
          <w:szCs w:val="24"/>
        </w:rPr>
        <w:fldChar w:fldCharType="end"/>
      </w:r>
      <w:r w:rsidRPr="002170AC">
        <w:rPr>
          <w:rFonts w:asciiTheme="minorBidi" w:hAnsiTheme="minorBidi"/>
          <w:sz w:val="24"/>
          <w:szCs w:val="24"/>
        </w:rPr>
        <w:t>.</w:t>
      </w:r>
    </w:p>
    <w:p w14:paraId="2F8BCE99"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However, the effectiveness of this technique was sometimes limited by discrepancies in data timestamps and the volume of data that required analysis. The integration of multiple data sources also raises complex legal and ethical issues. Investigators must ensure that the acquisition and use of such data is in accordance with relevant laws, namely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&lt;EndNote&gt;&lt;Cite&gt;&lt;RecNum&gt;28&lt;/RecNum&gt;&lt;DisplayText&gt;(Data Protection Act 2018)&lt;/DisplayText&gt;&lt;record&gt;&lt;rec-number&gt;28&lt;/rec-number&gt;&lt;foreign-keys&gt;&lt;key app="EN" db-id="eveasawp25fawzewwwy5sdsyewsv0wsdaptr" timestamp="1736705716"&gt;28&lt;/key&gt;&lt;/foreign-keys&gt;&lt;ref-type name="Statute"&gt;31&lt;/ref-type&gt;&lt;contributors&gt;&lt;/contributors&gt;&lt;titles&gt;&lt;title&gt;Data Protection Act 2018&lt;/title&gt;&lt;short-title&gt;Data Protection Act 2018&lt;/short-title&gt;&lt;/titles&gt;&lt;dates&gt;&lt;/dates&gt;&lt;publisher&gt;Legislation.gov.uk&lt;/publisher&gt;&lt;urls&gt;&lt;related-urls&gt;&lt;url&gt;https://www.legislation.gov.uk/ukpga/2018/12/contents/enacted&lt;/url&gt;&lt;/related-urls&gt;&lt;/urls&gt;&lt;access-date&gt;10 Jan 2025&lt;/access-date&gt;&lt;/record&gt;&lt;/Cite&gt;&lt;/EndNote&gt;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w:t>
      </w:r>
      <w:r w:rsidRPr="002170AC">
        <w:rPr>
          <w:rFonts w:asciiTheme="minorBidi" w:hAnsiTheme="minorBidi"/>
          <w:i/>
          <w:iCs/>
          <w:noProof/>
          <w:sz w:val="24"/>
          <w:szCs w:val="24"/>
        </w:rPr>
        <w:t>Data Protection Act 2018</w:t>
      </w:r>
      <w:r w:rsidRPr="002170AC">
        <w:rPr>
          <w:rFonts w:asciiTheme="minorBidi" w:hAnsiTheme="minorBidi"/>
          <w:noProof/>
          <w:sz w:val="24"/>
          <w:szCs w:val="24"/>
        </w:rPr>
        <w:t>)</w:t>
      </w:r>
      <w:r w:rsidRPr="002170AC">
        <w:rPr>
          <w:rFonts w:asciiTheme="minorBidi" w:hAnsiTheme="minorBidi"/>
          <w:sz w:val="24"/>
          <w:szCs w:val="24"/>
        </w:rPr>
        <w:fldChar w:fldCharType="end"/>
      </w:r>
      <w:r w:rsidRPr="002170AC">
        <w:rPr>
          <w:rFonts w:asciiTheme="minorBidi" w:hAnsiTheme="minorBidi"/>
          <w:sz w:val="24"/>
          <w:szCs w:val="24"/>
        </w:rPr>
        <w:t xml:space="preserve"> and the General Data Protection Regulation (GDPR).</w:t>
      </w:r>
    </w:p>
    <w:p w14:paraId="21819FE5"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lastRenderedPageBreak/>
        <w:t>CCTV</w:t>
      </w:r>
    </w:p>
    <w:p w14:paraId="04DFE5A4" w14:textId="66233881"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CCTV analysis revealed critical evidence and established behavioural patterns. It captured suspect and victim interactions, drug supply criminality, and mobile telephone usage.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&lt;EndNote&gt;&lt;Cite&gt;&lt;Author&gt;Ashby&lt;/Author&gt;&lt;Year&gt;2017&lt;/Year&gt;&lt;RecNum&gt;1&lt;/RecNum&gt;&lt;DisplayText&gt;(Ashby, 2017)&lt;/DisplayText&gt;&lt;record&gt;&lt;rec-number&gt;1&lt;/rec-number&gt;&lt;foreign-keys&gt;&lt;key app="EN" db-id="eveasawp25fawzewwwy5sdsyewsv0wsdaptr" timestamp="1736106858"&gt;1&lt;/key&gt;&lt;/foreign-keys&gt;&lt;ref-type name="Journal Article"&gt;17&lt;/ref-type&gt;&lt;contributors&gt;&lt;authors&gt;&lt;author&gt;Ashby, Matthew P. J.&lt;/author&gt;&lt;/authors&gt;&lt;/contributors&gt;&lt;titles&gt;&lt;title&gt;The Value of CCTV Surveillance Cameras as an Investigative Tool: An Empirical Analysis&lt;/title&gt;&lt;secondary-title&gt;European Journal on Criminal Policy and Research&lt;/secondary-title&gt;&lt;/titles&gt;&lt;periodical&gt;&lt;full-title&gt;European Journal on Criminal Policy and Research&lt;/full-title&gt;&lt;/periodical&gt;&lt;pages&gt;441-459&lt;/pages&gt;&lt;volume&gt;23&lt;/volume&gt;&lt;number&gt;3&lt;/number&gt;&lt;dates&gt;&lt;year&gt;2017&lt;/year&gt;&lt;pub-dates&gt;&lt;date&gt;2017/09/01&lt;/date&gt;&lt;/pub-dates&gt;&lt;/dates&gt;&lt;isbn&gt;1572-9869&lt;/isbn&gt;&lt;urls&gt;&lt;related-urls&gt;&lt;url&gt;https://doi.org/10.1007/s10610-017-9341-6&lt;/url&gt;&lt;/related-urls&gt;&lt;/urls&gt;&lt;electronic-resource-num&gt;10.1007/s10610-017-9341-6&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(Ashby, 2017)</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highlights the importance of CCTV as an investigative tool, noting its ability to capture key events and provide a timeline of criminal activity. In Operation Shotton, CCTV footage captured suspects purchasing credit for their drugs line telephone number and making large financial deposits, providing a comprehensive timeline for subsequent court proceedings.</w:t>
      </w:r>
    </w:p>
    <w:p w14:paraId="1C798911"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However, limited trained personnel, resource-intensive review processes, variable footage quality, and stringent privacy regulations under GDPR constrained the technique. As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AuthorYear="1"&gt;&lt;Author&gt;Gilmer&lt;/Author&gt;&lt;Year&gt;2019&lt;/Year&gt;&lt;RecNum&gt;18&lt;/RecNum&gt;&lt;DisplayText&gt;Gilmer (2019)&lt;/DisplayText&gt;&lt;record&gt;&lt;rec-number&gt;18&lt;/rec-number&gt;&lt;foreign-keys&gt;&lt;key app="EN" db-id="eveasawp25fawzewwwy5sdsyewsv0wsdaptr" timestamp="1736454161"&gt;18&lt;/key&gt;&lt;/foreign-keys&gt;&lt;ref-type name="Web Page"&gt;12&lt;/ref-type&gt;&lt;contributors&gt;&lt;authors&gt;&lt;author&gt;Gilmer, Jenny &lt;/author&gt;&lt;/authors&gt;&lt;/contributors&gt;&lt;titles&gt;&lt;title&gt;Leading the policing strand of the national surveillance camera strategy - Surveillance Camera Commissioner’s Office&lt;/title&gt;&lt;/titles&gt;&lt;volume&gt;2025&lt;/volume&gt;&lt;number&gt;09 Jan&lt;/number&gt;&lt;dates&gt;&lt;year&gt;2019&lt;/year&gt;&lt;/dates&gt;&lt;publisher&gt;videosurveillance.blog.gov.uk&lt;/publisher&gt;&lt;urls&gt;&lt;related-urls&gt;&lt;url&gt;https://videosurveillance.blog.gov.uk/2019/10/09/leading-the-policing-strand-of-the-national-surveillance-camera-strategy/&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Gilmer (2019)</w:t>
      </w:r>
      <w:r w:rsidRPr="002170AC">
        <w:rPr>
          <w:rFonts w:asciiTheme="minorBidi" w:hAnsiTheme="minorBidi"/>
          <w:sz w:val="24"/>
          <w:szCs w:val="24"/>
        </w:rPr>
        <w:fldChar w:fldCharType="end"/>
      </w:r>
      <w:r w:rsidRPr="002170AC">
        <w:rPr>
          <w:rFonts w:asciiTheme="minorBidi" w:hAnsiTheme="minorBidi"/>
          <w:sz w:val="24"/>
          <w:szCs w:val="24"/>
        </w:rPr>
        <w:t xml:space="preserve"> notes, the extensive deployment of CCTV in public spaces also raises ethical concerns regarding the balance between enhancing security measures and safeguarding individuals’ privacy rights. While the use of CCTV was justified in this case due to the seriousness of the offences, investigators had to ensure compliance with data protection</w:t>
      </w:r>
      <w:r w:rsidRPr="002170AC">
        <w:rPr>
          <w:rFonts w:asciiTheme="minorBidi" w:hAnsiTheme="minorBidi"/>
          <w:i/>
          <w:iCs/>
          <w:sz w:val="24"/>
          <w:szCs w:val="24"/>
        </w:rPr>
        <w:t xml:space="preserve"> </w:t>
      </w:r>
      <w:r w:rsidRPr="002170AC">
        <w:rPr>
          <w:rFonts w:asciiTheme="minorBidi" w:hAnsiTheme="minorBidi"/>
          <w:sz w:val="24"/>
          <w:szCs w:val="24"/>
        </w:rPr>
        <w:t xml:space="preserve">regulations and that the footage was only used for legitimate law enforcement purposes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&lt;EndNote&gt;&lt;Cite&gt;&lt;Author&gt;Quigley&lt;/Author&gt;&lt;Year&gt;2023&lt;/Year&gt;&lt;RecNum&gt;20&lt;/RecNum&gt;&lt;DisplayText&gt;(Quigley, 2023)&lt;/DisplayText&gt;&lt;record&gt;&lt;rec-number&gt;20&lt;/rec-number&gt;&lt;foreign-keys&gt;&lt;key app="EN" db-id="eveasawp25fawzewwwy5sdsyewsv0wsdaptr" timestamp="1736454659"&gt;20&lt;/key&gt;&lt;/foreign-keys&gt;&lt;ref-type name="Web Page"&gt;12&lt;/ref-type&gt;&lt;contributors&gt;&lt;authors&gt;&lt;author&gt;Quigley, Justin &lt;/author&gt;&lt;/authors&gt;&lt;/contributors&gt;&lt;titles&gt;&lt;title&gt;CCTV Security Surveillance footage Rules in the UK 2024&lt;/title&gt;&lt;/titles&gt;&lt;volume&gt;2025&lt;/volume&gt;&lt;number&gt;09 Jan&lt;/number&gt;&lt;dates&gt;&lt;year&gt;2023&lt;/year&gt;&lt;/dates&gt;&lt;urls&gt;&lt;related-urls&gt;&lt;url&gt;https://www.propertysec.co.uk/post/cctv-footage-rules-explained-uk&lt;/url&gt;&lt;/related-urls&gt;&lt;/urls&gt;&lt;/record&gt;&lt;/Cite&gt;&lt;/EndNote&gt;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(Quigley, 2023)</w:t>
      </w:r>
      <w:r w:rsidRPr="002170AC">
        <w:rPr>
          <w:rFonts w:asciiTheme="minorBidi" w:hAnsiTheme="minorBidi"/>
          <w:sz w:val="24"/>
          <w:szCs w:val="24"/>
        </w:rPr>
        <w:fldChar w:fldCharType="end"/>
      </w:r>
      <w:r w:rsidRPr="002170AC">
        <w:rPr>
          <w:rFonts w:asciiTheme="minorBidi" w:hAnsiTheme="minorBidi"/>
          <w:sz w:val="24"/>
          <w:szCs w:val="24"/>
        </w:rPr>
        <w:t xml:space="preserve">. </w:t>
      </w:r>
    </w:p>
    <w:p w14:paraId="7D8C0566"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Financial Intelligence</w:t>
      </w:r>
    </w:p>
    <w:p w14:paraId="7FB80B0B" w14:textId="703B9A8E"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Financial intelligence analysis examined suspicious activity reports and monitored bank accounts, revealing money laundering patterns, later supporting proceeds of crime proceedings.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AuthorYear="1"&gt;&lt;Author&gt;Gale&lt;/Author&gt;&lt;Year&gt;2018&lt;/Year&gt;&lt;RecNum&gt;15&lt;/RecNum&gt;&lt;DisplayText&gt;Gale and Kelly (2018)&lt;/DisplayText&gt;&lt;record&gt;&lt;rec-number&gt;15&lt;/rec-number&gt;&lt;foreign-keys&gt;&lt;key app="EN" db-id="eveasawp25fawzewwwy5sdsyewsv0wsdaptr" timestamp="1736110467"&gt;15&lt;/key&gt;&lt;/foreign-keys&gt;&lt;ref-type name="Web Page"&gt;12&lt;/ref-type&gt;&lt;contributors&gt;&lt;authors&gt;&lt;author&gt;Gale, Eleanor.&lt;/author&gt;&lt;author&gt;Kelly, Jessica.&lt;/author&gt;&lt;/authors&gt;&lt;/contributors&gt;&lt;titles&gt;&lt;title&gt;Exploring the Role of the Financial Investigator Report Home Office Research Report 104&lt;/title&gt;&lt;/titles&gt;&lt;volume&gt;2024&lt;/volume&gt;&lt;number&gt;20 Dec.&lt;/number&gt;&lt;dates&gt;&lt;year&gt;2018&lt;/year&gt;&lt;/dates&gt;&lt;urls&gt;&lt;related-urls&gt;&lt;url&gt;https://assets.publishing.service.gov.uk/media/5bdaf407ed915d150754eb52/exploring-the-role-of-the-financial-investigator-report-horr104.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Gale and Kelly (2018)</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emphasise the importance of financial intelligence in tackling organised crime, noting its ability to uncover hidden assets and disrupt criminal networks.</w:t>
      </w:r>
    </w:p>
    <w:p w14:paraId="528CA1E7"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However, the technique was occasionally hindered by delays in obtaining authorities and receiving bank statements. The use of financial intelligence also required close collaboration with financial institutions and regulatory bodies. Investigators can face challenges when navigating the complex legal frameworks surrounding financial data access and ensuring the admissibility of evidence during court proceedings.</w:t>
      </w:r>
    </w:p>
    <w:p w14:paraId="782BECF6"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Search Warrants</w:t>
      </w:r>
    </w:p>
    <w:p w14:paraId="482E9599"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Search warrants enabled multi-premise searches, resulting in the recovery of key mobile telephones, drugs, and cash. The operation reinforced local public confidence </w:t>
      </w:r>
      <w:r w:rsidRPr="002170AC">
        <w:rPr>
          <w:rFonts w:asciiTheme="minorBidi" w:hAnsiTheme="minorBidi"/>
          <w:sz w:val="24"/>
          <w:szCs w:val="24"/>
        </w:rPr>
        <w:lastRenderedPageBreak/>
        <w:t xml:space="preserve">in combating drug trafficking, though it occasionally generated negative community reactions. </w:t>
      </w:r>
    </w:p>
    <w:p w14:paraId="3E2DEEB7"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 and occasionally required specialised expertise for complex cryptocurrency transactions.</w:t>
      </w:r>
    </w:p>
    <w:p w14:paraId="032BBE0C"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Executing search warrants required careful planning and coordination to ensure a balance was struck between collecting potentially crucial evidence and ensuring compliance with human rights laws (Article 8 of the European Convention on Human Rights, right to privacy). As noted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AuthorYear="1"&gt;&lt;Author&gt;Dyke&lt;/Author&gt;&lt;Year&gt;2018&lt;/Year&gt;&lt;RecNum&gt;4&lt;/RecNum&gt;&lt;DisplayText&gt;Dyke (2018)&lt;/DisplayText&gt;&lt;record&gt;&lt;rec-number&gt;4&lt;/rec-number&gt;&lt;foreign-keys&gt;&lt;key app="EN" db-id="eveasawp25fawzewwwy5sdsyewsv0wsdaptr" timestamp="1736107356"&gt;4&lt;/key&gt;&lt;/foreign-keys&gt;&lt;ref-type name="Journal Article"&gt;17&lt;/ref-type&gt;&lt;contributors&gt;&lt;authors&gt;&lt;author&gt;Dyke, Thom&lt;/author&gt;&lt;/authors&gt;&lt;/contributors&gt;&lt;titles&gt;&lt;title&gt;Ripe for Reform? Recent Developments in Search Warrants&lt;/title&gt;&lt;secondary-title&gt;Judicial Review&lt;/secondary-title&gt;&lt;/titles&gt;&lt;periodical&gt;&lt;full-title&gt;Judicial Review&lt;/full-title&gt;&lt;/periodical&gt;&lt;pages&gt;279-292&lt;/pages&gt;&lt;volume&gt;23&lt;/volume&gt;&lt;number&gt;4&lt;/number&gt;&lt;dates&gt;&lt;year&gt;2018&lt;/year&gt;&lt;pub-dates&gt;&lt;date&gt;2018/10/02&lt;/date&gt;&lt;/pub-dates&gt;&lt;/dates&gt;&lt;publisher&gt;Routledge&lt;/publisher&gt;&lt;isbn&gt;1085-4681&lt;/isbn&gt;&lt;urls&gt;&lt;related-urls&gt;&lt;url&gt;https://doi.org/10.1080/10854681.2018.1550954&lt;/url&gt;&lt;/related-urls&gt;&lt;/urls&gt;&lt;electronic-resource-num&gt;10.1080/10854681.2018.1550954&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Dyke (2018)</w:t>
      </w:r>
      <w:r w:rsidRPr="002170AC">
        <w:rPr>
          <w:rFonts w:asciiTheme="minorBidi" w:hAnsiTheme="minorBidi"/>
          <w:sz w:val="24"/>
          <w:szCs w:val="24"/>
        </w:rPr>
        <w:fldChar w:fldCharType="end"/>
      </w:r>
      <w:r w:rsidRPr="002170AC">
        <w:rPr>
          <w:rFonts w:asciiTheme="minorBidi" w:hAnsiTheme="minorBidi"/>
          <w:sz w:val="24"/>
          <w:szCs w:val="24"/>
        </w:rPr>
        <w:t xml:space="preserve">, the issue and use of search warrants raise important legal and ethical considerations and the legal issues surrounding search warrants remain unresolved, reflecting a broader tension between state power and civil liberties. Courts and practitioners will continue to grapple with these challenges, particularly as digital technology transforms the nature of evidence. Therefore, investigators must ensure warrants are obtained lawfully, based on sufficient evidence, and executed in accordance with the law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&lt;EndNote&gt;&lt;Cite&gt;&lt;Author&gt;Home Office&lt;/Author&gt;&lt;Year&gt;2022&lt;/Year&gt;&lt;RecNum&gt;21&lt;/RecNum&gt;&lt;DisplayText&gt;(Home Office, 2022)&lt;/DisplayText&gt;&lt;record&gt;&lt;rec-number&gt;21&lt;/rec-number&gt;&lt;foreign-keys&gt;&lt;key app="EN" db-id="eveasawp25fawzewwwy5sdsyewsv0wsdaptr" timestamp="1736455025"&gt;21&lt;/key&gt;&lt;/foreign-keys&gt;&lt;ref-type name="Web Page"&gt;12&lt;/ref-type&gt;&lt;contributors&gt;&lt;authors&gt;&lt;author&gt;Home Office, &lt;/author&gt;&lt;/authors&gt;&lt;/contributors&gt;&lt;titles&gt;&lt;title&gt;Policy paper, PACE Code B (accessible)&lt;/title&gt;&lt;/titles&gt;&lt;volume&gt;2025&lt;/volume&gt;&lt;number&gt;09 Jan&lt;/number&gt;&lt;dates&gt;&lt;year&gt;2022&lt;/year&gt;&lt;/dates&gt;&lt;urls&gt;&lt;related-urls&gt;&lt;url&gt;https://www.gov.uk/government/publications/pace-code-b-2013/pace-code-b-accessible#action-after-searches &lt;/url&gt;&lt;/related-urls&gt;&lt;/urls&gt;&lt;/record&gt;&lt;/Cite&gt;&lt;/EndNote&gt;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(Home Office, 2022)</w:t>
      </w:r>
      <w:r w:rsidRPr="002170AC">
        <w:rPr>
          <w:rFonts w:asciiTheme="minorBidi" w:hAnsiTheme="minorBidi"/>
          <w:sz w:val="24"/>
          <w:szCs w:val="24"/>
        </w:rPr>
        <w:fldChar w:fldCharType="end"/>
      </w:r>
      <w:r w:rsidRPr="002170AC">
        <w:rPr>
          <w:rFonts w:asciiTheme="minorBidi" w:hAnsiTheme="minorBidi"/>
          <w:sz w:val="24"/>
          <w:szCs w:val="24"/>
        </w:rPr>
        <w:t>. The impact on individuals and communities must be carefully considered, with steps taken to minimise harm and maintain public trust.</w:t>
      </w:r>
    </w:p>
    <w:p w14:paraId="4026847D"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Physical Evidence Collection and Forensics</w:t>
      </w:r>
    </w:p>
    <w:p w14:paraId="20B576BF"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Following the execution of multiple search warrants, physical evidence collection yielded key mobile telephones, drugs, and cash, with forensic evidence providing conclusive suspect-drug linkages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&lt;EndNote&gt;&lt;Cite&gt;&lt;Author&gt;Bradbury&lt;/Author&gt;&lt;Year&gt;2005&lt;/Year&gt;&lt;RecNum&gt;10&lt;/RecNum&gt;&lt;DisplayText&gt;(Bradbury and Feist, 2005)&lt;/DisplayText&gt;&lt;record&gt;&lt;rec-number&gt;10&lt;/rec-number&gt;&lt;foreign-keys&gt;&lt;key app="EN" db-id="eveasawp25fawzewwwy5sdsyewsv0wsdaptr" timestamp="1736108164"&gt;10&lt;/key&gt;&lt;/foreign-keys&gt;&lt;ref-type name="Web Page"&gt;12&lt;/ref-type&gt;&lt;contributors&gt;&lt;authors&gt;&lt;author&gt;Bradbury, Sarah-Anne.&lt;/author&gt;&lt;author&gt;Feist, Andy.&lt;/author&gt;&lt;/authors&gt;&lt;/contributors&gt;&lt;titles&gt;&lt;title&gt;The use of forensic science in volume crime investigations: a review of the research literature&lt;/title&gt;&lt;/titles&gt;&lt;volume&gt;2024&lt;/volume&gt;&lt;number&gt;21 Dec.&lt;/number&gt;&lt;dates&gt;&lt;year&gt;2005&lt;/year&gt;&lt;/dates&gt;&lt;urls&gt;&lt;related-urls&gt;&lt;url&gt;https://assets.publishing.service.gov.uk/media/5a7ad567e5274a34770e76f6/hoor4305.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(Bradbury and Feist, 2005)</w:t>
      </w:r>
      <w:r w:rsidRPr="002170AC">
        <w:rPr>
          <w:rFonts w:asciiTheme="minorBidi" w:hAnsiTheme="minorBidi"/>
          <w:sz w:val="24"/>
          <w:szCs w:val="24"/>
        </w:rPr>
        <w:fldChar w:fldCharType="end"/>
      </w:r>
      <w:r w:rsidRPr="002170AC">
        <w:rPr>
          <w:rFonts w:asciiTheme="minorBidi" w:hAnsiTheme="minorBidi"/>
          <w:sz w:val="24"/>
          <w:szCs w:val="24"/>
        </w:rPr>
        <w:t xml:space="preserve">. The suspect-drug linkages were due to investigators adhering to rules and protocols regarding the correct retrieval and packaging of exhibits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&lt;EndNote&gt;&lt;Cite&gt;&lt;Author&gt;Ministry of Justice&lt;/Author&gt;&lt;Year&gt;2023&lt;/Year&gt;&lt;RecNum&gt;23&lt;/RecNum&gt;&lt;DisplayText&gt;(Ministry of Justice, 2023)&lt;/DisplayText&gt;&lt;record&gt;&lt;rec-number&gt;23&lt;/rec-number&gt;&lt;foreign-keys&gt;&lt;key app="EN" db-id="eveasawp25fawzewwwy5sdsyewsv0wsdaptr" timestamp="1736455543"&gt;23&lt;/key&gt;&lt;/foreign-keys&gt;&lt;ref-type name="Web Page"&gt;12&lt;/ref-type&gt;&lt;contributors&gt;&lt;authors&gt;&lt;author&gt;Ministry of Justice,&lt;/author&gt;&lt;/authors&gt;&lt;/contributors&gt;&lt;titles&gt;&lt;title&gt;The Management and Handling of Evidence Policy Framework Reference&lt;/title&gt;&lt;/titles&gt;&lt;volume&gt;2025&lt;/volume&gt;&lt;number&gt;08 Jan&lt;/number&gt;&lt;dates&gt;&lt;year&gt;2023&lt;/year&gt;&lt;/dates&gt;&lt;urls&gt;&lt;related-urls&gt;&lt;url&gt;https://assets.publishing.service.gov.uk/media/63c918b4e90e07071db36a7e/management-handling-evidence-pf.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(Ministry of Justice, 2023)</w:t>
      </w:r>
      <w:r w:rsidRPr="002170AC">
        <w:rPr>
          <w:rFonts w:asciiTheme="minorBidi" w:hAnsiTheme="minorBidi"/>
          <w:sz w:val="24"/>
          <w:szCs w:val="24"/>
        </w:rPr>
        <w:fldChar w:fldCharType="end"/>
      </w:r>
      <w:r w:rsidRPr="002170AC">
        <w:rPr>
          <w:rFonts w:asciiTheme="minorBidi" w:hAnsiTheme="minorBidi"/>
          <w:sz w:val="24"/>
          <w:szCs w:val="24"/>
        </w:rPr>
        <w:t>. This highlights the crucial role of forensic science in volume crime investigations, noting its ability to provide robust evidence and support prosecutions.</w:t>
      </w:r>
    </w:p>
    <w:p w14:paraId="6C9944DE"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However, the technique was occasionally impeded by delays in device analysis and the subsequent review of the material plus delays with obtaining forensic reports, mobile telephone encryption, laboratory backlogs, and cost constraints for comprehensive testing. The increasing sophistication of encrypted devices also presented challenges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&lt;EndNote&gt;&lt;Cite&gt;&lt;Author&gt;GCS Network&lt;/Author&gt;&lt;Year&gt;2023&lt;/Year&gt;&lt;RecNum&gt;22&lt;/RecNum&gt;&lt;DisplayText&gt;(GCS Network, 2023)&lt;/DisplayText&gt;&lt;record&gt;&lt;rec-number&gt;22&lt;/rec-number&gt;&lt;foreign-keys&gt;&lt;key app="EN" db-id="eveasawp25fawzewwwy5sdsyewsv0wsdaptr" timestamp="1736455300"&gt;22&lt;/key&gt;&lt;/foreign-keys&gt;&lt;ref-type name="Web Page"&gt;12&lt;/ref-type&gt;&lt;contributors&gt;&lt;authors&gt;&lt;author&gt;GCS Network,&lt;/author&gt;&lt;/authors&gt;&lt;/contributors&gt;&lt;titles&gt;&lt;title&gt;Benefits and Challenges of Digital Forensics&lt;/title&gt;&lt;/titles&gt;&lt;volume&gt;2025&lt;/volume&gt;&lt;number&gt;09 Jan&lt;/number&gt;&lt;dates&gt;&lt;year&gt;2023&lt;/year&gt;&lt;/dates&gt;&lt;urls&gt;&lt;related-urls&gt;&lt;url&gt;https://globalcybersecuritynetwork.com/blog/benefits-and-challenges-of-digital-forensics/&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(GCS Network, 2023)</w:t>
      </w:r>
      <w:r w:rsidRPr="002170AC">
        <w:rPr>
          <w:rFonts w:asciiTheme="minorBidi" w:hAnsiTheme="minorBidi"/>
          <w:sz w:val="24"/>
          <w:szCs w:val="24"/>
        </w:rPr>
        <w:fldChar w:fldCharType="end"/>
      </w:r>
      <w:r w:rsidRPr="002170AC">
        <w:rPr>
          <w:rFonts w:asciiTheme="minorBidi" w:hAnsiTheme="minorBidi"/>
          <w:sz w:val="24"/>
          <w:szCs w:val="24"/>
        </w:rPr>
        <w:t xml:space="preserve">. As highlighted by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AuthorYear="1"&gt;&lt;Author&gt;Mahajan&lt;/Author&gt;&lt;Year&gt;2024&lt;/Year&gt;&lt;RecNum&gt;26&lt;/RecNum&gt;&lt;DisplayText&gt;Mahajan and Pandit (2024)&lt;/DisplayText&gt;&lt;record&gt;&lt;rec-number&gt;26&lt;/rec-number&gt;&lt;foreign-keys&gt;&lt;key app="EN" db-id="eveasawp25fawzewwwy5sdsyewsv0wsdaptr" timestamp="1736705119"&gt;26&lt;/key&gt;&lt;/foreign-keys&gt;&lt;ref-type name="Conference Proceedings"&gt;10&lt;/ref-type&gt;&lt;contributors&gt;&lt;authors&gt;&lt;author&gt;R. Mahajan&lt;/author&gt;&lt;author&gt;K. Pandit&lt;/author&gt;&lt;/authors&gt;&lt;/contributors&gt;&lt;titles&gt;&lt;title&gt;Cryptography and Computational Approaches in Ensuring Data Integrity for Digital Forensic Evidence&lt;/title&gt;&lt;secondary-title&gt;2024 16th International Conference on Electronics, Computers and Artificial Intelligence (ECAI)&lt;/secondary-title&gt;&lt;alt-title&gt;2024 16th International Conference on Electronics, Computers and Artificial Intelligence (ECAI)&lt;/alt-title&gt;&lt;/titles&gt;&lt;pages&gt;1-6&lt;/pages&gt;&lt;dates&gt;&lt;year&gt;2024&lt;/year&gt;&lt;pub-dates&gt;&lt;date&gt;27-28 June 2024&lt;/date&gt;&lt;/pub-dates&gt;&lt;/dates&gt;&lt;urls&gt;&lt;/urls&gt;&lt;electronic-resource-num&gt;10.1109/ECAI61503.2024.10607526&lt;/electronic-resource-num&gt;&lt;/record&gt;&lt;/Cite&gt;&lt;/EndNote&gt;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Mahajan and Pandit (2024)</w:t>
      </w:r>
      <w:r w:rsidRPr="002170AC">
        <w:rPr>
          <w:rFonts w:asciiTheme="minorBidi" w:hAnsiTheme="minorBidi"/>
          <w:sz w:val="24"/>
          <w:szCs w:val="24"/>
        </w:rPr>
        <w:fldChar w:fldCharType="end"/>
      </w:r>
      <w:r w:rsidRPr="002170AC">
        <w:rPr>
          <w:rFonts w:asciiTheme="minorBidi" w:hAnsiTheme="minorBidi"/>
          <w:sz w:val="24"/>
          <w:szCs w:val="24"/>
        </w:rPr>
        <w:t xml:space="preserve">, ensuring data integrity is critical for the validity and admissibility of digital forensics in court proceedings. Compromised data could lead to court mistrust and </w:t>
      </w:r>
      <w:r w:rsidRPr="002170AC">
        <w:rPr>
          <w:rFonts w:asciiTheme="minorBidi" w:hAnsiTheme="minorBidi"/>
          <w:sz w:val="24"/>
          <w:szCs w:val="24"/>
        </w:rPr>
        <w:lastRenderedPageBreak/>
        <w:t xml:space="preserve">wrongful convictions. Therefore, investigators, must strictly adhere to current and future evidence handling protocols. </w:t>
      </w:r>
    </w:p>
    <w:p w14:paraId="4EF3DD6D"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Interviews</w:t>
      </w:r>
    </w:p>
    <w:p w14:paraId="7C828446" w14:textId="39A536CB"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Interviews can provide crucial evidence and details, but this investigation faced significant challenges.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AuthorYear="1"&gt;&lt;Author&gt;Vaughan&lt;/Author&gt;&lt;Year&gt;2024&lt;/Year&gt;&lt;RecNum&gt;9&lt;/RecNum&gt;&lt;DisplayText&gt;Vaughan et al. (2024)&lt;/DisplayText&gt;&lt;record&gt;&lt;rec-number&gt;9&lt;/rec-number&gt;&lt;foreign-keys&gt;&lt;key app="EN" db-id="eveasawp25fawzewwwy5sdsyewsv0wsdaptr" timestamp="1736107736"&gt;9&lt;/key&gt;&lt;/foreign-keys&gt;&lt;ref-type name="Journal Article"&gt;17&lt;/ref-type&gt;&lt;contributors&gt;&lt;authors&gt;&lt;author&gt;Vaughan, Martin&lt;/author&gt;&lt;author&gt;Milne, Rebecca&lt;/author&gt;&lt;author&gt;Cherryman, Julie&lt;/author&gt;&lt;author&gt;Dalton, Gary&lt;/author&gt;&lt;/authors&gt;&lt;/contributors&gt;&lt;titles&gt;&lt;title&gt;Managing investigative interviews with vulnerable suspects in the UK: do specialist interview managers (IM’s) understand vulnerability?&lt;/title&gt;&lt;secondary-title&gt;Psychology, Crime &amp;amp; Law&lt;/secondary-title&gt;&lt;/titles&gt;&lt;periodical&gt;&lt;full-title&gt;Psychology, Crime &amp;amp; Law&lt;/full-title&gt;&lt;/periodical&gt;&lt;pages&gt;1-20&lt;/pages&gt;&lt;dates&gt;&lt;year&gt;2024&lt;/year&gt;&lt;/dates&gt;&lt;publisher&gt;Routledge&lt;/publisher&gt;&lt;isbn&gt;1068-316X&lt;/isbn&gt;&lt;urls&gt;&lt;related-urls&gt;&lt;url&gt;https://doi.org/10.1080/1068316X.2024.2341078&lt;/url&gt;&lt;/related-urls&gt;&lt;/urls&gt;&lt;electronic-resource-num&gt;10.1080/1068316X.2024.2341078&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Vaughan et al. (2024)</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note the difficulties in managing investigative interviews with vulnerable suspects, highlighting the need for specialist training and understanding vulnerability. </w:t>
      </w:r>
    </w:p>
    <w:p w14:paraId="36195DED" w14:textId="77777777" w:rsidR="002170AC" w:rsidRPr="002170AC" w:rsidRDefault="002170AC" w:rsidP="002170AC">
      <w:pPr>
        <w:spacing w:line="360" w:lineRule="auto"/>
        <w:rPr>
          <w:rFonts w:asciiTheme="minorBidi" w:hAnsiTheme="minorBidi"/>
          <w:i/>
          <w:iCs/>
          <w:sz w:val="24"/>
          <w:szCs w:val="24"/>
        </w:rPr>
      </w:pPr>
      <w:r w:rsidRPr="002170AC">
        <w:rPr>
          <w:rFonts w:asciiTheme="minorBidi" w:hAnsiTheme="minorBidi"/>
          <w:sz w:val="24"/>
          <w:szCs w:val="24"/>
        </w:rPr>
        <w:t xml:space="preserve">Limitations encountered during the operation included uncooperative victims and the risk of intimidation towards victims, irrespective of some having not assisted investigators. The use of interviews in this case required a trauma-informed approach, recognising the complex psychological dynamics at play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&lt;EndNote&gt;&lt;Cite&gt;&lt;Author&gt;Office for Health Improvement and Disparities&lt;/Author&gt;&lt;Year&gt;2017&lt;/Year&gt;&lt;RecNum&gt;24&lt;/RecNum&gt;&lt;DisplayText&gt;(Office for Health Improvement and Disparities, 2017)&lt;/DisplayText&gt;&lt;record&gt;&lt;rec-number&gt;24&lt;/rec-number&gt;&lt;foreign-keys&gt;&lt;key app="EN" db-id="eveasawp25fawzewwwy5sdsyewsv0wsdaptr" timestamp="1736455769"&gt;24&lt;/key&gt;&lt;/foreign-keys&gt;&lt;ref-type name="Web Page"&gt;12&lt;/ref-type&gt;&lt;contributors&gt;&lt;authors&gt;&lt;author&gt;Office for Health Improvement and Disparities,&lt;/author&gt;&lt;/authors&gt;&lt;/contributors&gt;&lt;titles&gt;&lt;title&gt;Human trafficking: Migrant Health Guide. &lt;/title&gt;&lt;/titles&gt;&lt;volume&gt;2025&lt;/volume&gt;&lt;number&gt;09 Jan&lt;/number&gt;&lt;dates&gt;&lt;year&gt;2017&lt;/year&gt;&lt;/dates&gt;&lt;urls&gt;&lt;related-urls&gt;&lt;url&gt;https://www.gov.uk/guidance/human-trafficking-migrant-health-guide&lt;/url&gt;&lt;/related-urls&gt;&lt;/urls&gt;&lt;/record&gt;&lt;/Cite&gt;&lt;/EndNote&gt;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(Office for Health Improvement and Disparities, 2017)</w:t>
      </w:r>
      <w:r w:rsidRPr="002170AC">
        <w:rPr>
          <w:rFonts w:asciiTheme="minorBidi" w:hAnsiTheme="minorBidi"/>
          <w:sz w:val="24"/>
          <w:szCs w:val="24"/>
        </w:rPr>
        <w:fldChar w:fldCharType="end"/>
      </w:r>
      <w:r w:rsidRPr="002170AC">
        <w:rPr>
          <w:rFonts w:asciiTheme="minorBidi" w:hAnsiTheme="minorBidi"/>
          <w:sz w:val="24"/>
          <w:szCs w:val="24"/>
        </w:rPr>
        <w:t xml:space="preserve">. Building rapport and trust with victims was crucial, as was ensuring their safety and support throughout the process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&lt;EndNote&gt;&lt;Cite&gt;&lt;Author&gt;NHTTTAC&lt;/Author&gt;&lt;Year&gt;n.d.&lt;/Year&gt;&lt;RecNum&gt;25&lt;/RecNum&gt;&lt;DisplayText&gt;(NHTTTAC, n.d.)&lt;/DisplayText&gt;&lt;record&gt;&lt;rec-number&gt;25&lt;/rec-number&gt;&lt;foreign-keys&gt;&lt;key app="EN" db-id="eveasawp25fawzewwwy5sdsyewsv0wsdaptr" timestamp="1736455992"&gt;25&lt;/key&gt;&lt;/foreign-keys&gt;&lt;ref-type name="Web Page"&gt;12&lt;/ref-type&gt;&lt;contributors&gt;&lt;authors&gt;&lt;author&gt;NHTTTAC,&lt;/author&gt;&lt;/authors&gt;&lt;/contributors&gt;&lt;titles&gt;&lt;title&gt;Trauma-Informed Rapport Building | National Human Trafficking Training and Technical Assistance Center&lt;/title&gt;&lt;/titles&gt;&lt;volume&gt;2025&lt;/volume&gt;&lt;number&gt;09 Jan&lt;/number&gt;&lt;dates&gt;&lt;year&gt;n.d.&lt;/year&gt;&lt;/dates&gt;&lt;urls&gt;&lt;related-urls&gt;&lt;url&gt;https://nhttac.acf.hhs.gov/soar/eguide/ask/Trauma_Informed_Rapport_Building&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(NHTTTAC, n.d.)</w:t>
      </w:r>
      <w:r w:rsidRPr="002170AC">
        <w:rPr>
          <w:rFonts w:asciiTheme="minorBidi" w:hAnsiTheme="minorBidi"/>
          <w:sz w:val="24"/>
          <w:szCs w:val="24"/>
        </w:rPr>
        <w:fldChar w:fldCharType="end"/>
      </w:r>
      <w:r w:rsidRPr="002170AC">
        <w:rPr>
          <w:rFonts w:asciiTheme="minorBidi" w:hAnsiTheme="minorBidi"/>
          <w:sz w:val="24"/>
          <w:szCs w:val="24"/>
        </w:rPr>
        <w:t>. Investigators must also be aware of the potential for false or misleading statements due to fear or coercion.</w:t>
      </w:r>
      <w:r w:rsidRPr="002170AC">
        <w:rPr>
          <w:rFonts w:asciiTheme="minorBidi" w:hAnsiTheme="minorBidi"/>
          <w:i/>
          <w:iCs/>
          <w:sz w:val="24"/>
          <w:szCs w:val="24"/>
        </w:rPr>
        <w:t xml:space="preserve"> </w:t>
      </w:r>
    </w:p>
    <w:p w14:paraId="0635278A"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b/>
          <w:bCs/>
          <w:sz w:val="24"/>
          <w:szCs w:val="24"/>
        </w:rPr>
        <w:t>Crown Prosecution Service Liaison</w:t>
      </w:r>
    </w:p>
    <w:p w14:paraId="403A95D3"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During this investigation, specialist advice was received, and a dedicated lawyer had been allocated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&lt;EndNote&gt;&lt;Cite&gt;&lt;Author&gt;College of Policing&lt;/Author&gt;&lt;Year&gt;2022&lt;/Year&gt;&lt;RecNum&gt;14&lt;/RecNum&gt;&lt;DisplayText&gt;(College of Policing, 2022)&lt;/DisplayText&gt;&lt;record&gt;&lt;rec-number&gt;14&lt;/rec-number&gt;&lt;foreign-keys&gt;&lt;key app="EN" db-id="eveasawp25fawzewwwy5sdsyewsv0wsdaptr" timestamp="1736110302"&gt;14&lt;/key&gt;&lt;/foreign-keys&gt;&lt;ref-type name="Web Page"&gt;12&lt;/ref-type&gt;&lt;contributors&gt;&lt;authors&gt;&lt;author&gt;College of Policing,&lt;/author&gt;&lt;/authors&gt;&lt;/contributors&gt;&lt;titles&gt;&lt;title&gt;Investigation process&lt;/title&gt;&lt;/titles&gt;&lt;volume&gt;2024&lt;/volume&gt;&lt;number&gt;21 Dec.&lt;/number&gt;&lt;dates&gt;&lt;year&gt;2022&lt;/year&gt;&lt;/dates&gt;&lt;publisher&gt;College of Policing&lt;/publisher&gt;&lt;urls&gt;&lt;related-urls&gt;&lt;url&gt;https://assets.college.police.uk/s3fs-public/2022-12/Investigation%20process.pdf&lt;/url&gt;&lt;/related-urls&gt;&lt;/urls&gt;&lt;/record&gt;&lt;/Cite&gt;&lt;/EndNote&gt;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(College of Policing, 2022)</w:t>
      </w:r>
      <w:r w:rsidRPr="002170AC">
        <w:rPr>
          <w:rFonts w:asciiTheme="minorBidi" w:hAnsiTheme="minorBidi"/>
          <w:sz w:val="24"/>
          <w:szCs w:val="24"/>
        </w:rPr>
        <w:fldChar w:fldCharType="end"/>
      </w:r>
      <w:r w:rsidRPr="002170AC">
        <w:rPr>
          <w:rFonts w:asciiTheme="minorBidi" w:hAnsiTheme="minorBidi"/>
          <w:sz w:val="24"/>
          <w:szCs w:val="24"/>
        </w:rPr>
        <w:t>. However, there were times when unrealistic time scales had been set for service of evidence, plus occasions when the lawyer was unavailable.</w:t>
      </w:r>
    </w:p>
    <w:p w14:paraId="22929E70" w14:textId="1233D14E"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Effective liaison with the Crown Prosecution Service is crucial for ensuring evidence admissibility, sufficiency, and appropriate charges. Early and regular engagement helps identify and resolve issues, preventing delays in the justice process.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AuthorYear="1"&gt;&lt;Author&gt;College of Policing&lt;/Author&gt;&lt;Year&gt;2022&lt;/Year&gt;&lt;RecNum&gt;14&lt;/RecNum&gt;&lt;DisplayText&gt;College of Policing (2022)&lt;/DisplayText&gt;&lt;record&gt;&lt;rec-number&gt;14&lt;/rec-number&gt;&lt;foreign-keys&gt;&lt;key app="EN" db-id="eveasawp25fawzewwwy5sdsyewsv0wsdaptr" timestamp="1736110302"&gt;14&lt;/key&gt;&lt;/foreign-keys&gt;&lt;ref-type name="Web Page"&gt;12&lt;/ref-type&gt;&lt;contributors&gt;&lt;authors&gt;&lt;author&gt;College of Policing,&lt;/author&gt;&lt;/authors&gt;&lt;/contributors&gt;&lt;titles&gt;&lt;title&gt;Investigation process&lt;/title&gt;&lt;/titles&gt;&lt;volume&gt;2024&lt;/volume&gt;&lt;number&gt;21 Dec.&lt;/number&gt;&lt;dates&gt;&lt;year&gt;2022&lt;/year&gt;&lt;/dates&gt;&lt;publisher&gt;College of Policing&lt;/publisher&gt;&lt;urls&gt;&lt;related-urls&gt;&lt;url&gt;https://assets.college.police.uk/s3fs-public/2022-12/Investigation%20process.pdf&lt;/url&gt;&lt;/related-urls&gt;&lt;/urls&gt;&lt;/record&gt;&lt;/Cite&gt;&lt;/EndNote&gt;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College of Policing (2022)</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emphasises the importance of a collaborative approach between investigators and crown prosecutors, who should have a shared understanding of the case strategy and evidential requirements.</w:t>
      </w:r>
    </w:p>
    <w:p w14:paraId="6DD4FFE8" w14:textId="4E7D1FFC" w:rsidR="002170AC" w:rsidRPr="002170AC" w:rsidRDefault="002170AC" w:rsidP="002170AC">
      <w:pPr>
        <w:spacing w:line="360" w:lineRule="auto"/>
        <w:rPr>
          <w:rFonts w:asciiTheme="minorBidi" w:hAnsiTheme="minorBidi"/>
          <w:b/>
          <w:bCs/>
          <w:sz w:val="24"/>
          <w:szCs w:val="24"/>
        </w:rPr>
      </w:pPr>
      <w:r w:rsidRPr="002170AC">
        <w:rPr>
          <w:rFonts w:asciiTheme="minorBidi" w:hAnsiTheme="minorBidi"/>
          <w:b/>
          <w:bCs/>
          <w:sz w:val="24"/>
          <w:szCs w:val="24"/>
        </w:rPr>
        <w:t>The</w:t>
      </w:r>
      <w:r w:rsidRPr="002170AC">
        <w:rPr>
          <w:rFonts w:asciiTheme="minorBidi" w:hAnsiTheme="minorBidi"/>
          <w:sz w:val="24"/>
          <w:szCs w:val="24"/>
        </w:rPr>
        <w:t xml:space="preserve"> </w:t>
      </w:r>
      <w:r w:rsidRPr="002170AC">
        <w:rPr>
          <w:rFonts w:asciiTheme="minorBidi" w:hAnsiTheme="minorBidi"/>
          <w:b/>
          <w:bCs/>
          <w:sz w:val="24"/>
          <w:szCs w:val="24"/>
        </w:rPr>
        <w:fldChar w:fldCharType="begin"/>
      </w:r>
      <w:r w:rsidRPr="002170AC">
        <w:rPr>
          <w:rFonts w:asciiTheme="minorBidi" w:hAnsiTheme="minorBidi"/>
          <w:b/>
          <w:bCs/>
          <w:sz w:val="24"/>
          <w:szCs w:val="24"/>
        </w:rPr>
        <w:instrText xml:space="preserve"> ADDIN EN.CITE &lt;EndNote&gt;&lt;Cite ExcludeAuth="1" ExcludeYear="1"&gt;&lt;RecNum&gt;29&lt;/RecNum&gt;&lt;DisplayText&gt;(Modern Slavery Act 2015)&lt;/DisplayText&gt;&lt;record&gt;&lt;rec-number&gt;29&lt;/rec-number&gt;&lt;foreign-keys&gt;&lt;key app="EN" db-id="eveasawp25fawzewwwy5sdsyewsv0wsdaptr" timestamp="1736732391"&gt;29&lt;/key&gt;&lt;/foreign-keys&gt;&lt;ref-type name="Statute"&gt;31&lt;/ref-type&gt;&lt;contributors&gt;&lt;/contributors&gt;&lt;titles&gt;&lt;title&gt;Modern Slavery Act 2015&lt;/title&gt;&lt;/titles&gt;&lt;section&gt;Second&lt;/section&gt;&lt;dates&gt;&lt;/dates&gt;&lt;publisher&gt;Legislation.gov.uk. &lt;/publisher&gt;&lt;urls&gt;&lt;related-urls&gt;&lt;url&gt;https://www.legislation.gov.uk/ukpga/2015/30/section/2&lt;/url&gt;&lt;/related-urls&gt;&lt;/urls&gt;&lt;access-date&gt;17 Dec 2024&lt;/access-date&gt;&lt;/record&gt;&lt;/Cite&gt;&lt;/EndNote&gt;</w:instrText>
      </w:r>
      <w:r w:rsidRPr="002170AC">
        <w:rPr>
          <w:rFonts w:asciiTheme="minorBidi" w:hAnsiTheme="minorBidi"/>
          <w:b/>
          <w:bCs/>
          <w:sz w:val="24"/>
          <w:szCs w:val="24"/>
        </w:rPr>
        <w:fldChar w:fldCharType="separate"/>
      </w:r>
      <w:r w:rsidRPr="002170AC">
        <w:rPr>
          <w:rFonts w:asciiTheme="minorBidi" w:hAnsiTheme="minorBidi"/>
          <w:b/>
          <w:bCs/>
          <w:noProof/>
          <w:sz w:val="24"/>
          <w:szCs w:val="24"/>
        </w:rPr>
        <w:t>(</w:t>
      </w:r>
      <w:r w:rsidRPr="002170AC">
        <w:rPr>
          <w:rFonts w:asciiTheme="minorBidi" w:hAnsiTheme="minorBidi"/>
          <w:b/>
          <w:bCs/>
          <w:i/>
          <w:iCs/>
          <w:noProof/>
          <w:sz w:val="24"/>
          <w:szCs w:val="24"/>
        </w:rPr>
        <w:t>Modern Slavery Act 2015</w:t>
      </w:r>
      <w:r w:rsidRPr="002170AC">
        <w:rPr>
          <w:rFonts w:asciiTheme="minorBidi" w:hAnsiTheme="minorBidi"/>
          <w:b/>
          <w:bCs/>
          <w:noProof/>
          <w:sz w:val="24"/>
          <w:szCs w:val="24"/>
        </w:rPr>
        <w:t>)</w:t>
      </w:r>
      <w:r w:rsidRPr="002170AC">
        <w:rPr>
          <w:rFonts w:asciiTheme="minorBidi" w:hAnsiTheme="minorBidi"/>
          <w:b/>
          <w:bCs/>
          <w:sz w:val="24"/>
          <w:szCs w:val="24"/>
        </w:rPr>
        <w:fldChar w:fldCharType="end"/>
      </w:r>
      <w:r w:rsidR="008F0046">
        <w:rPr>
          <w:rFonts w:asciiTheme="minorBidi" w:hAnsiTheme="minorBidi"/>
          <w:b/>
          <w:bCs/>
          <w:sz w:val="24"/>
          <w:szCs w:val="24"/>
        </w:rPr>
        <w:t xml:space="preserve"> </w:t>
      </w:r>
      <w:r w:rsidRPr="002170AC">
        <w:rPr>
          <w:rFonts w:asciiTheme="minorBidi" w:hAnsiTheme="minorBidi"/>
          <w:b/>
          <w:bCs/>
          <w:sz w:val="24"/>
          <w:szCs w:val="24"/>
        </w:rPr>
        <w:t>(Human Trafficking)</w:t>
      </w:r>
    </w:p>
    <w:p w14:paraId="1F6A6397" w14:textId="68F162B8"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investigation faced challenges with victim cooperation due to fear of retribution, misplaced loyalties, and psychological manipulation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&lt;EndNote&gt;&lt;Cite&gt;&lt;Author&gt;Pajon&lt;/Author&gt;&lt;Year&gt;2024&lt;/Year&gt;&lt;RecNum&gt;8&lt;/RecNum&gt;&lt;DisplayText&gt;(Pajon and Walsh, 2024)&lt;/DisplayText&gt;&lt;record&gt;&lt;rec-number&gt;8&lt;/rec-number&gt;&lt;foreign-keys&gt;&lt;key app="EN" db-id="eveasawp25fawzewwwy5sdsyewsv0wsdaptr" timestamp="1736107672"&gt;8&lt;/key&gt;&lt;/foreign-keys&gt;&lt;ref-type name="Journal Article"&gt;17&lt;/ref-type&gt;&lt;contributors&gt;&lt;authors&gt;&lt;author&gt;Pajon, Laura&lt;/author&gt;&lt;author&gt;Walsh, Dave&lt;/author&gt;&lt;/authors&gt;&lt;/contributors&gt;&lt;titles&gt;&lt;title&gt;Investigating organised human trafficking crimes: case studies of police investigations in England&lt;/title&gt;&lt;secondary-title&gt;Police Practice and Research&lt;/secondary-title&gt;&lt;/titles&gt;&lt;periodical&gt;&lt;full-title&gt;Police Practice and Research&lt;/full-title&gt;&lt;/periodical&gt;&lt;pages&gt;1-17&lt;/pages&gt;&lt;dates&gt;&lt;year&gt;2024&lt;/year&gt;&lt;/dates&gt;&lt;publisher&gt;Routledge&lt;/publisher&gt;&lt;isbn&gt;1561-4263&lt;/isbn&gt;&lt;urls&gt;&lt;related-urls&gt;&lt;url&gt;https://doi.org/10.1080/15614263.2024.2406841&lt;/url&gt;&lt;/related-urls&gt;&lt;/urls&gt;&lt;electronic-resource-num&gt;10.1080/15614263.2024.2406841&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(Pajon and Walsh, 2024)</w:t>
      </w:r>
      <w:r w:rsidRPr="002170AC">
        <w:rPr>
          <w:rFonts w:asciiTheme="minorBidi" w:hAnsiTheme="minorBidi"/>
          <w:sz w:val="24"/>
          <w:szCs w:val="24"/>
        </w:rPr>
        <w:fldChar w:fldCharType="end"/>
      </w:r>
      <w:r w:rsidRPr="002170AC">
        <w:rPr>
          <w:rFonts w:asciiTheme="minorBidi" w:hAnsiTheme="minorBidi"/>
          <w:sz w:val="24"/>
          <w:szCs w:val="24"/>
        </w:rPr>
        <w:t xml:space="preserve">. A refined approach was needed, focusing on identifying and safeguarding vulnerable </w:t>
      </w:r>
      <w:r w:rsidRPr="002170AC">
        <w:rPr>
          <w:rFonts w:asciiTheme="minorBidi" w:hAnsiTheme="minorBidi"/>
          <w:sz w:val="24"/>
          <w:szCs w:val="24"/>
        </w:rPr>
        <w:lastRenderedPageBreak/>
        <w:t xml:space="preserve">victims. Key issues included distinguishing between willing participants and exploited individuals. Both the child and adult victims refused to cooperate, likely due to Stockholm syndrome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&lt;EndNote&gt;&lt;Cite&gt;&lt;Author&gt;Namnyak&lt;/Author&gt;&lt;Year&gt;2008&lt;/Year&gt;&lt;RecNum&gt;6&lt;/RecNum&gt;&lt;DisplayText&gt;(Namnyak et al., 2008)&lt;/DisplayText&gt;&lt;record&gt;&lt;rec-number&gt;6&lt;/rec-number&gt;&lt;foreign-keys&gt;&lt;key app="EN" db-id="eveasawp25fawzewwwy5sdsyewsv0wsdaptr" timestamp="1736107548"&gt;6&lt;/key&gt;&lt;/foreign-keys&gt;&lt;ref-type name="Journal Article"&gt;17&lt;/ref-type&gt;&lt;contributors&gt;&lt;authors&gt;&lt;author&gt;Namnyak, M.&lt;/author&gt;&lt;author&gt;Tufton, N.&lt;/author&gt;&lt;author&gt;Szekely, R.&lt;/author&gt;&lt;author&gt;Toal, M.&lt;/author&gt;&lt;author&gt;Worboys, S.&lt;/author&gt;&lt;author&gt;Sampson, E. L.&lt;/author&gt;&lt;/authors&gt;&lt;/contributors&gt;&lt;titles&gt;&lt;title&gt;‘Stockholm syndrome’: psychiatric diagnosis or urban myth?&lt;/title&gt;&lt;secondary-title&gt;Acta Psychiatrica Scandinavica&lt;/secondary-title&gt;&lt;/titles&gt;&lt;periodical&gt;&lt;full-title&gt;Acta Psychiatrica Scandinavica&lt;/full-title&gt;&lt;/periodical&gt;&lt;pages&gt;4-11&lt;/pages&gt;&lt;volume&gt;117&lt;/volume&gt;&lt;number&gt;1&lt;/number&gt;&lt;dates&gt;&lt;year&gt;2008&lt;/year&gt;&lt;/dates&gt;&lt;isbn&gt;0001-690X&lt;/isbn&gt;&lt;urls&gt;&lt;related-urls&gt;&lt;url&gt;https://onlinelibrary.wiley.com/doi/abs/10.1111/j.1600-0447.2007.01112.x&lt;/url&gt;&lt;/related-urls&gt;&lt;/urls&gt;&lt;electronic-resource-num&gt;https://doi.org/10.1111/j.1600-0447.2007.01112.x&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(Namnyak et al., 2008)</w:t>
      </w:r>
      <w:r w:rsidRPr="002170AC">
        <w:rPr>
          <w:rFonts w:asciiTheme="minorBidi" w:hAnsiTheme="minorBidi"/>
          <w:sz w:val="24"/>
          <w:szCs w:val="24"/>
        </w:rPr>
        <w:fldChar w:fldCharType="end"/>
      </w:r>
      <w:r w:rsidRPr="002170AC">
        <w:rPr>
          <w:rFonts w:asciiTheme="minorBidi" w:hAnsiTheme="minorBidi"/>
          <w:sz w:val="24"/>
          <w:szCs w:val="24"/>
        </w:rPr>
        <w:t xml:space="preserv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AuthorYear="1"&gt;&lt;Author&gt;Marshall&lt;/Author&gt;&lt;Year&gt;2024&lt;/Year&gt;&lt;RecNum&gt;27&lt;/RecNum&gt;&lt;DisplayText&gt;Marshall, Bacon and Spicer (2024)&lt;/DisplayText&gt;&lt;record&gt;&lt;rec-number&gt;27&lt;/rec-number&gt;&lt;foreign-keys&gt;&lt;key app="EN" db-id="eveasawp25fawzewwwy5sdsyewsv0wsdaptr" timestamp="1736705369"&gt;27&lt;/key&gt;&lt;/foreign-keys&gt;&lt;ref-type name="Journal Article"&gt;17&lt;/ref-type&gt;&lt;contributors&gt;&lt;authors&gt;&lt;author&gt;Marshall, Hannah&lt;/author&gt;&lt;author&gt;Bacon, Matthew&lt;/author&gt;&lt;author&gt;Spicer, Jack&lt;/author&gt;&lt;/authors&gt;&lt;/contributors&gt;&lt;titles&gt;&lt;title&gt;Emerging Victims in Contemporary Drugs Policing&lt;/title&gt;&lt;secondary-title&gt;The British Journal of Criminology&lt;/secondary-title&gt;&lt;/titles&gt;&lt;periodical&gt;&lt;full-title&gt;The British Journal of Criminology&lt;/full-title&gt;&lt;/periodical&gt;&lt;pages&gt;1292-1309&lt;/pages&gt;&lt;volume&gt;64&lt;/volume&gt;&lt;number&gt;6&lt;/number&gt;&lt;dates&gt;&lt;year&gt;2024&lt;/year&gt;&lt;/dates&gt;&lt;isbn&gt;0007-0955&lt;/isbn&gt;&lt;urls&gt;&lt;related-urls&gt;&lt;url&gt;https://doi.org/10.1093/bjc/azae020&lt;/url&gt;&lt;/related-urls&gt;&lt;/urls&gt;&lt;electronic-resource-num&gt;10.1093/bjc/azae020&lt;/electronic-resource-num&gt;&lt;access-date&gt;1/12/2025&lt;/access-date&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Marshall, Bacon and Spicer (2024)</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stress the importance of a trauma-informed approach when dealing with victims of county lines and human trafficking, recognising the link between victimisation and offending, particularly for those with drug dependencies.</w:t>
      </w:r>
    </w:p>
    <w:p w14:paraId="4F7B5885" w14:textId="77777777" w:rsidR="002170AC" w:rsidRPr="002170AC" w:rsidRDefault="002170AC" w:rsidP="002170AC">
      <w:pPr>
        <w:spacing w:line="360" w:lineRule="auto"/>
        <w:rPr>
          <w:rFonts w:asciiTheme="minorBidi" w:hAnsiTheme="minorBidi"/>
          <w:sz w:val="24"/>
          <w:szCs w:val="24"/>
        </w:rPr>
      </w:pPr>
      <w:bookmarkStart w:id="0" w:name="_Hlk184745355"/>
      <w:r w:rsidRPr="002170AC">
        <w:rPr>
          <w:rFonts w:asciiTheme="minorBidi" w:hAnsiTheme="minorBidi"/>
          <w:sz w:val="24"/>
          <w:szCs w:val="24"/>
        </w:rPr>
        <w:t xml:space="preserve">Despite several setbacks, recovered evidence showed the OCG orchestrating victim travel for drug trafficking, meeting the criteria under Section 2(2) of the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ExcludeAuth="1" ExcludeYear="1"&gt;&lt;RecNum&gt;29&lt;/RecNum&gt;&lt;DisplayText&gt;(Modern Slavery Act 2015)&lt;/DisplayText&gt;&lt;record&gt;&lt;rec-number&gt;29&lt;/rec-number&gt;&lt;foreign-keys&gt;&lt;key app="EN" db-id="eveasawp25fawzewwwy5sdsyewsv0wsdaptr" timestamp="1736732391"&gt;29&lt;/key&gt;&lt;/foreign-keys&gt;&lt;ref-type name="Statute"&gt;31&lt;/ref-type&gt;&lt;contributors&gt;&lt;/contributors&gt;&lt;titles&gt;&lt;title&gt;Modern Slavery Act 2015&lt;/title&gt;&lt;/titles&gt;&lt;section&gt;Second&lt;/section&gt;&lt;dates&gt;&lt;/dates&gt;&lt;publisher&gt;Legislation.gov.uk. &lt;/publisher&gt;&lt;urls&gt;&lt;related-urls&gt;&lt;url&gt;https://www.legislation.gov.uk/ukpga/2015/30/section/2&lt;/url&gt;&lt;/related-urls&gt;&lt;/urls&gt;&lt;access-date&gt;17 Dec 2024&lt;/access-date&gt;&lt;/record&gt;&lt;/Cite&gt;&lt;/EndNote&gt;</w:instrText>
      </w:r>
      <w:r w:rsidRPr="002170AC">
        <w:rPr>
          <w:rFonts w:asciiTheme="minorBidi" w:hAnsiTheme="minorBidi"/>
          <w:sz w:val="24"/>
          <w:szCs w:val="24"/>
        </w:rPr>
        <w:fldChar w:fldCharType="separate"/>
      </w:r>
      <w:r w:rsidRPr="002170AC">
        <w:rPr>
          <w:rFonts w:asciiTheme="minorBidi" w:hAnsiTheme="minorBidi"/>
          <w:i/>
          <w:iCs/>
          <w:noProof/>
          <w:sz w:val="24"/>
          <w:szCs w:val="24"/>
        </w:rPr>
        <w:t>(Modern Slavery Act 2015</w:t>
      </w:r>
      <w:r w:rsidRPr="002170AC">
        <w:rPr>
          <w:rFonts w:asciiTheme="minorBidi" w:hAnsiTheme="minorBidi"/>
          <w:noProof/>
          <w:sz w:val="24"/>
          <w:szCs w:val="24"/>
        </w:rPr>
        <w:t>)</w:t>
      </w:r>
      <w:r w:rsidRPr="002170AC">
        <w:rPr>
          <w:rFonts w:asciiTheme="minorBidi" w:hAnsiTheme="minorBidi"/>
          <w:sz w:val="24"/>
          <w:szCs w:val="24"/>
        </w:rPr>
        <w:fldChar w:fldCharType="end"/>
      </w:r>
      <w:r w:rsidRPr="002170AC">
        <w:rPr>
          <w:rFonts w:asciiTheme="minorBidi" w:hAnsiTheme="minorBidi"/>
          <w:sz w:val="24"/>
          <w:szCs w:val="24"/>
        </w:rPr>
        <w:t>. This section makes consent irrelevant when securing a human trafficking charge. Evidence of consent or lack of victim testimony was not needed. Incriminating evidence, such as recorded prison telephone calls and text messages on the child’s phone, removed the need for the child’s testimony. Though the adult refused to cooperate, I reflected on his situation and the evidence that had been gathered and decided to safeguard him by referring him to victim support services instead of prosecuting him. I used the National Decision Model (NDM) and National Referral Mechanism (NRM) to assess his case, recognising the fine line between arresting suspects and criminalising victims.</w:t>
      </w:r>
    </w:p>
    <w:bookmarkEnd w:id="0"/>
    <w:p w14:paraId="49FFB6CA" w14:textId="0F650E54"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 AuthorYear="1"&gt;&lt;Author&gt;Broad&lt;/Author&gt;&lt;Year&gt;2019&lt;/Year&gt;&lt;RecNum&gt;3&lt;/RecNum&gt;&lt;DisplayText&gt;Broad and Turnbull (2019)&lt;/DisplayText&gt;&lt;record&gt;&lt;rec-number&gt;3&lt;/rec-number&gt;&lt;foreign-keys&gt;&lt;key app="EN" db-id="eveasawp25fawzewwwy5sdsyewsv0wsdaptr" timestamp="1736107309"&gt;3&lt;/key&gt;&lt;/foreign-keys&gt;&lt;ref-type name="Journal Article"&gt;17&lt;/ref-type&gt;&lt;contributors&gt;&lt;authors&gt;&lt;author&gt;Broad, Rose&lt;/author&gt;&lt;author&gt;Turnbull, Nick&lt;/author&gt;&lt;/authors&gt;&lt;/contributors&gt;&lt;titles&gt;&lt;title&gt;From Human Trafficking to Modern Slavery: The Development of Anti-Trafficking Policy in the UK&lt;/title&gt;&lt;secondary-title&gt;European Journal on Criminal Policy and Research&lt;/secondary-title&gt;&lt;/titles&gt;&lt;periodical&gt;&lt;full-title&gt;European Journal on Criminal Policy and Research&lt;/full-title&gt;&lt;/periodical&gt;&lt;pages&gt;119-133&lt;/pages&gt;&lt;volume&gt;25&lt;/volume&gt;&lt;number&gt;2&lt;/number&gt;&lt;dates&gt;&lt;year&gt;2019&lt;/year&gt;&lt;pub-dates&gt;&lt;date&gt;2019/06/01&lt;/date&gt;&lt;/pub-dates&gt;&lt;/dates&gt;&lt;isbn&gt;1572-9869&lt;/isbn&gt;&lt;urls&gt;&lt;related-urls&gt;&lt;url&gt;https://doi.org/10.1007/s10610-018-9375-4&lt;/url&gt;&lt;/related-urls&gt;&lt;/urls&gt;&lt;electronic-resource-num&gt;10.1007/s10610-018-9375-4&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Broad and Turnbull (2019)</w:t>
      </w:r>
      <w:r w:rsidRPr="002170AC">
        <w:rPr>
          <w:rFonts w:asciiTheme="minorBidi" w:hAnsiTheme="minorBidi"/>
          <w:sz w:val="24"/>
          <w:szCs w:val="24"/>
        </w:rPr>
        <w:fldChar w:fldCharType="end"/>
      </w:r>
      <w:r w:rsidR="00B72EA3">
        <w:rPr>
          <w:rFonts w:asciiTheme="minorBidi" w:hAnsiTheme="minorBidi"/>
          <w:sz w:val="24"/>
          <w:szCs w:val="24"/>
        </w:rPr>
        <w:t>,</w:t>
      </w:r>
      <w:r w:rsidRPr="002170AC">
        <w:rPr>
          <w:rFonts w:asciiTheme="minorBidi" w:hAnsiTheme="minorBidi"/>
          <w:sz w:val="24"/>
          <w:szCs w:val="24"/>
        </w:rPr>
        <w:t xml:space="preserve"> highlight the difficulties police officers face in distinguishing between trafficking suspects and victims involved in crime, as the positions of ‘victim’ and ‘suspect’ are often embodied simultaneously by those affected. Therefore, a distinct understanding of the law was critical while trying to distinguish between trafficking suspects and those who were victims but also involved in crime. </w:t>
      </w:r>
    </w:p>
    <w:p w14:paraId="7214405E" w14:textId="77777777" w:rsidR="002170AC" w:rsidRPr="002170AC" w:rsidRDefault="002170AC" w:rsidP="002170AC">
      <w:pPr>
        <w:spacing w:line="360" w:lineRule="auto"/>
        <w:rPr>
          <w:rFonts w:asciiTheme="minorBidi" w:hAnsiTheme="minorBidi"/>
          <w:b/>
          <w:bCs/>
          <w:sz w:val="24"/>
          <w:szCs w:val="24"/>
        </w:rPr>
      </w:pPr>
      <w:r w:rsidRPr="002170AC">
        <w:rPr>
          <w:rFonts w:asciiTheme="minorBidi" w:hAnsiTheme="minorBidi"/>
          <w:b/>
          <w:bCs/>
          <w:sz w:val="24"/>
          <w:szCs w:val="24"/>
        </w:rPr>
        <w:t>The National Referral Mechanism</w:t>
      </w:r>
    </w:p>
    <w:p w14:paraId="0DF63FF3" w14:textId="77777777" w:rsidR="002170AC" w:rsidRDefault="002170AC" w:rsidP="002170AC">
      <w:pPr>
        <w:spacing w:line="360" w:lineRule="auto"/>
        <w:rPr>
          <w:rFonts w:asciiTheme="minorBidi" w:hAnsiTheme="minorBidi"/>
          <w:sz w:val="24"/>
          <w:szCs w:val="24"/>
        </w:rPr>
      </w:pPr>
      <w:r w:rsidRPr="002170AC">
        <w:rPr>
          <w:rFonts w:asciiTheme="minorBidi" w:hAnsiTheme="minorBidi"/>
          <w:sz w:val="24"/>
          <w:szCs w:val="24"/>
        </w:rPr>
        <w:t xml:space="preserve">The National Referral Mechanism (NRM) identifies and supports victims of modern slavery, providing a structured approach to victim recognition and assistance </w:t>
      </w:r>
      <w:r w:rsidRPr="002170AC">
        <w:rPr>
          <w:rFonts w:asciiTheme="minorBidi" w:hAnsiTheme="minorBidi"/>
          <w:sz w:val="24"/>
          <w:szCs w:val="24"/>
        </w:rPr>
        <w:fldChar w:fldCharType="begin"/>
      </w:r>
      <w:r w:rsidRPr="002170AC">
        <w:rPr>
          <w:rFonts w:asciiTheme="minorBidi" w:hAnsiTheme="minorBidi"/>
          <w:sz w:val="24"/>
          <w:szCs w:val="24"/>
        </w:rPr>
        <w:instrText xml:space="preserve"> ADDIN EN.CITE &lt;EndNote&gt;&lt;Cite&gt;&lt;Author&gt;O’Brien&lt;/Author&gt;&lt;Year&gt;2022&lt;/Year&gt;&lt;RecNum&gt;7&lt;/RecNum&gt;&lt;DisplayText&gt;(O’Brien, Palmer and Blinkhorn, 2022)&lt;/DisplayText&gt;&lt;record&gt;&lt;rec-number&gt;7&lt;/rec-number&gt;&lt;foreign-keys&gt;&lt;key app="EN" db-id="eveasawp25fawzewwwy5sdsyewsv0wsdaptr" timestamp="1736107613"&gt;7&lt;/key&gt;&lt;/foreign-keys&gt;&lt;ref-type name="Journal Article"&gt;17&lt;/ref-type&gt;&lt;contributors&gt;&lt;authors&gt;&lt;author&gt;O’Brien, Freya&lt;/author&gt;&lt;author&gt;Palmer, Sasha&lt;/author&gt;&lt;author&gt;Blinkhorn, Victoria&lt;/author&gt;&lt;/authors&gt;&lt;/contributors&gt;&lt;titles&gt;&lt;title&gt;Factors that predict the referral of adult Modern Day Slavery cases to the UK&amp;apos;s National Referral Mechanism&lt;/title&gt;&lt;secondary-title&gt;International Journal of Police Science &amp;amp; Management&lt;/secondary-title&gt;&lt;/titles&gt;&lt;periodical&gt;&lt;full-title&gt;International Journal of Police Science &amp;amp; Management&lt;/full-title&gt;&lt;/periodical&gt;&lt;pages&gt;273-284&lt;/pages&gt;&lt;volume&gt;24&lt;/volume&gt;&lt;number&gt;3&lt;/number&gt;&lt;keywords&gt;&lt;keyword&gt;Modern Day Slavery,exploitation,trafficking,attrition,National Referral Mechanism&lt;/keyword&gt;&lt;/keywords&gt;&lt;dates&gt;&lt;year&gt;2022&lt;/year&gt;&lt;/dates&gt;&lt;urls&gt;&lt;related-urls&gt;&lt;url&gt;https://journals.sagepub.com/doi/abs/10.1177/14613557221074989&lt;/url&gt;&lt;/related-urls&gt;&lt;/urls&gt;&lt;electronic-resource-num&gt;10.1177/14613557221074989&lt;/electronic-resource-num&gt;&lt;/record&gt;&lt;/Cite&gt;&lt;/EndNote&gt;</w:instrText>
      </w:r>
      <w:r w:rsidRPr="002170AC">
        <w:rPr>
          <w:rFonts w:asciiTheme="minorBidi" w:hAnsiTheme="minorBidi"/>
          <w:sz w:val="24"/>
          <w:szCs w:val="24"/>
        </w:rPr>
        <w:fldChar w:fldCharType="separate"/>
      </w:r>
      <w:r w:rsidRPr="002170AC">
        <w:rPr>
          <w:rFonts w:asciiTheme="minorBidi" w:hAnsiTheme="minorBidi"/>
          <w:noProof/>
          <w:sz w:val="24"/>
          <w:szCs w:val="24"/>
        </w:rPr>
        <w:t>(O’Brien, Palmer and Blinkhorn, 2022)</w:t>
      </w:r>
      <w:r w:rsidRPr="002170AC">
        <w:rPr>
          <w:rFonts w:asciiTheme="minorBidi" w:hAnsiTheme="minorBidi"/>
          <w:sz w:val="24"/>
          <w:szCs w:val="24"/>
        </w:rPr>
        <w:fldChar w:fldCharType="end"/>
      </w:r>
      <w:r w:rsidRPr="002170AC">
        <w:rPr>
          <w:rFonts w:asciiTheme="minorBidi" w:hAnsiTheme="minorBidi"/>
          <w:b/>
          <w:bCs/>
          <w:sz w:val="24"/>
          <w:szCs w:val="24"/>
        </w:rPr>
        <w:t>.</w:t>
      </w:r>
    </w:p>
    <w:p w14:paraId="7058214B" w14:textId="77777777" w:rsidR="00583D68" w:rsidRDefault="00583D68" w:rsidP="002170AC">
      <w:pPr>
        <w:spacing w:line="360" w:lineRule="auto"/>
        <w:rPr>
          <w:rFonts w:asciiTheme="minorBidi" w:hAnsiTheme="minorBidi"/>
          <w:sz w:val="24"/>
          <w:szCs w:val="24"/>
        </w:rPr>
      </w:pPr>
    </w:p>
    <w:p w14:paraId="6F9D6A20" w14:textId="77777777" w:rsidR="00583D68" w:rsidRDefault="00583D68" w:rsidP="002170AC">
      <w:pPr>
        <w:spacing w:line="360" w:lineRule="auto"/>
        <w:rPr>
          <w:rFonts w:asciiTheme="minorBidi" w:hAnsiTheme="minorBidi"/>
          <w:sz w:val="24"/>
          <w:szCs w:val="24"/>
        </w:rPr>
      </w:pPr>
    </w:p>
    <w:p w14:paraId="047FFF0D" w14:textId="77777777" w:rsidR="00583D68" w:rsidRPr="002170AC" w:rsidRDefault="00583D68" w:rsidP="002170AC">
      <w:pPr>
        <w:spacing w:line="360" w:lineRule="auto"/>
        <w:rPr>
          <w:rFonts w:asciiTheme="minorBidi" w:hAnsiTheme="minorBidi"/>
          <w:sz w:val="24"/>
          <w:szCs w:val="24"/>
        </w:rPr>
      </w:pPr>
    </w:p>
    <w:p w14:paraId="3B001309" w14:textId="77777777" w:rsidR="002170AC" w:rsidRPr="002170AC" w:rsidRDefault="002170AC" w:rsidP="002170AC">
      <w:pPr>
        <w:spacing w:line="360" w:lineRule="auto"/>
        <w:rPr>
          <w:rFonts w:asciiTheme="minorBidi" w:hAnsiTheme="minorBidi"/>
          <w:b/>
          <w:bCs/>
          <w:sz w:val="24"/>
          <w:szCs w:val="24"/>
        </w:rPr>
      </w:pPr>
      <w:r w:rsidRPr="002170AC">
        <w:rPr>
          <w:rFonts w:asciiTheme="minorBidi" w:hAnsiTheme="minorBidi"/>
          <w:b/>
          <w:bCs/>
          <w:sz w:val="24"/>
          <w:szCs w:val="24"/>
        </w:rPr>
        <w:lastRenderedPageBreak/>
        <w:t>Conclusion</w:t>
      </w:r>
    </w:p>
    <w:p w14:paraId="0CE71E3C"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Operation Shotton's success stemmed from integrating investigative techniques within legal frameworks while balancing objectives with respect for individual rights. The investigation demonstrated legal compliance, ethical considerations, and a victim-centred approach. Key factors included proper authorisation, evidence integrity, effective resource allocation, clear understanding of legal requirements, early engagement with partners, and sufficient staffing from the outset.</w:t>
      </w:r>
    </w:p>
    <w:p w14:paraId="197F8EBC"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However, the case also highlighted challenges, including the resource-intensive nature of surveillance, delays in data acquisition and analysis, the need for trauma-informed victim interviews, and timely liaison with prosecutors. Addressing these challenges requires continuous improvement in practices, investment in technology and skills, and close collaboration between law enforcement and partners.</w:t>
      </w:r>
    </w:p>
    <w:p w14:paraId="4D9378D8"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t>The success of such investigations relies on a detailed understanding of legal frameworks, human psychology, and the complex dynamics of organised crime. As criminal networks evolve and exploit new technologies, investigative techniques must adapt while upholding the principles of necessity, proportionality, and human rights.</w:t>
      </w:r>
    </w:p>
    <w:p w14:paraId="3F05AFEC" w14:textId="77777777" w:rsidR="002170AC" w:rsidRDefault="002170AC" w:rsidP="002170AC">
      <w:pPr>
        <w:spacing w:line="360" w:lineRule="auto"/>
        <w:rPr>
          <w:rFonts w:asciiTheme="minorBidi" w:hAnsiTheme="minorBidi"/>
          <w:sz w:val="24"/>
          <w:szCs w:val="24"/>
        </w:rPr>
      </w:pPr>
      <w:r w:rsidRPr="002170AC">
        <w:rPr>
          <w:rFonts w:asciiTheme="minorBidi" w:hAnsiTheme="minorBidi"/>
          <w:sz w:val="24"/>
          <w:szCs w:val="24"/>
        </w:rPr>
        <w:t>Regular review and evaluation of investigative practices, along with ongoing training, will be essential to maintaining law enforcement effectiveness in addressing these challenges. This essay has aimed to contribute to this ongoing process of reflection and improvement.</w:t>
      </w:r>
    </w:p>
    <w:p w14:paraId="6F7C10C7" w14:textId="1CCE95FA" w:rsidR="002170AC" w:rsidRPr="00583D68" w:rsidRDefault="002170AC" w:rsidP="002170AC">
      <w:pPr>
        <w:spacing w:line="360" w:lineRule="auto"/>
        <w:rPr>
          <w:rFonts w:asciiTheme="minorBidi" w:hAnsiTheme="minorBidi"/>
          <w:sz w:val="24"/>
          <w:szCs w:val="24"/>
          <w:u w:val="single"/>
        </w:rPr>
      </w:pPr>
      <w:r w:rsidRPr="00583D68">
        <w:rPr>
          <w:rFonts w:asciiTheme="minorBidi" w:hAnsiTheme="minorBidi"/>
          <w:b/>
          <w:bCs/>
          <w:sz w:val="24"/>
          <w:szCs w:val="24"/>
          <w:u w:val="single"/>
        </w:rPr>
        <w:t>Word count = 2</w:t>
      </w:r>
      <w:r w:rsidR="008F0046">
        <w:rPr>
          <w:rFonts w:asciiTheme="minorBidi" w:hAnsiTheme="minorBidi"/>
          <w:b/>
          <w:bCs/>
          <w:sz w:val="24"/>
          <w:szCs w:val="24"/>
          <w:u w:val="single"/>
        </w:rPr>
        <w:t>,</w:t>
      </w:r>
      <w:r w:rsidRPr="00583D68">
        <w:rPr>
          <w:rFonts w:asciiTheme="minorBidi" w:hAnsiTheme="minorBidi"/>
          <w:b/>
          <w:bCs/>
          <w:sz w:val="24"/>
          <w:szCs w:val="24"/>
          <w:u w:val="single"/>
        </w:rPr>
        <w:t>14</w:t>
      </w:r>
      <w:r w:rsidR="008F0046">
        <w:rPr>
          <w:rFonts w:asciiTheme="minorBidi" w:hAnsiTheme="minorBidi"/>
          <w:b/>
          <w:bCs/>
          <w:sz w:val="24"/>
          <w:szCs w:val="24"/>
          <w:u w:val="single"/>
        </w:rPr>
        <w:t>8</w:t>
      </w:r>
      <w:r w:rsidRPr="00583D68">
        <w:rPr>
          <w:rFonts w:asciiTheme="minorBidi" w:hAnsiTheme="minorBidi"/>
          <w:b/>
          <w:bCs/>
          <w:sz w:val="24"/>
          <w:szCs w:val="24"/>
          <w:u w:val="single"/>
        </w:rPr>
        <w:t xml:space="preserve"> words</w:t>
      </w:r>
    </w:p>
    <w:p w14:paraId="059C9D7B"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p>
    <w:p w14:paraId="6452338D"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p>
    <w:p w14:paraId="40908715" w14:textId="77777777" w:rsidR="002170AC" w:rsidRPr="002170AC" w:rsidRDefault="002170AC" w:rsidP="002170AC">
      <w:pPr>
        <w:spacing w:line="360" w:lineRule="auto"/>
        <w:rPr>
          <w:rFonts w:asciiTheme="minorBidi" w:hAnsiTheme="minorBidi"/>
          <w:noProof/>
          <w:sz w:val="24"/>
          <w:szCs w:val="24"/>
          <w:lang w:val="en-US"/>
        </w:rPr>
      </w:pPr>
      <w:r w:rsidRPr="002170AC">
        <w:rPr>
          <w:rFonts w:asciiTheme="minorBidi" w:hAnsiTheme="minorBidi"/>
          <w:sz w:val="24"/>
          <w:szCs w:val="24"/>
        </w:rPr>
        <w:br w:type="page"/>
      </w:r>
    </w:p>
    <w:p w14:paraId="039B08D3" w14:textId="77777777" w:rsidR="002170AC" w:rsidRPr="002170AC" w:rsidRDefault="002170AC" w:rsidP="002170AC">
      <w:pPr>
        <w:pStyle w:val="EndNoteBibliography"/>
        <w:spacing w:after="0" w:line="360" w:lineRule="auto"/>
        <w:ind w:left="720" w:hanging="720"/>
        <w:rPr>
          <w:rFonts w:asciiTheme="minorBidi" w:hAnsiTheme="minorBidi"/>
          <w:b/>
          <w:bCs/>
          <w:sz w:val="24"/>
          <w:szCs w:val="24"/>
        </w:rPr>
      </w:pPr>
      <w:r w:rsidRPr="002170AC">
        <w:rPr>
          <w:rFonts w:asciiTheme="minorBidi" w:hAnsiTheme="minorBidi"/>
          <w:b/>
          <w:bCs/>
          <w:sz w:val="24"/>
          <w:szCs w:val="24"/>
        </w:rPr>
        <w:lastRenderedPageBreak/>
        <w:t>Reference</w:t>
      </w:r>
    </w:p>
    <w:p w14:paraId="6DAE321C" w14:textId="77777777" w:rsidR="002170AC" w:rsidRPr="002170AC" w:rsidRDefault="002170AC" w:rsidP="002170AC">
      <w:pPr>
        <w:spacing w:line="360" w:lineRule="auto"/>
        <w:rPr>
          <w:rFonts w:asciiTheme="minorBidi" w:hAnsiTheme="minorBidi"/>
          <w:sz w:val="24"/>
          <w:szCs w:val="24"/>
        </w:rPr>
      </w:pPr>
    </w:p>
    <w:p w14:paraId="4EC5437F"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fldChar w:fldCharType="begin"/>
      </w:r>
      <w:r w:rsidRPr="002170AC">
        <w:rPr>
          <w:rFonts w:asciiTheme="minorBidi" w:hAnsiTheme="minorBidi"/>
          <w:sz w:val="24"/>
          <w:szCs w:val="24"/>
        </w:rPr>
        <w:instrText xml:space="preserve"> ADDIN EN.REFLIST </w:instrText>
      </w:r>
      <w:r w:rsidRPr="002170AC">
        <w:rPr>
          <w:rFonts w:asciiTheme="minorBidi" w:hAnsiTheme="minorBidi"/>
          <w:sz w:val="24"/>
          <w:szCs w:val="24"/>
        </w:rPr>
        <w:fldChar w:fldCharType="separate"/>
      </w:r>
      <w:r w:rsidRPr="002170AC">
        <w:rPr>
          <w:rFonts w:asciiTheme="minorBidi" w:hAnsiTheme="minorBidi"/>
          <w:sz w:val="24"/>
          <w:szCs w:val="24"/>
        </w:rPr>
        <w:t xml:space="preserve">Ashby, M. P. J. 2017. The Value of CCTV Surveillance Cameras as an Investigative Tool: An Empirical Analysis. </w:t>
      </w:r>
      <w:r w:rsidRPr="002170AC">
        <w:rPr>
          <w:rFonts w:asciiTheme="minorBidi" w:hAnsiTheme="minorBidi"/>
          <w:i/>
          <w:sz w:val="24"/>
          <w:szCs w:val="24"/>
        </w:rPr>
        <w:t>European Journal on Criminal Policy and Research,</w:t>
      </w:r>
      <w:r w:rsidRPr="002170AC">
        <w:rPr>
          <w:rFonts w:asciiTheme="minorBidi" w:hAnsiTheme="minorBidi"/>
          <w:sz w:val="24"/>
          <w:szCs w:val="24"/>
        </w:rPr>
        <w:t xml:space="preserve"> 23</w:t>
      </w:r>
      <w:r w:rsidRPr="002170AC">
        <w:rPr>
          <w:rFonts w:asciiTheme="minorBidi" w:hAnsiTheme="minorBidi"/>
          <w:b/>
          <w:sz w:val="24"/>
          <w:szCs w:val="24"/>
        </w:rPr>
        <w:t>,</w:t>
      </w:r>
      <w:r w:rsidRPr="002170AC">
        <w:rPr>
          <w:rFonts w:asciiTheme="minorBidi" w:hAnsiTheme="minorBidi"/>
          <w:sz w:val="24"/>
          <w:szCs w:val="24"/>
        </w:rPr>
        <w:t xml:space="preserve"> 441-459.</w:t>
      </w:r>
    </w:p>
    <w:p w14:paraId="00BB4B90"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Bhatt, H. 2006. RIPA 2000: A human rights examination. </w:t>
      </w:r>
      <w:r w:rsidRPr="002170AC">
        <w:rPr>
          <w:rFonts w:asciiTheme="minorBidi" w:hAnsiTheme="minorBidi"/>
          <w:i/>
          <w:sz w:val="24"/>
          <w:szCs w:val="24"/>
        </w:rPr>
        <w:t>The International Journal of Human Rights,</w:t>
      </w:r>
      <w:r w:rsidRPr="002170AC">
        <w:rPr>
          <w:rFonts w:asciiTheme="minorBidi" w:hAnsiTheme="minorBidi"/>
          <w:sz w:val="24"/>
          <w:szCs w:val="24"/>
        </w:rPr>
        <w:t xml:space="preserve"> 10</w:t>
      </w:r>
      <w:r w:rsidRPr="002170AC">
        <w:rPr>
          <w:rFonts w:asciiTheme="minorBidi" w:hAnsiTheme="minorBidi"/>
          <w:b/>
          <w:sz w:val="24"/>
          <w:szCs w:val="24"/>
        </w:rPr>
        <w:t>,</w:t>
      </w:r>
      <w:r w:rsidRPr="002170AC">
        <w:rPr>
          <w:rFonts w:asciiTheme="minorBidi" w:hAnsiTheme="minorBidi"/>
          <w:sz w:val="24"/>
          <w:szCs w:val="24"/>
        </w:rPr>
        <w:t xml:space="preserve"> 285-314.</w:t>
      </w:r>
    </w:p>
    <w:p w14:paraId="2C4E806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Bradbury, S.-A. &amp; Feist, A. 2005. </w:t>
      </w:r>
      <w:r w:rsidRPr="002170AC">
        <w:rPr>
          <w:rFonts w:asciiTheme="minorBidi" w:hAnsiTheme="minorBidi"/>
          <w:i/>
          <w:sz w:val="24"/>
          <w:szCs w:val="24"/>
        </w:rPr>
        <w:t xml:space="preserve">The use of forensic science in volume crime investigations: a review of the research literature </w:t>
      </w:r>
      <w:r w:rsidRPr="002170AC">
        <w:rPr>
          <w:rFonts w:asciiTheme="minorBidi" w:hAnsiTheme="minorBidi"/>
          <w:sz w:val="24"/>
          <w:szCs w:val="24"/>
        </w:rPr>
        <w:t xml:space="preserve">[Online]. Available: </w:t>
      </w:r>
      <w:hyperlink r:id="rId34" w:history="1">
        <w:r w:rsidRPr="002170AC">
          <w:rPr>
            <w:rStyle w:val="Hyperlink"/>
            <w:rFonts w:asciiTheme="minorBidi" w:hAnsiTheme="minorBidi"/>
            <w:sz w:val="24"/>
            <w:szCs w:val="24"/>
          </w:rPr>
          <w:t>https://assets.publishing.service.gov.uk/media/5a7ad567e5274a34770e76f6/hoor4305.pdf</w:t>
        </w:r>
      </w:hyperlink>
      <w:r w:rsidRPr="002170AC">
        <w:rPr>
          <w:rFonts w:asciiTheme="minorBidi" w:hAnsiTheme="minorBidi"/>
          <w:sz w:val="24"/>
          <w:szCs w:val="24"/>
        </w:rPr>
        <w:t xml:space="preserve"> [Accessed 21 Dec. 2024].</w:t>
      </w:r>
    </w:p>
    <w:p w14:paraId="5AA1700C"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Broad, R. &amp; Turnbull, N. 2019. From Human Trafficking to Modern Slavery: The Development of Anti-Trafficking Policy in the UK. </w:t>
      </w:r>
      <w:r w:rsidRPr="002170AC">
        <w:rPr>
          <w:rFonts w:asciiTheme="minorBidi" w:hAnsiTheme="minorBidi"/>
          <w:i/>
          <w:sz w:val="24"/>
          <w:szCs w:val="24"/>
        </w:rPr>
        <w:t>European Journal on Criminal Policy and Research,</w:t>
      </w:r>
      <w:r w:rsidRPr="002170AC">
        <w:rPr>
          <w:rFonts w:asciiTheme="minorBidi" w:hAnsiTheme="minorBidi"/>
          <w:sz w:val="24"/>
          <w:szCs w:val="24"/>
        </w:rPr>
        <w:t xml:space="preserve"> 25</w:t>
      </w:r>
      <w:r w:rsidRPr="002170AC">
        <w:rPr>
          <w:rFonts w:asciiTheme="minorBidi" w:hAnsiTheme="minorBidi"/>
          <w:b/>
          <w:sz w:val="24"/>
          <w:szCs w:val="24"/>
        </w:rPr>
        <w:t>,</w:t>
      </w:r>
      <w:r w:rsidRPr="002170AC">
        <w:rPr>
          <w:rFonts w:asciiTheme="minorBidi" w:hAnsiTheme="minorBidi"/>
          <w:sz w:val="24"/>
          <w:szCs w:val="24"/>
        </w:rPr>
        <w:t xml:space="preserve"> 119-133.</w:t>
      </w:r>
    </w:p>
    <w:p w14:paraId="7E546644"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Chorus Intelligence Ltd. 2019. </w:t>
      </w:r>
      <w:r w:rsidRPr="002170AC">
        <w:rPr>
          <w:rFonts w:asciiTheme="minorBidi" w:hAnsiTheme="minorBidi"/>
          <w:i/>
          <w:sz w:val="24"/>
          <w:szCs w:val="24"/>
        </w:rPr>
        <w:t xml:space="preserve">Chorus Analyse - Communications data cleansing and digital data analysis software - Digital Marketplace </w:t>
      </w:r>
      <w:r w:rsidRPr="002170AC">
        <w:rPr>
          <w:rFonts w:asciiTheme="minorBidi" w:hAnsiTheme="minorBidi"/>
          <w:sz w:val="24"/>
          <w:szCs w:val="24"/>
        </w:rPr>
        <w:t xml:space="preserve">[Online]. Available: </w:t>
      </w:r>
      <w:hyperlink r:id="rId35" w:history="1">
        <w:r w:rsidRPr="002170AC">
          <w:rPr>
            <w:rStyle w:val="Hyperlink"/>
            <w:rFonts w:asciiTheme="minorBidi" w:hAnsiTheme="minorBidi"/>
            <w:sz w:val="24"/>
            <w:szCs w:val="24"/>
          </w:rPr>
          <w:t>https://www.applytosupply.digitalmarketplace.service.gov.uk/g-cloud/services/456194698041330</w:t>
        </w:r>
      </w:hyperlink>
      <w:r w:rsidRPr="002170AC">
        <w:rPr>
          <w:rFonts w:asciiTheme="minorBidi" w:hAnsiTheme="minorBidi"/>
          <w:sz w:val="24"/>
          <w:szCs w:val="24"/>
        </w:rPr>
        <w:t xml:space="preserve"> [Accessed 09 Jan 2025].</w:t>
      </w:r>
    </w:p>
    <w:p w14:paraId="06E4486D"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College of Policing. 2022. </w:t>
      </w:r>
      <w:r w:rsidRPr="002170AC">
        <w:rPr>
          <w:rFonts w:asciiTheme="minorBidi" w:hAnsiTheme="minorBidi"/>
          <w:i/>
          <w:sz w:val="24"/>
          <w:szCs w:val="24"/>
        </w:rPr>
        <w:t xml:space="preserve">Investigation process </w:t>
      </w:r>
      <w:r w:rsidRPr="002170AC">
        <w:rPr>
          <w:rFonts w:asciiTheme="minorBidi" w:hAnsiTheme="minorBidi"/>
          <w:sz w:val="24"/>
          <w:szCs w:val="24"/>
        </w:rPr>
        <w:t xml:space="preserve">[Online]. College of Policing. Available: </w:t>
      </w:r>
      <w:hyperlink r:id="rId36" w:history="1">
        <w:r w:rsidRPr="002170AC">
          <w:rPr>
            <w:rStyle w:val="Hyperlink"/>
            <w:rFonts w:asciiTheme="minorBidi" w:hAnsiTheme="minorBidi"/>
            <w:sz w:val="24"/>
            <w:szCs w:val="24"/>
          </w:rPr>
          <w:t>https://assets.college.police.uk/s3fs-public/2022-12/Investigation%20process.pdf</w:t>
        </w:r>
      </w:hyperlink>
      <w:r w:rsidRPr="002170AC">
        <w:rPr>
          <w:rFonts w:asciiTheme="minorBidi" w:hAnsiTheme="minorBidi"/>
          <w:sz w:val="24"/>
          <w:szCs w:val="24"/>
        </w:rPr>
        <w:t xml:space="preserve"> [Accessed 21 Dec. 2024].</w:t>
      </w:r>
    </w:p>
    <w:p w14:paraId="7EBB2BAD"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College of Policing. 2023. </w:t>
      </w:r>
      <w:r w:rsidRPr="002170AC">
        <w:rPr>
          <w:rFonts w:asciiTheme="minorBidi" w:hAnsiTheme="minorBidi"/>
          <w:i/>
          <w:sz w:val="24"/>
          <w:szCs w:val="24"/>
        </w:rPr>
        <w:t xml:space="preserve">Automatic number plate recognition (ANPR) </w:t>
      </w:r>
      <w:r w:rsidRPr="002170AC">
        <w:rPr>
          <w:rFonts w:asciiTheme="minorBidi" w:hAnsiTheme="minorBidi"/>
          <w:sz w:val="24"/>
          <w:szCs w:val="24"/>
        </w:rPr>
        <w:t xml:space="preserve">[Online]. College of Policing. Available: </w:t>
      </w:r>
      <w:hyperlink r:id="rId37" w:history="1">
        <w:r w:rsidRPr="002170AC">
          <w:rPr>
            <w:rStyle w:val="Hyperlink"/>
            <w:rFonts w:asciiTheme="minorBidi" w:hAnsiTheme="minorBidi"/>
            <w:sz w:val="24"/>
            <w:szCs w:val="24"/>
          </w:rPr>
          <w:t>https://www.college.police.uk/app/investigation/investigative-strategies/automatic-number-plate-recognition-anpr</w:t>
        </w:r>
      </w:hyperlink>
      <w:r w:rsidRPr="002170AC">
        <w:rPr>
          <w:rFonts w:asciiTheme="minorBidi" w:hAnsiTheme="minorBidi"/>
          <w:sz w:val="24"/>
          <w:szCs w:val="24"/>
        </w:rPr>
        <w:t xml:space="preserve"> [Accessed 21 Dec. 2024].</w:t>
      </w:r>
    </w:p>
    <w:p w14:paraId="6D8780E2"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Data Protection Act 2018,  Section, [Online]  Available at: </w:t>
      </w:r>
      <w:hyperlink r:id="rId38" w:history="1">
        <w:r w:rsidRPr="002170AC">
          <w:rPr>
            <w:rStyle w:val="Hyperlink"/>
            <w:rFonts w:asciiTheme="minorBidi" w:hAnsiTheme="minorBidi"/>
            <w:sz w:val="24"/>
            <w:szCs w:val="24"/>
          </w:rPr>
          <w:t>https://www.legislation.gov.uk/ukpga/2018/12/contents/enacted</w:t>
        </w:r>
      </w:hyperlink>
      <w:r w:rsidRPr="002170AC">
        <w:rPr>
          <w:rFonts w:asciiTheme="minorBidi" w:hAnsiTheme="minorBidi"/>
          <w:sz w:val="24"/>
          <w:szCs w:val="24"/>
        </w:rPr>
        <w:t xml:space="preserve"> [Accessed 10 Jan 2025].</w:t>
      </w:r>
    </w:p>
    <w:p w14:paraId="026853D1"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Dyke, T. 2018. Ripe for Reform? Recent Developments in Search Warrants. </w:t>
      </w:r>
      <w:r w:rsidRPr="002170AC">
        <w:rPr>
          <w:rFonts w:asciiTheme="minorBidi" w:hAnsiTheme="minorBidi"/>
          <w:i/>
          <w:sz w:val="24"/>
          <w:szCs w:val="24"/>
        </w:rPr>
        <w:t>Judicial Review,</w:t>
      </w:r>
      <w:r w:rsidRPr="002170AC">
        <w:rPr>
          <w:rFonts w:asciiTheme="minorBidi" w:hAnsiTheme="minorBidi"/>
          <w:sz w:val="24"/>
          <w:szCs w:val="24"/>
        </w:rPr>
        <w:t xml:space="preserve"> 23</w:t>
      </w:r>
      <w:r w:rsidRPr="002170AC">
        <w:rPr>
          <w:rFonts w:asciiTheme="minorBidi" w:hAnsiTheme="minorBidi"/>
          <w:b/>
          <w:sz w:val="24"/>
          <w:szCs w:val="24"/>
        </w:rPr>
        <w:t>,</w:t>
      </w:r>
      <w:r w:rsidRPr="002170AC">
        <w:rPr>
          <w:rFonts w:asciiTheme="minorBidi" w:hAnsiTheme="minorBidi"/>
          <w:sz w:val="24"/>
          <w:szCs w:val="24"/>
        </w:rPr>
        <w:t xml:space="preserve"> 279-292.</w:t>
      </w:r>
    </w:p>
    <w:p w14:paraId="77643A2F"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Gale, E. &amp; Kelly, J. 2018. </w:t>
      </w:r>
      <w:r w:rsidRPr="002170AC">
        <w:rPr>
          <w:rFonts w:asciiTheme="minorBidi" w:hAnsiTheme="minorBidi"/>
          <w:i/>
          <w:sz w:val="24"/>
          <w:szCs w:val="24"/>
        </w:rPr>
        <w:t xml:space="preserve">Exploring the Role of the Financial Investigator Report Home Office Research Report 104 </w:t>
      </w:r>
      <w:r w:rsidRPr="002170AC">
        <w:rPr>
          <w:rFonts w:asciiTheme="minorBidi" w:hAnsiTheme="minorBidi"/>
          <w:sz w:val="24"/>
          <w:szCs w:val="24"/>
        </w:rPr>
        <w:t xml:space="preserve">[Online]. Available: </w:t>
      </w:r>
      <w:hyperlink r:id="rId39" w:history="1">
        <w:r w:rsidRPr="002170AC">
          <w:rPr>
            <w:rStyle w:val="Hyperlink"/>
            <w:rFonts w:asciiTheme="minorBidi" w:hAnsiTheme="minorBidi"/>
            <w:sz w:val="24"/>
            <w:szCs w:val="24"/>
          </w:rPr>
          <w:t>https://assets.publishing.service.gov.uk/media/5bdaf407ed915d150754eb52/e</w:t>
        </w:r>
        <w:r w:rsidRPr="002170AC">
          <w:rPr>
            <w:rStyle w:val="Hyperlink"/>
            <w:rFonts w:asciiTheme="minorBidi" w:hAnsiTheme="minorBidi"/>
            <w:sz w:val="24"/>
            <w:szCs w:val="24"/>
          </w:rPr>
          <w:lastRenderedPageBreak/>
          <w:t>xploring-the-role-of-the-financial-investigator-report-horr104.pdf</w:t>
        </w:r>
      </w:hyperlink>
      <w:r w:rsidRPr="002170AC">
        <w:rPr>
          <w:rFonts w:asciiTheme="minorBidi" w:hAnsiTheme="minorBidi"/>
          <w:sz w:val="24"/>
          <w:szCs w:val="24"/>
        </w:rPr>
        <w:t xml:space="preserve"> [Accessed 20 Dec. 2024].</w:t>
      </w:r>
    </w:p>
    <w:p w14:paraId="5B19254B"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Gcs Network. 2023. </w:t>
      </w:r>
      <w:r w:rsidRPr="002170AC">
        <w:rPr>
          <w:rFonts w:asciiTheme="minorBidi" w:hAnsiTheme="minorBidi"/>
          <w:i/>
          <w:sz w:val="24"/>
          <w:szCs w:val="24"/>
        </w:rPr>
        <w:t xml:space="preserve">Benefits and Challenges of Digital Forensics </w:t>
      </w:r>
      <w:r w:rsidRPr="002170AC">
        <w:rPr>
          <w:rFonts w:asciiTheme="minorBidi" w:hAnsiTheme="minorBidi"/>
          <w:sz w:val="24"/>
          <w:szCs w:val="24"/>
        </w:rPr>
        <w:t xml:space="preserve">[Online]. Available: </w:t>
      </w:r>
      <w:hyperlink r:id="rId40" w:history="1">
        <w:r w:rsidRPr="002170AC">
          <w:rPr>
            <w:rStyle w:val="Hyperlink"/>
            <w:rFonts w:asciiTheme="minorBidi" w:hAnsiTheme="minorBidi"/>
            <w:sz w:val="24"/>
            <w:szCs w:val="24"/>
          </w:rPr>
          <w:t>https://globalcybersecuritynetwork.com/blog/benefits-and-challenges-of-digital-forensics/</w:t>
        </w:r>
      </w:hyperlink>
      <w:r w:rsidRPr="002170AC">
        <w:rPr>
          <w:rFonts w:asciiTheme="minorBidi" w:hAnsiTheme="minorBidi"/>
          <w:sz w:val="24"/>
          <w:szCs w:val="24"/>
        </w:rPr>
        <w:t xml:space="preserve"> [Accessed 09 Jan 2025].</w:t>
      </w:r>
    </w:p>
    <w:p w14:paraId="6EB8A7B4"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Gilmer, J. 2019. </w:t>
      </w:r>
      <w:r w:rsidRPr="002170AC">
        <w:rPr>
          <w:rFonts w:asciiTheme="minorBidi" w:hAnsiTheme="minorBidi"/>
          <w:i/>
          <w:sz w:val="24"/>
          <w:szCs w:val="24"/>
        </w:rPr>
        <w:t xml:space="preserve">Leading the policing strand of the national surveillance camera strategy - Surveillance Camera Commissioner’s Office </w:t>
      </w:r>
      <w:r w:rsidRPr="002170AC">
        <w:rPr>
          <w:rFonts w:asciiTheme="minorBidi" w:hAnsiTheme="minorBidi"/>
          <w:sz w:val="24"/>
          <w:szCs w:val="24"/>
        </w:rPr>
        <w:t xml:space="preserve">[Online]. videosurveillance.blog.gov.uk. Available: </w:t>
      </w:r>
      <w:hyperlink r:id="rId41" w:history="1">
        <w:r w:rsidRPr="002170AC">
          <w:rPr>
            <w:rStyle w:val="Hyperlink"/>
            <w:rFonts w:asciiTheme="minorBidi" w:hAnsiTheme="minorBidi"/>
            <w:sz w:val="24"/>
            <w:szCs w:val="24"/>
          </w:rPr>
          <w:t>https://videosurveillance.blog.gov.uk/2019/10/09/leading-the-policing-strand-of-the-national-surveillance-camera-strategy/</w:t>
        </w:r>
      </w:hyperlink>
      <w:r w:rsidRPr="002170AC">
        <w:rPr>
          <w:rFonts w:asciiTheme="minorBidi" w:hAnsiTheme="minorBidi"/>
          <w:sz w:val="24"/>
          <w:szCs w:val="24"/>
        </w:rPr>
        <w:t xml:space="preserve"> [Accessed 09 Jan 2025].</w:t>
      </w:r>
    </w:p>
    <w:p w14:paraId="3D068F17"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Home Office. 2022. </w:t>
      </w:r>
      <w:r w:rsidRPr="002170AC">
        <w:rPr>
          <w:rFonts w:asciiTheme="minorBidi" w:hAnsiTheme="minorBidi"/>
          <w:i/>
          <w:sz w:val="24"/>
          <w:szCs w:val="24"/>
        </w:rPr>
        <w:t xml:space="preserve">Policy paper, PACE Code B (accessible) </w:t>
      </w:r>
      <w:r w:rsidRPr="002170AC">
        <w:rPr>
          <w:rFonts w:asciiTheme="minorBidi" w:hAnsiTheme="minorBidi"/>
          <w:sz w:val="24"/>
          <w:szCs w:val="24"/>
        </w:rPr>
        <w:t xml:space="preserve">[Online]. Available: </w:t>
      </w:r>
      <w:hyperlink r:id="rId42" w:anchor="action-after-searches" w:history="1">
        <w:r w:rsidRPr="002170AC">
          <w:rPr>
            <w:rStyle w:val="Hyperlink"/>
            <w:rFonts w:asciiTheme="minorBidi" w:hAnsiTheme="minorBidi"/>
            <w:sz w:val="24"/>
            <w:szCs w:val="24"/>
          </w:rPr>
          <w:t>https://www.gov.uk/government/publications/pace-code-b-2013/pace-code-b-accessible#action-after-searches</w:t>
        </w:r>
      </w:hyperlink>
      <w:r w:rsidRPr="002170AC">
        <w:rPr>
          <w:rFonts w:asciiTheme="minorBidi" w:hAnsiTheme="minorBidi"/>
          <w:sz w:val="24"/>
          <w:szCs w:val="24"/>
        </w:rPr>
        <w:t xml:space="preserve"> [Accessed 09 Jan 2025].</w:t>
      </w:r>
    </w:p>
    <w:p w14:paraId="3FAC3202"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Information Commissioner’s Office. 2020. </w:t>
      </w:r>
      <w:r w:rsidRPr="002170AC">
        <w:rPr>
          <w:rFonts w:asciiTheme="minorBidi" w:hAnsiTheme="minorBidi"/>
          <w:i/>
          <w:sz w:val="24"/>
          <w:szCs w:val="24"/>
        </w:rPr>
        <w:t xml:space="preserve">Mobile phone data extraction by police forces in Information Commissioner's Office </w:t>
      </w:r>
      <w:r w:rsidRPr="002170AC">
        <w:rPr>
          <w:rFonts w:asciiTheme="minorBidi" w:hAnsiTheme="minorBidi"/>
          <w:sz w:val="24"/>
          <w:szCs w:val="24"/>
        </w:rPr>
        <w:t xml:space="preserve">[Online]. Available: </w:t>
      </w:r>
      <w:hyperlink r:id="rId43" w:history="1">
        <w:r w:rsidRPr="002170AC">
          <w:rPr>
            <w:rStyle w:val="Hyperlink"/>
            <w:rFonts w:asciiTheme="minorBidi" w:hAnsiTheme="minorBidi"/>
            <w:sz w:val="24"/>
            <w:szCs w:val="24"/>
          </w:rPr>
          <w:t>https://ico.org.uk/media/about-the-ico/documents/2617838/ico-report-on-mpe-in-england-and-wales-v1_1.pdf</w:t>
        </w:r>
      </w:hyperlink>
      <w:r w:rsidRPr="002170AC">
        <w:rPr>
          <w:rFonts w:asciiTheme="minorBidi" w:hAnsiTheme="minorBidi"/>
          <w:sz w:val="24"/>
          <w:szCs w:val="24"/>
        </w:rPr>
        <w:t xml:space="preserve"> [Accessed 19 Dec. 2024].</w:t>
      </w:r>
    </w:p>
    <w:p w14:paraId="4C074999"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Investigatory Powers Act 2016,  Section, [Online]  Available at: </w:t>
      </w:r>
      <w:hyperlink r:id="rId44" w:history="1">
        <w:r w:rsidRPr="002170AC">
          <w:rPr>
            <w:rStyle w:val="Hyperlink"/>
            <w:rFonts w:asciiTheme="minorBidi" w:hAnsiTheme="minorBidi"/>
            <w:sz w:val="24"/>
            <w:szCs w:val="24"/>
          </w:rPr>
          <w:t>https://www.legislation.gov.uk/ukpga/2016/25/contents</w:t>
        </w:r>
      </w:hyperlink>
      <w:r w:rsidRPr="002170AC">
        <w:rPr>
          <w:rFonts w:asciiTheme="minorBidi" w:hAnsiTheme="minorBidi"/>
          <w:sz w:val="24"/>
          <w:szCs w:val="24"/>
        </w:rPr>
        <w:t xml:space="preserve"> [Accessed 9 Jan 2025].</w:t>
      </w:r>
    </w:p>
    <w:p w14:paraId="4E9F4860"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Mahajan, R. &amp; Pandit, K. Cryptography and Computational Approaches in Ensuring Data Integrity for Digital Forensic Evidence.  2024 16th International Conference on Electronics, Computers and Artificial Intelligence (ECAI), 27-28 June 2024 2024. 1-6.</w:t>
      </w:r>
    </w:p>
    <w:p w14:paraId="4FA863E4"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Marshall, H., Bacon, M. &amp; Spicer, J. 2024. Emerging Victims in Contemporary Drugs Policing. </w:t>
      </w:r>
      <w:r w:rsidRPr="002170AC">
        <w:rPr>
          <w:rFonts w:asciiTheme="minorBidi" w:hAnsiTheme="minorBidi"/>
          <w:i/>
          <w:sz w:val="24"/>
          <w:szCs w:val="24"/>
        </w:rPr>
        <w:t>The British Journal of Criminology,</w:t>
      </w:r>
      <w:r w:rsidRPr="002170AC">
        <w:rPr>
          <w:rFonts w:asciiTheme="minorBidi" w:hAnsiTheme="minorBidi"/>
          <w:sz w:val="24"/>
          <w:szCs w:val="24"/>
        </w:rPr>
        <w:t xml:space="preserve"> 64</w:t>
      </w:r>
      <w:r w:rsidRPr="002170AC">
        <w:rPr>
          <w:rFonts w:asciiTheme="minorBidi" w:hAnsiTheme="minorBidi"/>
          <w:b/>
          <w:sz w:val="24"/>
          <w:szCs w:val="24"/>
        </w:rPr>
        <w:t>,</w:t>
      </w:r>
      <w:r w:rsidRPr="002170AC">
        <w:rPr>
          <w:rFonts w:asciiTheme="minorBidi" w:hAnsiTheme="minorBidi"/>
          <w:sz w:val="24"/>
          <w:szCs w:val="24"/>
        </w:rPr>
        <w:t xml:space="preserve"> 1292-1309.</w:t>
      </w:r>
    </w:p>
    <w:p w14:paraId="0A0CF394"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Mcmillan, J. R., Glisson, W. B. &amp; Bromby, M. C. 2013. Investigating the Increase in Mobile Phone Evidence in Criminal Activities. </w:t>
      </w:r>
      <w:r w:rsidRPr="002170AC">
        <w:rPr>
          <w:rFonts w:asciiTheme="minorBidi" w:hAnsiTheme="minorBidi"/>
          <w:i/>
          <w:sz w:val="24"/>
          <w:szCs w:val="24"/>
        </w:rPr>
        <w:t>2013 46th Hawaii International Conference on System Sciences</w:t>
      </w:r>
      <w:r w:rsidRPr="002170AC">
        <w:rPr>
          <w:rFonts w:asciiTheme="minorBidi" w:hAnsiTheme="minorBidi"/>
          <w:b/>
          <w:sz w:val="24"/>
          <w:szCs w:val="24"/>
        </w:rPr>
        <w:t>,</w:t>
      </w:r>
      <w:r w:rsidRPr="002170AC">
        <w:rPr>
          <w:rFonts w:asciiTheme="minorBidi" w:hAnsiTheme="minorBidi"/>
          <w:sz w:val="24"/>
          <w:szCs w:val="24"/>
        </w:rPr>
        <w:t xml:space="preserve"> 4900-4909.</w:t>
      </w:r>
    </w:p>
    <w:p w14:paraId="2DE92EC3"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Ministry of Justice. 2023. </w:t>
      </w:r>
      <w:r w:rsidRPr="002170AC">
        <w:rPr>
          <w:rFonts w:asciiTheme="minorBidi" w:hAnsiTheme="minorBidi"/>
          <w:i/>
          <w:sz w:val="24"/>
          <w:szCs w:val="24"/>
        </w:rPr>
        <w:t xml:space="preserve">The Management and Handling of Evidence Policy Framework Reference </w:t>
      </w:r>
      <w:r w:rsidRPr="002170AC">
        <w:rPr>
          <w:rFonts w:asciiTheme="minorBidi" w:hAnsiTheme="minorBidi"/>
          <w:sz w:val="24"/>
          <w:szCs w:val="24"/>
        </w:rPr>
        <w:t xml:space="preserve">[Online]. Available: </w:t>
      </w:r>
      <w:hyperlink r:id="rId45" w:history="1">
        <w:r w:rsidRPr="002170AC">
          <w:rPr>
            <w:rStyle w:val="Hyperlink"/>
            <w:rFonts w:asciiTheme="minorBidi" w:hAnsiTheme="minorBidi"/>
            <w:sz w:val="24"/>
            <w:szCs w:val="24"/>
          </w:rPr>
          <w:t>https://assets.publishing.service.gov.uk/media/63c918b4e90e07071db36a7e/management-handling-evidence-pf.pdf</w:t>
        </w:r>
      </w:hyperlink>
      <w:r w:rsidRPr="002170AC">
        <w:rPr>
          <w:rFonts w:asciiTheme="minorBidi" w:hAnsiTheme="minorBidi"/>
          <w:sz w:val="24"/>
          <w:szCs w:val="24"/>
        </w:rPr>
        <w:t xml:space="preserve"> [Accessed 08 Jan 2025].</w:t>
      </w:r>
    </w:p>
    <w:p w14:paraId="65B3B8F1"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lastRenderedPageBreak/>
        <w:t xml:space="preserve">Modern Slavery Act 2015,  Second Section, [Online]  Available at: </w:t>
      </w:r>
      <w:hyperlink r:id="rId46" w:history="1">
        <w:r w:rsidRPr="002170AC">
          <w:rPr>
            <w:rStyle w:val="Hyperlink"/>
            <w:rFonts w:asciiTheme="minorBidi" w:hAnsiTheme="minorBidi"/>
            <w:sz w:val="24"/>
            <w:szCs w:val="24"/>
          </w:rPr>
          <w:t>https://www.legislation.gov.uk/ukpga/2015/30/section/2</w:t>
        </w:r>
      </w:hyperlink>
      <w:r w:rsidRPr="002170AC">
        <w:rPr>
          <w:rFonts w:asciiTheme="minorBidi" w:hAnsiTheme="minorBidi"/>
          <w:sz w:val="24"/>
          <w:szCs w:val="24"/>
        </w:rPr>
        <w:t xml:space="preserve"> [Accessed 17 Dec 2024].</w:t>
      </w:r>
    </w:p>
    <w:p w14:paraId="3ACAE80B"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Namnyak, M., Tufton, N., Szekely, R., Toal, M., Worboys, S. &amp; Sampson, E. L. 2008. ‘Stockholm syndrome’: psychiatric diagnosis or urban myth? </w:t>
      </w:r>
      <w:r w:rsidRPr="002170AC">
        <w:rPr>
          <w:rFonts w:asciiTheme="minorBidi" w:hAnsiTheme="minorBidi"/>
          <w:i/>
          <w:sz w:val="24"/>
          <w:szCs w:val="24"/>
        </w:rPr>
        <w:t>Acta Psychiatrica Scandinavica,</w:t>
      </w:r>
      <w:r w:rsidRPr="002170AC">
        <w:rPr>
          <w:rFonts w:asciiTheme="minorBidi" w:hAnsiTheme="minorBidi"/>
          <w:sz w:val="24"/>
          <w:szCs w:val="24"/>
        </w:rPr>
        <w:t xml:space="preserve"> 117</w:t>
      </w:r>
      <w:r w:rsidRPr="002170AC">
        <w:rPr>
          <w:rFonts w:asciiTheme="minorBidi" w:hAnsiTheme="minorBidi"/>
          <w:b/>
          <w:sz w:val="24"/>
          <w:szCs w:val="24"/>
        </w:rPr>
        <w:t>,</w:t>
      </w:r>
      <w:r w:rsidRPr="002170AC">
        <w:rPr>
          <w:rFonts w:asciiTheme="minorBidi" w:hAnsiTheme="minorBidi"/>
          <w:sz w:val="24"/>
          <w:szCs w:val="24"/>
        </w:rPr>
        <w:t xml:space="preserve"> 4-11.</w:t>
      </w:r>
    </w:p>
    <w:p w14:paraId="1534B674"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Nhtttac. n.d. </w:t>
      </w:r>
      <w:r w:rsidRPr="002170AC">
        <w:rPr>
          <w:rFonts w:asciiTheme="minorBidi" w:hAnsiTheme="minorBidi"/>
          <w:i/>
          <w:sz w:val="24"/>
          <w:szCs w:val="24"/>
        </w:rPr>
        <w:t xml:space="preserve">Trauma-Informed Rapport Building | National Human Trafficking Training and Technical Assistance Center </w:t>
      </w:r>
      <w:r w:rsidRPr="002170AC">
        <w:rPr>
          <w:rFonts w:asciiTheme="minorBidi" w:hAnsiTheme="minorBidi"/>
          <w:sz w:val="24"/>
          <w:szCs w:val="24"/>
        </w:rPr>
        <w:t xml:space="preserve">[Online]. Available: </w:t>
      </w:r>
      <w:hyperlink r:id="rId47" w:history="1">
        <w:r w:rsidRPr="002170AC">
          <w:rPr>
            <w:rStyle w:val="Hyperlink"/>
            <w:rFonts w:asciiTheme="minorBidi" w:hAnsiTheme="minorBidi"/>
            <w:sz w:val="24"/>
            <w:szCs w:val="24"/>
          </w:rPr>
          <w:t>https://nhttac.acf.hhs.gov/soar/eguide/ask/Trauma_Informed_Rapport_Building</w:t>
        </w:r>
      </w:hyperlink>
      <w:r w:rsidRPr="002170AC">
        <w:rPr>
          <w:rFonts w:asciiTheme="minorBidi" w:hAnsiTheme="minorBidi"/>
          <w:sz w:val="24"/>
          <w:szCs w:val="24"/>
        </w:rPr>
        <w:t xml:space="preserve"> [Accessed 09 Jan 2025].</w:t>
      </w:r>
    </w:p>
    <w:p w14:paraId="22484C6B"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O’brien, F., Palmer, S. &amp; Blinkhorn, V. 2022. Factors that predict the referral of adult Modern Day Slavery cases to the UK's National Referral Mechanism. </w:t>
      </w:r>
      <w:r w:rsidRPr="002170AC">
        <w:rPr>
          <w:rFonts w:asciiTheme="minorBidi" w:hAnsiTheme="minorBidi"/>
          <w:i/>
          <w:sz w:val="24"/>
          <w:szCs w:val="24"/>
        </w:rPr>
        <w:t>International Journal of Police Science &amp; Management,</w:t>
      </w:r>
      <w:r w:rsidRPr="002170AC">
        <w:rPr>
          <w:rFonts w:asciiTheme="minorBidi" w:hAnsiTheme="minorBidi"/>
          <w:sz w:val="24"/>
          <w:szCs w:val="24"/>
        </w:rPr>
        <w:t xml:space="preserve"> 24</w:t>
      </w:r>
      <w:r w:rsidRPr="002170AC">
        <w:rPr>
          <w:rFonts w:asciiTheme="minorBidi" w:hAnsiTheme="minorBidi"/>
          <w:b/>
          <w:sz w:val="24"/>
          <w:szCs w:val="24"/>
        </w:rPr>
        <w:t>,</w:t>
      </w:r>
      <w:r w:rsidRPr="002170AC">
        <w:rPr>
          <w:rFonts w:asciiTheme="minorBidi" w:hAnsiTheme="minorBidi"/>
          <w:sz w:val="24"/>
          <w:szCs w:val="24"/>
        </w:rPr>
        <w:t xml:space="preserve"> 273-284.</w:t>
      </w:r>
    </w:p>
    <w:p w14:paraId="4AA87B43"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Office for Health Improvement and Disparities. 2017. </w:t>
      </w:r>
      <w:r w:rsidRPr="002170AC">
        <w:rPr>
          <w:rFonts w:asciiTheme="minorBidi" w:hAnsiTheme="minorBidi"/>
          <w:i/>
          <w:sz w:val="24"/>
          <w:szCs w:val="24"/>
        </w:rPr>
        <w:t xml:space="preserve">Human trafficking: Migrant Health Guide. </w:t>
      </w:r>
      <w:r w:rsidRPr="002170AC">
        <w:rPr>
          <w:rFonts w:asciiTheme="minorBidi" w:hAnsiTheme="minorBidi"/>
          <w:sz w:val="24"/>
          <w:szCs w:val="24"/>
        </w:rPr>
        <w:t xml:space="preserve">[Online]. Available: </w:t>
      </w:r>
      <w:hyperlink r:id="rId48" w:history="1">
        <w:r w:rsidRPr="002170AC">
          <w:rPr>
            <w:rStyle w:val="Hyperlink"/>
            <w:rFonts w:asciiTheme="minorBidi" w:hAnsiTheme="minorBidi"/>
            <w:sz w:val="24"/>
            <w:szCs w:val="24"/>
          </w:rPr>
          <w:t>https://www.gov.uk/guidance/human-trafficking-migrant-health-guide</w:t>
        </w:r>
      </w:hyperlink>
      <w:r w:rsidRPr="002170AC">
        <w:rPr>
          <w:rFonts w:asciiTheme="minorBidi" w:hAnsiTheme="minorBidi"/>
          <w:sz w:val="24"/>
          <w:szCs w:val="24"/>
        </w:rPr>
        <w:t xml:space="preserve"> [Accessed 09 Jan 2025].</w:t>
      </w:r>
    </w:p>
    <w:p w14:paraId="3C8DA3BD"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Pajon, L. &amp; Walsh, D. 2024. Investigating organised human trafficking crimes: case studies of police investigations in England. </w:t>
      </w:r>
      <w:r w:rsidRPr="002170AC">
        <w:rPr>
          <w:rFonts w:asciiTheme="minorBidi" w:hAnsiTheme="minorBidi"/>
          <w:i/>
          <w:sz w:val="24"/>
          <w:szCs w:val="24"/>
        </w:rPr>
        <w:t>Police Practice and Research</w:t>
      </w:r>
      <w:r w:rsidRPr="002170AC">
        <w:rPr>
          <w:rFonts w:asciiTheme="minorBidi" w:hAnsiTheme="minorBidi"/>
          <w:b/>
          <w:sz w:val="24"/>
          <w:szCs w:val="24"/>
        </w:rPr>
        <w:t>,</w:t>
      </w:r>
      <w:r w:rsidRPr="002170AC">
        <w:rPr>
          <w:rFonts w:asciiTheme="minorBidi" w:hAnsiTheme="minorBidi"/>
          <w:sz w:val="24"/>
          <w:szCs w:val="24"/>
        </w:rPr>
        <w:t xml:space="preserve"> 1-17.</w:t>
      </w:r>
    </w:p>
    <w:p w14:paraId="20CF60CE" w14:textId="77777777" w:rsidR="002170AC" w:rsidRPr="002170AC" w:rsidRDefault="002170AC" w:rsidP="002170AC">
      <w:pPr>
        <w:pStyle w:val="EndNoteBibliography"/>
        <w:spacing w:after="0" w:line="360" w:lineRule="auto"/>
        <w:ind w:left="720" w:hanging="720"/>
        <w:rPr>
          <w:rFonts w:asciiTheme="minorBidi" w:hAnsiTheme="minorBidi"/>
          <w:sz w:val="24"/>
          <w:szCs w:val="24"/>
        </w:rPr>
      </w:pPr>
      <w:r w:rsidRPr="002170AC">
        <w:rPr>
          <w:rFonts w:asciiTheme="minorBidi" w:hAnsiTheme="minorBidi"/>
          <w:sz w:val="24"/>
          <w:szCs w:val="24"/>
        </w:rPr>
        <w:t xml:space="preserve">Quigley, J. 2023. </w:t>
      </w:r>
      <w:r w:rsidRPr="002170AC">
        <w:rPr>
          <w:rFonts w:asciiTheme="minorBidi" w:hAnsiTheme="minorBidi"/>
          <w:i/>
          <w:sz w:val="24"/>
          <w:szCs w:val="24"/>
        </w:rPr>
        <w:t xml:space="preserve">CCTV Security Surveillance footage Rules in the UK 2024 </w:t>
      </w:r>
      <w:r w:rsidRPr="002170AC">
        <w:rPr>
          <w:rFonts w:asciiTheme="minorBidi" w:hAnsiTheme="minorBidi"/>
          <w:sz w:val="24"/>
          <w:szCs w:val="24"/>
        </w:rPr>
        <w:t xml:space="preserve">[Online]. Available: </w:t>
      </w:r>
      <w:hyperlink r:id="rId49" w:history="1">
        <w:r w:rsidRPr="002170AC">
          <w:rPr>
            <w:rStyle w:val="Hyperlink"/>
            <w:rFonts w:asciiTheme="minorBidi" w:hAnsiTheme="minorBidi"/>
            <w:sz w:val="24"/>
            <w:szCs w:val="24"/>
          </w:rPr>
          <w:t>https://www.propertysec.co.uk/post/cctv-footage-rules-explained-uk</w:t>
        </w:r>
      </w:hyperlink>
      <w:r w:rsidRPr="002170AC">
        <w:rPr>
          <w:rFonts w:asciiTheme="minorBidi" w:hAnsiTheme="minorBidi"/>
          <w:sz w:val="24"/>
          <w:szCs w:val="24"/>
        </w:rPr>
        <w:t xml:space="preserve"> [Accessed 09 Jan 2025].</w:t>
      </w:r>
    </w:p>
    <w:p w14:paraId="4EC17BD4" w14:textId="77777777" w:rsidR="002170AC" w:rsidRPr="002170AC" w:rsidRDefault="002170AC" w:rsidP="002170AC">
      <w:pPr>
        <w:pStyle w:val="EndNoteBibliography"/>
        <w:spacing w:line="360" w:lineRule="auto"/>
        <w:ind w:left="720" w:hanging="720"/>
        <w:rPr>
          <w:rFonts w:asciiTheme="minorBidi" w:hAnsiTheme="minorBidi"/>
          <w:sz w:val="24"/>
          <w:szCs w:val="24"/>
        </w:rPr>
      </w:pPr>
      <w:r w:rsidRPr="002170AC">
        <w:rPr>
          <w:rFonts w:asciiTheme="minorBidi" w:hAnsiTheme="minorBidi"/>
          <w:sz w:val="24"/>
          <w:szCs w:val="24"/>
        </w:rPr>
        <w:t xml:space="preserve">Vaughan, M., Milne, R., Cherryman, J. &amp; Dalton, G. 2024. Managing investigative interviews with vulnerable suspects in the UK: do specialist interview managers (IM’s) understand vulnerability? </w:t>
      </w:r>
      <w:r w:rsidRPr="002170AC">
        <w:rPr>
          <w:rFonts w:asciiTheme="minorBidi" w:hAnsiTheme="minorBidi"/>
          <w:i/>
          <w:sz w:val="24"/>
          <w:szCs w:val="24"/>
        </w:rPr>
        <w:t>Psychology, Crime &amp; Law</w:t>
      </w:r>
      <w:r w:rsidRPr="002170AC">
        <w:rPr>
          <w:rFonts w:asciiTheme="minorBidi" w:hAnsiTheme="minorBidi"/>
          <w:b/>
          <w:sz w:val="24"/>
          <w:szCs w:val="24"/>
        </w:rPr>
        <w:t>,</w:t>
      </w:r>
      <w:r w:rsidRPr="002170AC">
        <w:rPr>
          <w:rFonts w:asciiTheme="minorBidi" w:hAnsiTheme="minorBidi"/>
          <w:sz w:val="24"/>
          <w:szCs w:val="24"/>
        </w:rPr>
        <w:t xml:space="preserve"> 1-20.</w:t>
      </w:r>
    </w:p>
    <w:p w14:paraId="6FB8484F" w14:textId="77777777" w:rsidR="002170AC" w:rsidRPr="002170AC" w:rsidRDefault="002170AC" w:rsidP="002170AC">
      <w:pPr>
        <w:spacing w:line="360" w:lineRule="auto"/>
        <w:rPr>
          <w:rFonts w:asciiTheme="minorBidi" w:hAnsiTheme="minorBidi"/>
          <w:sz w:val="24"/>
          <w:szCs w:val="24"/>
        </w:rPr>
      </w:pPr>
      <w:r w:rsidRPr="002170AC">
        <w:rPr>
          <w:rFonts w:asciiTheme="minorBidi" w:hAnsiTheme="minorBidi"/>
          <w:sz w:val="24"/>
          <w:szCs w:val="24"/>
        </w:rPr>
        <w:fldChar w:fldCharType="end"/>
      </w:r>
    </w:p>
    <w:p w14:paraId="13407915" w14:textId="77777777" w:rsidR="002170AC" w:rsidRDefault="002170AC" w:rsidP="002170AC">
      <w:pPr>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br w:type="page"/>
      </w:r>
    </w:p>
    <w:p w14:paraId="4B554CF1" w14:textId="27550589" w:rsidR="002170AC" w:rsidRDefault="002170AC" w:rsidP="002170AC">
      <w:pPr>
        <w:jc w:val="center"/>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lastRenderedPageBreak/>
        <w:t>Task 4</w:t>
      </w:r>
    </w:p>
    <w:p w14:paraId="798286C5" w14:textId="2B71E46F" w:rsidR="2C28128D" w:rsidRPr="002170AC" w:rsidRDefault="2C28128D" w:rsidP="002170AC">
      <w:pPr>
        <w:rPr>
          <w:rFonts w:asciiTheme="minorBidi" w:eastAsia="Arial" w:hAnsiTheme="minorBidi"/>
          <w:b/>
          <w:bCs/>
          <w:color w:val="000000" w:themeColor="text1"/>
          <w:sz w:val="24"/>
          <w:szCs w:val="24"/>
        </w:rPr>
      </w:pPr>
      <w:r w:rsidRPr="002170AC">
        <w:rPr>
          <w:rFonts w:asciiTheme="minorBidi" w:eastAsia="Arial" w:hAnsiTheme="minorBidi"/>
          <w:b/>
          <w:bCs/>
          <w:i/>
          <w:iCs/>
          <w:color w:val="000000" w:themeColor="text1"/>
          <w:sz w:val="24"/>
          <w:szCs w:val="24"/>
        </w:rPr>
        <w:t xml:space="preserve">Task 4: </w:t>
      </w:r>
      <w:r w:rsidR="56588A88" w:rsidRPr="002170AC">
        <w:rPr>
          <w:rFonts w:asciiTheme="minorBidi" w:eastAsia="Arial" w:hAnsiTheme="minorBidi"/>
          <w:b/>
          <w:bCs/>
          <w:i/>
          <w:iCs/>
          <w:color w:val="000000" w:themeColor="text1"/>
          <w:sz w:val="24"/>
          <w:szCs w:val="24"/>
        </w:rPr>
        <w:t>Investigation Methodology &amp; Theory</w:t>
      </w:r>
    </w:p>
    <w:tbl>
      <w:tblPr>
        <w:tblStyle w:val="TableGrid"/>
        <w:tblW w:w="0" w:type="auto"/>
        <w:tblLayout w:type="fixed"/>
        <w:tblLook w:val="06A0" w:firstRow="1" w:lastRow="0" w:firstColumn="1" w:lastColumn="0" w:noHBand="1" w:noVBand="1"/>
      </w:tblPr>
      <w:tblGrid>
        <w:gridCol w:w="9015"/>
      </w:tblGrid>
      <w:tr w:rsidR="7336895D" w:rsidRPr="002170AC" w14:paraId="2EA4F0B4" w14:textId="77777777" w:rsidTr="799553ED">
        <w:tc>
          <w:tcPr>
            <w:tcW w:w="9015" w:type="dxa"/>
          </w:tcPr>
          <w:p w14:paraId="1C3A3649" w14:textId="5E9B6316" w:rsidR="7336895D" w:rsidRPr="002170AC" w:rsidRDefault="7336895D" w:rsidP="1329C8D5">
            <w:pPr>
              <w:rPr>
                <w:rFonts w:asciiTheme="minorBidi" w:eastAsia="Arial" w:hAnsiTheme="minorBidi"/>
                <w:b/>
                <w:bCs/>
                <w:color w:val="000000" w:themeColor="text1"/>
                <w:sz w:val="24"/>
                <w:szCs w:val="24"/>
              </w:rPr>
            </w:pPr>
          </w:p>
          <w:p w14:paraId="08E72436" w14:textId="0CD6C6B5" w:rsidR="7336895D" w:rsidRPr="002170AC" w:rsidRDefault="332D0306" w:rsidP="0CC6384A">
            <w:pPr>
              <w:rPr>
                <w:rFonts w:asciiTheme="minorBidi" w:eastAsia="Arial" w:hAnsiTheme="minorBidi"/>
                <w:b/>
                <w:bCs/>
                <w:color w:val="000000" w:themeColor="text1"/>
                <w:sz w:val="24"/>
                <w:szCs w:val="24"/>
              </w:rPr>
            </w:pPr>
            <w:r w:rsidRPr="002170AC">
              <w:rPr>
                <w:rFonts w:asciiTheme="minorBidi" w:eastAsia="Arial" w:hAnsiTheme="minorBidi"/>
                <w:b/>
                <w:bCs/>
                <w:color w:val="000000" w:themeColor="text1"/>
                <w:sz w:val="24"/>
                <w:szCs w:val="24"/>
              </w:rPr>
              <w:t xml:space="preserve">4a. </w:t>
            </w:r>
            <w:r w:rsidR="55EEF66F" w:rsidRPr="002170AC">
              <w:rPr>
                <w:rFonts w:asciiTheme="minorBidi" w:eastAsia="Arial" w:hAnsiTheme="minorBidi"/>
                <w:b/>
                <w:bCs/>
                <w:color w:val="000000" w:themeColor="text1"/>
                <w:sz w:val="24"/>
                <w:szCs w:val="24"/>
              </w:rPr>
              <w:t>Research and critically analyse current theories and methodologies relevant to your own specified area of investigation</w:t>
            </w:r>
            <w:r w:rsidR="18E0A9BC" w:rsidRPr="002170AC">
              <w:rPr>
                <w:rFonts w:asciiTheme="minorBidi" w:eastAsia="Arial" w:hAnsiTheme="minorBidi"/>
                <w:b/>
                <w:bCs/>
                <w:color w:val="000000" w:themeColor="text1"/>
                <w:sz w:val="24"/>
                <w:szCs w:val="24"/>
              </w:rPr>
              <w:t xml:space="preserve"> </w:t>
            </w:r>
            <w:r w:rsidR="5FB67F53" w:rsidRPr="002170AC">
              <w:rPr>
                <w:rFonts w:asciiTheme="minorBidi" w:eastAsia="Arial" w:hAnsiTheme="minorBidi"/>
                <w:b/>
                <w:bCs/>
                <w:color w:val="000000" w:themeColor="text1"/>
                <w:sz w:val="24"/>
                <w:szCs w:val="24"/>
              </w:rPr>
              <w:t>(</w:t>
            </w:r>
            <w:r w:rsidR="59732620" w:rsidRPr="002170AC">
              <w:rPr>
                <w:rFonts w:asciiTheme="minorBidi" w:eastAsia="Arial" w:hAnsiTheme="minorBidi"/>
                <w:b/>
                <w:bCs/>
                <w:i/>
                <w:iCs/>
                <w:color w:val="000000" w:themeColor="text1"/>
                <w:sz w:val="24"/>
                <w:szCs w:val="24"/>
              </w:rPr>
              <w:t>e.g.,</w:t>
            </w:r>
            <w:r w:rsidR="5FB67F53" w:rsidRPr="002170AC">
              <w:rPr>
                <w:rFonts w:asciiTheme="minorBidi" w:eastAsia="Arial" w:hAnsiTheme="minorBidi"/>
                <w:b/>
                <w:bCs/>
                <w:i/>
                <w:iCs/>
                <w:color w:val="000000" w:themeColor="text1"/>
                <w:sz w:val="24"/>
                <w:szCs w:val="24"/>
              </w:rPr>
              <w:t xml:space="preserve"> </w:t>
            </w:r>
            <w:r w:rsidR="7B17DBFC" w:rsidRPr="002170AC">
              <w:rPr>
                <w:rFonts w:asciiTheme="minorBidi" w:eastAsia="Arial" w:hAnsiTheme="minorBidi"/>
                <w:b/>
                <w:bCs/>
                <w:i/>
                <w:iCs/>
                <w:color w:val="000000" w:themeColor="text1"/>
                <w:sz w:val="24"/>
                <w:szCs w:val="24"/>
              </w:rPr>
              <w:t>use of specialist interviewing techniques, crime scene management, NDM</w:t>
            </w:r>
            <w:r w:rsidR="0A607581" w:rsidRPr="002170AC">
              <w:rPr>
                <w:rFonts w:asciiTheme="minorBidi" w:eastAsia="Arial" w:hAnsiTheme="minorBidi"/>
                <w:b/>
                <w:bCs/>
                <w:i/>
                <w:iCs/>
                <w:color w:val="000000" w:themeColor="text1"/>
                <w:sz w:val="24"/>
                <w:szCs w:val="24"/>
              </w:rPr>
              <w:t>, intelligence etc.</w:t>
            </w:r>
            <w:r w:rsidR="226B220F" w:rsidRPr="002170AC">
              <w:rPr>
                <w:rFonts w:asciiTheme="minorBidi" w:eastAsia="Arial" w:hAnsiTheme="minorBidi"/>
                <w:b/>
                <w:bCs/>
                <w:i/>
                <w:iCs/>
                <w:color w:val="000000" w:themeColor="text1"/>
                <w:sz w:val="24"/>
                <w:szCs w:val="24"/>
              </w:rPr>
              <w:t>)</w:t>
            </w:r>
            <w:r w:rsidR="226B220F" w:rsidRPr="002170AC">
              <w:rPr>
                <w:rFonts w:asciiTheme="minorBidi" w:eastAsia="Arial" w:hAnsiTheme="minorBidi"/>
                <w:b/>
                <w:bCs/>
                <w:color w:val="000000" w:themeColor="text1"/>
                <w:sz w:val="24"/>
                <w:szCs w:val="24"/>
              </w:rPr>
              <w:t xml:space="preserve">. </w:t>
            </w:r>
          </w:p>
          <w:p w14:paraId="7B824FBE" w14:textId="369D42AB" w:rsidR="03DEED5D" w:rsidRPr="002170AC" w:rsidRDefault="03DEED5D" w:rsidP="03DEED5D">
            <w:pPr>
              <w:rPr>
                <w:rFonts w:asciiTheme="minorBidi" w:eastAsia="Arial" w:hAnsiTheme="minorBidi"/>
                <w:color w:val="000000" w:themeColor="text1"/>
                <w:sz w:val="24"/>
                <w:szCs w:val="24"/>
              </w:rPr>
            </w:pPr>
          </w:p>
          <w:p w14:paraId="5841D26B" w14:textId="4350C6C1" w:rsidR="3B5618C1" w:rsidRPr="002170AC" w:rsidRDefault="43901D51" w:rsidP="03DEED5D">
            <w:pPr>
              <w:rPr>
                <w:rFonts w:asciiTheme="minorBidi" w:eastAsia="Arial" w:hAnsiTheme="minorBidi"/>
                <w:color w:val="000000" w:themeColor="text1"/>
                <w:sz w:val="24"/>
                <w:szCs w:val="24"/>
              </w:rPr>
            </w:pPr>
            <w:r w:rsidRPr="002170AC">
              <w:rPr>
                <w:rFonts w:asciiTheme="minorBidi" w:eastAsia="Arial" w:hAnsiTheme="minorBidi"/>
                <w:color w:val="000000" w:themeColor="text1"/>
                <w:sz w:val="24"/>
                <w:szCs w:val="24"/>
              </w:rPr>
              <w:t xml:space="preserve">4b. </w:t>
            </w:r>
            <w:r w:rsidR="7E8D8A59" w:rsidRPr="002170AC">
              <w:rPr>
                <w:rFonts w:asciiTheme="minorBidi" w:eastAsia="Arial" w:hAnsiTheme="minorBidi"/>
                <w:color w:val="000000" w:themeColor="text1"/>
                <w:sz w:val="24"/>
                <w:szCs w:val="24"/>
              </w:rPr>
              <w:t xml:space="preserve">Evaluate the </w:t>
            </w:r>
            <w:r w:rsidR="4875F0F4" w:rsidRPr="002170AC">
              <w:rPr>
                <w:rFonts w:asciiTheme="minorBidi" w:eastAsia="Arial" w:hAnsiTheme="minorBidi"/>
                <w:color w:val="000000" w:themeColor="text1"/>
                <w:sz w:val="24"/>
                <w:szCs w:val="24"/>
              </w:rPr>
              <w:t xml:space="preserve">importance of applying skills, knowledge and experience to reach appropriate investigative outcomes. </w:t>
            </w:r>
          </w:p>
          <w:p w14:paraId="58430CDB" w14:textId="0D01E11A" w:rsidR="7336895D" w:rsidRPr="002170AC" w:rsidRDefault="7336895D" w:rsidP="03DEED5D">
            <w:pPr>
              <w:rPr>
                <w:rFonts w:asciiTheme="minorBidi" w:eastAsia="Arial" w:hAnsiTheme="minorBidi"/>
                <w:color w:val="000000" w:themeColor="text1"/>
                <w:sz w:val="24"/>
                <w:szCs w:val="24"/>
              </w:rPr>
            </w:pPr>
          </w:p>
          <w:p w14:paraId="14741F3F" w14:textId="3A0944D8" w:rsidR="7336895D" w:rsidRPr="002170AC" w:rsidRDefault="7336895D" w:rsidP="7336895D">
            <w:pPr>
              <w:rPr>
                <w:rFonts w:asciiTheme="minorBidi" w:eastAsia="Arial" w:hAnsiTheme="minorBidi"/>
                <w:b/>
                <w:bCs/>
                <w:color w:val="000000" w:themeColor="text1"/>
                <w:sz w:val="24"/>
                <w:szCs w:val="24"/>
              </w:rPr>
            </w:pPr>
          </w:p>
          <w:p w14:paraId="2E8AC658" w14:textId="64BD6F29" w:rsidR="7336895D" w:rsidRPr="002170AC" w:rsidRDefault="4A45607D" w:rsidP="03DEED5D">
            <w:pPr>
              <w:rPr>
                <w:rFonts w:asciiTheme="minorBidi" w:eastAsia="Arial" w:hAnsiTheme="minorBidi"/>
                <w:sz w:val="24"/>
                <w:szCs w:val="24"/>
              </w:rPr>
            </w:pPr>
            <w:r w:rsidRPr="002170AC">
              <w:rPr>
                <w:rFonts w:asciiTheme="minorBidi" w:eastAsia="Arial" w:hAnsiTheme="minorBidi"/>
                <w:b/>
                <w:bCs/>
                <w:color w:val="000000" w:themeColor="text1"/>
                <w:sz w:val="24"/>
                <w:szCs w:val="24"/>
              </w:rPr>
              <w:t>2000 words</w:t>
            </w:r>
            <w:r w:rsidRPr="002170AC">
              <w:rPr>
                <w:rFonts w:asciiTheme="minorBidi" w:eastAsia="Arial" w:hAnsiTheme="minorBidi"/>
                <w:color w:val="000000" w:themeColor="text1"/>
                <w:sz w:val="24"/>
                <w:szCs w:val="24"/>
              </w:rPr>
              <w:t xml:space="preserve"> </w:t>
            </w:r>
            <w:r w:rsidRPr="002170AC">
              <w:rPr>
                <w:rFonts w:asciiTheme="minorBidi" w:eastAsia="Arial" w:hAnsiTheme="minorBidi"/>
                <w:i/>
                <w:iCs/>
                <w:color w:val="000000" w:themeColor="text1"/>
                <w:sz w:val="24"/>
                <w:szCs w:val="24"/>
              </w:rPr>
              <w:t>(+/- 10%: include your actual word count at the end of each section)</w:t>
            </w:r>
          </w:p>
          <w:p w14:paraId="3D7DFF00" w14:textId="616FBC86" w:rsidR="7336895D" w:rsidRPr="002170AC" w:rsidRDefault="7336895D" w:rsidP="1329C8D5">
            <w:pPr>
              <w:rPr>
                <w:rFonts w:asciiTheme="minorBidi" w:eastAsia="Arial" w:hAnsiTheme="minorBidi"/>
                <w:b/>
                <w:bCs/>
                <w:color w:val="000000" w:themeColor="text1"/>
                <w:sz w:val="24"/>
                <w:szCs w:val="24"/>
              </w:rPr>
            </w:pPr>
          </w:p>
        </w:tc>
      </w:tr>
    </w:tbl>
    <w:p w14:paraId="70C9202E" w14:textId="77777777" w:rsidR="002170AC" w:rsidRDefault="002170AC" w:rsidP="002170AC">
      <w:pPr>
        <w:ind w:right="107"/>
        <w:jc w:val="both"/>
        <w:rPr>
          <w:rFonts w:asciiTheme="minorBidi" w:eastAsia="Arial" w:hAnsiTheme="minorBidi"/>
          <w:b/>
          <w:bCs/>
          <w:color w:val="000000" w:themeColor="text1"/>
          <w:sz w:val="24"/>
          <w:szCs w:val="24"/>
        </w:rPr>
      </w:pPr>
    </w:p>
    <w:p w14:paraId="4ABE64E8" w14:textId="24461FA4" w:rsidR="002170AC" w:rsidRDefault="002170AC" w:rsidP="002170AC">
      <w:pPr>
        <w:ind w:right="107"/>
        <w:jc w:val="both"/>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t>Task 4a</w:t>
      </w:r>
    </w:p>
    <w:p w14:paraId="4FF414F2" w14:textId="61C12BE9" w:rsidR="002170AC" w:rsidRDefault="002170AC" w:rsidP="002170AC">
      <w:pPr>
        <w:ind w:right="107"/>
        <w:jc w:val="both"/>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t xml:space="preserve">Answer: </w:t>
      </w:r>
    </w:p>
    <w:p w14:paraId="507E1E0C"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t>Introduction</w:t>
      </w:r>
    </w:p>
    <w:p w14:paraId="1153A527"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 xml:space="preserve">The landscape of police surveillance in the United Kingdom has transformed significantly in recent decades, driven by technological advancements and ever-evolving criminal methodologies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&lt;EndNote&gt;&lt;Cite&gt;&lt;Author&gt;Almeida&lt;/Author&gt;&lt;Year&gt;2021&lt;/Year&gt;&lt;RecNum&gt;1&lt;/RecNum&gt;&lt;DisplayText&gt;(Almeida, Shmarko and Lomas, 2021)&lt;/DisplayText&gt;&lt;record&gt;&lt;rec-number&gt;1&lt;/rec-number&gt;&lt;foreign-keys&gt;&lt;key app="EN" db-id="sdvwtseptt2pd7ezt9lxd9v0e5pd5xtp2wax" timestamp="1736431421"&gt;1&lt;/key&gt;&lt;/foreign-keys&gt;&lt;ref-type name="Journal Article"&gt;17&lt;/ref-type&gt;&lt;contributors&gt;&lt;authors&gt;&lt;author&gt;Almeida, Denise&lt;/author&gt;&lt;author&gt;Shmarko, Konstantin&lt;/author&gt;&lt;author&gt;Lomas, Elizabeth&lt;/author&gt;&lt;/authors&gt;&lt;/contributors&gt;&lt;titles&gt;&lt;title&gt;The ethics of facial recognition technologies, surveillance, and accountability in an age of artificial intelligence: a comparative analysis of US, EU, and UK regulatory frameworks&lt;/title&gt;&lt;secondary-title&gt;AI and Ethics&lt;/secondary-title&gt;&lt;/titles&gt;&lt;periodical&gt;&lt;full-title&gt;AI and Ethics&lt;/full-title&gt;&lt;/periodical&gt;&lt;pages&gt;377-387&lt;/pages&gt;&lt;volume&gt;2&lt;/volume&gt;&lt;number&gt;3&lt;/number&gt;&lt;dates&gt;&lt;year&gt;2021&lt;/year&gt;&lt;pub-dates&gt;&lt;date&gt;2022/08/01&lt;/date&gt;&lt;/pub-dates&gt;&lt;/dates&gt;&lt;isbn&gt;2730-5961&lt;/isbn&gt;&lt;urls&gt;&lt;related-urls&gt;&lt;url&gt;https://doi.org/10.1007/s43681-021-00077-w&lt;/url&gt;&lt;/related-urls&gt;&lt;/urls&gt;&lt;electronic-resource-num&gt;10.1007/s43681-021-00077-w&lt;/electronic-resource-num&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(Almeida, Shmarko and Lomas, 2021)</w:t>
      </w:r>
      <w:r w:rsidRPr="004D2191">
        <w:rPr>
          <w:rFonts w:asciiTheme="minorBidi" w:hAnsiTheme="minorBidi"/>
          <w:sz w:val="24"/>
          <w:szCs w:val="24"/>
        </w:rPr>
        <w:fldChar w:fldCharType="end"/>
      </w:r>
      <w:r w:rsidRPr="004D2191">
        <w:rPr>
          <w:rFonts w:asciiTheme="minorBidi" w:hAnsiTheme="minorBidi"/>
          <w:sz w:val="24"/>
          <w:szCs w:val="24"/>
        </w:rPr>
        <w:t>. This essay critically examines how traditional surveillance practices have adapted and integrated with digital technologies to create comprehensive surveillance capabilities within UK law enforcement. By evaluating current theories, methods, and their implications related to policing surveillance techniques, this essay argues that while these practices enhance public safety, they must be balanced with robust safeguards for transparency, accountability, and human rights.</w:t>
      </w:r>
    </w:p>
    <w:p w14:paraId="50F38722"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t>Definition of Surveillance</w:t>
      </w:r>
    </w:p>
    <w:p w14:paraId="29940582" w14:textId="77777777" w:rsidR="002170AC" w:rsidRDefault="002170AC" w:rsidP="002170AC">
      <w:pPr>
        <w:spacing w:line="360" w:lineRule="auto"/>
        <w:rPr>
          <w:rFonts w:asciiTheme="minorBidi" w:hAnsiTheme="minorBidi"/>
          <w:sz w:val="24"/>
          <w:szCs w:val="24"/>
        </w:rPr>
      </w:pPr>
      <w:r w:rsidRPr="004D2191">
        <w:rPr>
          <w:rFonts w:asciiTheme="minorBidi" w:hAnsiTheme="minorBidi"/>
          <w:sz w:val="24"/>
          <w:szCs w:val="24"/>
        </w:rPr>
        <w:t xml:space="preserve">In the UK, the Regulation of Investigatory Powers Act 2000 (RIPA) is an act of parliament that regulates the police and other public bodies to conduct surveillance. “Surveillance includes monitoring, observing, or listening to persons, their movements, conversations, or other activities and communications. It may be conducted with or without the assistance of a surveillance device and includes the recording of any information obtained”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&lt;EndNote&gt;&lt;Cite&gt;&lt;Author&gt;Home Office&lt;/Author&gt;&lt;Year&gt;2023&lt;/Year&gt;&lt;RecNum&gt;11&lt;/RecNum&gt;&lt;DisplayText&gt;(Home Office, 2023)&lt;/DisplayText&gt;&lt;record&gt;&lt;rec-number&gt;11&lt;/rec-number&gt;&lt;foreign-keys&gt;&lt;key app="EN" db-id="sdvwtseptt2pd7ezt9lxd9v0e5pd5xtp2wax" timestamp="1736435422"&gt;11&lt;/key&gt;&lt;/foreign-keys&gt;&lt;ref-type name="Web Page"&gt;12&lt;/ref-type&gt;&lt;contributors&gt;&lt;authors&gt;&lt;author&gt;Home Office,&lt;/author&gt;&lt;/authors&gt;&lt;/contributors&gt;&lt;titles&gt;&lt;title&gt;Regulation of Investigatory Powers Act 2000 (RIPA)&lt;/title&gt;&lt;/titles&gt;&lt;volume&gt;2025&lt;/volume&gt;&lt;number&gt;03 Jan&lt;/number&gt;&lt;dates&gt;&lt;year&gt;2023&lt;/year&gt;&lt;/dates&gt;&lt;publisher&gt;GOV.UK&lt;/publisher&gt;&lt;urls&gt;&lt;related-urls&gt;&lt;url&gt;https://www.gov.uk/government/publications/regulation-of-investigatory-powers-act-2000-ripa/regulation-of-investigatory-powers-act-2000-ripa&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(Home Office, 2023)</w:t>
      </w:r>
      <w:r w:rsidRPr="004D2191">
        <w:rPr>
          <w:rFonts w:asciiTheme="minorBidi" w:hAnsiTheme="minorBidi"/>
          <w:sz w:val="24"/>
          <w:szCs w:val="24"/>
        </w:rPr>
        <w:fldChar w:fldCharType="end"/>
      </w:r>
      <w:r w:rsidRPr="004D2191">
        <w:rPr>
          <w:rFonts w:asciiTheme="minorBidi" w:hAnsiTheme="minorBidi"/>
          <w:sz w:val="24"/>
          <w:szCs w:val="24"/>
        </w:rPr>
        <w:t>.</w:t>
      </w:r>
    </w:p>
    <w:p w14:paraId="7699EC6E" w14:textId="77777777" w:rsidR="002170AC" w:rsidRDefault="002170AC" w:rsidP="002170AC">
      <w:pPr>
        <w:spacing w:line="360" w:lineRule="auto"/>
        <w:rPr>
          <w:rFonts w:asciiTheme="minorBidi" w:hAnsiTheme="minorBidi"/>
          <w:sz w:val="24"/>
          <w:szCs w:val="24"/>
        </w:rPr>
      </w:pPr>
    </w:p>
    <w:p w14:paraId="2781A076" w14:textId="77777777" w:rsidR="002170AC" w:rsidRPr="004D2191" w:rsidRDefault="002170AC" w:rsidP="002170AC">
      <w:pPr>
        <w:spacing w:line="360" w:lineRule="auto"/>
        <w:rPr>
          <w:rFonts w:asciiTheme="minorBidi" w:hAnsiTheme="minorBidi"/>
          <w:sz w:val="24"/>
          <w:szCs w:val="24"/>
        </w:rPr>
      </w:pPr>
    </w:p>
    <w:p w14:paraId="2EA4241E"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lastRenderedPageBreak/>
        <w:t>Theoretical Foundations of Surveillance</w:t>
      </w:r>
    </w:p>
    <w:p w14:paraId="6A0A6F35" w14:textId="32E36C0E"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 xml:space="preserve">Understanding surveillance in policing starts with key theories. Michel Foucault's concept of the "panopticon" is an important reference point. The panopticon was originally a prison design by Jeremy Bentham, where inmates could be watched at all times without knowing when they were being observed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&lt;EndNote&gt;&lt;Cite&gt;&lt;Author&gt;UCL&lt;/Author&gt;&lt;Year&gt;2024&lt;/Year&gt;&lt;RecNum&gt;17&lt;/RecNum&gt;&lt;DisplayText&gt;(UCL, 2024)&lt;/DisplayText&gt;&lt;record&gt;&lt;rec-number&gt;17&lt;/rec-number&gt;&lt;foreign-keys&gt;&lt;key app="EN" db-id="sdvwtseptt2pd7ezt9lxd9v0e5pd5xtp2wax" timestamp="1736437199"&gt;17&lt;/key&gt;&lt;/foreign-keys&gt;&lt;ref-type name="Web Page"&gt;12&lt;/ref-type&gt;&lt;contributors&gt;&lt;authors&gt;&lt;author&gt;UCL&lt;/author&gt;&lt;/authors&gt;&lt;/contributors&gt;&lt;titles&gt;&lt;title&gt;The Panopticon&lt;/title&gt;&lt;/titles&gt;&lt;volume&gt;2025&lt;/volume&gt;&lt;number&gt;04 Jan&lt;/number&gt;&lt;dates&gt;&lt;year&gt;2024&lt;/year&gt;&lt;/dates&gt;&lt;publisher&gt;Museums and Collections&lt;/publisher&gt;&lt;urls&gt;&lt;related-urls&gt;&lt;url&gt;https://www.ucl.ac.uk/museums-collections/auto-icon-jeremy-bentham/panopticon&lt;/url&gt;&lt;/related-urls&gt;&lt;/urls&gt;&lt;/record&gt;&lt;/Cite&gt;&lt;/EndNote&gt;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(UCL, 2024)</w:t>
      </w:r>
      <w:r w:rsidRPr="004D2191">
        <w:rPr>
          <w:rFonts w:asciiTheme="minorBidi" w:hAnsiTheme="minorBidi"/>
          <w:sz w:val="24"/>
          <w:szCs w:val="24"/>
        </w:rPr>
        <w:fldChar w:fldCharType="end"/>
      </w:r>
      <w:r w:rsidRPr="004D2191">
        <w:rPr>
          <w:rFonts w:asciiTheme="minorBidi" w:hAnsiTheme="minorBidi"/>
          <w:sz w:val="24"/>
          <w:szCs w:val="24"/>
        </w:rPr>
        <w:t xml:space="preserve">. Foucault used this idea as a metaphor to explain how constant observation can make people regulate their own behaviour. In UK policing, this concept applies to systems like CCTV, which aim to prevent crime by creating a feeling of constant monitoring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&lt;EndNote&gt;&lt;Cite&gt;&lt;Author&gt;Sargiacomo&lt;/Author&gt;&lt;Year&gt;2009&lt;/Year&gt;&lt;RecNum&gt;5&lt;/RecNum&gt;&lt;DisplayText&gt;(Sargiacomo, 2009)&lt;/DisplayText&gt;&lt;record&gt;&lt;rec-number&gt;5&lt;/rec-number&gt;&lt;foreign-keys&gt;&lt;key app="EN" db-id="sdvwtseptt2pd7ezt9lxd9v0e5pd5xtp2wax" timestamp="1736432179"&gt;5&lt;/key&gt;&lt;/foreign-keys&gt;&lt;ref-type name="Journal Article"&gt;17&lt;/ref-type&gt;&lt;contributors&gt;&lt;authors&gt;&lt;author&gt;Sargiacomo, Massimo&lt;/author&gt;&lt;/authors&gt;&lt;/contributors&gt;&lt;titles&gt;&lt;title&gt;Michel Foucault, Discipline and Punish: The Birth of the Prison&lt;/title&gt;&lt;secondary-title&gt;Journal of Management &amp;amp; Governance&lt;/secondary-title&gt;&lt;/titles&gt;&lt;periodical&gt;&lt;full-title&gt;Journal of Management &amp;amp; Governance&lt;/full-title&gt;&lt;/periodical&gt;&lt;pages&gt;269-280&lt;/pages&gt;&lt;volume&gt;13&lt;/volume&gt;&lt;number&gt;3&lt;/number&gt;&lt;dates&gt;&lt;year&gt;2009&lt;/year&gt;&lt;pub-dates&gt;&lt;date&gt;2009/08/01&lt;/date&gt;&lt;/pub-dates&gt;&lt;/dates&gt;&lt;isbn&gt;1572-963X&lt;/isbn&gt;&lt;urls&gt;&lt;related-urls&gt;&lt;url&gt;https://doi.org/10.1007/s10997-008-9080-7&lt;/url&gt;&lt;/related-urls&gt;&lt;/urls&gt;&lt;electronic-resource-num&gt;10.1007/s10997-008-9080-7&lt;/electronic-resource-num&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(Sargiacomo, 2009)</w:t>
      </w:r>
      <w:r w:rsidRPr="004D2191">
        <w:rPr>
          <w:rFonts w:asciiTheme="minorBidi" w:hAnsiTheme="minorBidi"/>
          <w:sz w:val="24"/>
          <w:szCs w:val="24"/>
        </w:rPr>
        <w:fldChar w:fldCharType="end"/>
      </w:r>
      <w:r w:rsidRPr="004D2191">
        <w:rPr>
          <w:rFonts w:asciiTheme="minorBidi" w:hAnsiTheme="minorBidi"/>
          <w:sz w:val="24"/>
          <w:szCs w:val="24"/>
        </w:rPr>
        <w:t xml:space="preserve">. Scholars like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 AuthorYear="1"&gt;&lt;Author&gt;Lyon&lt;/Author&gt;&lt;Year&gt;2001&lt;/Year&gt;&lt;RecNum&gt;12&lt;/RecNum&gt;&lt;DisplayText&gt;Lyon (2001)&lt;/DisplayText&gt;&lt;record&gt;&lt;rec-number&gt;12&lt;/rec-number&gt;&lt;foreign-keys&gt;&lt;key app="EN" db-id="sdvwtseptt2pd7ezt9lxd9v0e5pd5xtp2wax" timestamp="1736435535"&gt;12&lt;/key&gt;&lt;/foreign-keys&gt;&lt;ref-type name="Book"&gt;6&lt;/ref-type&gt;&lt;contributors&gt;&lt;authors&gt;&lt;author&gt;Lyon, David&lt;/author&gt;&lt;/authors&gt;&lt;/contributors&gt;&lt;titles&gt;&lt;title&gt;Surveillance society&lt;/title&gt;&lt;/titles&gt;&lt;dates&gt;&lt;year&gt;2001&lt;/year&gt;&lt;/dates&gt;&lt;publisher&gt;McGraw-Hill Education (UK)&lt;/publisher&gt;&lt;isbn&gt;0335232159&lt;/isbn&gt;&lt;urls&gt;&lt;/urls&gt;&lt;/record&gt;&lt;/Cite&gt;&lt;/EndNote&gt;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Lyon (2001)</w:t>
      </w:r>
      <w:r w:rsidRPr="004D2191">
        <w:rPr>
          <w:rFonts w:asciiTheme="minorBidi" w:hAnsiTheme="minorBidi"/>
          <w:sz w:val="24"/>
          <w:szCs w:val="24"/>
        </w:rPr>
        <w:fldChar w:fldCharType="end"/>
      </w:r>
      <w:r w:rsidR="00B72EA3">
        <w:rPr>
          <w:rFonts w:asciiTheme="minorBidi" w:hAnsiTheme="minorBidi"/>
          <w:sz w:val="24"/>
          <w:szCs w:val="24"/>
        </w:rPr>
        <w:t>,</w:t>
      </w:r>
      <w:r w:rsidRPr="004D2191">
        <w:rPr>
          <w:rFonts w:asciiTheme="minorBidi" w:hAnsiTheme="minorBidi"/>
          <w:sz w:val="24"/>
          <w:szCs w:val="24"/>
        </w:rPr>
        <w:t xml:space="preserve"> expand on this with the idea of a "surveillance society," where data collection and monitoring are everywhere. Another useful theory is the "assemblage theory" by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 AuthorYear="1"&gt;&lt;Author&gt;Haggerty&lt;/Author&gt;&lt;Year&gt;2001&lt;/Year&gt;&lt;RecNum&gt;10&lt;/RecNum&gt;&lt;DisplayText&gt;Haggerty and Ericson (2001)&lt;/DisplayText&gt;&lt;record&gt;&lt;rec-number&gt;10&lt;/rec-number&gt;&lt;foreign-keys&gt;&lt;key app="EN" db-id="sdvwtseptt2pd7ezt9lxd9v0e5pd5xtp2wax" timestamp="1736435162"&gt;10&lt;/key&gt;&lt;/foreign-keys&gt;&lt;ref-type name="Journal Article"&gt;17&lt;/ref-type&gt;&lt;contributors&gt;&lt;authors&gt;&lt;author&gt;Haggerty, Kevin D&lt;/author&gt;&lt;author&gt;Ericson, Richard V&lt;/author&gt;&lt;/authors&gt;&lt;/contributors&gt;&lt;titles&gt;&lt;title&gt;The surveillant assemblage&lt;/title&gt;&lt;secondary-title&gt;Surveillance, crime and social control&lt;/secondary-title&gt;&lt;/titles&gt;&lt;periodical&gt;&lt;full-title&gt;Surveillance, crime and social control&lt;/full-title&gt;&lt;/periodical&gt;&lt;pages&gt;61-78&lt;/pages&gt;&lt;dates&gt;&lt;year&gt;2001&lt;/year&gt;&lt;/dates&gt;&lt;urls&gt;&lt;/urls&gt;&lt;/record&gt;&lt;/Cite&gt;&lt;/EndNote&gt;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Haggerty and Ericson (2001)</w:t>
      </w:r>
      <w:r w:rsidRPr="004D2191">
        <w:rPr>
          <w:rFonts w:asciiTheme="minorBidi" w:hAnsiTheme="minorBidi"/>
          <w:sz w:val="24"/>
          <w:szCs w:val="24"/>
        </w:rPr>
        <w:fldChar w:fldCharType="end"/>
      </w:r>
      <w:r w:rsidRPr="004D2191">
        <w:rPr>
          <w:rFonts w:asciiTheme="minorBidi" w:hAnsiTheme="minorBidi"/>
          <w:sz w:val="24"/>
          <w:szCs w:val="24"/>
        </w:rPr>
        <w:t xml:space="preserve">. Their theory describes how surveillance works as a network of connected technologies and practices. In the UK, examples include combining CCTV, Automatic Number Plate Recognition (ANPR), and biometric databases. Together, these systems create a powerful web of monitoring that helps police investigate criminal offences but also raises questions about privacy and proportionality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&lt;EndNote&gt;&lt;Cite&gt;&lt;Author&gt;IGI Global and Information Resources Management Association&lt;/Author&gt;&lt;Year&gt;2019&lt;/Year&gt;&lt;RecNum&gt;15&lt;/RecNum&gt;&lt;DisplayText&gt;(IGI Global and Information Resources Management Association, 2019)&lt;/DisplayText&gt;&lt;record&gt;&lt;rec-number&gt;15&lt;/rec-number&gt;&lt;foreign-keys&gt;&lt;key app="EN" db-id="sdvwtseptt2pd7ezt9lxd9v0e5pd5xtp2wax" timestamp="1736436231"&gt;15&lt;/key&gt;&lt;/foreign-keys&gt;&lt;ref-type name="Book"&gt;6&lt;/ref-type&gt;&lt;contributors&gt;&lt;authors&gt;&lt;author&gt;IGI Global and Information Resources Management Association,&lt;/author&gt;&lt;/authors&gt;&lt;/contributors&gt;&lt;titles&gt;&lt;title&gt;Cyber Law, Privacy, and Security: Concepts, Methodologies, Tools, and Applications&lt;/title&gt;&lt;/titles&gt;&lt;dates&gt;&lt;year&gt;2019&lt;/year&gt;&lt;/dates&gt;&lt;pub-location&gt;Hershey, Pennsylvania (701 E. Chocolate Avenue, Hershey, Pennsylvania, 17033, Usa&lt;/pub-location&gt;&lt;publisher&gt;IGI Global&lt;/publisher&gt;&lt;isbn&gt;1522588981&lt;/isbn&gt;&lt;urls&gt;&lt;/urls&gt;&lt;/record&gt;&lt;/Cite&gt;&lt;/EndNote&gt;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(IGI Global and Information Resources Management Association, 2019)</w:t>
      </w:r>
      <w:r w:rsidRPr="004D2191">
        <w:rPr>
          <w:rFonts w:asciiTheme="minorBidi" w:hAnsiTheme="minorBidi"/>
          <w:sz w:val="24"/>
          <w:szCs w:val="24"/>
        </w:rPr>
        <w:fldChar w:fldCharType="end"/>
      </w:r>
      <w:r w:rsidRPr="004D2191">
        <w:rPr>
          <w:rFonts w:asciiTheme="minorBidi" w:hAnsiTheme="minorBidi"/>
          <w:b/>
          <w:bCs/>
          <w:sz w:val="24"/>
          <w:szCs w:val="24"/>
        </w:rPr>
        <w:t>.</w:t>
      </w:r>
    </w:p>
    <w:p w14:paraId="2D593C11"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t>Current Surveillance Techniques in UK Policing</w:t>
      </w:r>
    </w:p>
    <w:p w14:paraId="53621CA9"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UK policing uses a variety of surveillance techniques, ranging from traditional methods to advanced digital tools. These include:</w:t>
      </w:r>
    </w:p>
    <w:p w14:paraId="75F259FB" w14:textId="77777777" w:rsidR="002170AC" w:rsidRPr="004D2191" w:rsidRDefault="002170AC" w:rsidP="002170AC">
      <w:pPr>
        <w:numPr>
          <w:ilvl w:val="0"/>
          <w:numId w:val="15"/>
        </w:numPr>
        <w:spacing w:line="360" w:lineRule="auto"/>
        <w:rPr>
          <w:rFonts w:asciiTheme="minorBidi" w:hAnsiTheme="minorBidi"/>
          <w:sz w:val="24"/>
          <w:szCs w:val="24"/>
        </w:rPr>
      </w:pPr>
      <w:r w:rsidRPr="004D2191">
        <w:rPr>
          <w:rFonts w:asciiTheme="minorBidi" w:hAnsiTheme="minorBidi"/>
          <w:sz w:val="24"/>
          <w:szCs w:val="24"/>
        </w:rPr>
        <w:t xml:space="preserve">CCTV Systems: The UK is one of the most </w:t>
      </w:r>
      <w:proofErr w:type="spellStart"/>
      <w:r w:rsidRPr="004D2191">
        <w:rPr>
          <w:rFonts w:asciiTheme="minorBidi" w:hAnsiTheme="minorBidi"/>
          <w:sz w:val="24"/>
          <w:szCs w:val="24"/>
        </w:rPr>
        <w:t>surveilled</w:t>
      </w:r>
      <w:proofErr w:type="spellEnd"/>
      <w:r w:rsidRPr="004D2191">
        <w:rPr>
          <w:rFonts w:asciiTheme="minorBidi" w:hAnsiTheme="minorBidi"/>
          <w:sz w:val="24"/>
          <w:szCs w:val="24"/>
        </w:rPr>
        <w:t xml:space="preserve"> countries in the world, with millions of CCTV cameras in public and private spaces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&lt;EndNote&gt;&lt;Cite&gt;&lt;Author&gt;IFSEC Global&lt;/Author&gt;&lt;Year&gt;2020&lt;/Year&gt;&lt;RecNum&gt;14&lt;/RecNum&gt;&lt;DisplayText&gt;(IFSEC Global, 2020)&lt;/DisplayText&gt;&lt;record&gt;&lt;rec-number&gt;14&lt;/rec-number&gt;&lt;foreign-keys&gt;&lt;key app="EN" db-id="sdvwtseptt2pd7ezt9lxd9v0e5pd5xtp2wax" timestamp="1736436070"&gt;14&lt;/key&gt;&lt;/foreign-keys&gt;&lt;ref-type name="Web Page"&gt;12&lt;/ref-type&gt;&lt;contributors&gt;&lt;authors&gt;&lt;author&gt;IFSEC Global,&lt;/author&gt;&lt;/authors&gt;&lt;/contributors&gt;&lt;titles&gt;&lt;title&gt;Revealed: The UK’s most-watched cities&lt;/title&gt;&lt;/titles&gt;&lt;volume&gt;2025&lt;/volume&gt;&lt;number&gt;04 Jan&lt;/number&gt;&lt;dates&gt;&lt;year&gt;2020&lt;/year&gt;&lt;/dates&gt;&lt;pub-location&gt;IFSEC Global | Security and Fire News and Resources&lt;/pub-location&gt;&lt;urls&gt;&lt;related-urls&gt;&lt;url&gt;https://www.ifsecglobal.com/video-surveillance/revealed-the-uks-most-watched-cities/&lt;/url&gt;&lt;/related-urls&gt;&lt;/urls&gt;&lt;/record&gt;&lt;/Cite&gt;&lt;/EndNote&gt;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(IFSEC Global, 2020)</w:t>
      </w:r>
      <w:r w:rsidRPr="004D2191">
        <w:rPr>
          <w:rFonts w:asciiTheme="minorBidi" w:hAnsiTheme="minorBidi"/>
          <w:sz w:val="24"/>
          <w:szCs w:val="24"/>
        </w:rPr>
        <w:fldChar w:fldCharType="end"/>
      </w:r>
      <w:r w:rsidRPr="004D2191">
        <w:rPr>
          <w:rFonts w:asciiTheme="minorBidi" w:hAnsiTheme="minorBidi"/>
          <w:sz w:val="24"/>
          <w:szCs w:val="24"/>
        </w:rPr>
        <w:t xml:space="preserve">. While these cameras play a vital role in investigating and deterring crime, their effectiveness is not always clear-cut. Studies suggest that CCTV works best when combined with other measures and when actively monitored, rather than passively recorded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&lt;EndNote&gt;&lt;Cite&gt;&lt;Author&gt;Gannoni&lt;/Author&gt;&lt;Year&gt;2017&lt;/Year&gt;&lt;RecNum&gt;9&lt;/RecNum&gt;&lt;DisplayText&gt;(Gannoni et al., 2017)&lt;/DisplayText&gt;&lt;record&gt;&lt;rec-number&gt;9&lt;/rec-number&gt;&lt;foreign-keys&gt;&lt;key app="EN" db-id="sdvwtseptt2pd7ezt9lxd9v0e5pd5xtp2wax" timestamp="1736435095"&gt;9&lt;/key&gt;&lt;/foreign-keys&gt;&lt;ref-type name="Journal Article"&gt;17&lt;/ref-type&gt;&lt;contributors&gt;&lt;authors&gt;&lt;author&gt;Gannoni, Alexandra&lt;/author&gt;&lt;author&gt;Willis, Matthew&lt;/author&gt;&lt;author&gt;Taylor, Emmeline&lt;/author&gt;&lt;author&gt;Lee, Murray&lt;/author&gt;&lt;/authors&gt;&lt;/contributors&gt;&lt;titles&gt;&lt;title&gt;Surveillance technologies and crime control: Understanding police detainees’ perspectives on police body-worn video (BWV) and CCTV cameras&lt;/title&gt;&lt;/titles&gt;&lt;dates&gt;&lt;year&gt;2017&lt;/year&gt;&lt;/dates&gt;&lt;urls&gt;&lt;/urls&gt;&lt;/record&gt;&lt;/Cite&gt;&lt;/EndNote&gt;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(Gannoni et al., 2017)</w:t>
      </w:r>
      <w:r w:rsidRPr="004D2191">
        <w:rPr>
          <w:rFonts w:asciiTheme="minorBidi" w:hAnsiTheme="minorBidi"/>
          <w:sz w:val="24"/>
          <w:szCs w:val="24"/>
        </w:rPr>
        <w:fldChar w:fldCharType="end"/>
      </w:r>
      <w:r w:rsidRPr="004D2191">
        <w:rPr>
          <w:rFonts w:asciiTheme="minorBidi" w:hAnsiTheme="minorBidi"/>
          <w:sz w:val="24"/>
          <w:szCs w:val="24"/>
        </w:rPr>
        <w:t xml:space="preserve">. Critics also argue that the scale of CCTV coverage raises serious privacy concerns and risks of misuse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&lt;EndNote&gt;&lt;Cite&gt;&lt;Author&gt;Big Brother Watch&lt;/Author&gt;&lt;Year&gt;2023&lt;/Year&gt;&lt;RecNum&gt;19&lt;/RecNum&gt;&lt;DisplayText&gt;(Big Brother Watch, 2023)&lt;/DisplayText&gt;&lt;record&gt;&lt;rec-number&gt;19&lt;/rec-number&gt;&lt;foreign-keys&gt;&lt;key app="EN" db-id="sdvwtseptt2pd7ezt9lxd9v0e5pd5xtp2wax" timestamp="1736438025"&gt;19&lt;/key&gt;&lt;/foreign-keys&gt;&lt;ref-type name="Web Page"&gt;12&lt;/ref-type&gt;&lt;contributors&gt;&lt;authors&gt;&lt;author&gt;Big Brother Watch,&lt;/author&gt;&lt;/authors&gt;&lt;/contributors&gt;&lt;titles&gt;&lt;title&gt;IMPACT REPORT&lt;/title&gt;&lt;/titles&gt;&lt;volume&gt;2025&lt;/volume&gt;&lt;number&gt;08 Jan&lt;/number&gt;&lt;dates&gt;&lt;year&gt;2023&lt;/year&gt;&lt;/dates&gt;&lt;urls&gt;&lt;related-urls&gt;&lt;url&gt;https://www.bigbrotherwatch.org.uk/wp-content/uploads/2024/03/Big-Brother-Watch-Impact-Report-2023.pdf&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(Big Brother Watch, 2023)</w:t>
      </w:r>
      <w:r w:rsidRPr="004D2191">
        <w:rPr>
          <w:rFonts w:asciiTheme="minorBidi" w:hAnsiTheme="minorBidi"/>
          <w:sz w:val="24"/>
          <w:szCs w:val="24"/>
        </w:rPr>
        <w:fldChar w:fldCharType="end"/>
      </w:r>
      <w:r w:rsidRPr="004D2191">
        <w:rPr>
          <w:rFonts w:asciiTheme="minorBidi" w:hAnsiTheme="minorBidi"/>
          <w:sz w:val="24"/>
          <w:szCs w:val="24"/>
        </w:rPr>
        <w:t>.</w:t>
      </w:r>
    </w:p>
    <w:p w14:paraId="6D72E32C" w14:textId="77777777" w:rsidR="002170AC" w:rsidRPr="004D2191" w:rsidRDefault="002170AC" w:rsidP="002170AC">
      <w:pPr>
        <w:numPr>
          <w:ilvl w:val="0"/>
          <w:numId w:val="15"/>
        </w:numPr>
        <w:spacing w:line="360" w:lineRule="auto"/>
        <w:rPr>
          <w:rFonts w:asciiTheme="minorBidi" w:hAnsiTheme="minorBidi"/>
          <w:sz w:val="24"/>
          <w:szCs w:val="24"/>
        </w:rPr>
      </w:pPr>
      <w:r w:rsidRPr="004D2191">
        <w:rPr>
          <w:rFonts w:asciiTheme="minorBidi" w:hAnsiTheme="minorBidi"/>
          <w:sz w:val="24"/>
          <w:szCs w:val="24"/>
        </w:rPr>
        <w:t xml:space="preserve">Facial Recognition Technology (FRT): Police forces, like the Metropolitan Police, have tested live facial recognition to identify people in real-time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&lt;EndNote&gt;&lt;Cite&gt;&lt;Author&gt;Fussey&lt;/Author&gt;&lt;Year&gt;2019&lt;/Year&gt;&lt;RecNum&gt;8&lt;/RecNum&gt;&lt;DisplayText&gt;(Fussey and Murray, 2019)&lt;/DisplayText&gt;&lt;record&gt;&lt;rec-number&gt;8&lt;/rec-number&gt;&lt;foreign-keys&gt;&lt;key app="EN" db-id="sdvwtseptt2pd7ezt9lxd9v0e5pd5xtp2wax" timestamp="1736435024"&gt;8&lt;/key&gt;&lt;/foreign-keys&gt;&lt;ref-type name="Journal Article"&gt;17&lt;/ref-type&gt;&lt;contributors&gt;&lt;authors&gt;&lt;author&gt;Fussey, Peter&lt;/author&gt;&lt;author&gt;Murray, Daragh&lt;/author&gt;&lt;/authors&gt;&lt;/contributors&gt;&lt;titles&gt;&lt;title&gt;Independent report on the London Metropolitan Police Service’s trial of live facial recognition technology&lt;/title&gt;&lt;/titles&gt;&lt;dates&gt;&lt;year&gt;2019&lt;/year&gt;&lt;/dates&gt;&lt;urls&gt;&lt;/urls&gt;&lt;/record&gt;&lt;/Cite&gt;&lt;/EndNote&gt;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(Fussey and Murray, 2019)</w:t>
      </w:r>
      <w:r w:rsidRPr="004D2191">
        <w:rPr>
          <w:rFonts w:asciiTheme="minorBidi" w:hAnsiTheme="minorBidi"/>
          <w:sz w:val="24"/>
          <w:szCs w:val="24"/>
        </w:rPr>
        <w:fldChar w:fldCharType="end"/>
      </w:r>
      <w:r w:rsidRPr="004D2191">
        <w:rPr>
          <w:rFonts w:asciiTheme="minorBidi" w:hAnsiTheme="minorBidi"/>
          <w:sz w:val="24"/>
          <w:szCs w:val="24"/>
        </w:rPr>
        <w:t xml:space="preserve">. FRT can help locate wanted individuals more efficiently, but it has faced strong criticism. Research shows that facial </w:t>
      </w:r>
      <w:r w:rsidRPr="004D2191">
        <w:rPr>
          <w:rFonts w:asciiTheme="minorBidi" w:hAnsiTheme="minorBidi"/>
          <w:sz w:val="24"/>
          <w:szCs w:val="24"/>
        </w:rPr>
        <w:lastRenderedPageBreak/>
        <w:t xml:space="preserve">recognition algorithms can exhibit bias, leading to disproportionate misidentification of certain ethnic groups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&lt;EndNote&gt;&lt;Cite&gt;&lt;Author&gt;Fussey&lt;/Author&gt;&lt;Year&gt;2019&lt;/Year&gt;&lt;RecNum&gt;8&lt;/RecNum&gt;&lt;DisplayText&gt;(Fussey and Murray, 2019)&lt;/DisplayText&gt;&lt;record&gt;&lt;rec-number&gt;8&lt;/rec-number&gt;&lt;foreign-keys&gt;&lt;key app="EN" db-id="sdvwtseptt2pd7ezt9lxd9v0e5pd5xtp2wax" timestamp="1736435024"&gt;8&lt;/key&gt;&lt;/foreign-keys&gt;&lt;ref-type name="Journal Article"&gt;17&lt;/ref-type&gt;&lt;contributors&gt;&lt;authors&gt;&lt;author&gt;Fussey, Peter&lt;/author&gt;&lt;author&gt;Murray, Daragh&lt;/author&gt;&lt;/authors&gt;&lt;/contributors&gt;&lt;titles&gt;&lt;title&gt;Independent report on the London Metropolitan Police Service’s trial of live facial recognition technology&lt;/title&gt;&lt;/titles&gt;&lt;dates&gt;&lt;year&gt;2019&lt;/year&gt;&lt;/dates&gt;&lt;urls&gt;&lt;/urls&gt;&lt;/record&gt;&lt;/Cite&gt;&lt;/EndNote&gt;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(Fussey and Murray, 2019)</w:t>
      </w:r>
      <w:r w:rsidRPr="004D2191">
        <w:rPr>
          <w:rFonts w:asciiTheme="minorBidi" w:hAnsiTheme="minorBidi"/>
          <w:sz w:val="24"/>
          <w:szCs w:val="24"/>
        </w:rPr>
        <w:fldChar w:fldCharType="end"/>
      </w:r>
      <w:r w:rsidRPr="004D2191">
        <w:rPr>
          <w:rFonts w:asciiTheme="minorBidi" w:hAnsiTheme="minorBidi"/>
          <w:sz w:val="24"/>
          <w:szCs w:val="24"/>
        </w:rPr>
        <w:t xml:space="preserve">.There are also worries that the extensive use of facial recognition technology might discourage people from freely expressing themselves or gathering together, since they may feel like they are always being watched and identified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&lt;EndNote&gt;&lt;Cite&gt;&lt;Author&gt;Urquhart&lt;/Author&gt;&lt;Year&gt;2021&lt;/Year&gt;&lt;RecNum&gt;4&lt;/RecNum&gt;&lt;DisplayText&gt;(Urquhart and Miranda, 2021)&lt;/DisplayText&gt;&lt;record&gt;&lt;rec-number&gt;4&lt;/rec-number&gt;&lt;foreign-keys&gt;&lt;key app="EN" db-id="sdvwtseptt2pd7ezt9lxd9v0e5pd5xtp2wax" timestamp="1736431813"&gt;4&lt;/key&gt;&lt;/foreign-keys&gt;&lt;ref-type name="Journal Article"&gt;17&lt;/ref-type&gt;&lt;contributors&gt;&lt;authors&gt;&lt;author&gt;Urquhart, Lachlan&lt;/author&gt;&lt;author&gt;Miranda, Diana&lt;/author&gt;&lt;/authors&gt;&lt;/contributors&gt;&lt;titles&gt;&lt;title&gt;Policing faces: the present and future of intelligent facial surveillance&lt;/title&gt;&lt;secondary-title&gt;Information &amp;amp; Communications Technology Law&lt;/secondary-title&gt;&lt;/titles&gt;&lt;periodical&gt;&lt;full-title&gt;Information &amp;amp; Communications Technology Law&lt;/full-title&gt;&lt;/periodical&gt;&lt;pages&gt;194-219&lt;/pages&gt;&lt;volume&gt;31&lt;/volume&gt;&lt;number&gt;2&lt;/number&gt;&lt;dates&gt;&lt;year&gt;2021&lt;/year&gt;&lt;pub-dates&gt;&lt;date&gt;2022/05/04&lt;/date&gt;&lt;/pub-dates&gt;&lt;/dates&gt;&lt;publisher&gt;Routledge&lt;/publisher&gt;&lt;isbn&gt;1360-0834&lt;/isbn&gt;&lt;urls&gt;&lt;related-urls&gt;&lt;url&gt;https://doi.org/10.1080/13600834.2021.1994220&lt;/url&gt;&lt;/related-urls&gt;&lt;/urls&gt;&lt;electronic-resource-num&gt;10.1080/13600834.2021.1994220&lt;/electronic-resource-num&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(Urquhart and Miranda, 2021)</w:t>
      </w:r>
      <w:r w:rsidRPr="004D2191">
        <w:rPr>
          <w:rFonts w:asciiTheme="minorBidi" w:hAnsiTheme="minorBidi"/>
          <w:sz w:val="24"/>
          <w:szCs w:val="24"/>
        </w:rPr>
        <w:fldChar w:fldCharType="end"/>
      </w:r>
      <w:r w:rsidRPr="004D2191">
        <w:rPr>
          <w:rFonts w:asciiTheme="minorBidi" w:hAnsiTheme="minorBidi"/>
          <w:sz w:val="24"/>
          <w:szCs w:val="24"/>
        </w:rPr>
        <w:t>. Strict necessity and proportionality tests are crucial.</w:t>
      </w:r>
    </w:p>
    <w:p w14:paraId="6B820BE3" w14:textId="77777777" w:rsidR="002170AC" w:rsidRPr="004D2191" w:rsidRDefault="002170AC" w:rsidP="002170AC">
      <w:pPr>
        <w:numPr>
          <w:ilvl w:val="0"/>
          <w:numId w:val="15"/>
        </w:numPr>
        <w:spacing w:line="360" w:lineRule="auto"/>
        <w:rPr>
          <w:rFonts w:asciiTheme="minorBidi" w:hAnsiTheme="minorBidi"/>
          <w:sz w:val="24"/>
          <w:szCs w:val="24"/>
        </w:rPr>
      </w:pPr>
      <w:r w:rsidRPr="004D2191">
        <w:rPr>
          <w:rFonts w:asciiTheme="minorBidi" w:hAnsiTheme="minorBidi"/>
          <w:sz w:val="24"/>
          <w:szCs w:val="24"/>
        </w:rPr>
        <w:t xml:space="preserve">Digital Surveillance and Data Mining: Social media and online communications are increasingly monitored by police to identify threats, gather intelligence, and predict criminal behaviour. The Investigatory Powers Act 2016, also known as the "Snooper's Charter," gives police broad powers to access and store digital communications data. While this can help stop serious crimes, privacy advocates argue the law lacks sufficient safeguards against abuse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&lt;EndNote&gt;&lt;Cite&gt;&lt;Author&gt;kiteworks&lt;/Author&gt;&lt;Year&gt;n.d.&lt;/Year&gt;&lt;RecNum&gt;16&lt;/RecNum&gt;&lt;DisplayText&gt;(kiteworks, n.d.)&lt;/DisplayText&gt;&lt;record&gt;&lt;rec-number&gt;16&lt;/rec-number&gt;&lt;foreign-keys&gt;&lt;key app="EN" db-id="sdvwtseptt2pd7ezt9lxd9v0e5pd5xtp2wax" timestamp="1736437024"&gt;16&lt;/key&gt;&lt;/foreign-keys&gt;&lt;ref-type name="Web Page"&gt;12&lt;/ref-type&gt;&lt;contributors&gt;&lt;authors&gt;&lt;author&gt;kiteworks,&lt;/author&gt;&lt;/authors&gt;&lt;/contributors&gt;&lt;titles&gt;&lt;title&gt;The UK Investigatory Powers Act 2016&lt;/title&gt;&lt;/titles&gt;&lt;volume&gt;2025&lt;/volume&gt;&lt;number&gt;05 Jan&lt;/number&gt;&lt;dates&gt;&lt;year&gt;n.d.&lt;/year&gt;&lt;/dates&gt;&lt;publisher&gt;Kiteworks | Your Private Content Network&lt;/publisher&gt;&lt;urls&gt;&lt;related-urls&gt;&lt;url&gt;https://www.kiteworks.com/risk-compliance-glossary/uk-investigatory-powers-act/.&lt;/url&gt;&lt;/related-urls&gt;&lt;/urls&gt;&lt;/record&gt;&lt;/Cite&gt;&lt;/EndNote&gt;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(kiteworks, n.d.)</w:t>
      </w:r>
      <w:r w:rsidRPr="004D2191">
        <w:rPr>
          <w:rFonts w:asciiTheme="minorBidi" w:hAnsiTheme="minorBidi"/>
          <w:sz w:val="24"/>
          <w:szCs w:val="24"/>
        </w:rPr>
        <w:fldChar w:fldCharType="end"/>
      </w:r>
      <w:r w:rsidRPr="004D2191">
        <w:rPr>
          <w:rFonts w:asciiTheme="minorBidi" w:hAnsiTheme="minorBidi"/>
          <w:sz w:val="24"/>
          <w:szCs w:val="24"/>
        </w:rPr>
        <w:t>. Strong oversight and transparency are key to maintaining public trust.</w:t>
      </w:r>
    </w:p>
    <w:p w14:paraId="770EFBDF" w14:textId="77777777" w:rsidR="002170AC" w:rsidRPr="004D2191" w:rsidRDefault="002170AC" w:rsidP="002170AC">
      <w:pPr>
        <w:numPr>
          <w:ilvl w:val="0"/>
          <w:numId w:val="15"/>
        </w:numPr>
        <w:spacing w:line="360" w:lineRule="auto"/>
        <w:rPr>
          <w:rFonts w:asciiTheme="minorBidi" w:hAnsiTheme="minorBidi"/>
          <w:sz w:val="24"/>
          <w:szCs w:val="24"/>
        </w:rPr>
      </w:pPr>
      <w:r w:rsidRPr="004D2191">
        <w:rPr>
          <w:rFonts w:asciiTheme="minorBidi" w:hAnsiTheme="minorBidi"/>
          <w:sz w:val="24"/>
          <w:szCs w:val="24"/>
        </w:rPr>
        <w:t xml:space="preserve">Covert Human Intelligence Sources (CHIS): Undercover officers and informants remain vital for gathering intelligence on serious crimes. Recent laws, like the Covert Human Intelligence Sources (Criminal Conduct) Act 2021, allow police to authorise criminal activities by use of a CHIS. This raises pressing ethical questions around the limits of acceptable deception and risks blurring the lines between law enforcement and criminality if not managed properly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&lt;EndNote&gt;&lt;Cite&gt;&lt;Author&gt;Administrator&lt;/Author&gt;&lt;Year&gt;2023&lt;/Year&gt;&lt;RecNum&gt;6&lt;/RecNum&gt;&lt;DisplayText&gt;(Administrator, 2023)&lt;/DisplayText&gt;&lt;record&gt;&lt;rec-number&gt;6&lt;/rec-number&gt;&lt;foreign-keys&gt;&lt;key app="EN" db-id="sdvwtseptt2pd7ezt9lxd9v0e5pd5xtp2wax" timestamp="1736434718"&gt;6&lt;/key&gt;&lt;/foreign-keys&gt;&lt;ref-type name="Web Page"&gt;12&lt;/ref-type&gt;&lt;contributors&gt;&lt;authors&gt;&lt;author&gt;Administrator&lt;/author&gt;&lt;/authors&gt;&lt;/contributors&gt;&lt;titles&gt;&lt;title&gt;Use of Informants in Investigations - Criminal Justice - iResearchNet&lt;/title&gt;&lt;/titles&gt;&lt;volume&gt;2025&lt;/volume&gt;&lt;number&gt;03 Jan&lt;/number&gt;&lt;dates&gt;&lt;year&gt;2023&lt;/year&gt;&lt;/dates&gt;&lt;publisher&gt;Criminal Justice&lt;/publisher&gt;&lt;urls&gt;&lt;related-urls&gt;&lt;url&gt;https://criminal-justice.iresearchnet.com/criminal-justice-process/investigation-and-evidence-gathering/use-of-informants-in-investigations/.&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(Administrator, 2023)</w:t>
      </w:r>
      <w:r w:rsidRPr="004D2191">
        <w:rPr>
          <w:rFonts w:asciiTheme="minorBidi" w:hAnsiTheme="minorBidi"/>
          <w:sz w:val="24"/>
          <w:szCs w:val="24"/>
        </w:rPr>
        <w:fldChar w:fldCharType="end"/>
      </w:r>
      <w:r w:rsidRPr="004D2191">
        <w:rPr>
          <w:rFonts w:asciiTheme="minorBidi" w:hAnsiTheme="minorBidi"/>
          <w:sz w:val="24"/>
          <w:szCs w:val="24"/>
        </w:rPr>
        <w:t>.</w:t>
      </w:r>
    </w:p>
    <w:p w14:paraId="14E19652"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t>Methodologies and Their Implications</w:t>
      </w:r>
    </w:p>
    <w:p w14:paraId="2D508874"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 xml:space="preserve">The methods used in UK policing for surveillance are shaped by operational needs and legal frameworks. For example, risk-based profiling helps decide where to focus surveillance resources, such as online investigations. However, critical analyses argue this method can reinforce harmful racial and socio-economic stereotypes if not checked rigorously against objective data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&lt;EndNote&gt;&lt;Cite&gt;&lt;Author&gt;Horgan&lt;/Author&gt;&lt;Year&gt;2024&lt;/Year&gt;&lt;RecNum&gt;2&lt;/RecNum&gt;&lt;DisplayText&gt;(Horgan et al., 2024)&lt;/DisplayText&gt;&lt;record&gt;&lt;rec-number&gt;2&lt;/rec-number&gt;&lt;foreign-keys&gt;&lt;key app="EN" db-id="sdvwtseptt2pd7ezt9lxd9v0e5pd5xtp2wax" timestamp="1736431473"&gt;2&lt;/key&gt;&lt;/foreign-keys&gt;&lt;ref-type name="Journal Article"&gt;17&lt;/ref-type&gt;&lt;contributors&gt;&lt;authors&gt;&lt;author&gt;Horgan, Shane&lt;/author&gt;&lt;author&gt;Collier, Ben&lt;/author&gt;&lt;author&gt;Stewart, James&lt;/author&gt;&lt;author&gt;Thomas, Daniel R&lt;/author&gt;&lt;/authors&gt;&lt;/contributors&gt;&lt;titles&gt;&lt;title&gt;Influence Policing: Domestic Digital Influence Campaigns and Algorithmic Strategic Communications in UK Law Enforcement and Homeland Security&lt;/title&gt;&lt;secondary-title&gt;The British Journal of Criminology&lt;/secondary-title&gt;&lt;/titles&gt;&lt;periodical&gt;&lt;full-title&gt;The British Journal of Criminology&lt;/full-title&gt;&lt;/periodical&gt;&lt;dates&gt;&lt;year&gt;2024&lt;/year&gt;&lt;/dates&gt;&lt;isbn&gt;0007-0955&lt;/isbn&gt;&lt;urls&gt;&lt;related-urls&gt;&lt;url&gt;https://doi.org/10.1093/bjc/azae063&lt;/url&gt;&lt;/related-urls&gt;&lt;/urls&gt;&lt;custom1&gt;azae063&lt;/custom1&gt;&lt;electronic-resource-num&gt;10.1093/bjc/azae063&lt;/electronic-resource-num&gt;&lt;access-date&gt;1/9/2025&lt;/access-date&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(Horgan et al., 2024)</w:t>
      </w:r>
      <w:r w:rsidRPr="004D2191">
        <w:rPr>
          <w:rFonts w:asciiTheme="minorBidi" w:hAnsiTheme="minorBidi"/>
          <w:sz w:val="24"/>
          <w:szCs w:val="24"/>
        </w:rPr>
        <w:fldChar w:fldCharType="end"/>
      </w:r>
      <w:r w:rsidRPr="004D2191">
        <w:rPr>
          <w:rFonts w:asciiTheme="minorBidi" w:hAnsiTheme="minorBidi"/>
          <w:sz w:val="24"/>
          <w:szCs w:val="24"/>
        </w:rPr>
        <w:t>. Biased profiling damages police legitimacy.</w:t>
      </w:r>
    </w:p>
    <w:p w14:paraId="712B5605" w14:textId="2B912364" w:rsidR="002170AC" w:rsidRPr="002170AC" w:rsidRDefault="002170AC" w:rsidP="002170AC">
      <w:pPr>
        <w:spacing w:line="360" w:lineRule="auto"/>
        <w:rPr>
          <w:rFonts w:asciiTheme="minorBidi" w:hAnsiTheme="minorBidi"/>
          <w:sz w:val="24"/>
          <w:szCs w:val="24"/>
        </w:rPr>
      </w:pPr>
      <w:r w:rsidRPr="004D2191">
        <w:rPr>
          <w:rFonts w:asciiTheme="minorBidi" w:hAnsiTheme="minorBidi"/>
          <w:sz w:val="24"/>
          <w:szCs w:val="24"/>
        </w:rPr>
        <w:t xml:space="preserve">Similarly, predictive policing, which uses algorithms to forecast crime hotspots, aims to allocate resources efficiently. However, studies flag concerns that predictive systems often rely on historical crime data that may reflect long-standing inequities </w:t>
      </w:r>
      <w:r w:rsidRPr="004D2191">
        <w:rPr>
          <w:rFonts w:asciiTheme="minorBidi" w:hAnsiTheme="minorBidi"/>
          <w:sz w:val="24"/>
          <w:szCs w:val="24"/>
        </w:rPr>
        <w:lastRenderedPageBreak/>
        <w:t xml:space="preserve">more than actual risk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&lt;EndNote&gt;&lt;Cite&gt;&lt;Author&gt;Sandhu&lt;/Author&gt;&lt;Year&gt;2020&lt;/Year&gt;&lt;RecNum&gt;3&lt;/RecNum&gt;&lt;DisplayText&gt;(Sandhu and Fussey, 2020)&lt;/DisplayText&gt;&lt;record&gt;&lt;rec-number&gt;3&lt;/rec-number&gt;&lt;foreign-keys&gt;&lt;key app="EN" db-id="sdvwtseptt2pd7ezt9lxd9v0e5pd5xtp2wax" timestamp="1736431533"&gt;3&lt;/key&gt;&lt;/foreign-keys&gt;&lt;ref-type name="Journal Article"&gt;17&lt;/ref-type&gt;&lt;contributors&gt;&lt;authors&gt;&lt;author&gt;Sandhu, Ajay&lt;/author&gt;&lt;author&gt;Fussey, Peter&lt;/author&gt;&lt;/authors&gt;&lt;/contributors&gt;&lt;titles&gt;&lt;title&gt;The ‘uberization of policing’? How police negotiate and operationalise predictive policing technology&lt;/title&gt;&lt;secondary-title&gt;Policing and Society&lt;/secondary-title&gt;&lt;/titles&gt;&lt;periodical&gt;&lt;full-title&gt;Policing and Society&lt;/full-title&gt;&lt;/periodical&gt;&lt;pages&gt;66-81&lt;/pages&gt;&lt;volume&gt;31&lt;/volume&gt;&lt;number&gt;1&lt;/number&gt;&lt;dates&gt;&lt;year&gt;2020&lt;/year&gt;&lt;pub-dates&gt;&lt;date&gt;2021/01/02&lt;/date&gt;&lt;/pub-dates&gt;&lt;/dates&gt;&lt;publisher&gt;Routledge&lt;/publisher&gt;&lt;isbn&gt;1043-9463&lt;/isbn&gt;&lt;urls&gt;&lt;related-urls&gt;&lt;url&gt;https://doi.org/10.1080/10439463.2020.1803315&lt;/url&gt;&lt;/related-urls&gt;&lt;/urls&gt;&lt;electronic-resource-num&gt;10.1080/10439463.2020.1803315&lt;/electronic-resource-num&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(Sandhu and Fussey, 2020)</w:t>
      </w:r>
      <w:r w:rsidRPr="004D2191">
        <w:rPr>
          <w:rFonts w:asciiTheme="minorBidi" w:hAnsiTheme="minorBidi"/>
          <w:sz w:val="24"/>
          <w:szCs w:val="24"/>
        </w:rPr>
        <w:fldChar w:fldCharType="end"/>
      </w:r>
      <w:r w:rsidRPr="004D2191">
        <w:rPr>
          <w:rFonts w:asciiTheme="minorBidi" w:hAnsiTheme="minorBidi"/>
          <w:sz w:val="24"/>
          <w:szCs w:val="24"/>
        </w:rPr>
        <w:t>. Without transparency and external validation, predictive methods risk reinforcing existing inequalities and discrimination.</w:t>
      </w:r>
    </w:p>
    <w:p w14:paraId="268FE79E"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t>Ethical and Legal Considerations</w:t>
      </w:r>
    </w:p>
    <w:p w14:paraId="79B55E27"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Surveillance in UK policing raises important ethical questions. Human rights groups argue that practices like mass data collection and facial recognition may violate privacy rights protected by the European Convention on Human Rights (Amnesty International, 2021). A lack of strong oversight increases the risk of misuse, with marginalised communities sometimes bearing the brunt of over-surveillance.</w:t>
      </w:r>
    </w:p>
    <w:p w14:paraId="3DEA027E"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 xml:space="preserve">Legally, surveillance must follow principles like necessity, proportionality, and accountability. Laws like the General Data Protection Regulation provide some safeguards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&lt;EndNote&gt;&lt;Cite&gt;&lt;Author&gt;ICO.&lt;/Author&gt;&lt;Year&gt;2024&lt;/Year&gt;&lt;RecNum&gt;13&lt;/RecNum&gt;&lt;DisplayText&gt;(ICO., 2024)&lt;/DisplayText&gt;&lt;record&gt;&lt;rec-number&gt;13&lt;/rec-number&gt;&lt;foreign-keys&gt;&lt;key app="EN" db-id="sdvwtseptt2pd7ezt9lxd9v0e5pd5xtp2wax" timestamp="1736435698"&gt;13&lt;/key&gt;&lt;/foreign-keys&gt;&lt;ref-type name="Web Page"&gt;12&lt;/ref-type&gt;&lt;contributors&gt;&lt;authors&gt;&lt;author&gt;ICO.,&lt;/author&gt;&lt;/authors&gt;&lt;/contributors&gt;&lt;titles&gt;&lt;title&gt;What are our responsibilities in terms of  accountability?&lt;/title&gt;&lt;/titles&gt;&lt;volume&gt;2025&lt;/volume&gt;&lt;number&gt;04 Jan&lt;/number&gt;&lt;dates&gt;&lt;year&gt;2024&lt;/year&gt;&lt;/dates&gt;&lt;publisher&gt;Ico.org.uk&lt;/publisher&gt;&lt;urls&gt;&lt;related-urls&gt;&lt;url&gt;https://ico.org.uk/for-organisations/uk-gdpr-guidance-and-resources/cctv-and-video-surveillance/guidance-on-video-surveillance-including-cctv/what-are-our-responsibilities-in-terms-of-accountability/.&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(ICO., 2024)</w:t>
      </w:r>
      <w:r w:rsidRPr="004D2191">
        <w:rPr>
          <w:rFonts w:asciiTheme="minorBidi" w:hAnsiTheme="minorBidi"/>
          <w:sz w:val="24"/>
          <w:szCs w:val="24"/>
        </w:rPr>
        <w:fldChar w:fldCharType="end"/>
      </w:r>
      <w:r w:rsidRPr="004D2191">
        <w:rPr>
          <w:rFonts w:asciiTheme="minorBidi" w:hAnsiTheme="minorBidi"/>
          <w:sz w:val="24"/>
          <w:szCs w:val="24"/>
        </w:rPr>
        <w:t xml:space="preserve">, but enforcement can be inconsistent. Investigations like the Undercover Policing Inquiry show how a lack of transparency enables abuse </w:t>
      </w:r>
      <w:r w:rsidRPr="004D2191">
        <w:rPr>
          <w:rFonts w:asciiTheme="minorBidi" w:hAnsiTheme="minorBidi"/>
          <w:sz w:val="24"/>
          <w:szCs w:val="24"/>
        </w:rPr>
        <w:fldChar w:fldCharType="begin"/>
      </w:r>
      <w:r w:rsidRPr="004D2191">
        <w:rPr>
          <w:rFonts w:asciiTheme="minorBidi" w:hAnsiTheme="minorBidi"/>
          <w:sz w:val="24"/>
          <w:szCs w:val="24"/>
        </w:rPr>
        <w:instrText xml:space="preserve"> ADDIN EN.CITE &lt;EndNote&gt;&lt;Cite&gt;&lt;Author&gt;UCPI&lt;/Author&gt;&lt;Year&gt;n.d.&lt;/Year&gt;&lt;RecNum&gt;18&lt;/RecNum&gt;&lt;DisplayText&gt;(UCPI, n.d.)&lt;/DisplayText&gt;&lt;record&gt;&lt;rec-number&gt;18&lt;/rec-number&gt;&lt;foreign-keys&gt;&lt;key app="EN" db-id="sdvwtseptt2pd7ezt9lxd9v0e5pd5xtp2wax" timestamp="1736437414"&gt;18&lt;/key&gt;&lt;/foreign-keys&gt;&lt;ref-type name="Web Page"&gt;12&lt;/ref-type&gt;&lt;contributors&gt;&lt;authors&gt;&lt;author&gt;UCPI, &lt;/author&gt;&lt;/authors&gt;&lt;/contributors&gt;&lt;titles&gt;&lt;title&gt;Undercover Policing Inquiry: Official Website&lt;/title&gt;&lt;/titles&gt;&lt;dates&gt;&lt;year&gt;n.d.&lt;/year&gt;&lt;/dates&gt;&lt;pub-location&gt;www.ucpi.org.ukUndercover &lt;/pub-location&gt;&lt;publisher&gt;Undercover Policing Inquiry&lt;/publisher&gt;&lt;urls&gt;&lt;related-urls&gt;&lt;url&gt;https://www.ucpi.org.uk/&lt;/url&gt;&lt;/related-urls&gt;&lt;/urls&gt;&lt;/record&gt;&lt;/Cite&gt;&lt;/EndNote&gt;</w:instrText>
      </w:r>
      <w:r w:rsidRPr="004D2191">
        <w:rPr>
          <w:rFonts w:asciiTheme="minorBidi" w:hAnsiTheme="minorBidi"/>
          <w:sz w:val="24"/>
          <w:szCs w:val="24"/>
        </w:rPr>
        <w:fldChar w:fldCharType="separate"/>
      </w:r>
      <w:r w:rsidRPr="004D2191">
        <w:rPr>
          <w:rFonts w:asciiTheme="minorBidi" w:hAnsiTheme="minorBidi"/>
          <w:noProof/>
          <w:sz w:val="24"/>
          <w:szCs w:val="24"/>
        </w:rPr>
        <w:t>(UCPI, n.d.)</w:t>
      </w:r>
      <w:r w:rsidRPr="004D2191">
        <w:rPr>
          <w:rFonts w:asciiTheme="minorBidi" w:hAnsiTheme="minorBidi"/>
          <w:sz w:val="24"/>
          <w:szCs w:val="24"/>
        </w:rPr>
        <w:fldChar w:fldCharType="end"/>
      </w:r>
      <w:r w:rsidRPr="004D2191">
        <w:rPr>
          <w:rFonts w:asciiTheme="minorBidi" w:hAnsiTheme="minorBidi"/>
          <w:sz w:val="24"/>
          <w:szCs w:val="24"/>
        </w:rPr>
        <w:t>. Robust legal controls and proactive disclosure are essential.</w:t>
      </w:r>
    </w:p>
    <w:p w14:paraId="556E6D38"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b/>
          <w:bCs/>
          <w:sz w:val="24"/>
          <w:szCs w:val="24"/>
        </w:rPr>
        <w:t>Conclusion</w:t>
      </w:r>
    </w:p>
    <w:p w14:paraId="0860E832"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t>Surveillance techniques and tactics in UK policing draw on complex theories and evolving methods. While they serve the crucial goals of crime prevention and public safety, their use also raises serious ethical and legal concerns around privacy, fairness, and accountability. As this essay has shown, the integration of digital surveillance tools dramatically expands police capabilities but also creates new risks.</w:t>
      </w:r>
    </w:p>
    <w:p w14:paraId="08B87A65" w14:textId="77777777" w:rsidR="002170AC" w:rsidRDefault="002170AC" w:rsidP="002170AC">
      <w:pPr>
        <w:spacing w:line="360" w:lineRule="auto"/>
        <w:rPr>
          <w:rFonts w:asciiTheme="minorBidi" w:hAnsiTheme="minorBidi"/>
          <w:sz w:val="24"/>
          <w:szCs w:val="24"/>
        </w:rPr>
      </w:pPr>
      <w:r w:rsidRPr="004D2191">
        <w:rPr>
          <w:rFonts w:asciiTheme="minorBidi" w:hAnsiTheme="minorBidi"/>
          <w:sz w:val="24"/>
          <w:szCs w:val="24"/>
        </w:rPr>
        <w:t>To ensure surveillance practices are not only effective but also ethical, policymakers and law enforcement leaders must prioritise strong safeguards, clear guidelines, and proactive transparency. Oversight bodies need robust powers and resources for meaningful accountability. Procurement and deployment of new surveillance technologies should include human rights impact assessments. Most importantly, the use of surveillance must remain anchored in principles of strict necessity and proportionality, with constant readjustment as conditions change. Only by balancing operational needs with democratic values through open public debate can policing uphold both safety and civil liberties in the modern digital age.</w:t>
      </w:r>
    </w:p>
    <w:p w14:paraId="389CB335" w14:textId="264CCCDB" w:rsidR="002170AC" w:rsidRPr="00583D68" w:rsidRDefault="002170AC" w:rsidP="002170AC">
      <w:pPr>
        <w:spacing w:line="360" w:lineRule="auto"/>
        <w:rPr>
          <w:rFonts w:asciiTheme="minorBidi" w:hAnsiTheme="minorBidi"/>
          <w:b/>
          <w:bCs/>
          <w:sz w:val="24"/>
          <w:szCs w:val="24"/>
          <w:u w:val="single"/>
        </w:rPr>
      </w:pPr>
      <w:r w:rsidRPr="00583D68">
        <w:rPr>
          <w:rFonts w:asciiTheme="minorBidi" w:hAnsiTheme="minorBidi"/>
          <w:b/>
          <w:bCs/>
          <w:sz w:val="24"/>
          <w:szCs w:val="24"/>
          <w:u w:val="single"/>
        </w:rPr>
        <w:t xml:space="preserve">Word count </w:t>
      </w:r>
      <w:r w:rsidR="008F0046" w:rsidRPr="00583D68">
        <w:rPr>
          <w:rFonts w:asciiTheme="minorBidi" w:hAnsiTheme="minorBidi"/>
          <w:b/>
          <w:bCs/>
          <w:sz w:val="24"/>
          <w:szCs w:val="24"/>
          <w:u w:val="single"/>
        </w:rPr>
        <w:t>= 1,099</w:t>
      </w:r>
      <w:r w:rsidR="00583D68" w:rsidRPr="00583D68">
        <w:rPr>
          <w:rFonts w:asciiTheme="minorBidi" w:hAnsiTheme="minorBidi"/>
          <w:b/>
          <w:bCs/>
          <w:sz w:val="24"/>
          <w:szCs w:val="24"/>
          <w:u w:val="single"/>
        </w:rPr>
        <w:t xml:space="preserve"> words. </w:t>
      </w:r>
    </w:p>
    <w:p w14:paraId="2496458C" w14:textId="77777777" w:rsidR="002170AC" w:rsidRPr="004D2191" w:rsidRDefault="002170AC" w:rsidP="002170AC">
      <w:pPr>
        <w:spacing w:line="360" w:lineRule="auto"/>
        <w:rPr>
          <w:rFonts w:asciiTheme="minorBidi" w:hAnsiTheme="minorBidi"/>
          <w:b/>
          <w:bCs/>
          <w:sz w:val="24"/>
          <w:szCs w:val="24"/>
        </w:rPr>
      </w:pPr>
      <w:r w:rsidRPr="004D2191">
        <w:rPr>
          <w:rFonts w:asciiTheme="minorBidi" w:hAnsiTheme="minorBidi"/>
          <w:b/>
          <w:bCs/>
          <w:sz w:val="24"/>
          <w:szCs w:val="24"/>
        </w:rPr>
        <w:lastRenderedPageBreak/>
        <w:t>Reference</w:t>
      </w:r>
    </w:p>
    <w:p w14:paraId="33F6DDD5"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b/>
          <w:bCs/>
          <w:sz w:val="24"/>
          <w:szCs w:val="24"/>
        </w:rPr>
        <w:fldChar w:fldCharType="begin"/>
      </w:r>
      <w:r w:rsidRPr="004D2191">
        <w:rPr>
          <w:rFonts w:asciiTheme="minorBidi" w:hAnsiTheme="minorBidi"/>
          <w:b/>
          <w:bCs/>
          <w:sz w:val="24"/>
          <w:szCs w:val="24"/>
        </w:rPr>
        <w:instrText xml:space="preserve"> ADDIN EN.REFLIST </w:instrText>
      </w:r>
      <w:r w:rsidRPr="004D2191">
        <w:rPr>
          <w:rFonts w:asciiTheme="minorBidi" w:hAnsiTheme="minorBidi"/>
          <w:b/>
          <w:bCs/>
          <w:sz w:val="24"/>
          <w:szCs w:val="24"/>
        </w:rPr>
        <w:fldChar w:fldCharType="separate"/>
      </w:r>
      <w:r w:rsidRPr="004D2191">
        <w:rPr>
          <w:rFonts w:asciiTheme="minorBidi" w:hAnsiTheme="minorBidi"/>
          <w:sz w:val="24"/>
          <w:szCs w:val="24"/>
        </w:rPr>
        <w:t xml:space="preserve">Administrator. 2023. </w:t>
      </w:r>
      <w:r w:rsidRPr="004D2191">
        <w:rPr>
          <w:rFonts w:asciiTheme="minorBidi" w:hAnsiTheme="minorBidi"/>
          <w:i/>
          <w:sz w:val="24"/>
          <w:szCs w:val="24"/>
        </w:rPr>
        <w:t xml:space="preserve">Use of Informants in Investigations - Criminal Justice - iResearchNet </w:t>
      </w:r>
      <w:r w:rsidRPr="004D2191">
        <w:rPr>
          <w:rFonts w:asciiTheme="minorBidi" w:hAnsiTheme="minorBidi"/>
          <w:sz w:val="24"/>
          <w:szCs w:val="24"/>
        </w:rPr>
        <w:t xml:space="preserve">[Online]. Criminal Justice. Available: </w:t>
      </w:r>
      <w:hyperlink r:id="rId50" w:history="1">
        <w:r w:rsidRPr="004D2191">
          <w:rPr>
            <w:rStyle w:val="Hyperlink"/>
            <w:rFonts w:asciiTheme="minorBidi" w:hAnsiTheme="minorBidi"/>
            <w:sz w:val="24"/>
            <w:szCs w:val="24"/>
          </w:rPr>
          <w:t>https://criminal-justice.iresearchnet.com/criminal-justice-process/investigation-and-evidence-gathering/use-of-informants-in-investigations/</w:t>
        </w:r>
      </w:hyperlink>
      <w:r w:rsidRPr="004D2191">
        <w:rPr>
          <w:rFonts w:asciiTheme="minorBidi" w:hAnsiTheme="minorBidi"/>
          <w:sz w:val="24"/>
          <w:szCs w:val="24"/>
        </w:rPr>
        <w:t>. [Accessed 03 Jan 2025].</w:t>
      </w:r>
    </w:p>
    <w:p w14:paraId="20A90348"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Almeida, D., Shmarko, K. &amp; Lomas, E. 2021. The ethics of facial recognition technologies, surveillance, and accountability in an age of artificial intelligence: a comparative analysis of US, EU, and UK regulatory frameworks. </w:t>
      </w:r>
      <w:r w:rsidRPr="004D2191">
        <w:rPr>
          <w:rFonts w:asciiTheme="minorBidi" w:hAnsiTheme="minorBidi"/>
          <w:i/>
          <w:sz w:val="24"/>
          <w:szCs w:val="24"/>
        </w:rPr>
        <w:t>AI and Ethics,</w:t>
      </w:r>
      <w:r w:rsidRPr="004D2191">
        <w:rPr>
          <w:rFonts w:asciiTheme="minorBidi" w:hAnsiTheme="minorBidi"/>
          <w:sz w:val="24"/>
          <w:szCs w:val="24"/>
        </w:rPr>
        <w:t xml:space="preserve"> 2</w:t>
      </w:r>
      <w:r w:rsidRPr="004D2191">
        <w:rPr>
          <w:rFonts w:asciiTheme="minorBidi" w:hAnsiTheme="minorBidi"/>
          <w:b/>
          <w:sz w:val="24"/>
          <w:szCs w:val="24"/>
        </w:rPr>
        <w:t>,</w:t>
      </w:r>
      <w:r w:rsidRPr="004D2191">
        <w:rPr>
          <w:rFonts w:asciiTheme="minorBidi" w:hAnsiTheme="minorBidi"/>
          <w:sz w:val="24"/>
          <w:szCs w:val="24"/>
        </w:rPr>
        <w:t xml:space="preserve"> 377-387.</w:t>
      </w:r>
    </w:p>
    <w:p w14:paraId="0EEF9EE7"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Big Brother Watch. 2023. </w:t>
      </w:r>
      <w:r w:rsidRPr="004D2191">
        <w:rPr>
          <w:rFonts w:asciiTheme="minorBidi" w:hAnsiTheme="minorBidi"/>
          <w:i/>
          <w:sz w:val="24"/>
          <w:szCs w:val="24"/>
        </w:rPr>
        <w:t xml:space="preserve">IMPACT REPORT </w:t>
      </w:r>
      <w:r w:rsidRPr="004D2191">
        <w:rPr>
          <w:rFonts w:asciiTheme="minorBidi" w:hAnsiTheme="minorBidi"/>
          <w:sz w:val="24"/>
          <w:szCs w:val="24"/>
        </w:rPr>
        <w:t xml:space="preserve">[Online]. Available: </w:t>
      </w:r>
      <w:hyperlink r:id="rId51" w:history="1">
        <w:r w:rsidRPr="004D2191">
          <w:rPr>
            <w:rStyle w:val="Hyperlink"/>
            <w:rFonts w:asciiTheme="minorBidi" w:hAnsiTheme="minorBidi"/>
            <w:sz w:val="24"/>
            <w:szCs w:val="24"/>
          </w:rPr>
          <w:t>https://www.bigbrotherwatch.org.uk/wp-content/uploads/2024/03/Big-Brother-Watch-Impact-Report-2023.pdf</w:t>
        </w:r>
      </w:hyperlink>
      <w:r w:rsidRPr="004D2191">
        <w:rPr>
          <w:rFonts w:asciiTheme="minorBidi" w:hAnsiTheme="minorBidi"/>
          <w:sz w:val="24"/>
          <w:szCs w:val="24"/>
        </w:rPr>
        <w:t xml:space="preserve"> [Accessed 08 Jan 2025].</w:t>
      </w:r>
    </w:p>
    <w:p w14:paraId="19AFAACF"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Fussey, P. &amp; Murray, D. 2019. Independent report on the London Metropolitan Police Service’s trial of live facial recognition technology.</w:t>
      </w:r>
    </w:p>
    <w:p w14:paraId="03388518"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Gannoni, A., Willis, M., Taylor, E. &amp; Lee, M. 2017. Surveillance technologies and crime control: Understanding police detainees’ perspectives on police body-worn video (BWV) and CCTV cameras.</w:t>
      </w:r>
    </w:p>
    <w:p w14:paraId="2A569E8B"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Haggerty, K. D. &amp; Ericson, R. V. 2001. The surveillant assemblage. </w:t>
      </w:r>
      <w:r w:rsidRPr="004D2191">
        <w:rPr>
          <w:rFonts w:asciiTheme="minorBidi" w:hAnsiTheme="minorBidi"/>
          <w:i/>
          <w:sz w:val="24"/>
          <w:szCs w:val="24"/>
        </w:rPr>
        <w:t>Surveillance, crime and social control</w:t>
      </w:r>
      <w:r w:rsidRPr="004D2191">
        <w:rPr>
          <w:rFonts w:asciiTheme="minorBidi" w:hAnsiTheme="minorBidi"/>
          <w:b/>
          <w:sz w:val="24"/>
          <w:szCs w:val="24"/>
        </w:rPr>
        <w:t>,</w:t>
      </w:r>
      <w:r w:rsidRPr="004D2191">
        <w:rPr>
          <w:rFonts w:asciiTheme="minorBidi" w:hAnsiTheme="minorBidi"/>
          <w:sz w:val="24"/>
          <w:szCs w:val="24"/>
        </w:rPr>
        <w:t xml:space="preserve"> 61-78.</w:t>
      </w:r>
    </w:p>
    <w:p w14:paraId="580D1682"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Home Office. 2023. </w:t>
      </w:r>
      <w:r w:rsidRPr="004D2191">
        <w:rPr>
          <w:rFonts w:asciiTheme="minorBidi" w:hAnsiTheme="minorBidi"/>
          <w:i/>
          <w:sz w:val="24"/>
          <w:szCs w:val="24"/>
        </w:rPr>
        <w:t xml:space="preserve">Regulation of Investigatory Powers Act 2000 (RIPA) </w:t>
      </w:r>
      <w:r w:rsidRPr="004D2191">
        <w:rPr>
          <w:rFonts w:asciiTheme="minorBidi" w:hAnsiTheme="minorBidi"/>
          <w:sz w:val="24"/>
          <w:szCs w:val="24"/>
        </w:rPr>
        <w:t xml:space="preserve">[Online]. GOV.UK. Available: </w:t>
      </w:r>
      <w:hyperlink r:id="rId52" w:history="1">
        <w:r w:rsidRPr="004D2191">
          <w:rPr>
            <w:rStyle w:val="Hyperlink"/>
            <w:rFonts w:asciiTheme="minorBidi" w:hAnsiTheme="minorBidi"/>
            <w:sz w:val="24"/>
            <w:szCs w:val="24"/>
          </w:rPr>
          <w:t>https://www.gov.uk/government/publications/regulation-of-investigatory-powers-act-2000-ripa/regulation-of-investigatory-powers-act-2000-ripa</w:t>
        </w:r>
      </w:hyperlink>
      <w:r w:rsidRPr="004D2191">
        <w:rPr>
          <w:rFonts w:asciiTheme="minorBidi" w:hAnsiTheme="minorBidi"/>
          <w:sz w:val="24"/>
          <w:szCs w:val="24"/>
        </w:rPr>
        <w:t xml:space="preserve"> [Accessed 03 Jan 2025].</w:t>
      </w:r>
    </w:p>
    <w:p w14:paraId="09256C2C"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Horgan, S., Collier, B., Stewart, J. &amp; Thomas, D. R. 2024. Influence Policing: Domestic Digital Influence Campaigns and Algorithmic Strategic Communications in UK Law Enforcement and Homeland Security. </w:t>
      </w:r>
      <w:r w:rsidRPr="004D2191">
        <w:rPr>
          <w:rFonts w:asciiTheme="minorBidi" w:hAnsiTheme="minorBidi"/>
          <w:i/>
          <w:sz w:val="24"/>
          <w:szCs w:val="24"/>
        </w:rPr>
        <w:t>The British Journal of Criminology</w:t>
      </w:r>
      <w:r w:rsidRPr="004D2191">
        <w:rPr>
          <w:rFonts w:asciiTheme="minorBidi" w:hAnsiTheme="minorBidi"/>
          <w:sz w:val="24"/>
          <w:szCs w:val="24"/>
        </w:rPr>
        <w:t>.</w:t>
      </w:r>
    </w:p>
    <w:p w14:paraId="7BB37985"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Ico. 2024. </w:t>
      </w:r>
      <w:r w:rsidRPr="004D2191">
        <w:rPr>
          <w:rFonts w:asciiTheme="minorBidi" w:hAnsiTheme="minorBidi"/>
          <w:i/>
          <w:sz w:val="24"/>
          <w:szCs w:val="24"/>
        </w:rPr>
        <w:t xml:space="preserve">What are our responsibilities in terms of  accountability? </w:t>
      </w:r>
      <w:r w:rsidRPr="004D2191">
        <w:rPr>
          <w:rFonts w:asciiTheme="minorBidi" w:hAnsiTheme="minorBidi"/>
          <w:sz w:val="24"/>
          <w:szCs w:val="24"/>
        </w:rPr>
        <w:t xml:space="preserve">[Online]. Ico.org.uk. Available: </w:t>
      </w:r>
      <w:hyperlink r:id="rId53" w:history="1">
        <w:r w:rsidRPr="004D2191">
          <w:rPr>
            <w:rStyle w:val="Hyperlink"/>
            <w:rFonts w:asciiTheme="minorBidi" w:hAnsiTheme="minorBidi"/>
            <w:sz w:val="24"/>
            <w:szCs w:val="24"/>
          </w:rPr>
          <w:t>https://ico.org.uk/for-organisations/uk-gdpr-guidance-and-resources/cctv-and-video-surveillance/guidance-on-video-surveillance-including-cctv/what-are-our-responsibilities-in-terms-of-accountability/</w:t>
        </w:r>
      </w:hyperlink>
      <w:r w:rsidRPr="004D2191">
        <w:rPr>
          <w:rFonts w:asciiTheme="minorBidi" w:hAnsiTheme="minorBidi"/>
          <w:sz w:val="24"/>
          <w:szCs w:val="24"/>
        </w:rPr>
        <w:t>. [Accessed 04 Jan 2025].</w:t>
      </w:r>
    </w:p>
    <w:p w14:paraId="2F49E398"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lastRenderedPageBreak/>
        <w:t xml:space="preserve">Ifsec Global. 2020. </w:t>
      </w:r>
      <w:r w:rsidRPr="004D2191">
        <w:rPr>
          <w:rFonts w:asciiTheme="minorBidi" w:hAnsiTheme="minorBidi"/>
          <w:i/>
          <w:sz w:val="24"/>
          <w:szCs w:val="24"/>
        </w:rPr>
        <w:t xml:space="preserve">Revealed: The UK’s most-watched cities </w:t>
      </w:r>
      <w:r w:rsidRPr="004D2191">
        <w:rPr>
          <w:rFonts w:asciiTheme="minorBidi" w:hAnsiTheme="minorBidi"/>
          <w:sz w:val="24"/>
          <w:szCs w:val="24"/>
        </w:rPr>
        <w:t xml:space="preserve">[Online]. IFSEC Global | Security and Fire News and Resources. Available: </w:t>
      </w:r>
      <w:hyperlink r:id="rId54" w:history="1">
        <w:r w:rsidRPr="004D2191">
          <w:rPr>
            <w:rStyle w:val="Hyperlink"/>
            <w:rFonts w:asciiTheme="minorBidi" w:hAnsiTheme="minorBidi"/>
            <w:sz w:val="24"/>
            <w:szCs w:val="24"/>
          </w:rPr>
          <w:t>https://www.ifsecglobal.com/video-surveillance/revealed-the-uks-most-watched-cities/</w:t>
        </w:r>
      </w:hyperlink>
      <w:r w:rsidRPr="004D2191">
        <w:rPr>
          <w:rFonts w:asciiTheme="minorBidi" w:hAnsiTheme="minorBidi"/>
          <w:sz w:val="24"/>
          <w:szCs w:val="24"/>
        </w:rPr>
        <w:t xml:space="preserve"> [Accessed 04 Jan 2025].</w:t>
      </w:r>
    </w:p>
    <w:p w14:paraId="40AD16DC"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Igi Global and Information Resources Management Association 2019. </w:t>
      </w:r>
      <w:r w:rsidRPr="004D2191">
        <w:rPr>
          <w:rFonts w:asciiTheme="minorBidi" w:hAnsiTheme="minorBidi"/>
          <w:i/>
          <w:sz w:val="24"/>
          <w:szCs w:val="24"/>
        </w:rPr>
        <w:t xml:space="preserve">Cyber Law, Privacy, and Security: Concepts, Methodologies, Tools, and Applications, </w:t>
      </w:r>
      <w:r w:rsidRPr="004D2191">
        <w:rPr>
          <w:rFonts w:asciiTheme="minorBidi" w:hAnsiTheme="minorBidi"/>
          <w:sz w:val="24"/>
          <w:szCs w:val="24"/>
        </w:rPr>
        <w:t>Hershey, Pennsylvania (701 E. Chocolate Avenue, Hershey, Pennsylvania, 17033, Usa, IGI Global.</w:t>
      </w:r>
    </w:p>
    <w:p w14:paraId="4B52CB31"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Kiteworks. n.d. </w:t>
      </w:r>
      <w:r w:rsidRPr="004D2191">
        <w:rPr>
          <w:rFonts w:asciiTheme="minorBidi" w:hAnsiTheme="minorBidi"/>
          <w:i/>
          <w:sz w:val="24"/>
          <w:szCs w:val="24"/>
        </w:rPr>
        <w:t xml:space="preserve">The UK Investigatory Powers Act 2016 </w:t>
      </w:r>
      <w:r w:rsidRPr="004D2191">
        <w:rPr>
          <w:rFonts w:asciiTheme="minorBidi" w:hAnsiTheme="minorBidi"/>
          <w:sz w:val="24"/>
          <w:szCs w:val="24"/>
        </w:rPr>
        <w:t xml:space="preserve">[Online]. Kiteworks | Your Private Content Network. Available: </w:t>
      </w:r>
      <w:hyperlink r:id="rId55" w:history="1">
        <w:r w:rsidRPr="004D2191">
          <w:rPr>
            <w:rStyle w:val="Hyperlink"/>
            <w:rFonts w:asciiTheme="minorBidi" w:hAnsiTheme="minorBidi"/>
            <w:sz w:val="24"/>
            <w:szCs w:val="24"/>
          </w:rPr>
          <w:t>https://www.kiteworks.com/risk-compliance-glossary/uk-investigatory-powers-act/</w:t>
        </w:r>
      </w:hyperlink>
      <w:r w:rsidRPr="004D2191">
        <w:rPr>
          <w:rFonts w:asciiTheme="minorBidi" w:hAnsiTheme="minorBidi"/>
          <w:sz w:val="24"/>
          <w:szCs w:val="24"/>
        </w:rPr>
        <w:t>. [Accessed 05 Jan 2025].</w:t>
      </w:r>
    </w:p>
    <w:p w14:paraId="4249E567"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Lyon, D. 2001. </w:t>
      </w:r>
      <w:r w:rsidRPr="004D2191">
        <w:rPr>
          <w:rFonts w:asciiTheme="minorBidi" w:hAnsiTheme="minorBidi"/>
          <w:i/>
          <w:sz w:val="24"/>
          <w:szCs w:val="24"/>
        </w:rPr>
        <w:t>Surveillance society</w:t>
      </w:r>
      <w:r w:rsidRPr="004D2191">
        <w:rPr>
          <w:rFonts w:asciiTheme="minorBidi" w:hAnsiTheme="minorBidi"/>
          <w:sz w:val="24"/>
          <w:szCs w:val="24"/>
        </w:rPr>
        <w:t>, McGraw-Hill Education (UK).</w:t>
      </w:r>
    </w:p>
    <w:p w14:paraId="27F268A7"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Sandhu, A. &amp; Fussey, P. 2020. The ‘uberization of policing’? How police negotiate and operationalise predictive policing technology. </w:t>
      </w:r>
      <w:r w:rsidRPr="004D2191">
        <w:rPr>
          <w:rFonts w:asciiTheme="minorBidi" w:hAnsiTheme="minorBidi"/>
          <w:i/>
          <w:sz w:val="24"/>
          <w:szCs w:val="24"/>
        </w:rPr>
        <w:t>Policing and Society,</w:t>
      </w:r>
      <w:r w:rsidRPr="004D2191">
        <w:rPr>
          <w:rFonts w:asciiTheme="minorBidi" w:hAnsiTheme="minorBidi"/>
          <w:sz w:val="24"/>
          <w:szCs w:val="24"/>
        </w:rPr>
        <w:t xml:space="preserve"> 31</w:t>
      </w:r>
      <w:r w:rsidRPr="004D2191">
        <w:rPr>
          <w:rFonts w:asciiTheme="minorBidi" w:hAnsiTheme="minorBidi"/>
          <w:b/>
          <w:sz w:val="24"/>
          <w:szCs w:val="24"/>
        </w:rPr>
        <w:t>,</w:t>
      </w:r>
      <w:r w:rsidRPr="004D2191">
        <w:rPr>
          <w:rFonts w:asciiTheme="minorBidi" w:hAnsiTheme="minorBidi"/>
          <w:sz w:val="24"/>
          <w:szCs w:val="24"/>
        </w:rPr>
        <w:t xml:space="preserve"> 66-81.</w:t>
      </w:r>
    </w:p>
    <w:p w14:paraId="19A5860B"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Sargiacomo, M. 2009. Michel Foucault, Discipline and Punish: The Birth of the Prison. </w:t>
      </w:r>
      <w:r w:rsidRPr="004D2191">
        <w:rPr>
          <w:rFonts w:asciiTheme="minorBidi" w:hAnsiTheme="minorBidi"/>
          <w:i/>
          <w:sz w:val="24"/>
          <w:szCs w:val="24"/>
        </w:rPr>
        <w:t>Journal of Management &amp; Governance,</w:t>
      </w:r>
      <w:r w:rsidRPr="004D2191">
        <w:rPr>
          <w:rFonts w:asciiTheme="minorBidi" w:hAnsiTheme="minorBidi"/>
          <w:sz w:val="24"/>
          <w:szCs w:val="24"/>
        </w:rPr>
        <w:t xml:space="preserve"> 13</w:t>
      </w:r>
      <w:r w:rsidRPr="004D2191">
        <w:rPr>
          <w:rFonts w:asciiTheme="minorBidi" w:hAnsiTheme="minorBidi"/>
          <w:b/>
          <w:sz w:val="24"/>
          <w:szCs w:val="24"/>
        </w:rPr>
        <w:t>,</w:t>
      </w:r>
      <w:r w:rsidRPr="004D2191">
        <w:rPr>
          <w:rFonts w:asciiTheme="minorBidi" w:hAnsiTheme="minorBidi"/>
          <w:sz w:val="24"/>
          <w:szCs w:val="24"/>
        </w:rPr>
        <w:t xml:space="preserve"> 269-280.</w:t>
      </w:r>
    </w:p>
    <w:p w14:paraId="7E141063"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Ucl. 2024. </w:t>
      </w:r>
      <w:r w:rsidRPr="004D2191">
        <w:rPr>
          <w:rFonts w:asciiTheme="minorBidi" w:hAnsiTheme="minorBidi"/>
          <w:i/>
          <w:sz w:val="24"/>
          <w:szCs w:val="24"/>
        </w:rPr>
        <w:t xml:space="preserve">The Panopticon </w:t>
      </w:r>
      <w:r w:rsidRPr="004D2191">
        <w:rPr>
          <w:rFonts w:asciiTheme="minorBidi" w:hAnsiTheme="minorBidi"/>
          <w:sz w:val="24"/>
          <w:szCs w:val="24"/>
        </w:rPr>
        <w:t xml:space="preserve">[Online]. Museums and Collections. Available: </w:t>
      </w:r>
      <w:hyperlink r:id="rId56" w:history="1">
        <w:r w:rsidRPr="004D2191">
          <w:rPr>
            <w:rStyle w:val="Hyperlink"/>
            <w:rFonts w:asciiTheme="minorBidi" w:hAnsiTheme="minorBidi"/>
            <w:sz w:val="24"/>
            <w:szCs w:val="24"/>
          </w:rPr>
          <w:t>https://www.ucl.ac.uk/museums-collections/auto-icon-jeremy-bentham/panopticon</w:t>
        </w:r>
      </w:hyperlink>
      <w:r w:rsidRPr="004D2191">
        <w:rPr>
          <w:rFonts w:asciiTheme="minorBidi" w:hAnsiTheme="minorBidi"/>
          <w:sz w:val="24"/>
          <w:szCs w:val="24"/>
        </w:rPr>
        <w:t xml:space="preserve"> [Accessed 04 Jan 2025].</w:t>
      </w:r>
    </w:p>
    <w:p w14:paraId="62C58F3D" w14:textId="77777777" w:rsidR="002170AC" w:rsidRPr="004D2191" w:rsidRDefault="002170AC" w:rsidP="002170AC">
      <w:pPr>
        <w:pStyle w:val="EndNoteBibliography"/>
        <w:spacing w:after="0" w:line="360" w:lineRule="auto"/>
        <w:ind w:left="720" w:hanging="720"/>
        <w:rPr>
          <w:rFonts w:asciiTheme="minorBidi" w:hAnsiTheme="minorBidi"/>
          <w:sz w:val="24"/>
          <w:szCs w:val="24"/>
        </w:rPr>
      </w:pPr>
      <w:r w:rsidRPr="004D2191">
        <w:rPr>
          <w:rFonts w:asciiTheme="minorBidi" w:hAnsiTheme="minorBidi"/>
          <w:sz w:val="24"/>
          <w:szCs w:val="24"/>
        </w:rPr>
        <w:t xml:space="preserve">Ucpi. n.d. </w:t>
      </w:r>
      <w:r w:rsidRPr="004D2191">
        <w:rPr>
          <w:rFonts w:asciiTheme="minorBidi" w:hAnsiTheme="minorBidi"/>
          <w:i/>
          <w:sz w:val="24"/>
          <w:szCs w:val="24"/>
        </w:rPr>
        <w:t xml:space="preserve">Undercover Policing Inquiry: Official Website </w:t>
      </w:r>
      <w:r w:rsidRPr="004D2191">
        <w:rPr>
          <w:rFonts w:asciiTheme="minorBidi" w:hAnsiTheme="minorBidi"/>
          <w:sz w:val="24"/>
          <w:szCs w:val="24"/>
        </w:rPr>
        <w:t xml:space="preserve">[Online]. </w:t>
      </w:r>
      <w:hyperlink r:id="rId57" w:history="1">
        <w:r w:rsidRPr="004D2191">
          <w:rPr>
            <w:rStyle w:val="Hyperlink"/>
            <w:rFonts w:asciiTheme="minorBidi" w:hAnsiTheme="minorBidi"/>
            <w:sz w:val="24"/>
            <w:szCs w:val="24"/>
          </w:rPr>
          <w:t>www.ucpi.org.ukUndercover</w:t>
        </w:r>
      </w:hyperlink>
      <w:r w:rsidRPr="004D2191">
        <w:rPr>
          <w:rFonts w:asciiTheme="minorBidi" w:hAnsiTheme="minorBidi"/>
          <w:sz w:val="24"/>
          <w:szCs w:val="24"/>
        </w:rPr>
        <w:t xml:space="preserve"> Undercover Policing Inquiry. Available: </w:t>
      </w:r>
      <w:hyperlink r:id="rId58" w:history="1">
        <w:r w:rsidRPr="004D2191">
          <w:rPr>
            <w:rStyle w:val="Hyperlink"/>
            <w:rFonts w:asciiTheme="minorBidi" w:hAnsiTheme="minorBidi"/>
            <w:sz w:val="24"/>
            <w:szCs w:val="24"/>
          </w:rPr>
          <w:t>https://www.ucpi.org.uk/</w:t>
        </w:r>
      </w:hyperlink>
      <w:r w:rsidRPr="004D2191">
        <w:rPr>
          <w:rFonts w:asciiTheme="minorBidi" w:hAnsiTheme="minorBidi"/>
          <w:sz w:val="24"/>
          <w:szCs w:val="24"/>
        </w:rPr>
        <w:t xml:space="preserve"> [Accessed].</w:t>
      </w:r>
    </w:p>
    <w:p w14:paraId="5014F8F1" w14:textId="77777777" w:rsidR="002170AC" w:rsidRPr="004D2191" w:rsidRDefault="002170AC" w:rsidP="002170AC">
      <w:pPr>
        <w:pStyle w:val="EndNoteBibliography"/>
        <w:spacing w:line="360" w:lineRule="auto"/>
        <w:ind w:left="720" w:hanging="720"/>
        <w:rPr>
          <w:rFonts w:asciiTheme="minorBidi" w:hAnsiTheme="minorBidi"/>
          <w:sz w:val="24"/>
          <w:szCs w:val="24"/>
        </w:rPr>
      </w:pPr>
      <w:r w:rsidRPr="004D2191">
        <w:rPr>
          <w:rFonts w:asciiTheme="minorBidi" w:hAnsiTheme="minorBidi"/>
          <w:sz w:val="24"/>
          <w:szCs w:val="24"/>
        </w:rPr>
        <w:t xml:space="preserve">Urquhart, L. &amp; Miranda, D. 2021. Policing faces: the present and future of intelligent facial surveillance. </w:t>
      </w:r>
      <w:r w:rsidRPr="004D2191">
        <w:rPr>
          <w:rFonts w:asciiTheme="minorBidi" w:hAnsiTheme="minorBidi"/>
          <w:i/>
          <w:sz w:val="24"/>
          <w:szCs w:val="24"/>
        </w:rPr>
        <w:t>Information &amp; Communications Technology Law,</w:t>
      </w:r>
      <w:r w:rsidRPr="004D2191">
        <w:rPr>
          <w:rFonts w:asciiTheme="minorBidi" w:hAnsiTheme="minorBidi"/>
          <w:sz w:val="24"/>
          <w:szCs w:val="24"/>
        </w:rPr>
        <w:t xml:space="preserve"> 31</w:t>
      </w:r>
      <w:r w:rsidRPr="004D2191">
        <w:rPr>
          <w:rFonts w:asciiTheme="minorBidi" w:hAnsiTheme="minorBidi"/>
          <w:b/>
          <w:sz w:val="24"/>
          <w:szCs w:val="24"/>
        </w:rPr>
        <w:t>,</w:t>
      </w:r>
      <w:r w:rsidRPr="004D2191">
        <w:rPr>
          <w:rFonts w:asciiTheme="minorBidi" w:hAnsiTheme="minorBidi"/>
          <w:sz w:val="24"/>
          <w:szCs w:val="24"/>
        </w:rPr>
        <w:t xml:space="preserve"> 194-219.</w:t>
      </w:r>
    </w:p>
    <w:p w14:paraId="4F9F10F6" w14:textId="77777777" w:rsidR="002170AC" w:rsidRPr="004D2191" w:rsidRDefault="002170AC" w:rsidP="002170AC">
      <w:pPr>
        <w:spacing w:line="360" w:lineRule="auto"/>
        <w:rPr>
          <w:rFonts w:asciiTheme="minorBidi" w:hAnsiTheme="minorBidi"/>
          <w:sz w:val="24"/>
          <w:szCs w:val="24"/>
        </w:rPr>
      </w:pPr>
      <w:r w:rsidRPr="004D2191">
        <w:rPr>
          <w:rFonts w:asciiTheme="minorBidi" w:hAnsiTheme="minorBidi"/>
          <w:sz w:val="24"/>
          <w:szCs w:val="24"/>
        </w:rPr>
        <w:fldChar w:fldCharType="end"/>
      </w:r>
    </w:p>
    <w:p w14:paraId="245A9E49" w14:textId="77777777" w:rsidR="002170AC" w:rsidRPr="004D2191" w:rsidRDefault="002170AC" w:rsidP="002170AC">
      <w:pPr>
        <w:spacing w:line="360" w:lineRule="auto"/>
        <w:rPr>
          <w:rFonts w:asciiTheme="minorBidi" w:hAnsiTheme="minorBidi"/>
          <w:sz w:val="24"/>
          <w:szCs w:val="24"/>
        </w:rPr>
      </w:pPr>
    </w:p>
    <w:p w14:paraId="6134AB55" w14:textId="77777777" w:rsidR="002170AC" w:rsidRPr="002170AC" w:rsidRDefault="002170AC" w:rsidP="002170AC">
      <w:pPr>
        <w:ind w:right="107"/>
        <w:jc w:val="both"/>
        <w:rPr>
          <w:rFonts w:asciiTheme="minorBidi" w:eastAsia="Arial" w:hAnsiTheme="minorBidi"/>
          <w:b/>
          <w:bCs/>
          <w:color w:val="000000" w:themeColor="text1"/>
          <w:sz w:val="24"/>
          <w:szCs w:val="24"/>
        </w:rPr>
      </w:pPr>
    </w:p>
    <w:p w14:paraId="6C2C3C3D" w14:textId="303E9723" w:rsidR="7336895D" w:rsidRPr="002170AC" w:rsidRDefault="7336895D" w:rsidP="46EDD448">
      <w:pPr>
        <w:ind w:right="237"/>
        <w:jc w:val="both"/>
        <w:rPr>
          <w:rFonts w:asciiTheme="minorBidi" w:eastAsia="Arial" w:hAnsiTheme="minorBidi"/>
          <w:color w:val="000000" w:themeColor="text1"/>
          <w:sz w:val="24"/>
          <w:szCs w:val="24"/>
        </w:rPr>
      </w:pPr>
    </w:p>
    <w:p w14:paraId="29F5A0F6" w14:textId="61101F92" w:rsidR="7336895D" w:rsidRPr="002170AC" w:rsidRDefault="7336895D" w:rsidP="46EDD448">
      <w:pPr>
        <w:ind w:right="237"/>
        <w:jc w:val="both"/>
        <w:rPr>
          <w:rFonts w:asciiTheme="minorBidi" w:eastAsia="Arial" w:hAnsiTheme="minorBidi"/>
          <w:color w:val="000000" w:themeColor="text1"/>
          <w:sz w:val="24"/>
          <w:szCs w:val="24"/>
        </w:rPr>
      </w:pPr>
    </w:p>
    <w:p w14:paraId="3BE38F4A" w14:textId="5CFD487C" w:rsidR="7336895D" w:rsidRPr="002170AC" w:rsidRDefault="7336895D" w:rsidP="46EDD448">
      <w:pPr>
        <w:ind w:left="3600" w:right="107" w:firstLine="720"/>
        <w:jc w:val="both"/>
        <w:rPr>
          <w:rFonts w:asciiTheme="minorBidi" w:eastAsia="Arial" w:hAnsiTheme="minorBidi"/>
          <w:b/>
          <w:bCs/>
          <w:color w:val="000000" w:themeColor="text1"/>
          <w:sz w:val="24"/>
          <w:szCs w:val="24"/>
        </w:rPr>
      </w:pPr>
    </w:p>
    <w:p w14:paraId="6A5231C0" w14:textId="05930D5F" w:rsidR="00583D68" w:rsidRDefault="00583D68" w:rsidP="00583D68">
      <w:pPr>
        <w:jc w:val="center"/>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lastRenderedPageBreak/>
        <w:t>Cont. Task 4</w:t>
      </w:r>
    </w:p>
    <w:p w14:paraId="6E4B743B" w14:textId="77777777" w:rsidR="00583D68" w:rsidRPr="002170AC" w:rsidRDefault="00583D68" w:rsidP="00583D68">
      <w:pPr>
        <w:rPr>
          <w:rFonts w:asciiTheme="minorBidi" w:eastAsia="Arial" w:hAnsiTheme="minorBidi"/>
          <w:b/>
          <w:bCs/>
          <w:color w:val="000000" w:themeColor="text1"/>
          <w:sz w:val="24"/>
          <w:szCs w:val="24"/>
        </w:rPr>
      </w:pPr>
      <w:r w:rsidRPr="002170AC">
        <w:rPr>
          <w:rFonts w:asciiTheme="minorBidi" w:eastAsia="Arial" w:hAnsiTheme="minorBidi"/>
          <w:b/>
          <w:bCs/>
          <w:i/>
          <w:iCs/>
          <w:color w:val="000000" w:themeColor="text1"/>
          <w:sz w:val="24"/>
          <w:szCs w:val="24"/>
        </w:rPr>
        <w:t>Task 4: Investigation Methodology &amp; Theory</w:t>
      </w:r>
    </w:p>
    <w:tbl>
      <w:tblPr>
        <w:tblStyle w:val="TableGrid"/>
        <w:tblW w:w="0" w:type="auto"/>
        <w:tblLayout w:type="fixed"/>
        <w:tblLook w:val="06A0" w:firstRow="1" w:lastRow="0" w:firstColumn="1" w:lastColumn="0" w:noHBand="1" w:noVBand="1"/>
      </w:tblPr>
      <w:tblGrid>
        <w:gridCol w:w="9015"/>
      </w:tblGrid>
      <w:tr w:rsidR="00583D68" w:rsidRPr="002170AC" w14:paraId="55BC91E6" w14:textId="77777777" w:rsidTr="009E3F92">
        <w:tc>
          <w:tcPr>
            <w:tcW w:w="9015" w:type="dxa"/>
          </w:tcPr>
          <w:p w14:paraId="5FB6E156" w14:textId="77777777" w:rsidR="00583D68" w:rsidRPr="002170AC" w:rsidRDefault="00583D68" w:rsidP="009E3F92">
            <w:pPr>
              <w:rPr>
                <w:rFonts w:asciiTheme="minorBidi" w:eastAsia="Arial" w:hAnsiTheme="minorBidi"/>
                <w:b/>
                <w:bCs/>
                <w:color w:val="000000" w:themeColor="text1"/>
                <w:sz w:val="24"/>
                <w:szCs w:val="24"/>
              </w:rPr>
            </w:pPr>
          </w:p>
          <w:p w14:paraId="05EF7B49" w14:textId="77777777" w:rsidR="00583D68" w:rsidRPr="00583D68" w:rsidRDefault="00583D68" w:rsidP="009E3F92">
            <w:pPr>
              <w:rPr>
                <w:rFonts w:asciiTheme="minorBidi" w:eastAsia="Arial" w:hAnsiTheme="minorBidi"/>
                <w:color w:val="000000" w:themeColor="text1"/>
                <w:sz w:val="24"/>
                <w:szCs w:val="24"/>
              </w:rPr>
            </w:pPr>
            <w:r w:rsidRPr="00583D68">
              <w:rPr>
                <w:rFonts w:asciiTheme="minorBidi" w:eastAsia="Arial" w:hAnsiTheme="minorBidi"/>
                <w:color w:val="000000" w:themeColor="text1"/>
                <w:sz w:val="24"/>
                <w:szCs w:val="24"/>
              </w:rPr>
              <w:t>4a. Research and critically analyse current theories and methodologies relevant to your own specified area of investigation (</w:t>
            </w:r>
            <w:r w:rsidRPr="00583D68">
              <w:rPr>
                <w:rFonts w:asciiTheme="minorBidi" w:eastAsia="Arial" w:hAnsiTheme="minorBidi"/>
                <w:i/>
                <w:iCs/>
                <w:color w:val="000000" w:themeColor="text1"/>
                <w:sz w:val="24"/>
                <w:szCs w:val="24"/>
              </w:rPr>
              <w:t>e.g., use of specialist interviewing techniques, crime scene management, NDM, intelligence etc.)</w:t>
            </w:r>
            <w:r w:rsidRPr="00583D68">
              <w:rPr>
                <w:rFonts w:asciiTheme="minorBidi" w:eastAsia="Arial" w:hAnsiTheme="minorBidi"/>
                <w:color w:val="000000" w:themeColor="text1"/>
                <w:sz w:val="24"/>
                <w:szCs w:val="24"/>
              </w:rPr>
              <w:t xml:space="preserve">. </w:t>
            </w:r>
          </w:p>
          <w:p w14:paraId="4F59473B" w14:textId="77777777" w:rsidR="00583D68" w:rsidRPr="002170AC" w:rsidRDefault="00583D68" w:rsidP="009E3F92">
            <w:pPr>
              <w:rPr>
                <w:rFonts w:asciiTheme="minorBidi" w:eastAsia="Arial" w:hAnsiTheme="minorBidi"/>
                <w:color w:val="000000" w:themeColor="text1"/>
                <w:sz w:val="24"/>
                <w:szCs w:val="24"/>
              </w:rPr>
            </w:pPr>
          </w:p>
          <w:p w14:paraId="2F0E869D" w14:textId="77777777" w:rsidR="00583D68" w:rsidRPr="00583D68" w:rsidRDefault="00583D68" w:rsidP="009E3F92">
            <w:pPr>
              <w:rPr>
                <w:rFonts w:asciiTheme="minorBidi" w:eastAsia="Arial" w:hAnsiTheme="minorBidi"/>
                <w:b/>
                <w:bCs/>
                <w:color w:val="000000" w:themeColor="text1"/>
                <w:sz w:val="24"/>
                <w:szCs w:val="24"/>
              </w:rPr>
            </w:pPr>
            <w:r w:rsidRPr="00583D68">
              <w:rPr>
                <w:rFonts w:asciiTheme="minorBidi" w:eastAsia="Arial" w:hAnsiTheme="minorBidi"/>
                <w:b/>
                <w:bCs/>
                <w:color w:val="000000" w:themeColor="text1"/>
                <w:sz w:val="24"/>
                <w:szCs w:val="24"/>
              </w:rPr>
              <w:t xml:space="preserve">4b. Evaluate the importance of applying skills, knowledge and experience to reach appropriate investigative outcomes. </w:t>
            </w:r>
          </w:p>
          <w:p w14:paraId="5B4F0941" w14:textId="77777777" w:rsidR="00583D68" w:rsidRPr="002170AC" w:rsidRDefault="00583D68" w:rsidP="009E3F92">
            <w:pPr>
              <w:rPr>
                <w:rFonts w:asciiTheme="minorBidi" w:eastAsia="Arial" w:hAnsiTheme="minorBidi"/>
                <w:color w:val="000000" w:themeColor="text1"/>
                <w:sz w:val="24"/>
                <w:szCs w:val="24"/>
              </w:rPr>
            </w:pPr>
          </w:p>
          <w:p w14:paraId="0222E2C0" w14:textId="77777777" w:rsidR="00583D68" w:rsidRPr="002170AC" w:rsidRDefault="00583D68" w:rsidP="009E3F92">
            <w:pPr>
              <w:rPr>
                <w:rFonts w:asciiTheme="minorBidi" w:eastAsia="Arial" w:hAnsiTheme="minorBidi"/>
                <w:b/>
                <w:bCs/>
                <w:color w:val="000000" w:themeColor="text1"/>
                <w:sz w:val="24"/>
                <w:szCs w:val="24"/>
              </w:rPr>
            </w:pPr>
          </w:p>
          <w:p w14:paraId="0F6194F4" w14:textId="77777777" w:rsidR="00583D68" w:rsidRPr="002170AC" w:rsidRDefault="00583D68" w:rsidP="009E3F92">
            <w:pPr>
              <w:rPr>
                <w:rFonts w:asciiTheme="minorBidi" w:eastAsia="Arial" w:hAnsiTheme="minorBidi"/>
                <w:sz w:val="24"/>
                <w:szCs w:val="24"/>
              </w:rPr>
            </w:pPr>
            <w:r w:rsidRPr="002170AC">
              <w:rPr>
                <w:rFonts w:asciiTheme="minorBidi" w:eastAsia="Arial" w:hAnsiTheme="minorBidi"/>
                <w:b/>
                <w:bCs/>
                <w:color w:val="000000" w:themeColor="text1"/>
                <w:sz w:val="24"/>
                <w:szCs w:val="24"/>
              </w:rPr>
              <w:t>2000 words</w:t>
            </w:r>
            <w:r w:rsidRPr="002170AC">
              <w:rPr>
                <w:rFonts w:asciiTheme="minorBidi" w:eastAsia="Arial" w:hAnsiTheme="minorBidi"/>
                <w:color w:val="000000" w:themeColor="text1"/>
                <w:sz w:val="24"/>
                <w:szCs w:val="24"/>
              </w:rPr>
              <w:t xml:space="preserve"> </w:t>
            </w:r>
            <w:r w:rsidRPr="002170AC">
              <w:rPr>
                <w:rFonts w:asciiTheme="minorBidi" w:eastAsia="Arial" w:hAnsiTheme="minorBidi"/>
                <w:i/>
                <w:iCs/>
                <w:color w:val="000000" w:themeColor="text1"/>
                <w:sz w:val="24"/>
                <w:szCs w:val="24"/>
              </w:rPr>
              <w:t>(+/- 10%: include your actual word count at the end of each section)</w:t>
            </w:r>
          </w:p>
          <w:p w14:paraId="2D9C06C5" w14:textId="77777777" w:rsidR="00583D68" w:rsidRPr="002170AC" w:rsidRDefault="00583D68" w:rsidP="009E3F92">
            <w:pPr>
              <w:rPr>
                <w:rFonts w:asciiTheme="minorBidi" w:eastAsia="Arial" w:hAnsiTheme="minorBidi"/>
                <w:b/>
                <w:bCs/>
                <w:color w:val="000000" w:themeColor="text1"/>
                <w:sz w:val="24"/>
                <w:szCs w:val="24"/>
              </w:rPr>
            </w:pPr>
          </w:p>
        </w:tc>
      </w:tr>
    </w:tbl>
    <w:p w14:paraId="3E3618B2" w14:textId="77777777" w:rsidR="00583D68" w:rsidRDefault="00583D68" w:rsidP="00583D68">
      <w:pPr>
        <w:ind w:right="107"/>
        <w:jc w:val="both"/>
        <w:rPr>
          <w:rFonts w:asciiTheme="minorBidi" w:eastAsia="Arial" w:hAnsiTheme="minorBidi"/>
          <w:b/>
          <w:bCs/>
          <w:color w:val="000000" w:themeColor="text1"/>
          <w:sz w:val="24"/>
          <w:szCs w:val="24"/>
        </w:rPr>
      </w:pPr>
    </w:p>
    <w:p w14:paraId="3C5E2CF8" w14:textId="2AD270FC" w:rsidR="00583D68" w:rsidRDefault="00583D68" w:rsidP="00583D68">
      <w:pPr>
        <w:ind w:right="107"/>
        <w:jc w:val="both"/>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t>Task 4b</w:t>
      </w:r>
    </w:p>
    <w:p w14:paraId="03F00ACD" w14:textId="77777777" w:rsidR="00583D68" w:rsidRDefault="00583D68" w:rsidP="00583D68">
      <w:pPr>
        <w:ind w:right="107"/>
        <w:jc w:val="both"/>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t xml:space="preserve">Answer: </w:t>
      </w:r>
    </w:p>
    <w:p w14:paraId="0297E092" w14:textId="77777777" w:rsidR="00583D68" w:rsidRPr="001F0F17" w:rsidRDefault="00583D68" w:rsidP="00583D68">
      <w:pPr>
        <w:spacing w:line="360" w:lineRule="auto"/>
        <w:rPr>
          <w:rFonts w:asciiTheme="minorBidi" w:hAnsiTheme="minorBidi"/>
          <w:b/>
          <w:bCs/>
          <w:sz w:val="24"/>
          <w:szCs w:val="24"/>
        </w:rPr>
      </w:pPr>
      <w:r w:rsidRPr="001F0F17">
        <w:rPr>
          <w:rFonts w:asciiTheme="minorBidi" w:hAnsiTheme="minorBidi"/>
          <w:b/>
          <w:bCs/>
          <w:sz w:val="24"/>
          <w:szCs w:val="24"/>
        </w:rPr>
        <w:t>Introduction</w:t>
      </w:r>
    </w:p>
    <w:p w14:paraId="178EE6BB" w14:textId="59B5301F"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Effective criminal investigations are not only pivotal for maintaining law and order, ensuring justice, and protecting the public, but also demand a seamless integration of skills, knowledge, and experience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&lt;EndNote&gt;&lt;Cite&gt;&lt;Author&gt;Eck&lt;/Author&gt;&lt;Year&gt;2019&lt;/Year&gt;&lt;RecNum&gt;6&lt;/RecNum&gt;&lt;DisplayText&gt;(Eck and Rossmo, 2019)&lt;/DisplayText&gt;&lt;record&gt;&lt;rec-number&gt;6&lt;/rec-number&gt;&lt;foreign-keys&gt;&lt;key app="EN" db-id="ss2tdevp8tvxsge0avpxx2w2de9f9prtt22t" timestamp="1736342432"&gt;6&lt;/key&gt;&lt;/foreign-keys&gt;&lt;ref-type name="Journal Article"&gt;17&lt;/ref-type&gt;&lt;contributors&gt;&lt;authors&gt;&lt;author&gt;Eck, John E&lt;/author&gt;&lt;author&gt;Rossmo, D Kim&lt;/author&gt;&lt;/authors&gt;&lt;/contributors&gt;&lt;titles&gt;&lt;title&gt;The new detective: Rethinking criminal investigations&lt;/title&gt;&lt;secondary-title&gt;Criminology &amp;amp; public policy&lt;/secondary-title&gt;&lt;/titles&gt;&lt;periodical&gt;&lt;full-title&gt;Criminology &amp;amp; public policy&lt;/full-title&gt;&lt;/periodical&gt;&lt;pages&gt;601-622&lt;/pages&gt;&lt;volume&gt;18&lt;/volume&gt;&lt;number&gt;3&lt;/number&gt;&lt;dates&gt;&lt;year&gt;2019&lt;/year&gt;&lt;/dates&gt;&lt;isbn&gt;1538-6473&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(Eck and Rossmo, 2019)</w:t>
      </w:r>
      <w:r w:rsidRPr="001F0F17">
        <w:rPr>
          <w:rFonts w:asciiTheme="minorBidi" w:hAnsiTheme="minorBidi"/>
          <w:sz w:val="24"/>
          <w:szCs w:val="24"/>
        </w:rPr>
        <w:fldChar w:fldCharType="end"/>
      </w:r>
      <w:r w:rsidRPr="001F0F17">
        <w:rPr>
          <w:rFonts w:asciiTheme="minorBidi" w:hAnsiTheme="minorBidi"/>
          <w:sz w:val="24"/>
          <w:szCs w:val="24"/>
        </w:rPr>
        <w:t xml:space="preserve">. These elements enable investigators to navigate complex and unpredictable scenarios, ensuring outcomes that uphold both legal standards and societal expectations. According to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 AuthorYear="1"&gt;&lt;Author&gt;Fahsing&lt;/Author&gt;&lt;Year&gt;2018&lt;/Year&gt;&lt;RecNum&gt;7&lt;/RecNum&gt;&lt;DisplayText&gt;Fahsing and Ask (2018)&lt;/DisplayText&gt;&lt;record&gt;&lt;rec-number&gt;7&lt;/rec-number&gt;&lt;foreign-keys&gt;&lt;key app="EN" db-id="ss2tdevp8tvxsge0avpxx2w2de9f9prtt22t" timestamp="1736342537"&gt;7&lt;/key&gt;&lt;/foreign-keys&gt;&lt;ref-type name="Journal Article"&gt;17&lt;/ref-type&gt;&lt;contributors&gt;&lt;authors&gt;&lt;author&gt;Fahsing, Ivar A&lt;/author&gt;&lt;author&gt;Ask, Karl&lt;/author&gt;&lt;/authors&gt;&lt;/contributors&gt;&lt;titles&gt;&lt;title&gt;In search of indicators of detective aptitude: police recruits’ logical reasoning and ability to generate investigative hypotheses&lt;/title&gt;&lt;secondary-title&gt;Journal of Police and Criminal Psychology&lt;/secondary-title&gt;&lt;/titles&gt;&lt;periodical&gt;&lt;full-title&gt;Journal of Police and Criminal Psychology&lt;/full-title&gt;&lt;/periodical&gt;&lt;pages&gt;21-34&lt;/pages&gt;&lt;volume&gt;33&lt;/volume&gt;&lt;dates&gt;&lt;year&gt;2018&lt;/year&gt;&lt;/dates&gt;&lt;isbn&gt;0882-0783&lt;/isbn&gt;&lt;urls&gt;&lt;/urls&gt;&lt;/record&gt;&lt;/Cite&gt;&lt;/EndNote&gt;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Fahsing and Ask (2018)</w:t>
      </w:r>
      <w:r w:rsidRPr="001F0F17">
        <w:rPr>
          <w:rFonts w:asciiTheme="minorBidi" w:hAnsiTheme="minorBidi"/>
          <w:sz w:val="24"/>
          <w:szCs w:val="24"/>
        </w:rPr>
        <w:fldChar w:fldCharType="end"/>
      </w:r>
      <w:r w:rsidR="00B72EA3">
        <w:rPr>
          <w:rFonts w:asciiTheme="minorBidi" w:hAnsiTheme="minorBidi"/>
          <w:sz w:val="24"/>
          <w:szCs w:val="24"/>
        </w:rPr>
        <w:t>,</w:t>
      </w:r>
      <w:r w:rsidRPr="001F0F17">
        <w:rPr>
          <w:rFonts w:asciiTheme="minorBidi" w:hAnsiTheme="minorBidi"/>
          <w:sz w:val="24"/>
          <w:szCs w:val="24"/>
        </w:rPr>
        <w:t xml:space="preserve"> investigative outcomes are not solely dependent on following procedures or collecting evidence; they hinge on the investigators’ capacity to interpret data, make decisions under pressure, and adapt to the dynamic challenges of criminal investigations. This essay evaluates how the integration of skills, knowledge, and experience contributes to achieving effective investigative outcomes. </w:t>
      </w:r>
    </w:p>
    <w:p w14:paraId="6036556C"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In Poyser and Milne’s article titled “No grounds for complacency and plenty for continued vigilance”, they explain how investigators acquire skills through training, on-the-job experience and continued professional development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&lt;EndNote&gt;&lt;Cite&gt;&lt;Author&gt;Poyser&lt;/Author&gt;&lt;Year&gt;2015&lt;/Year&gt;&lt;RecNum&gt;13&lt;/RecNum&gt;&lt;DisplayText&gt;(Poyser and Milne, 2015)&lt;/DisplayText&gt;&lt;record&gt;&lt;rec-number&gt;13&lt;/rec-number&gt;&lt;foreign-keys&gt;&lt;key app="EN" db-id="ss2tdevp8tvxsge0avpxx2w2de9f9prtt22t" timestamp="1736342714"&gt;13&lt;/key&gt;&lt;/foreign-keys&gt;&lt;ref-type name="Journal Article"&gt;17&lt;/ref-type&gt;&lt;contributors&gt;&lt;authors&gt;&lt;author&gt;Poyser, Sam&lt;/author&gt;&lt;author&gt;Milne, Rebecca&lt;/author&gt;&lt;/authors&gt;&lt;/contributors&gt;&lt;titles&gt;&lt;title&gt;No grounds for complacency and plenty for continued vigilance: Miscarriages of justice as drivers for research on reforming the investigative interviewing process&lt;/title&gt;&lt;secondary-title&gt;The Police Journal&lt;/secondary-title&gt;&lt;/titles&gt;&lt;periodical&gt;&lt;full-title&gt;The Police Journal&lt;/full-title&gt;&lt;/periodical&gt;&lt;pages&gt;265-280&lt;/pages&gt;&lt;volume&gt;88&lt;/volume&gt;&lt;number&gt;4&lt;/number&gt;&lt;dates&gt;&lt;year&gt;2015&lt;/year&gt;&lt;/dates&gt;&lt;isbn&gt;0032-258X&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(Poyser and Milne, 2015)</w:t>
      </w:r>
      <w:r w:rsidRPr="001F0F17">
        <w:rPr>
          <w:rFonts w:asciiTheme="minorBidi" w:hAnsiTheme="minorBidi"/>
          <w:sz w:val="24"/>
          <w:szCs w:val="24"/>
        </w:rPr>
        <w:fldChar w:fldCharType="end"/>
      </w:r>
      <w:r w:rsidRPr="001F0F17">
        <w:rPr>
          <w:rFonts w:asciiTheme="minorBidi" w:hAnsiTheme="minorBidi"/>
          <w:sz w:val="24"/>
          <w:szCs w:val="24"/>
        </w:rPr>
        <w:t xml:space="preserve">. The ability to apply those skills effectively in various investigative contexts is critical to successful criminal investigations. Investigators need to be vigilant to avoid becoming complacent. There can be no excuses or room for complacency when conducting criminal investigations, because complacency could potentially result in miscarriages of justice occurring. </w:t>
      </w:r>
    </w:p>
    <w:p w14:paraId="1F77F7A3" w14:textId="10F4FC36"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lastRenderedPageBreak/>
        <w:t xml:space="preserve">One such essential skill in investigations is the ability to conduct effective interviews with witnesses, victims, and suspects. In the United Kingdom, law enforcement agencies use the PEACE model, which encourages an ethical and structured approach to eliciting information from individuals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&lt;EndNote&gt;&lt;Cite&gt;&lt;Author&gt;Akca&lt;/Author&gt;&lt;Year&gt;2021&lt;/Year&gt;&lt;RecNum&gt;2&lt;/RecNum&gt;&lt;DisplayText&gt;(Akca, Larivière and Eastwood, 2021)&lt;/DisplayText&gt;&lt;record&gt;&lt;rec-number&gt;2&lt;/rec-number&gt;&lt;foreign-keys&gt;&lt;key app="EN" db-id="ss2tdevp8tvxsge0avpxx2w2de9f9prtt22t" timestamp="1736342075"&gt;2&lt;/key&gt;&lt;/foreign-keys&gt;&lt;ref-type name="Journal Article"&gt;17&lt;/ref-type&gt;&lt;contributors&gt;&lt;authors&gt;&lt;author&gt;Akca, Davut&lt;/author&gt;&lt;author&gt;Larivière, Cassandre Dion&lt;/author&gt;&lt;author&gt;Eastwood, Joseph&lt;/author&gt;&lt;/authors&gt;&lt;/contributors&gt;&lt;titles&gt;&lt;title&gt;Assessing the efficacy of investigative interviewing training courses: A systematic review&lt;/title&gt;&lt;secondary-title&gt;International Journal of Police Science &amp;amp; Management&lt;/secondary-title&gt;&lt;/titles&gt;&lt;periodical&gt;&lt;full-title&gt;International Journal of Police Science &amp;amp; Management&lt;/full-title&gt;&lt;/periodical&gt;&lt;pages&gt;73-84&lt;/pages&gt;&lt;volume&gt;23&lt;/volume&gt;&lt;number&gt;1&lt;/number&gt;&lt;keywords&gt;&lt;keyword&gt;Investigative interviewing,training efficacy,systematic review,follow-up training&lt;/keyword&gt;&lt;/keywords&gt;&lt;dates&gt;&lt;year&gt;2021&lt;/year&gt;&lt;/dates&gt;&lt;urls&gt;&lt;related-urls&gt;&lt;url&gt;https://journals.sagepub.com/doi/abs/10.1177/14613557211008470&lt;/url&gt;&lt;/related-urls&gt;&lt;/urls&gt;&lt;electronic-resource-num&gt;10.1177/14613557211008470&lt;/electronic-resource-num&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(Akca, Larivière and Eastwood, 2021)</w:t>
      </w:r>
      <w:r w:rsidRPr="001F0F17">
        <w:rPr>
          <w:rFonts w:asciiTheme="minorBidi" w:hAnsiTheme="minorBidi"/>
          <w:sz w:val="24"/>
          <w:szCs w:val="24"/>
        </w:rPr>
        <w:fldChar w:fldCharType="end"/>
      </w:r>
      <w:r w:rsidRPr="001F0F17">
        <w:rPr>
          <w:rFonts w:asciiTheme="minorBidi" w:hAnsiTheme="minorBidi"/>
          <w:sz w:val="24"/>
          <w:szCs w:val="24"/>
        </w:rPr>
        <w:t xml:space="preserve">. According to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 AuthorYear="1"&gt;&lt;Author&gt;Alison&lt;/Author&gt;&lt;Year&gt;2013&lt;/Year&gt;&lt;RecNum&gt;3&lt;/RecNum&gt;&lt;DisplayText&gt;Alison et al. (2013)&lt;/DisplayText&gt;&lt;record&gt;&lt;rec-number&gt;3&lt;/rec-number&gt;&lt;foreign-keys&gt;&lt;key app="EN" db-id="ss2tdevp8tvxsge0avpxx2w2de9f9prtt22t" timestamp="1736342248"&gt;3&lt;/key&gt;&lt;/foreign-keys&gt;&lt;ref-type name="Journal Article"&gt;17&lt;/ref-type&gt;&lt;contributors&gt;&lt;authors&gt;&lt;author&gt;Alison, Laurence J&lt;/author&gt;&lt;author&gt;Alison, Emily&lt;/author&gt;&lt;author&gt;Noone, Geraldine&lt;/author&gt;&lt;author&gt;Elntib, Stamatis&lt;/author&gt;&lt;author&gt;Christiansen, Paul&lt;/author&gt;&lt;/authors&gt;&lt;/contributors&gt;&lt;titles&gt;&lt;title&gt;Why tough tactics fail and rapport gets results: Observing Rapport-Based Interpersonal Techniques (ORBIT) to generate useful information from terrorists&lt;/title&gt;&lt;secondary-title&gt;Psychology, public policy, and law&lt;/secondary-title&gt;&lt;/titles&gt;&lt;periodical&gt;&lt;full-title&gt;Psychology, public policy, and law&lt;/full-title&gt;&lt;/periodical&gt;&lt;pages&gt;411&lt;/pages&gt;&lt;volume&gt;19&lt;/volume&gt;&lt;number&gt;4&lt;/number&gt;&lt;dates&gt;&lt;year&gt;2013&lt;/year&gt;&lt;/dates&gt;&lt;isbn&gt;1939-1528&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Alison et al. (2013)</w:t>
      </w:r>
      <w:r w:rsidRPr="001F0F17">
        <w:rPr>
          <w:rFonts w:asciiTheme="minorBidi" w:hAnsiTheme="minorBidi"/>
          <w:sz w:val="24"/>
          <w:szCs w:val="24"/>
        </w:rPr>
        <w:fldChar w:fldCharType="end"/>
      </w:r>
      <w:r w:rsidR="00B72EA3">
        <w:rPr>
          <w:rFonts w:asciiTheme="minorBidi" w:hAnsiTheme="minorBidi"/>
          <w:sz w:val="24"/>
          <w:szCs w:val="24"/>
        </w:rPr>
        <w:t>,</w:t>
      </w:r>
      <w:r w:rsidRPr="001F0F17">
        <w:rPr>
          <w:rFonts w:asciiTheme="minorBidi" w:hAnsiTheme="minorBidi"/>
          <w:sz w:val="24"/>
          <w:szCs w:val="24"/>
        </w:rPr>
        <w:t xml:space="preserve"> interviewing is not only about asking the right questions but also about building rapport.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 AuthorYear="1"&gt;&lt;Author&gt;Abbe&lt;/Author&gt;&lt;Year&gt;2014&lt;/Year&gt;&lt;RecNum&gt;16&lt;/RecNum&gt;&lt;DisplayText&gt;Abbe and Brandon (2014)&lt;/DisplayText&gt;&lt;record&gt;&lt;rec-number&gt;16&lt;/rec-number&gt;&lt;foreign-keys&gt;&lt;key app="EN" db-id="ss2tdevp8tvxsge0avpxx2w2de9f9prtt22t" timestamp="1736342812"&gt;16&lt;/key&gt;&lt;/foreign-keys&gt;&lt;ref-type name="Journal Article"&gt;17&lt;/ref-type&gt;&lt;contributors&gt;&lt;authors&gt;&lt;author&gt;Abbe, Allison&lt;/author&gt;&lt;author&gt;Brandon, Susan E&lt;/author&gt;&lt;/authors&gt;&lt;/contributors&gt;&lt;titles&gt;&lt;title&gt;Building and maintaining rapport in investigative interviews&lt;/title&gt;&lt;secondary-title&gt;Police practice and research&lt;/secondary-title&gt;&lt;/titles&gt;&lt;periodical&gt;&lt;full-title&gt;Police practice and research&lt;/full-title&gt;&lt;/periodical&gt;&lt;pages&gt;207-220&lt;/pages&gt;&lt;volume&gt;15&lt;/volume&gt;&lt;number&gt;3&lt;/number&gt;&lt;dates&gt;&lt;year&gt;2014&lt;/year&gt;&lt;/dates&gt;&lt;isbn&gt;1561-4263&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Abbe and Brandon (2014)</w:t>
      </w:r>
      <w:r w:rsidRPr="001F0F17">
        <w:rPr>
          <w:rFonts w:asciiTheme="minorBidi" w:hAnsiTheme="minorBidi"/>
          <w:sz w:val="24"/>
          <w:szCs w:val="24"/>
        </w:rPr>
        <w:fldChar w:fldCharType="end"/>
      </w:r>
      <w:r w:rsidR="00B72EA3">
        <w:rPr>
          <w:rFonts w:asciiTheme="minorBidi" w:hAnsiTheme="minorBidi"/>
          <w:sz w:val="24"/>
          <w:szCs w:val="24"/>
        </w:rPr>
        <w:t>,</w:t>
      </w:r>
      <w:r w:rsidRPr="001F0F17">
        <w:rPr>
          <w:rFonts w:asciiTheme="minorBidi" w:hAnsiTheme="minorBidi"/>
          <w:sz w:val="24"/>
          <w:szCs w:val="24"/>
        </w:rPr>
        <w:t xml:space="preserve"> also emphasise on the importance of using both active listening and rapport building skills during interviews. Therefore, investigators need such skills when dealing with challenging or evasive individuals, particularly when investigating members of Organised Crime Groups (OCGs). </w:t>
      </w:r>
    </w:p>
    <w:p w14:paraId="5863F52A"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Another key skill is the ability to analyse and combine information effectively. Complex investigations often involve large volumes of data—such as phone records, financial transactions, surveillance footage, and witness statements—that must be pieced together to form a coherent picture. Investigators must be able to assess the relevance of that data, identify patterns, and generate hypotheses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&lt;EndNote&gt;&lt;Cite&gt;&lt;Author&gt;Innes&lt;/Author&gt;&lt;Year&gt;2021&lt;/Year&gt;&lt;RecNum&gt;9&lt;/RecNum&gt;&lt;DisplayText&gt;(Innes, Brookman and Jones, 2021)&lt;/DisplayText&gt;&lt;record&gt;&lt;rec-number&gt;9&lt;/rec-number&gt;&lt;foreign-keys&gt;&lt;key app="EN" db-id="ss2tdevp8tvxsge0avpxx2w2de9f9prtt22t" timestamp="1736342598"&gt;9&lt;/key&gt;&lt;/foreign-keys&gt;&lt;ref-type name="Journal Article"&gt;17&lt;/ref-type&gt;&lt;contributors&gt;&lt;authors&gt;&lt;author&gt;Innes, Martin&lt;/author&gt;&lt;author&gt;Brookman, Fiona&lt;/author&gt;&lt;author&gt;Jones, Helen&lt;/author&gt;&lt;/authors&gt;&lt;/contributors&gt;&lt;titles&gt;&lt;title&gt;“Mosaicking”: cross construction, sense-making and methods of police investigation&lt;/title&gt;&lt;secondary-title&gt;Policing: An International Journal&lt;/secondary-title&gt;&lt;/titles&gt;&lt;periodical&gt;&lt;full-title&gt;Policing: An International Journal&lt;/full-title&gt;&lt;/periodical&gt;&lt;pages&gt;708-721&lt;/pages&gt;&lt;volume&gt;44&lt;/volume&gt;&lt;number&gt;4&lt;/number&gt;&lt;dates&gt;&lt;year&gt;2021&lt;/year&gt;&lt;/dates&gt;&lt;isbn&gt;1363-951X&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(Innes, Brookman and Jones, 2021)</w:t>
      </w:r>
      <w:r w:rsidRPr="001F0F17">
        <w:rPr>
          <w:rFonts w:asciiTheme="minorBidi" w:hAnsiTheme="minorBidi"/>
          <w:sz w:val="24"/>
          <w:szCs w:val="24"/>
        </w:rPr>
        <w:fldChar w:fldCharType="end"/>
      </w:r>
      <w:r w:rsidRPr="001F0F17">
        <w:rPr>
          <w:rFonts w:asciiTheme="minorBidi" w:hAnsiTheme="minorBidi"/>
          <w:sz w:val="24"/>
          <w:szCs w:val="24"/>
        </w:rPr>
        <w:t>.</w:t>
      </w:r>
    </w:p>
    <w:p w14:paraId="0DC13B01"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Investigators must make decisions based on a combination of facts and judgement, which requires critical thinking and the ability to consider possibilities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&lt;EndNote&gt;&lt;Cite&gt;&lt;Author&gt;Facione&lt;/Author&gt;&lt;Year&gt;2011&lt;/Year&gt;&lt;RecNum&gt;15&lt;/RecNum&gt;&lt;DisplayText&gt;(Facione, 2011)&lt;/DisplayText&gt;&lt;record&gt;&lt;rec-number&gt;15&lt;/rec-number&gt;&lt;foreign-keys&gt;&lt;key app="EN" db-id="ss2tdevp8tvxsge0avpxx2w2de9f9prtt22t" timestamp="1736342782"&gt;15&lt;/key&gt;&lt;/foreign-keys&gt;&lt;ref-type name="Journal Article"&gt;17&lt;/ref-type&gt;&lt;contributors&gt;&lt;authors&gt;&lt;author&gt;Facione, Peter A&lt;/author&gt;&lt;/authors&gt;&lt;/contributors&gt;&lt;titles&gt;&lt;title&gt;Critical thinking: What it is and why it counts&lt;/title&gt;&lt;secondary-title&gt;Insight assessment&lt;/secondary-title&gt;&lt;/titles&gt;&lt;periodical&gt;&lt;full-title&gt;Insight assessment&lt;/full-title&gt;&lt;/periodical&gt;&lt;pages&gt;1-23&lt;/pages&gt;&lt;volume&gt;1&lt;/volume&gt;&lt;number&gt;1&lt;/number&gt;&lt;dates&gt;&lt;year&gt;2011&lt;/year&gt;&lt;/dates&gt;&lt;urls&gt;&lt;/urls&gt;&lt;/record&gt;&lt;/Cite&gt;&lt;/EndNote&gt;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(Facione, 2011)</w:t>
      </w:r>
      <w:r w:rsidRPr="001F0F17">
        <w:rPr>
          <w:rFonts w:asciiTheme="minorBidi" w:hAnsiTheme="minorBidi"/>
          <w:sz w:val="24"/>
          <w:szCs w:val="24"/>
        </w:rPr>
        <w:fldChar w:fldCharType="end"/>
      </w:r>
      <w:r w:rsidRPr="001F0F17">
        <w:rPr>
          <w:rFonts w:asciiTheme="minorBidi" w:hAnsiTheme="minorBidi"/>
          <w:sz w:val="24"/>
          <w:szCs w:val="24"/>
        </w:rPr>
        <w:t>. This is particularly vital in cases where there are multiple suspects or where there is circumstantial evidence.</w:t>
      </w:r>
    </w:p>
    <w:p w14:paraId="49015AAC" w14:textId="217C517A" w:rsidR="00583D68" w:rsidRPr="001F0F17" w:rsidRDefault="00583D68" w:rsidP="00583D68">
      <w:pPr>
        <w:spacing w:line="360" w:lineRule="auto"/>
        <w:rPr>
          <w:rFonts w:asciiTheme="minorBidi" w:hAnsiTheme="minorBidi"/>
          <w:b/>
          <w:bCs/>
          <w:i/>
          <w:iCs/>
          <w:sz w:val="24"/>
          <w:szCs w:val="24"/>
        </w:rPr>
      </w:pPr>
      <w:r w:rsidRPr="001F0F17">
        <w:rPr>
          <w:rFonts w:asciiTheme="minorBidi" w:hAnsiTheme="minorBidi"/>
          <w:sz w:val="24"/>
          <w:szCs w:val="24"/>
        </w:rPr>
        <w:t xml:space="preserve">As technology evolves, digital skills are increasingly vital in modern investigations.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 AuthorYear="1"&gt;&lt;Author&gt;Horsman&lt;/Author&gt;&lt;Year&gt;2021&lt;/Year&gt;&lt;RecNum&gt;8&lt;/RecNum&gt;&lt;DisplayText&gt;Horsman (2021)&lt;/DisplayText&gt;&lt;record&gt;&lt;rec-number&gt;8&lt;/rec-number&gt;&lt;foreign-keys&gt;&lt;key app="EN" db-id="ss2tdevp8tvxsge0avpxx2w2de9f9prtt22t" timestamp="1736342571"&gt;8&lt;/key&gt;&lt;/foreign-keys&gt;&lt;ref-type name="Journal Article"&gt;17&lt;/ref-type&gt;&lt;contributors&gt;&lt;authors&gt;&lt;author&gt;Horsman, Graeme&lt;/author&gt;&lt;/authors&gt;&lt;/contributors&gt;&lt;titles&gt;&lt;title&gt;Digital evidence and the crime scene&lt;/title&gt;&lt;secondary-title&gt;Science &amp;amp; Justice&lt;/secondary-title&gt;&lt;/titles&gt;&lt;periodical&gt;&lt;full-title&gt;Science &amp;amp; Justice&lt;/full-title&gt;&lt;/periodical&gt;&lt;pages&gt;761-770&lt;/pages&gt;&lt;volume&gt;61&lt;/volume&gt;&lt;number&gt;6&lt;/number&gt;&lt;dates&gt;&lt;year&gt;2021&lt;/year&gt;&lt;/dates&gt;&lt;isbn&gt;1355-0306&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Horsman (2021)</w:t>
      </w:r>
      <w:r w:rsidRPr="001F0F17">
        <w:rPr>
          <w:rFonts w:asciiTheme="minorBidi" w:hAnsiTheme="minorBidi"/>
          <w:sz w:val="24"/>
          <w:szCs w:val="24"/>
        </w:rPr>
        <w:fldChar w:fldCharType="end"/>
      </w:r>
      <w:r w:rsidR="00B72EA3">
        <w:rPr>
          <w:rFonts w:asciiTheme="minorBidi" w:hAnsiTheme="minorBidi"/>
          <w:sz w:val="24"/>
          <w:szCs w:val="24"/>
        </w:rPr>
        <w:t>,</w:t>
      </w:r>
      <w:r w:rsidRPr="001F0F17">
        <w:rPr>
          <w:rFonts w:asciiTheme="minorBidi" w:hAnsiTheme="minorBidi"/>
          <w:sz w:val="24"/>
          <w:szCs w:val="24"/>
        </w:rPr>
        <w:t xml:space="preserve"> highlights the need for investigators to effectively identify and assess digital evidence at crime scenes and during investigations to maximise investigative outcomes. </w:t>
      </w:r>
    </w:p>
    <w:p w14:paraId="540052FF"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While skills refer to the practical application of abilities, knowledge encompasses the theoretical understanding that guides how investigators approach their tasks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&lt;EndNote&gt;&lt;Cite&gt;&lt;Author&gt;University of Southern California&lt;/Author&gt;&lt;Year&gt;2013&lt;/Year&gt;&lt;RecNum&gt;17&lt;/RecNum&gt;&lt;DisplayText&gt;(University of Southern California, 2013)&lt;/DisplayText&gt;&lt;record&gt;&lt;rec-number&gt;17&lt;/rec-number&gt;&lt;foreign-keys&gt;&lt;key app="EN" db-id="ss2tdevp8tvxsge0avpxx2w2de9f9prtt22t" timestamp="1736343772"&gt;17&lt;/key&gt;&lt;/foreign-keys&gt;&lt;ref-type name="Web Page"&gt;12&lt;/ref-type&gt;&lt;contributors&gt;&lt;authors&gt;&lt;author&gt;University of Southern California,&lt;/author&gt;&lt;/authors&gt;&lt;/contributors&gt;&lt;titles&gt;&lt;title&gt;Research Guides: Organizing Your Social Sciences Research Paper: Theoretical Framework&lt;/title&gt;&lt;/titles&gt;&lt;volume&gt;2024&lt;/volume&gt;&lt;number&gt;23 Dec.&lt;/number&gt;&lt;dates&gt;&lt;year&gt;2013&lt;/year&gt;&lt;/dates&gt;&lt;urls&gt;&lt;related-urls&gt;&lt;url&gt;https://libguides.usc.edu/writingguide/theoreticalframework&lt;/url&gt;&lt;/related-urls&gt;&lt;/urls&gt;&lt;/record&gt;&lt;/Cite&gt;&lt;/EndNote&gt;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(University of Southern California, 2013)</w:t>
      </w:r>
      <w:r w:rsidRPr="001F0F17">
        <w:rPr>
          <w:rFonts w:asciiTheme="minorBidi" w:hAnsiTheme="minorBidi"/>
          <w:sz w:val="24"/>
          <w:szCs w:val="24"/>
        </w:rPr>
        <w:fldChar w:fldCharType="end"/>
      </w:r>
      <w:r w:rsidRPr="001F0F17">
        <w:rPr>
          <w:rFonts w:asciiTheme="minorBidi" w:hAnsiTheme="minorBidi"/>
          <w:sz w:val="24"/>
          <w:szCs w:val="24"/>
        </w:rPr>
        <w:t xml:space="preserve">. </w:t>
      </w:r>
    </w:p>
    <w:p w14:paraId="2B7CEAA9" w14:textId="77777777" w:rsidR="00583D68" w:rsidRPr="001F0F17" w:rsidRDefault="00583D68" w:rsidP="00583D68">
      <w:pPr>
        <w:spacing w:line="360" w:lineRule="auto"/>
        <w:rPr>
          <w:rFonts w:asciiTheme="minorBidi" w:hAnsiTheme="minorBidi"/>
          <w:b/>
          <w:bCs/>
          <w:sz w:val="24"/>
          <w:szCs w:val="24"/>
        </w:rPr>
      </w:pPr>
      <w:r w:rsidRPr="001F0F17">
        <w:rPr>
          <w:rFonts w:asciiTheme="minorBidi" w:hAnsiTheme="minorBidi"/>
          <w:sz w:val="24"/>
          <w:szCs w:val="24"/>
        </w:rPr>
        <w:t xml:space="preserve">A deep knowledge base is essential for understanding the law, criminal behaviour, investigative procedures, and emerging trends in criminal activities. Investigators must have a solid understanding of criminal law and the procedures for gathering, preserving, and presenting evidence in court. This encompasses an understanding of laws like the Police and Criminal Evidence Act 1984 (PACE), which regulates the </w:t>
      </w:r>
      <w:r w:rsidRPr="001F0F17">
        <w:rPr>
          <w:rFonts w:asciiTheme="minorBidi" w:hAnsiTheme="minorBidi"/>
          <w:sz w:val="24"/>
          <w:szCs w:val="24"/>
        </w:rPr>
        <w:lastRenderedPageBreak/>
        <w:t xml:space="preserve">collection of evidence and the treatment of suspects. Additionally, familiarity with human rights legislation, such as the European Convention on Human Rights, is essential to avoid potential legal challenges or breaches of civil liberties during an investigation. Morgan’s article suggests that without a sound grasp of the law, investigators risk mishandling evidence, which can result in it being deemed inadmissible in court, or worse, leading to wrongful convictions or lawsuits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&lt;EndNote&gt;&lt;Cite&gt;&lt;Author&gt;Morgan&lt;/Author&gt;&lt;Year&gt;2023&lt;/Year&gt;&lt;RecNum&gt;11&lt;/RecNum&gt;&lt;DisplayText&gt;(Morgan, 2023)&lt;/DisplayText&gt;&lt;record&gt;&lt;rec-number&gt;11&lt;/rec-number&gt;&lt;foreign-keys&gt;&lt;key app="EN" db-id="ss2tdevp8tvxsge0avpxx2w2de9f9prtt22t" timestamp="1736342655"&gt;11&lt;/key&gt;&lt;/foreign-keys&gt;&lt;ref-type name="Journal Article"&gt;17&lt;/ref-type&gt;&lt;contributors&gt;&lt;authors&gt;&lt;author&gt;Morgan, John&lt;/author&gt;&lt;/authors&gt;&lt;/contributors&gt;&lt;titles&gt;&lt;title&gt;Wrongful convictions and claims of false or misleading forensic evidence&lt;/title&gt;&lt;secondary-title&gt;Journal of forensic sciences&lt;/secondary-title&gt;&lt;/titles&gt;&lt;periodical&gt;&lt;full-title&gt;Journal of forensic sciences&lt;/full-title&gt;&lt;/periodical&gt;&lt;pages&gt;908-961&lt;/pages&gt;&lt;volume&gt;68&lt;/volume&gt;&lt;number&gt;3&lt;/number&gt;&lt;dates&gt;&lt;year&gt;2023&lt;/year&gt;&lt;/dates&gt;&lt;isbn&gt;0022-1198&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(Morgan, 2023)</w:t>
      </w:r>
      <w:r w:rsidRPr="001F0F17">
        <w:rPr>
          <w:rFonts w:asciiTheme="minorBidi" w:hAnsiTheme="minorBidi"/>
          <w:sz w:val="24"/>
          <w:szCs w:val="24"/>
        </w:rPr>
        <w:fldChar w:fldCharType="end"/>
      </w:r>
      <w:r w:rsidRPr="001F0F17">
        <w:rPr>
          <w:rFonts w:asciiTheme="minorBidi" w:hAnsiTheme="minorBidi"/>
          <w:sz w:val="24"/>
          <w:szCs w:val="24"/>
        </w:rPr>
        <w:t xml:space="preserve">.  </w:t>
      </w:r>
    </w:p>
    <w:p w14:paraId="7243300E"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Kirby and Snow’s study highlights that disruption strategies can reduce the threat OCGs pose and that learning to understand the psychology of offenders, especially those involved in organised crime, is an important disruption tactic an investigator should seek to attain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&lt;EndNote&gt;&lt;Cite&gt;&lt;Author&gt;Kirby&lt;/Author&gt;&lt;Year&gt;2016&lt;/Year&gt;&lt;RecNum&gt;10&lt;/RecNum&gt;&lt;DisplayText&gt;(Kirby and Snow, 2016)&lt;/DisplayText&gt;&lt;record&gt;&lt;rec-number&gt;10&lt;/rec-number&gt;&lt;foreign-keys&gt;&lt;key app="EN" db-id="ss2tdevp8tvxsge0avpxx2w2de9f9prtt22t" timestamp="1736342629"&gt;10&lt;/key&gt;&lt;/foreign-keys&gt;&lt;ref-type name="Journal Article"&gt;17&lt;/ref-type&gt;&lt;contributors&gt;&lt;authors&gt;&lt;author&gt;Kirby, Stuart&lt;/author&gt;&lt;author&gt;Snow, Nicki&lt;/author&gt;&lt;/authors&gt;&lt;/contributors&gt;&lt;titles&gt;&lt;title&gt;Praxis and the disruption of organized crime groups&lt;/title&gt;&lt;secondary-title&gt;Trends in organized crime&lt;/secondary-title&gt;&lt;/titles&gt;&lt;periodical&gt;&lt;full-title&gt;Trends in organized crime&lt;/full-title&gt;&lt;/periodical&gt;&lt;pages&gt;111-124&lt;/pages&gt;&lt;volume&gt;19&lt;/volume&gt;&lt;dates&gt;&lt;year&gt;2016&lt;/year&gt;&lt;/dates&gt;&lt;isbn&gt;1084-4791&lt;/isbn&gt;&lt;urls&gt;&lt;/urls&gt;&lt;/record&gt;&lt;/Cite&gt;&lt;/EndNote&gt;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(Kirby and Snow, 2016)</w:t>
      </w:r>
      <w:r w:rsidRPr="001F0F17">
        <w:rPr>
          <w:rFonts w:asciiTheme="minorBidi" w:hAnsiTheme="minorBidi"/>
          <w:sz w:val="24"/>
          <w:szCs w:val="24"/>
        </w:rPr>
        <w:fldChar w:fldCharType="end"/>
      </w:r>
      <w:r w:rsidRPr="001F0F17">
        <w:rPr>
          <w:rFonts w:asciiTheme="minorBidi" w:hAnsiTheme="minorBidi"/>
          <w:sz w:val="24"/>
          <w:szCs w:val="24"/>
        </w:rPr>
        <w:t xml:space="preserve">. Therefore, the use of profiling, risk assessment, and knowledge of criminal behaviours—such as the use of coercion, manipulation, or violence—are critical to understanding how OCGs operate and how they may respond to law enforcement strategies. Like Kirby and Snow, Professor David Canter emphasised the importance of offender profiling and investigative psychology in criminal investigations. He believed that such techniques would better equip investigators develop an understanding of criminal psychology thus enabling them to potentially anticipate suspects’ actions, anticipate risks, and tailor investigative strategies accordingly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&lt;EndNote&gt;&lt;Cite&gt;&lt;Author&gt;Canter&lt;/Author&gt;&lt;Year&gt;2004&lt;/Year&gt;&lt;RecNum&gt;14&lt;/RecNum&gt;&lt;DisplayText&gt;(Canter, 2004)&lt;/DisplayText&gt;&lt;record&gt;&lt;rec-number&gt;14&lt;/rec-number&gt;&lt;foreign-keys&gt;&lt;key app="EN" db-id="ss2tdevp8tvxsge0avpxx2w2de9f9prtt22t" timestamp="1736342749"&gt;14&lt;/key&gt;&lt;/foreign-keys&gt;&lt;ref-type name="Generic"&gt;13&lt;/ref-type&gt;&lt;contributors&gt;&lt;authors&gt;&lt;author&gt;Canter, David&lt;/author&gt;&lt;/authors&gt;&lt;/contributors&gt;&lt;titles&gt;&lt;title&gt;Offender profiling and investigative psychology&lt;/title&gt;&lt;/titles&gt;&lt;pages&gt;1-15&lt;/pages&gt;&lt;volume&gt;1&lt;/volume&gt;&lt;number&gt;1&lt;/number&gt;&lt;dates&gt;&lt;year&gt;2004&lt;/year&gt;&lt;/dates&gt;&lt;publisher&gt;Wiley Online Library&lt;/publisher&gt;&lt;isbn&gt;1544-4759&lt;/isbn&gt;&lt;urls&gt;&lt;/urls&gt;&lt;/record&gt;&lt;/Cite&gt;&lt;/EndNote&gt;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(Canter, 2004)</w:t>
      </w:r>
      <w:r w:rsidRPr="001F0F17">
        <w:rPr>
          <w:rFonts w:asciiTheme="minorBidi" w:hAnsiTheme="minorBidi"/>
          <w:sz w:val="24"/>
          <w:szCs w:val="24"/>
        </w:rPr>
        <w:fldChar w:fldCharType="end"/>
      </w:r>
      <w:r w:rsidRPr="001F0F17">
        <w:rPr>
          <w:rFonts w:asciiTheme="minorBidi" w:hAnsiTheme="minorBidi"/>
          <w:sz w:val="24"/>
          <w:szCs w:val="24"/>
        </w:rPr>
        <w:t>.</w:t>
      </w:r>
    </w:p>
    <w:p w14:paraId="1697810D" w14:textId="394E6F1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Evolving investigative tools and techniques, such as digital forensics software and the PEACE model, are essential for resource-efficient investigations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&lt;EndNote&gt;&lt;Cite&gt;&lt;Author&gt;Morgan&lt;/Author&gt;&lt;Year&gt;2024&lt;/Year&gt;&lt;RecNum&gt;12&lt;/RecNum&gt;&lt;DisplayText&gt;(Morgan, 2024)&lt;/DisplayText&gt;&lt;record&gt;&lt;rec-number&gt;12&lt;/rec-number&gt;&lt;foreign-keys&gt;&lt;key app="EN" db-id="ss2tdevp8tvxsge0avpxx2w2de9f9prtt22t" timestamp="1736342682"&gt;12&lt;/key&gt;&lt;/foreign-keys&gt;&lt;ref-type name="Book Section"&gt;5&lt;/ref-type&gt;&lt;contributors&gt;&lt;authors&gt;&lt;author&gt;Morgan, Ruth M&lt;/author&gt;&lt;/authors&gt;&lt;/contributors&gt;&lt;titles&gt;&lt;title&gt;Forensic Science Innovation in the UK: Roadblocks and Enablers&lt;/title&gt;&lt;secondary-title&gt;Driving Forensic Innovation in the 21st Century: Crossing the Valley of Death&lt;/secondary-title&gt;&lt;/titles&gt;&lt;pages&gt;73-88&lt;/pages&gt;&lt;dates&gt;&lt;year&gt;2024&lt;/year&gt;&lt;/dates&gt;&lt;publisher&gt;Springer&lt;/publisher&gt;&lt;urls&gt;&lt;/urls&gt;&lt;/record&gt;&lt;/Cite&gt;&lt;Cite&gt;&lt;Author&gt;Morgan&lt;/Author&gt;&lt;Year&gt;2024&lt;/Year&gt;&lt;RecNum&gt;12&lt;/RecNum&gt;&lt;record&gt;&lt;rec-number&gt;12&lt;/rec-number&gt;&lt;foreign-keys&gt;&lt;key app="EN" db-id="ss2tdevp8tvxsge0avpxx2w2de9f9prtt22t" timestamp="1736342682"&gt;12&lt;/key&gt;&lt;/foreign-keys&gt;&lt;ref-type name="Book Section"&gt;5&lt;/ref-type&gt;&lt;contributors&gt;&lt;authors&gt;&lt;author&gt;Morgan, Ruth M&lt;/author&gt;&lt;/authors&gt;&lt;/contributors&gt;&lt;titles&gt;&lt;title&gt;Forensic Science Innovation in the UK: Roadblocks and Enablers&lt;/title&gt;&lt;secondary-title&gt;Driving Forensic Innovation in the 21st Century: Crossing the Valley of Death&lt;/secondary-title&gt;&lt;/titles&gt;&lt;pages&gt;73-88&lt;/pages&gt;&lt;dates&gt;&lt;year&gt;2024&lt;/year&gt;&lt;/dates&gt;&lt;publisher&gt;Springer&lt;/publisher&gt;&lt;urls&gt;&lt;/urls&gt;&lt;/record&gt;&lt;/Cite&gt;&lt;/EndNote&gt;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(Morgan, 2024)</w:t>
      </w:r>
      <w:r w:rsidRPr="001F0F17">
        <w:rPr>
          <w:rFonts w:asciiTheme="minorBidi" w:hAnsiTheme="minorBidi"/>
          <w:sz w:val="24"/>
          <w:szCs w:val="24"/>
        </w:rPr>
        <w:fldChar w:fldCharType="end"/>
      </w:r>
      <w:r w:rsidRPr="001F0F17">
        <w:rPr>
          <w:rFonts w:asciiTheme="minorBidi" w:hAnsiTheme="minorBidi"/>
          <w:sz w:val="24"/>
          <w:szCs w:val="24"/>
        </w:rPr>
        <w:t xml:space="preserve">.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 AuthorYear="1"&gt;&lt;Author&gt;Buhrig&lt;/Author&gt;&lt;Year&gt;2023&lt;/Year&gt;&lt;RecNum&gt;5&lt;/RecNum&gt;&lt;DisplayText&gt;Buhrig (2023)&lt;/DisplayText&gt;&lt;record&gt;&lt;rec-number&gt;5&lt;/rec-number&gt;&lt;foreign-keys&gt;&lt;key app="EN" db-id="ss2tdevp8tvxsge0avpxx2w2de9f9prtt22t" timestamp="1736342373"&gt;5&lt;/key&gt;&lt;/foreign-keys&gt;&lt;ref-type name="Journal Article"&gt;17&lt;/ref-type&gt;&lt;contributors&gt;&lt;authors&gt;&lt;author&gt;Buhrig, Ryan&lt;/author&gt;&lt;/authors&gt;&lt;/contributors&gt;&lt;titles&gt;&lt;title&gt;Capacity, capability, and collaboration: a qualitative analysis of international cybercrime investigations from the perspective of Canadian investigators&lt;/title&gt;&lt;secondary-title&gt;International Cybersecurity Law Review&lt;/secondary-title&gt;&lt;/titles&gt;&lt;periodical&gt;&lt;full-title&gt;International Cybersecurity Law Review&lt;/full-title&gt;&lt;/periodical&gt;&lt;pages&gt;415-429&lt;/pages&gt;&lt;volume&gt;4&lt;/volume&gt;&lt;number&gt;4&lt;/number&gt;&lt;dates&gt;&lt;year&gt;2023&lt;/year&gt;&lt;/dates&gt;&lt;isbn&gt;2662-9720&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Buhrig (2023)</w:t>
      </w:r>
      <w:r w:rsidRPr="001F0F17">
        <w:rPr>
          <w:rFonts w:asciiTheme="minorBidi" w:hAnsiTheme="minorBidi"/>
          <w:sz w:val="24"/>
          <w:szCs w:val="24"/>
        </w:rPr>
        <w:fldChar w:fldCharType="end"/>
      </w:r>
      <w:r w:rsidR="00B72EA3">
        <w:rPr>
          <w:rFonts w:asciiTheme="minorBidi" w:hAnsiTheme="minorBidi"/>
          <w:sz w:val="24"/>
          <w:szCs w:val="24"/>
        </w:rPr>
        <w:t>,</w:t>
      </w:r>
      <w:r w:rsidRPr="001F0F17">
        <w:rPr>
          <w:rFonts w:asciiTheme="minorBidi" w:hAnsiTheme="minorBidi"/>
          <w:sz w:val="24"/>
          <w:szCs w:val="24"/>
        </w:rPr>
        <w:t xml:space="preserve"> highlights the importance of collaborating with specialists in areas like financial crime and forensics, emphasising how expertise and adaptability enhance investigative outcomes.</w:t>
      </w:r>
    </w:p>
    <w:p w14:paraId="4D3E7BDB"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t xml:space="preserve">Decision making is another skill investigators need to master. According to the Carnegie perspective, organisational decision-making is shaped by direct and indirect experience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&lt;EndNote&gt;&lt;Cite&gt;&lt;Author&gt;Audia&lt;/Author&gt;&lt;Year&gt;2024&lt;/Year&gt;&lt;RecNum&gt;1&lt;/RecNum&gt;&lt;DisplayText&gt;(Audia, Laureiro Martinez and Newark, 2024)&lt;/DisplayText&gt;&lt;record&gt;&lt;rec-number&gt;1&lt;/rec-number&gt;&lt;foreign-keys&gt;&lt;key app="EN" db-id="ss2tdevp8tvxsge0avpxx2w2de9f9prtt22t" timestamp="1736342005"&gt;1&lt;/key&gt;&lt;/foreign-keys&gt;&lt;ref-type name="Journal Article"&gt;17&lt;/ref-type&gt;&lt;contributors&gt;&lt;authors&gt;&lt;author&gt;Audia, Pino G.&lt;/author&gt;&lt;author&gt;Laureiro Martinez, Daniella&lt;/author&gt;&lt;author&gt;Newark, Daniel A.&lt;/author&gt;&lt;/authors&gt;&lt;/contributors&gt;&lt;titles&gt;&lt;title&gt;Editorial: Decision making and problem solving in organizations: assessing and expanding the Carnegie perspective&lt;/title&gt;&lt;secondary-title&gt;Frontiers in Psychology&lt;/secondary-title&gt;&lt;/titles&gt;&lt;periodical&gt;&lt;full-title&gt;Frontiers in Psychology&lt;/full-title&gt;&lt;/periodical&gt;&lt;volume&gt;15&lt;/volume&gt;&lt;dates&gt;&lt;year&gt;2024&lt;/year&gt;&lt;/dates&gt;&lt;publisher&gt;Frontiers Media SA&lt;/publisher&gt;&lt;isbn&gt;1664-1078&lt;/isbn&gt;&lt;urls&gt;&lt;related-urls&gt;&lt;url&gt;https://dx.doi.org/10.3389/fpsyg.2024.1455794&lt;/url&gt;&lt;/related-urls&gt;&lt;/urls&gt;&lt;electronic-resource-num&gt;10.3389/fpsyg.2024.1455794&lt;/electronic-resource-num&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(Audia, Laureiro Martinez and Newark, 2024)</w:t>
      </w:r>
      <w:r w:rsidRPr="001F0F17">
        <w:rPr>
          <w:rFonts w:asciiTheme="minorBidi" w:hAnsiTheme="minorBidi"/>
          <w:sz w:val="24"/>
          <w:szCs w:val="24"/>
        </w:rPr>
        <w:fldChar w:fldCharType="end"/>
      </w:r>
      <w:r w:rsidRPr="001F0F17">
        <w:rPr>
          <w:rFonts w:asciiTheme="minorBidi" w:hAnsiTheme="minorBidi"/>
          <w:sz w:val="24"/>
          <w:szCs w:val="24"/>
        </w:rPr>
        <w:t xml:space="preserve">. Investigators will learn from their own actions and by observing others, which will affect how they identify problems and evaluate solutions. That experience will help influence an investigator’s ability to make sound decisions and reach appropriate investigative outcomes. Experienced investigators are often better at handling complex situations, anticipating obstacles, and making quick decisions under pressure. For example, </w:t>
      </w:r>
      <w:r w:rsidRPr="001F0F17">
        <w:rPr>
          <w:rFonts w:asciiTheme="minorBidi" w:hAnsiTheme="minorBidi"/>
          <w:sz w:val="24"/>
          <w:szCs w:val="24"/>
        </w:rPr>
        <w:lastRenderedPageBreak/>
        <w:t>experience in managing undercover operations or handling informants can provide investigators with insights that purely theoretical knowledge cannot offer. Experience provides investigators with a deeper understanding of the subtleties and complexities of criminal investigations. Another example being that they may have developed intuition regarding certain criminal behaviours or red flags that help them make better decisions. Experienced investigators are sometimes better equipped at recognising when an investigation is heading in the wrong direction or when additional resources or expertise are needed.</w:t>
      </w:r>
    </w:p>
    <w:p w14:paraId="712259DF" w14:textId="77777777" w:rsidR="00583D68" w:rsidRPr="001F0F17" w:rsidRDefault="00583D68" w:rsidP="00583D68">
      <w:pPr>
        <w:tabs>
          <w:tab w:val="num" w:pos="720"/>
          <w:tab w:val="num" w:pos="1440"/>
        </w:tabs>
        <w:spacing w:line="360" w:lineRule="auto"/>
        <w:rPr>
          <w:rFonts w:asciiTheme="minorBidi" w:hAnsiTheme="minorBidi"/>
          <w:sz w:val="24"/>
          <w:szCs w:val="24"/>
        </w:rPr>
      </w:pPr>
      <w:r w:rsidRPr="001F0F17">
        <w:rPr>
          <w:rFonts w:asciiTheme="minorBidi" w:hAnsiTheme="minorBidi"/>
          <w:sz w:val="24"/>
          <w:szCs w:val="24"/>
        </w:rPr>
        <w:t xml:space="preserve">Brown, Julian and Howes study highlighted that much of investigators' knowledge about using forensic evidence comes through experience rather than formal training, with experienced officers passing practical knowledge and skills to novice investigators through daily interactions. However, the authors argue this traditional reliance on experience-based learning could be enhanced by incorporating more formal training in decision-making processes and forensic evidence interpretation from the outset of an investigator's career </w:t>
      </w:r>
      <w:r w:rsidRPr="001F0F17">
        <w:rPr>
          <w:rFonts w:asciiTheme="minorBidi" w:hAnsiTheme="minorBidi"/>
          <w:sz w:val="24"/>
          <w:szCs w:val="24"/>
        </w:rPr>
        <w:fldChar w:fldCharType="begin"/>
      </w:r>
      <w:r w:rsidRPr="001F0F17">
        <w:rPr>
          <w:rFonts w:asciiTheme="minorBidi" w:hAnsiTheme="minorBidi"/>
          <w:sz w:val="24"/>
          <w:szCs w:val="24"/>
        </w:rPr>
        <w:instrText xml:space="preserve"> ADDIN EN.CITE &lt;EndNote&gt;&lt;Cite&gt;&lt;Author&gt;Brown&lt;/Author&gt;&lt;Year&gt;2024&lt;/Year&gt;&lt;RecNum&gt;4&lt;/RecNum&gt;&lt;DisplayText&gt;(Brown, Julian and Howes, 2024)&lt;/DisplayText&gt;&lt;record&gt;&lt;rec-number&gt;4&lt;/rec-number&gt;&lt;foreign-keys&gt;&lt;key app="EN" db-id="ss2tdevp8tvxsge0avpxx2w2de9f9prtt22t" timestamp="1736342317"&gt;4&lt;/key&gt;&lt;/foreign-keys&gt;&lt;ref-type name="Journal Article"&gt;17&lt;/ref-type&gt;&lt;contributors&gt;&lt;authors&gt;&lt;author&gt;Brown, Cheryl&lt;/author&gt;&lt;author&gt;Julian, Roberta&lt;/author&gt;&lt;author&gt;Howes, Loene M&lt;/author&gt;&lt;/authors&gt;&lt;/contributors&gt;&lt;titles&gt;&lt;title&gt;‘Strands in a cable’: effective investigator decision-making using forensic identification evidence in volume crime investigations&lt;/title&gt;&lt;secondary-title&gt;Policing and Society&lt;/secondary-title&gt;&lt;/titles&gt;&lt;periodical&gt;&lt;full-title&gt;Policing and Society&lt;/full-title&gt;&lt;/periodical&gt;&lt;pages&gt;417-433&lt;/pages&gt;&lt;volume&gt;34&lt;/volume&gt;&lt;number&gt;5&lt;/number&gt;&lt;dates&gt;&lt;year&gt;2024&lt;/year&gt;&lt;/dates&gt;&lt;isbn&gt;1043-9463&lt;/isbn&gt;&lt;urls&gt;&lt;/urls&gt;&lt;/record&gt;&lt;/Cite&gt;&lt;/EndNote&gt;</w:instrText>
      </w:r>
      <w:r w:rsidRPr="001F0F17">
        <w:rPr>
          <w:rFonts w:asciiTheme="minorBidi" w:hAnsiTheme="minorBidi"/>
          <w:sz w:val="24"/>
          <w:szCs w:val="24"/>
        </w:rPr>
        <w:fldChar w:fldCharType="separate"/>
      </w:r>
      <w:r w:rsidRPr="001F0F17">
        <w:rPr>
          <w:rFonts w:asciiTheme="minorBidi" w:hAnsiTheme="minorBidi"/>
          <w:noProof/>
          <w:sz w:val="24"/>
          <w:szCs w:val="24"/>
        </w:rPr>
        <w:t>(Brown, Julian and Howes, 2024)</w:t>
      </w:r>
      <w:r w:rsidRPr="001F0F17">
        <w:rPr>
          <w:rFonts w:asciiTheme="minorBidi" w:hAnsiTheme="minorBidi"/>
          <w:sz w:val="24"/>
          <w:szCs w:val="24"/>
        </w:rPr>
        <w:fldChar w:fldCharType="end"/>
      </w:r>
      <w:r w:rsidRPr="001F0F17">
        <w:rPr>
          <w:rFonts w:asciiTheme="minorBidi" w:hAnsiTheme="minorBidi"/>
          <w:sz w:val="24"/>
          <w:szCs w:val="24"/>
        </w:rPr>
        <w:t>.</w:t>
      </w:r>
    </w:p>
    <w:p w14:paraId="4DDEADA2" w14:textId="77777777" w:rsidR="00583D68" w:rsidRPr="001F0F17" w:rsidRDefault="00583D68" w:rsidP="00583D68">
      <w:pPr>
        <w:spacing w:line="360" w:lineRule="auto"/>
        <w:rPr>
          <w:rFonts w:asciiTheme="minorBidi" w:hAnsiTheme="minorBidi"/>
          <w:b/>
          <w:bCs/>
          <w:color w:val="000000" w:themeColor="text1"/>
          <w:sz w:val="24"/>
          <w:szCs w:val="24"/>
        </w:rPr>
      </w:pPr>
      <w:r w:rsidRPr="001F0F17">
        <w:rPr>
          <w:rFonts w:asciiTheme="minorBidi" w:hAnsiTheme="minorBidi"/>
          <w:b/>
          <w:bCs/>
          <w:color w:val="000000" w:themeColor="text1"/>
          <w:sz w:val="24"/>
          <w:szCs w:val="24"/>
        </w:rPr>
        <w:t>Conclusion</w:t>
      </w:r>
    </w:p>
    <w:p w14:paraId="15775E0C" w14:textId="1CB086FA" w:rsidR="00583D68" w:rsidRPr="00583D68" w:rsidRDefault="00583D68" w:rsidP="00583D68">
      <w:pPr>
        <w:spacing w:line="360" w:lineRule="auto"/>
        <w:rPr>
          <w:rFonts w:asciiTheme="minorBidi" w:hAnsiTheme="minorBidi"/>
          <w:color w:val="000000" w:themeColor="text1"/>
          <w:sz w:val="24"/>
          <w:szCs w:val="24"/>
        </w:rPr>
      </w:pPr>
      <w:r w:rsidRPr="001F0F17">
        <w:rPr>
          <w:rFonts w:asciiTheme="minorBidi" w:hAnsiTheme="minorBidi"/>
          <w:color w:val="000000" w:themeColor="text1"/>
          <w:sz w:val="24"/>
          <w:szCs w:val="24"/>
        </w:rPr>
        <w:t xml:space="preserve">The integration of skills, knowledge, and experience is crucial for achieving appropriate investigative outcomes. While skills enable investigators to handle specific tasks such as interviews, surveillance, or analysis, knowledge ensures they are grounded in legal and criminal theory, while experience enables them to anticipate challenges and make informed decisions. </w:t>
      </w:r>
    </w:p>
    <w:p w14:paraId="1F5FAC6E" w14:textId="344D0778" w:rsidR="00583D68" w:rsidRPr="00583D68" w:rsidRDefault="00583D68" w:rsidP="00583D68">
      <w:pPr>
        <w:spacing w:line="360" w:lineRule="auto"/>
        <w:rPr>
          <w:rFonts w:asciiTheme="minorBidi" w:hAnsiTheme="minorBidi"/>
          <w:b/>
          <w:bCs/>
          <w:sz w:val="24"/>
          <w:szCs w:val="24"/>
          <w:u w:val="single"/>
        </w:rPr>
      </w:pPr>
      <w:r w:rsidRPr="00583D68">
        <w:rPr>
          <w:rFonts w:asciiTheme="minorBidi" w:hAnsiTheme="minorBidi"/>
          <w:b/>
          <w:bCs/>
          <w:sz w:val="24"/>
          <w:szCs w:val="24"/>
          <w:u w:val="single"/>
        </w:rPr>
        <w:t>Word count = 1</w:t>
      </w:r>
      <w:r w:rsidR="00C00593">
        <w:rPr>
          <w:rFonts w:asciiTheme="minorBidi" w:hAnsiTheme="minorBidi"/>
          <w:b/>
          <w:bCs/>
          <w:sz w:val="24"/>
          <w:szCs w:val="24"/>
          <w:u w:val="single"/>
        </w:rPr>
        <w:t>,</w:t>
      </w:r>
      <w:r w:rsidRPr="00583D68">
        <w:rPr>
          <w:rFonts w:asciiTheme="minorBidi" w:hAnsiTheme="minorBidi"/>
          <w:b/>
          <w:bCs/>
          <w:sz w:val="24"/>
          <w:szCs w:val="24"/>
          <w:u w:val="single"/>
        </w:rPr>
        <w:t>06</w:t>
      </w:r>
      <w:r w:rsidR="00C00593">
        <w:rPr>
          <w:rFonts w:asciiTheme="minorBidi" w:hAnsiTheme="minorBidi"/>
          <w:b/>
          <w:bCs/>
          <w:sz w:val="24"/>
          <w:szCs w:val="24"/>
          <w:u w:val="single"/>
        </w:rPr>
        <w:t>4</w:t>
      </w:r>
      <w:r w:rsidRPr="00583D68">
        <w:rPr>
          <w:rFonts w:asciiTheme="minorBidi" w:hAnsiTheme="minorBidi"/>
          <w:b/>
          <w:bCs/>
          <w:sz w:val="24"/>
          <w:szCs w:val="24"/>
          <w:u w:val="single"/>
        </w:rPr>
        <w:t xml:space="preserve"> words.</w:t>
      </w:r>
    </w:p>
    <w:p w14:paraId="3466C909" w14:textId="77777777" w:rsidR="00583D68" w:rsidRDefault="00583D68" w:rsidP="00583D68">
      <w:pPr>
        <w:rPr>
          <w:rFonts w:asciiTheme="minorBidi" w:hAnsiTheme="minorBidi"/>
          <w:b/>
          <w:bCs/>
          <w:sz w:val="24"/>
          <w:szCs w:val="24"/>
        </w:rPr>
      </w:pPr>
      <w:r>
        <w:rPr>
          <w:rFonts w:asciiTheme="minorBidi" w:hAnsiTheme="minorBidi"/>
          <w:b/>
          <w:bCs/>
          <w:sz w:val="24"/>
          <w:szCs w:val="24"/>
        </w:rPr>
        <w:br w:type="page"/>
      </w:r>
    </w:p>
    <w:p w14:paraId="663B2646"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b/>
          <w:bCs/>
          <w:sz w:val="24"/>
          <w:szCs w:val="24"/>
        </w:rPr>
        <w:lastRenderedPageBreak/>
        <w:t>References</w:t>
      </w:r>
    </w:p>
    <w:p w14:paraId="06383AA1"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fldChar w:fldCharType="begin"/>
      </w:r>
      <w:r w:rsidRPr="001F0F17">
        <w:rPr>
          <w:rFonts w:asciiTheme="minorBidi" w:hAnsiTheme="minorBidi"/>
          <w:sz w:val="24"/>
          <w:szCs w:val="24"/>
        </w:rPr>
        <w:instrText xml:space="preserve"> ADDIN EN.REFLIST </w:instrText>
      </w:r>
      <w:r w:rsidRPr="001F0F17">
        <w:rPr>
          <w:rFonts w:asciiTheme="minorBidi" w:hAnsiTheme="minorBidi"/>
          <w:sz w:val="24"/>
          <w:szCs w:val="24"/>
        </w:rPr>
        <w:fldChar w:fldCharType="separate"/>
      </w:r>
      <w:r w:rsidRPr="001F0F17">
        <w:rPr>
          <w:rFonts w:asciiTheme="minorBidi" w:hAnsiTheme="minorBidi"/>
          <w:sz w:val="24"/>
          <w:szCs w:val="24"/>
        </w:rPr>
        <w:t xml:space="preserve">Abbe, A. &amp; Brandon, S. E. 2014. Building and maintaining rapport in investigative interviews. </w:t>
      </w:r>
      <w:r w:rsidRPr="001F0F17">
        <w:rPr>
          <w:rFonts w:asciiTheme="minorBidi" w:hAnsiTheme="minorBidi"/>
          <w:i/>
          <w:sz w:val="24"/>
          <w:szCs w:val="24"/>
        </w:rPr>
        <w:t>Police practice and research,</w:t>
      </w:r>
      <w:r w:rsidRPr="001F0F17">
        <w:rPr>
          <w:rFonts w:asciiTheme="minorBidi" w:hAnsiTheme="minorBidi"/>
          <w:sz w:val="24"/>
          <w:szCs w:val="24"/>
        </w:rPr>
        <w:t xml:space="preserve"> 15</w:t>
      </w:r>
      <w:r w:rsidRPr="001F0F17">
        <w:rPr>
          <w:rFonts w:asciiTheme="minorBidi" w:hAnsiTheme="minorBidi"/>
          <w:b/>
          <w:sz w:val="24"/>
          <w:szCs w:val="24"/>
        </w:rPr>
        <w:t>,</w:t>
      </w:r>
      <w:r w:rsidRPr="001F0F17">
        <w:rPr>
          <w:rFonts w:asciiTheme="minorBidi" w:hAnsiTheme="minorBidi"/>
          <w:sz w:val="24"/>
          <w:szCs w:val="24"/>
        </w:rPr>
        <w:t xml:space="preserve"> 207-220.</w:t>
      </w:r>
    </w:p>
    <w:p w14:paraId="362DD4E2"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Akca, D., Larivière, C. D. &amp; Eastwood, J. 2021. Assessing the efficacy of investigative interviewing training courses: A systematic review. </w:t>
      </w:r>
      <w:r w:rsidRPr="001F0F17">
        <w:rPr>
          <w:rFonts w:asciiTheme="minorBidi" w:hAnsiTheme="minorBidi"/>
          <w:i/>
          <w:sz w:val="24"/>
          <w:szCs w:val="24"/>
        </w:rPr>
        <w:t>International Journal of Police Science &amp; Management,</w:t>
      </w:r>
      <w:r w:rsidRPr="001F0F17">
        <w:rPr>
          <w:rFonts w:asciiTheme="minorBidi" w:hAnsiTheme="minorBidi"/>
          <w:sz w:val="24"/>
          <w:szCs w:val="24"/>
        </w:rPr>
        <w:t xml:space="preserve"> 23</w:t>
      </w:r>
      <w:r w:rsidRPr="001F0F17">
        <w:rPr>
          <w:rFonts w:asciiTheme="minorBidi" w:hAnsiTheme="minorBidi"/>
          <w:b/>
          <w:sz w:val="24"/>
          <w:szCs w:val="24"/>
        </w:rPr>
        <w:t>,</w:t>
      </w:r>
      <w:r w:rsidRPr="001F0F17">
        <w:rPr>
          <w:rFonts w:asciiTheme="minorBidi" w:hAnsiTheme="minorBidi"/>
          <w:sz w:val="24"/>
          <w:szCs w:val="24"/>
        </w:rPr>
        <w:t xml:space="preserve"> 73-84.</w:t>
      </w:r>
    </w:p>
    <w:p w14:paraId="174CA3E4"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Alison, L. J., Alison, E., Noone, G., Elntib, S. &amp; Christiansen, P. 2013. Why tough tactics fail and rapport gets results: Observing Rapport-Based Interpersonal Techniques (ORBIT) to generate useful information from terrorists. </w:t>
      </w:r>
      <w:r w:rsidRPr="001F0F17">
        <w:rPr>
          <w:rFonts w:asciiTheme="minorBidi" w:hAnsiTheme="minorBidi"/>
          <w:i/>
          <w:sz w:val="24"/>
          <w:szCs w:val="24"/>
        </w:rPr>
        <w:t>Psychology, public policy, and law,</w:t>
      </w:r>
      <w:r w:rsidRPr="001F0F17">
        <w:rPr>
          <w:rFonts w:asciiTheme="minorBidi" w:hAnsiTheme="minorBidi"/>
          <w:sz w:val="24"/>
          <w:szCs w:val="24"/>
        </w:rPr>
        <w:t xml:space="preserve"> 19</w:t>
      </w:r>
      <w:r w:rsidRPr="001F0F17">
        <w:rPr>
          <w:rFonts w:asciiTheme="minorBidi" w:hAnsiTheme="minorBidi"/>
          <w:b/>
          <w:sz w:val="24"/>
          <w:szCs w:val="24"/>
        </w:rPr>
        <w:t>,</w:t>
      </w:r>
      <w:r w:rsidRPr="001F0F17">
        <w:rPr>
          <w:rFonts w:asciiTheme="minorBidi" w:hAnsiTheme="minorBidi"/>
          <w:sz w:val="24"/>
          <w:szCs w:val="24"/>
        </w:rPr>
        <w:t xml:space="preserve"> 411.</w:t>
      </w:r>
    </w:p>
    <w:p w14:paraId="723827BC"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Audia, P. G., Laureiro Martinez, D. &amp; Newark, D. A. 2024. Editorial: Decision making and problem solving in organizations: assessing and expanding the Carnegie perspective. </w:t>
      </w:r>
      <w:r w:rsidRPr="001F0F17">
        <w:rPr>
          <w:rFonts w:asciiTheme="minorBidi" w:hAnsiTheme="minorBidi"/>
          <w:i/>
          <w:sz w:val="24"/>
          <w:szCs w:val="24"/>
        </w:rPr>
        <w:t>Frontiers in Psychology,</w:t>
      </w:r>
      <w:r w:rsidRPr="001F0F17">
        <w:rPr>
          <w:rFonts w:asciiTheme="minorBidi" w:hAnsiTheme="minorBidi"/>
          <w:sz w:val="24"/>
          <w:szCs w:val="24"/>
        </w:rPr>
        <w:t xml:space="preserve"> 15.</w:t>
      </w:r>
    </w:p>
    <w:p w14:paraId="6F594331"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Brown, C., Julian, R. &amp; Howes, L. M. 2024. ‘Strands in a cable’: effective investigator decision-making using forensic identification evidence in volume crime investigations. </w:t>
      </w:r>
      <w:r w:rsidRPr="001F0F17">
        <w:rPr>
          <w:rFonts w:asciiTheme="minorBidi" w:hAnsiTheme="minorBidi"/>
          <w:i/>
          <w:sz w:val="24"/>
          <w:szCs w:val="24"/>
        </w:rPr>
        <w:t>Policing and Society,</w:t>
      </w:r>
      <w:r w:rsidRPr="001F0F17">
        <w:rPr>
          <w:rFonts w:asciiTheme="minorBidi" w:hAnsiTheme="minorBidi"/>
          <w:sz w:val="24"/>
          <w:szCs w:val="24"/>
        </w:rPr>
        <w:t xml:space="preserve"> 34</w:t>
      </w:r>
      <w:r w:rsidRPr="001F0F17">
        <w:rPr>
          <w:rFonts w:asciiTheme="minorBidi" w:hAnsiTheme="minorBidi"/>
          <w:b/>
          <w:sz w:val="24"/>
          <w:szCs w:val="24"/>
        </w:rPr>
        <w:t>,</w:t>
      </w:r>
      <w:r w:rsidRPr="001F0F17">
        <w:rPr>
          <w:rFonts w:asciiTheme="minorBidi" w:hAnsiTheme="minorBidi"/>
          <w:sz w:val="24"/>
          <w:szCs w:val="24"/>
        </w:rPr>
        <w:t xml:space="preserve"> 417-433.</w:t>
      </w:r>
    </w:p>
    <w:p w14:paraId="4E739E38"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Buhrig, R. 2023. Capacity, capability, and collaboration: a qualitative analysis of international cybercrime investigations from the perspective of Canadian investigators. </w:t>
      </w:r>
      <w:r w:rsidRPr="001F0F17">
        <w:rPr>
          <w:rFonts w:asciiTheme="minorBidi" w:hAnsiTheme="minorBidi"/>
          <w:i/>
          <w:sz w:val="24"/>
          <w:szCs w:val="24"/>
        </w:rPr>
        <w:t>International Cybersecurity Law Review,</w:t>
      </w:r>
      <w:r w:rsidRPr="001F0F17">
        <w:rPr>
          <w:rFonts w:asciiTheme="minorBidi" w:hAnsiTheme="minorBidi"/>
          <w:sz w:val="24"/>
          <w:szCs w:val="24"/>
        </w:rPr>
        <w:t xml:space="preserve"> 4</w:t>
      </w:r>
      <w:r w:rsidRPr="001F0F17">
        <w:rPr>
          <w:rFonts w:asciiTheme="minorBidi" w:hAnsiTheme="minorBidi"/>
          <w:b/>
          <w:sz w:val="24"/>
          <w:szCs w:val="24"/>
        </w:rPr>
        <w:t>,</w:t>
      </w:r>
      <w:r w:rsidRPr="001F0F17">
        <w:rPr>
          <w:rFonts w:asciiTheme="minorBidi" w:hAnsiTheme="minorBidi"/>
          <w:sz w:val="24"/>
          <w:szCs w:val="24"/>
        </w:rPr>
        <w:t xml:space="preserve"> 415-429.</w:t>
      </w:r>
    </w:p>
    <w:p w14:paraId="4489A814"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Canter, D. 2004. Offender profiling and investigative psychology. Wiley Online Library.</w:t>
      </w:r>
    </w:p>
    <w:p w14:paraId="7001EA05"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Eck, J. E. &amp; Rossmo, D. K. 2019. The new detective: Rethinking criminal investigations. </w:t>
      </w:r>
      <w:r w:rsidRPr="001F0F17">
        <w:rPr>
          <w:rFonts w:asciiTheme="minorBidi" w:hAnsiTheme="minorBidi"/>
          <w:i/>
          <w:sz w:val="24"/>
          <w:szCs w:val="24"/>
        </w:rPr>
        <w:t>Criminology &amp; public policy,</w:t>
      </w:r>
      <w:r w:rsidRPr="001F0F17">
        <w:rPr>
          <w:rFonts w:asciiTheme="minorBidi" w:hAnsiTheme="minorBidi"/>
          <w:sz w:val="24"/>
          <w:szCs w:val="24"/>
        </w:rPr>
        <w:t xml:space="preserve"> 18</w:t>
      </w:r>
      <w:r w:rsidRPr="001F0F17">
        <w:rPr>
          <w:rFonts w:asciiTheme="minorBidi" w:hAnsiTheme="minorBidi"/>
          <w:b/>
          <w:sz w:val="24"/>
          <w:szCs w:val="24"/>
        </w:rPr>
        <w:t>,</w:t>
      </w:r>
      <w:r w:rsidRPr="001F0F17">
        <w:rPr>
          <w:rFonts w:asciiTheme="minorBidi" w:hAnsiTheme="minorBidi"/>
          <w:sz w:val="24"/>
          <w:szCs w:val="24"/>
        </w:rPr>
        <w:t xml:space="preserve"> 601-622.</w:t>
      </w:r>
    </w:p>
    <w:p w14:paraId="147BAB18"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Facione, P. A. 2011. Critical thinking: What it is and why it counts. </w:t>
      </w:r>
      <w:r w:rsidRPr="001F0F17">
        <w:rPr>
          <w:rFonts w:asciiTheme="minorBidi" w:hAnsiTheme="minorBidi"/>
          <w:i/>
          <w:sz w:val="24"/>
          <w:szCs w:val="24"/>
        </w:rPr>
        <w:t>Insight assessment,</w:t>
      </w:r>
      <w:r w:rsidRPr="001F0F17">
        <w:rPr>
          <w:rFonts w:asciiTheme="minorBidi" w:hAnsiTheme="minorBidi"/>
          <w:sz w:val="24"/>
          <w:szCs w:val="24"/>
        </w:rPr>
        <w:t xml:space="preserve"> 1</w:t>
      </w:r>
      <w:r w:rsidRPr="001F0F17">
        <w:rPr>
          <w:rFonts w:asciiTheme="minorBidi" w:hAnsiTheme="minorBidi"/>
          <w:b/>
          <w:sz w:val="24"/>
          <w:szCs w:val="24"/>
        </w:rPr>
        <w:t>,</w:t>
      </w:r>
      <w:r w:rsidRPr="001F0F17">
        <w:rPr>
          <w:rFonts w:asciiTheme="minorBidi" w:hAnsiTheme="minorBidi"/>
          <w:sz w:val="24"/>
          <w:szCs w:val="24"/>
        </w:rPr>
        <w:t xml:space="preserve"> 1-23.</w:t>
      </w:r>
    </w:p>
    <w:p w14:paraId="675F7323"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Fahsing, I. A. &amp; Ask, K. 2018. In search of indicators of detective aptitude: police recruits’ logical reasoning and ability to generate investigative hypotheses. </w:t>
      </w:r>
      <w:r w:rsidRPr="001F0F17">
        <w:rPr>
          <w:rFonts w:asciiTheme="minorBidi" w:hAnsiTheme="minorBidi"/>
          <w:i/>
          <w:sz w:val="24"/>
          <w:szCs w:val="24"/>
        </w:rPr>
        <w:t>Journal of Police and Criminal Psychology,</w:t>
      </w:r>
      <w:r w:rsidRPr="001F0F17">
        <w:rPr>
          <w:rFonts w:asciiTheme="minorBidi" w:hAnsiTheme="minorBidi"/>
          <w:sz w:val="24"/>
          <w:szCs w:val="24"/>
        </w:rPr>
        <w:t xml:space="preserve"> 33</w:t>
      </w:r>
      <w:r w:rsidRPr="001F0F17">
        <w:rPr>
          <w:rFonts w:asciiTheme="minorBidi" w:hAnsiTheme="minorBidi"/>
          <w:b/>
          <w:sz w:val="24"/>
          <w:szCs w:val="24"/>
        </w:rPr>
        <w:t>,</w:t>
      </w:r>
      <w:r w:rsidRPr="001F0F17">
        <w:rPr>
          <w:rFonts w:asciiTheme="minorBidi" w:hAnsiTheme="minorBidi"/>
          <w:sz w:val="24"/>
          <w:szCs w:val="24"/>
        </w:rPr>
        <w:t xml:space="preserve"> 21-34.</w:t>
      </w:r>
    </w:p>
    <w:p w14:paraId="53D0E120"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Horsman, G. 2021. Digital evidence and the crime scene. </w:t>
      </w:r>
      <w:r w:rsidRPr="001F0F17">
        <w:rPr>
          <w:rFonts w:asciiTheme="minorBidi" w:hAnsiTheme="minorBidi"/>
          <w:i/>
          <w:sz w:val="24"/>
          <w:szCs w:val="24"/>
        </w:rPr>
        <w:t>Science &amp; Justice,</w:t>
      </w:r>
      <w:r w:rsidRPr="001F0F17">
        <w:rPr>
          <w:rFonts w:asciiTheme="minorBidi" w:hAnsiTheme="minorBidi"/>
          <w:sz w:val="24"/>
          <w:szCs w:val="24"/>
        </w:rPr>
        <w:t xml:space="preserve"> 61</w:t>
      </w:r>
      <w:r w:rsidRPr="001F0F17">
        <w:rPr>
          <w:rFonts w:asciiTheme="minorBidi" w:hAnsiTheme="minorBidi"/>
          <w:b/>
          <w:sz w:val="24"/>
          <w:szCs w:val="24"/>
        </w:rPr>
        <w:t>,</w:t>
      </w:r>
      <w:r w:rsidRPr="001F0F17">
        <w:rPr>
          <w:rFonts w:asciiTheme="minorBidi" w:hAnsiTheme="minorBidi"/>
          <w:sz w:val="24"/>
          <w:szCs w:val="24"/>
        </w:rPr>
        <w:t xml:space="preserve"> 761-770.</w:t>
      </w:r>
    </w:p>
    <w:p w14:paraId="0F59798C"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Innes, M., Brookman, F. &amp; Jones, H. 2021. “Mosaicking”: cross construction, sense-making and methods of police investigation. </w:t>
      </w:r>
      <w:r w:rsidRPr="001F0F17">
        <w:rPr>
          <w:rFonts w:asciiTheme="minorBidi" w:hAnsiTheme="minorBidi"/>
          <w:i/>
          <w:sz w:val="24"/>
          <w:szCs w:val="24"/>
        </w:rPr>
        <w:t>Policing: An International Journal,</w:t>
      </w:r>
      <w:r w:rsidRPr="001F0F17">
        <w:rPr>
          <w:rFonts w:asciiTheme="minorBidi" w:hAnsiTheme="minorBidi"/>
          <w:sz w:val="24"/>
          <w:szCs w:val="24"/>
        </w:rPr>
        <w:t xml:space="preserve"> 44</w:t>
      </w:r>
      <w:r w:rsidRPr="001F0F17">
        <w:rPr>
          <w:rFonts w:asciiTheme="minorBidi" w:hAnsiTheme="minorBidi"/>
          <w:b/>
          <w:sz w:val="24"/>
          <w:szCs w:val="24"/>
        </w:rPr>
        <w:t>,</w:t>
      </w:r>
      <w:r w:rsidRPr="001F0F17">
        <w:rPr>
          <w:rFonts w:asciiTheme="minorBidi" w:hAnsiTheme="minorBidi"/>
          <w:sz w:val="24"/>
          <w:szCs w:val="24"/>
        </w:rPr>
        <w:t xml:space="preserve"> 708-721.</w:t>
      </w:r>
    </w:p>
    <w:p w14:paraId="76989911"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lastRenderedPageBreak/>
        <w:t xml:space="preserve">Kirby, S. &amp; Snow, N. 2016. Praxis and the disruption of organized crime groups. </w:t>
      </w:r>
      <w:r w:rsidRPr="001F0F17">
        <w:rPr>
          <w:rFonts w:asciiTheme="minorBidi" w:hAnsiTheme="minorBidi"/>
          <w:i/>
          <w:sz w:val="24"/>
          <w:szCs w:val="24"/>
        </w:rPr>
        <w:t>Trends in organized crime,</w:t>
      </w:r>
      <w:r w:rsidRPr="001F0F17">
        <w:rPr>
          <w:rFonts w:asciiTheme="minorBidi" w:hAnsiTheme="minorBidi"/>
          <w:sz w:val="24"/>
          <w:szCs w:val="24"/>
        </w:rPr>
        <w:t xml:space="preserve"> 19</w:t>
      </w:r>
      <w:r w:rsidRPr="001F0F17">
        <w:rPr>
          <w:rFonts w:asciiTheme="minorBidi" w:hAnsiTheme="minorBidi"/>
          <w:b/>
          <w:sz w:val="24"/>
          <w:szCs w:val="24"/>
        </w:rPr>
        <w:t>,</w:t>
      </w:r>
      <w:r w:rsidRPr="001F0F17">
        <w:rPr>
          <w:rFonts w:asciiTheme="minorBidi" w:hAnsiTheme="minorBidi"/>
          <w:sz w:val="24"/>
          <w:szCs w:val="24"/>
        </w:rPr>
        <w:t xml:space="preserve"> 111-124.</w:t>
      </w:r>
    </w:p>
    <w:p w14:paraId="57351DA1"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Morgan, J. 2023. Wrongful convictions and claims of false or misleading forensic evidence. </w:t>
      </w:r>
      <w:r w:rsidRPr="001F0F17">
        <w:rPr>
          <w:rFonts w:asciiTheme="minorBidi" w:hAnsiTheme="minorBidi"/>
          <w:i/>
          <w:sz w:val="24"/>
          <w:szCs w:val="24"/>
        </w:rPr>
        <w:t>Journal of forensic sciences,</w:t>
      </w:r>
      <w:r w:rsidRPr="001F0F17">
        <w:rPr>
          <w:rFonts w:asciiTheme="minorBidi" w:hAnsiTheme="minorBidi"/>
          <w:sz w:val="24"/>
          <w:szCs w:val="24"/>
        </w:rPr>
        <w:t xml:space="preserve"> 68</w:t>
      </w:r>
      <w:r w:rsidRPr="001F0F17">
        <w:rPr>
          <w:rFonts w:asciiTheme="minorBidi" w:hAnsiTheme="minorBidi"/>
          <w:b/>
          <w:sz w:val="24"/>
          <w:szCs w:val="24"/>
        </w:rPr>
        <w:t>,</w:t>
      </w:r>
      <w:r w:rsidRPr="001F0F17">
        <w:rPr>
          <w:rFonts w:asciiTheme="minorBidi" w:hAnsiTheme="minorBidi"/>
          <w:sz w:val="24"/>
          <w:szCs w:val="24"/>
        </w:rPr>
        <w:t xml:space="preserve"> 908-961.</w:t>
      </w:r>
    </w:p>
    <w:p w14:paraId="2BBE9E74"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Morgan, R. M. 2024. Forensic Science Innovation in the UK: Roadblocks and Enablers. </w:t>
      </w:r>
      <w:r w:rsidRPr="001F0F17">
        <w:rPr>
          <w:rFonts w:asciiTheme="minorBidi" w:hAnsiTheme="minorBidi"/>
          <w:i/>
          <w:sz w:val="24"/>
          <w:szCs w:val="24"/>
        </w:rPr>
        <w:t>Driving Forensic Innovation in the 21st Century: Crossing the Valley of Death.</w:t>
      </w:r>
      <w:r w:rsidRPr="001F0F17">
        <w:rPr>
          <w:rFonts w:asciiTheme="minorBidi" w:hAnsiTheme="minorBidi"/>
          <w:sz w:val="24"/>
          <w:szCs w:val="24"/>
        </w:rPr>
        <w:t xml:space="preserve"> Springer.</w:t>
      </w:r>
    </w:p>
    <w:p w14:paraId="4AD1905F" w14:textId="77777777" w:rsidR="00583D68" w:rsidRPr="001F0F17" w:rsidRDefault="00583D68" w:rsidP="00583D68">
      <w:pPr>
        <w:pStyle w:val="EndNoteBibliography"/>
        <w:spacing w:after="0" w:line="360" w:lineRule="auto"/>
        <w:ind w:left="720" w:hanging="720"/>
        <w:rPr>
          <w:rFonts w:asciiTheme="minorBidi" w:hAnsiTheme="minorBidi"/>
          <w:sz w:val="24"/>
          <w:szCs w:val="24"/>
        </w:rPr>
      </w:pPr>
      <w:r w:rsidRPr="001F0F17">
        <w:rPr>
          <w:rFonts w:asciiTheme="minorBidi" w:hAnsiTheme="minorBidi"/>
          <w:sz w:val="24"/>
          <w:szCs w:val="24"/>
        </w:rPr>
        <w:t xml:space="preserve">Poyser, S. &amp; Milne, R. 2015. No grounds for complacency and plenty for continued vigilance: Miscarriages of justice as drivers for research on reforming the investigative interviewing process. </w:t>
      </w:r>
      <w:r w:rsidRPr="001F0F17">
        <w:rPr>
          <w:rFonts w:asciiTheme="minorBidi" w:hAnsiTheme="minorBidi"/>
          <w:i/>
          <w:sz w:val="24"/>
          <w:szCs w:val="24"/>
        </w:rPr>
        <w:t>The Police Journal,</w:t>
      </w:r>
      <w:r w:rsidRPr="001F0F17">
        <w:rPr>
          <w:rFonts w:asciiTheme="minorBidi" w:hAnsiTheme="minorBidi"/>
          <w:sz w:val="24"/>
          <w:szCs w:val="24"/>
        </w:rPr>
        <w:t xml:space="preserve"> 88</w:t>
      </w:r>
      <w:r w:rsidRPr="001F0F17">
        <w:rPr>
          <w:rFonts w:asciiTheme="minorBidi" w:hAnsiTheme="minorBidi"/>
          <w:b/>
          <w:sz w:val="24"/>
          <w:szCs w:val="24"/>
        </w:rPr>
        <w:t>,</w:t>
      </w:r>
      <w:r w:rsidRPr="001F0F17">
        <w:rPr>
          <w:rFonts w:asciiTheme="minorBidi" w:hAnsiTheme="minorBidi"/>
          <w:sz w:val="24"/>
          <w:szCs w:val="24"/>
        </w:rPr>
        <w:t xml:space="preserve"> 265-280.</w:t>
      </w:r>
    </w:p>
    <w:p w14:paraId="649C6A3F" w14:textId="77777777" w:rsidR="00583D68" w:rsidRPr="001F0F17" w:rsidRDefault="00583D68" w:rsidP="00583D68">
      <w:pPr>
        <w:pStyle w:val="EndNoteBibliography"/>
        <w:spacing w:line="360" w:lineRule="auto"/>
        <w:ind w:left="720" w:hanging="720"/>
        <w:rPr>
          <w:rFonts w:asciiTheme="minorBidi" w:hAnsiTheme="minorBidi"/>
          <w:sz w:val="24"/>
          <w:szCs w:val="24"/>
        </w:rPr>
      </w:pPr>
      <w:r w:rsidRPr="001F0F17">
        <w:rPr>
          <w:rFonts w:asciiTheme="minorBidi" w:hAnsiTheme="minorBidi"/>
          <w:sz w:val="24"/>
          <w:szCs w:val="24"/>
        </w:rPr>
        <w:t xml:space="preserve">University of Southern California. 2013. </w:t>
      </w:r>
      <w:r w:rsidRPr="001F0F17">
        <w:rPr>
          <w:rFonts w:asciiTheme="minorBidi" w:hAnsiTheme="minorBidi"/>
          <w:i/>
          <w:sz w:val="24"/>
          <w:szCs w:val="24"/>
        </w:rPr>
        <w:t xml:space="preserve">Research Guides: Organizing Your Social Sciences Research Paper: Theoretical Framework </w:t>
      </w:r>
      <w:r w:rsidRPr="001F0F17">
        <w:rPr>
          <w:rFonts w:asciiTheme="minorBidi" w:hAnsiTheme="minorBidi"/>
          <w:sz w:val="24"/>
          <w:szCs w:val="24"/>
        </w:rPr>
        <w:t xml:space="preserve">[Online]. Available: </w:t>
      </w:r>
      <w:hyperlink r:id="rId59" w:history="1">
        <w:r w:rsidRPr="001F0F17">
          <w:rPr>
            <w:rStyle w:val="Hyperlink"/>
            <w:rFonts w:asciiTheme="minorBidi" w:hAnsiTheme="minorBidi"/>
            <w:sz w:val="24"/>
            <w:szCs w:val="24"/>
          </w:rPr>
          <w:t>https://libguides.usc.edu/writingguide/theoreticalframework</w:t>
        </w:r>
      </w:hyperlink>
      <w:r w:rsidRPr="001F0F17">
        <w:rPr>
          <w:rFonts w:asciiTheme="minorBidi" w:hAnsiTheme="minorBidi"/>
          <w:sz w:val="24"/>
          <w:szCs w:val="24"/>
        </w:rPr>
        <w:t xml:space="preserve"> [Accessed 23 Dec. 2024].</w:t>
      </w:r>
    </w:p>
    <w:p w14:paraId="5FA4D5A4" w14:textId="77777777" w:rsidR="00583D68" w:rsidRPr="001F0F17" w:rsidRDefault="00583D68" w:rsidP="00583D68">
      <w:pPr>
        <w:spacing w:line="360" w:lineRule="auto"/>
        <w:rPr>
          <w:rFonts w:asciiTheme="minorBidi" w:hAnsiTheme="minorBidi"/>
          <w:sz w:val="24"/>
          <w:szCs w:val="24"/>
        </w:rPr>
      </w:pPr>
      <w:r w:rsidRPr="001F0F17">
        <w:rPr>
          <w:rFonts w:asciiTheme="minorBidi" w:hAnsiTheme="minorBidi"/>
          <w:sz w:val="24"/>
          <w:szCs w:val="24"/>
        </w:rPr>
        <w:fldChar w:fldCharType="end"/>
      </w:r>
    </w:p>
    <w:p w14:paraId="307A09A7" w14:textId="764C7C0F" w:rsidR="7336895D" w:rsidRPr="002170AC" w:rsidRDefault="7336895D" w:rsidP="00583D68">
      <w:pPr>
        <w:ind w:right="107"/>
        <w:jc w:val="both"/>
        <w:rPr>
          <w:rFonts w:asciiTheme="minorBidi" w:eastAsia="Arial" w:hAnsiTheme="minorBidi"/>
          <w:b/>
          <w:bCs/>
          <w:color w:val="000000" w:themeColor="text1"/>
          <w:sz w:val="24"/>
          <w:szCs w:val="24"/>
        </w:rPr>
      </w:pPr>
    </w:p>
    <w:p w14:paraId="4820D468" w14:textId="34115951" w:rsidR="7336895D" w:rsidRPr="002170AC" w:rsidRDefault="7336895D" w:rsidP="4E4E3FA4">
      <w:pPr>
        <w:ind w:left="3600" w:right="107" w:firstLine="720"/>
        <w:jc w:val="both"/>
        <w:rPr>
          <w:rFonts w:asciiTheme="minorBidi" w:eastAsia="Arial" w:hAnsiTheme="minorBidi"/>
          <w:b/>
          <w:bCs/>
          <w:color w:val="000000" w:themeColor="text1"/>
          <w:sz w:val="24"/>
          <w:szCs w:val="24"/>
        </w:rPr>
      </w:pPr>
    </w:p>
    <w:p w14:paraId="1162E571" w14:textId="3D68477A" w:rsidR="00583D68" w:rsidRDefault="00583D68">
      <w:pPr>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br w:type="page"/>
      </w:r>
    </w:p>
    <w:p w14:paraId="77D6C0B3" w14:textId="6646AE94" w:rsidR="008052F1" w:rsidRPr="008052F1" w:rsidRDefault="008052F1" w:rsidP="008052F1">
      <w:pPr>
        <w:jc w:val="center"/>
        <w:rPr>
          <w:rFonts w:asciiTheme="minorBidi" w:eastAsia="Arial" w:hAnsiTheme="minorBidi"/>
          <w:b/>
          <w:bCs/>
          <w:color w:val="000000" w:themeColor="text1"/>
          <w:sz w:val="24"/>
          <w:szCs w:val="24"/>
        </w:rPr>
      </w:pPr>
      <w:r>
        <w:rPr>
          <w:rFonts w:asciiTheme="minorBidi" w:eastAsia="Arial" w:hAnsiTheme="minorBidi"/>
          <w:b/>
          <w:bCs/>
          <w:color w:val="000000" w:themeColor="text1"/>
          <w:sz w:val="24"/>
          <w:szCs w:val="24"/>
        </w:rPr>
        <w:lastRenderedPageBreak/>
        <w:t>Task 5</w:t>
      </w:r>
    </w:p>
    <w:p w14:paraId="1604132B" w14:textId="519FBB06" w:rsidR="008052F1" w:rsidRPr="008052F1" w:rsidRDefault="008052F1" w:rsidP="008052F1">
      <w:pPr>
        <w:rPr>
          <w:rFonts w:asciiTheme="minorBidi" w:eastAsia="Arial" w:hAnsiTheme="minorBidi"/>
          <w:b/>
          <w:bCs/>
          <w:i/>
          <w:iCs/>
          <w:color w:val="000000" w:themeColor="text1"/>
          <w:sz w:val="24"/>
          <w:szCs w:val="24"/>
        </w:rPr>
      </w:pPr>
      <w:r w:rsidRPr="008052F1">
        <w:rPr>
          <w:rFonts w:asciiTheme="minorBidi" w:eastAsia="Arial" w:hAnsiTheme="minorBidi"/>
          <w:b/>
          <w:bCs/>
          <w:i/>
          <w:iCs/>
          <w:color w:val="000000" w:themeColor="text1"/>
          <w:sz w:val="24"/>
          <w:szCs w:val="24"/>
        </w:rPr>
        <w:t>Task 5: Personal Development Plan (PDP)</w:t>
      </w:r>
    </w:p>
    <w:p w14:paraId="3560177D" w14:textId="77777777" w:rsidR="008052F1" w:rsidRPr="00400FB8" w:rsidRDefault="008052F1" w:rsidP="008052F1"/>
    <w:p w14:paraId="4271D919" w14:textId="77777777" w:rsidR="008052F1" w:rsidRPr="00400FB8" w:rsidRDefault="008052F1" w:rsidP="008052F1">
      <w:r w:rsidRPr="00400FB8">
        <w:rPr>
          <w:b/>
          <w:bCs/>
          <w:i/>
          <w:iCs/>
          <w:lang w:val="en-US"/>
        </w:rPr>
        <w:t>As part of your reflective process, please use this table to identify the next steps for your personal/professional development. Aim to identify a maximum of four (4) areas of development that are personal to you and your investigative practice for the next 12-18months.</w:t>
      </w:r>
      <w:r w:rsidRPr="00400FB8">
        <w:rPr>
          <w:lang w:val="en-US"/>
        </w:rPr>
        <w:t xml:space="preserve"> </w:t>
      </w:r>
    </w:p>
    <w:p w14:paraId="24A260E3" w14:textId="77777777" w:rsidR="008052F1" w:rsidRPr="00400FB8" w:rsidRDefault="008052F1" w:rsidP="008052F1">
      <w:r w:rsidRPr="00400FB8">
        <w:rPr>
          <w:b/>
          <w:bCs/>
        </w:rPr>
        <w:t xml:space="preserve"> </w:t>
      </w:r>
      <w:r w:rsidRPr="00400FB8">
        <w:t xml:space="preserve">Consider using ‘SMART’ as part of your answer. </w:t>
      </w:r>
    </w:p>
    <w:p w14:paraId="2FBC1E32" w14:textId="77777777" w:rsidR="008052F1" w:rsidRPr="00400FB8" w:rsidRDefault="008052F1" w:rsidP="008052F1">
      <w:r w:rsidRPr="00400FB8">
        <w:rPr>
          <w:b/>
          <w:bCs/>
          <w:i/>
          <w:iCs/>
        </w:rPr>
        <w:t xml:space="preserve">NOTE: This is equivalent to 2000 words </w:t>
      </w:r>
      <w:r w:rsidRPr="00400FB8">
        <w:rPr>
          <w:i/>
          <w:iCs/>
        </w:rPr>
        <w:t>towards the overall wordcount, please note t</w:t>
      </w:r>
      <w:r w:rsidRPr="00400FB8">
        <w:rPr>
          <w:i/>
          <w:iCs/>
          <w:u w:val="single"/>
        </w:rPr>
        <w:t>his is not the actual number of words used</w:t>
      </w:r>
      <w:r w:rsidRPr="00400FB8">
        <w:rPr>
          <w:i/>
          <w:iCs/>
        </w:rPr>
        <w:t xml:space="preserve"> in completing the table, the count reflects the thought and research behind it.</w:t>
      </w:r>
    </w:p>
    <w:tbl>
      <w:tblPr>
        <w:tblStyle w:val="TableGrid"/>
        <w:tblW w:w="0" w:type="auto"/>
        <w:tblLayout w:type="fixed"/>
        <w:tblLook w:val="06A0" w:firstRow="1" w:lastRow="0" w:firstColumn="1" w:lastColumn="0" w:noHBand="1" w:noVBand="1"/>
      </w:tblPr>
      <w:tblGrid>
        <w:gridCol w:w="2254"/>
        <w:gridCol w:w="2844"/>
        <w:gridCol w:w="1985"/>
        <w:gridCol w:w="1933"/>
      </w:tblGrid>
      <w:tr w:rsidR="008052F1" w:rsidRPr="00400FB8" w14:paraId="40DBB4E5" w14:textId="77777777" w:rsidTr="008052F1">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1E8BCD"/>
            <w:hideMark/>
          </w:tcPr>
          <w:p w14:paraId="35579E2A" w14:textId="77777777" w:rsidR="008052F1" w:rsidRPr="00400FB8" w:rsidRDefault="008052F1" w:rsidP="00AD6BED">
            <w:pPr>
              <w:spacing w:after="160" w:line="259" w:lineRule="auto"/>
              <w:rPr>
                <w:b/>
                <w:bCs/>
              </w:rPr>
            </w:pPr>
            <w:r w:rsidRPr="00400FB8">
              <w:rPr>
                <w:b/>
                <w:bCs/>
              </w:rPr>
              <w:t>Area of Development</w:t>
            </w:r>
          </w:p>
        </w:tc>
        <w:tc>
          <w:tcPr>
            <w:tcW w:w="284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1E8BCD"/>
            <w:hideMark/>
          </w:tcPr>
          <w:p w14:paraId="7D5B8EC4" w14:textId="77777777" w:rsidR="008052F1" w:rsidRPr="00400FB8" w:rsidRDefault="008052F1" w:rsidP="00AD6BED">
            <w:pPr>
              <w:spacing w:after="160" w:line="259" w:lineRule="auto"/>
              <w:rPr>
                <w:b/>
                <w:bCs/>
              </w:rPr>
            </w:pPr>
            <w:r w:rsidRPr="00400FB8">
              <w:rPr>
                <w:b/>
                <w:bCs/>
              </w:rPr>
              <w:t xml:space="preserve">How it will be achieved </w:t>
            </w: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1E8BCD"/>
            <w:hideMark/>
          </w:tcPr>
          <w:p w14:paraId="3C80E96B" w14:textId="77777777" w:rsidR="008052F1" w:rsidRPr="00400FB8" w:rsidRDefault="008052F1" w:rsidP="00AD6BED">
            <w:pPr>
              <w:spacing w:after="160" w:line="259" w:lineRule="auto"/>
              <w:rPr>
                <w:b/>
                <w:bCs/>
              </w:rPr>
            </w:pPr>
            <w:r w:rsidRPr="00400FB8">
              <w:rPr>
                <w:b/>
                <w:bCs/>
              </w:rPr>
              <w:t>Who can provide support?</w:t>
            </w:r>
          </w:p>
        </w:tc>
        <w:tc>
          <w:tcPr>
            <w:tcW w:w="1933"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1E8BCD"/>
            <w:hideMark/>
          </w:tcPr>
          <w:p w14:paraId="38877D39" w14:textId="77777777" w:rsidR="008052F1" w:rsidRPr="00400FB8" w:rsidRDefault="008052F1" w:rsidP="00AD6BED">
            <w:pPr>
              <w:spacing w:after="160" w:line="259" w:lineRule="auto"/>
              <w:rPr>
                <w:b/>
                <w:bCs/>
              </w:rPr>
            </w:pPr>
            <w:r w:rsidRPr="00400FB8">
              <w:rPr>
                <w:b/>
                <w:bCs/>
              </w:rPr>
              <w:t>Timeline</w:t>
            </w:r>
          </w:p>
        </w:tc>
      </w:tr>
      <w:tr w:rsidR="008052F1" w:rsidRPr="00400FB8" w14:paraId="2F1C55DA" w14:textId="77777777" w:rsidTr="008052F1">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7B79014" w14:textId="77777777" w:rsidR="008052F1" w:rsidRPr="0007673E" w:rsidRDefault="008052F1" w:rsidP="00AD6BED">
            <w:pPr>
              <w:spacing w:after="160" w:line="259" w:lineRule="auto"/>
              <w:rPr>
                <w:rFonts w:ascii="Arial" w:hAnsi="Arial" w:cs="Arial"/>
                <w:sz w:val="24"/>
                <w:szCs w:val="24"/>
              </w:rPr>
            </w:pPr>
            <w:bookmarkStart w:id="1" w:name="_Hlk184580984"/>
            <w:r w:rsidRPr="0007673E">
              <w:rPr>
                <w:rFonts w:ascii="Arial" w:hAnsi="Arial" w:cs="Arial"/>
                <w:sz w:val="24"/>
                <w:szCs w:val="24"/>
              </w:rPr>
              <w:t>Complete my Bachelor of Science (BSc) degree in Professional Investigation.</w:t>
            </w:r>
          </w:p>
          <w:p w14:paraId="681F35C4" w14:textId="77777777" w:rsidR="008052F1" w:rsidRPr="0007673E" w:rsidRDefault="008052F1" w:rsidP="00AD6BED">
            <w:pPr>
              <w:spacing w:after="160" w:line="259" w:lineRule="auto"/>
              <w:rPr>
                <w:rFonts w:ascii="Arial" w:hAnsi="Arial" w:cs="Arial"/>
                <w:b/>
                <w:bCs/>
                <w:sz w:val="24"/>
                <w:szCs w:val="24"/>
              </w:rPr>
            </w:pPr>
          </w:p>
          <w:p w14:paraId="105E8CA1" w14:textId="77777777" w:rsidR="008052F1" w:rsidRPr="0007673E" w:rsidRDefault="008052F1" w:rsidP="00AD6BED">
            <w:pPr>
              <w:spacing w:after="160" w:line="259" w:lineRule="auto"/>
              <w:rPr>
                <w:rFonts w:ascii="Arial" w:hAnsi="Arial" w:cs="Arial"/>
                <w:b/>
                <w:bCs/>
                <w:sz w:val="24"/>
                <w:szCs w:val="24"/>
              </w:rPr>
            </w:pPr>
          </w:p>
          <w:p w14:paraId="1645A999" w14:textId="77777777" w:rsidR="008052F1" w:rsidRPr="0007673E" w:rsidRDefault="008052F1" w:rsidP="00AD6BED">
            <w:pPr>
              <w:spacing w:after="160" w:line="259" w:lineRule="auto"/>
              <w:rPr>
                <w:rFonts w:ascii="Arial" w:hAnsi="Arial" w:cs="Arial"/>
                <w:b/>
                <w:bCs/>
                <w:sz w:val="24"/>
                <w:szCs w:val="24"/>
              </w:rPr>
            </w:pPr>
          </w:p>
          <w:p w14:paraId="09881366" w14:textId="77777777" w:rsidR="008052F1" w:rsidRPr="0007673E" w:rsidRDefault="008052F1" w:rsidP="00AD6BED">
            <w:pPr>
              <w:spacing w:after="160" w:line="259" w:lineRule="auto"/>
              <w:rPr>
                <w:rFonts w:ascii="Arial" w:hAnsi="Arial" w:cs="Arial"/>
                <w:b/>
                <w:bCs/>
                <w:sz w:val="24"/>
                <w:szCs w:val="24"/>
              </w:rPr>
            </w:pPr>
          </w:p>
        </w:tc>
        <w:tc>
          <w:tcPr>
            <w:tcW w:w="284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45CE81A"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Specific:</w:t>
            </w:r>
          </w:p>
          <w:p w14:paraId="3B410231" w14:textId="77777777" w:rsidR="008052F1" w:rsidRPr="0007673E" w:rsidRDefault="008052F1" w:rsidP="00AD6BED">
            <w:pPr>
              <w:ind w:left="360"/>
              <w:rPr>
                <w:rFonts w:ascii="Arial" w:hAnsi="Arial" w:cs="Arial"/>
                <w:b/>
                <w:bCs/>
                <w:sz w:val="24"/>
                <w:szCs w:val="24"/>
              </w:rPr>
            </w:pPr>
            <w:r w:rsidRPr="0007673E">
              <w:rPr>
                <w:rFonts w:ascii="Arial" w:hAnsi="Arial" w:cs="Arial"/>
                <w:sz w:val="24"/>
                <w:szCs w:val="24"/>
              </w:rPr>
              <w:t>I will successfully complete all the modules and submit my dissertation on or before November 3</w:t>
            </w:r>
            <w:r w:rsidRPr="0007673E">
              <w:rPr>
                <w:rFonts w:ascii="Arial" w:hAnsi="Arial" w:cs="Arial"/>
                <w:sz w:val="24"/>
                <w:szCs w:val="24"/>
                <w:vertAlign w:val="superscript"/>
              </w:rPr>
              <w:t>rd</w:t>
            </w:r>
            <w:r w:rsidRPr="0007673E">
              <w:rPr>
                <w:rFonts w:ascii="Arial" w:hAnsi="Arial" w:cs="Arial"/>
                <w:sz w:val="24"/>
                <w:szCs w:val="24"/>
              </w:rPr>
              <w:t>, 2025.</w:t>
            </w:r>
          </w:p>
          <w:p w14:paraId="47FDD5FC" w14:textId="77777777" w:rsidR="008052F1" w:rsidRPr="0007673E" w:rsidRDefault="008052F1" w:rsidP="00AD6BED">
            <w:pPr>
              <w:ind w:left="360"/>
              <w:rPr>
                <w:rFonts w:ascii="Arial" w:hAnsi="Arial" w:cs="Arial"/>
                <w:b/>
                <w:bCs/>
                <w:sz w:val="24"/>
                <w:szCs w:val="24"/>
              </w:rPr>
            </w:pPr>
          </w:p>
          <w:p w14:paraId="7007099F"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Measurable:</w:t>
            </w:r>
          </w:p>
          <w:p w14:paraId="59091A3D"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I aim to achieve at least a 2:2 (Second Class Honours), or higher.</w:t>
            </w:r>
          </w:p>
          <w:p w14:paraId="4D406B34"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Achievable:</w:t>
            </w:r>
          </w:p>
          <w:p w14:paraId="3B5D89F3"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will use available resources while also effectively managing my time to meet submission deadlines.  </w:t>
            </w:r>
          </w:p>
          <w:p w14:paraId="0E8203E0"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Relevant:</w:t>
            </w:r>
          </w:p>
          <w:p w14:paraId="4EE3E211" w14:textId="541F769B" w:rsidR="008052F1" w:rsidRPr="008052F1" w:rsidRDefault="008052F1" w:rsidP="008052F1">
            <w:pPr>
              <w:spacing w:after="160" w:line="259" w:lineRule="auto"/>
              <w:ind w:left="360"/>
              <w:rPr>
                <w:rFonts w:ascii="Arial" w:hAnsi="Arial" w:cs="Arial"/>
                <w:sz w:val="24"/>
                <w:szCs w:val="24"/>
              </w:rPr>
            </w:pPr>
            <w:r w:rsidRPr="0007673E">
              <w:rPr>
                <w:rFonts w:ascii="Arial" w:hAnsi="Arial" w:cs="Arial"/>
                <w:sz w:val="24"/>
                <w:szCs w:val="24"/>
              </w:rPr>
              <w:t xml:space="preserve">Completing the degree is a personal and career goal I’ve set myself. It will assist me regarding future career aspirations both within South Wales </w:t>
            </w:r>
            <w:r w:rsidRPr="0007673E">
              <w:rPr>
                <w:rFonts w:ascii="Arial" w:hAnsi="Arial" w:cs="Arial"/>
                <w:sz w:val="24"/>
                <w:szCs w:val="24"/>
              </w:rPr>
              <w:lastRenderedPageBreak/>
              <w:t>Police and when I retire.</w:t>
            </w:r>
          </w:p>
          <w:p w14:paraId="1764954C"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Time – bound:</w:t>
            </w:r>
          </w:p>
          <w:p w14:paraId="08C04666"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All going well, I will graduate in July 2026.</w:t>
            </w:r>
          </w:p>
          <w:p w14:paraId="53597CF6" w14:textId="77777777" w:rsidR="008052F1" w:rsidRPr="0007673E" w:rsidRDefault="008052F1" w:rsidP="00AD6BED">
            <w:pPr>
              <w:spacing w:after="160" w:line="259" w:lineRule="auto"/>
              <w:rPr>
                <w:rFonts w:ascii="Arial" w:hAnsi="Arial" w:cs="Arial"/>
                <w:sz w:val="24"/>
                <w:szCs w:val="24"/>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B1BD544"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lastRenderedPageBreak/>
              <w:t>Alison Cooke (Lecturer).</w:t>
            </w:r>
          </w:p>
          <w:p w14:paraId="65D15AC2"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 xml:space="preserve">Colleagues who have recently acquired the qualification. </w:t>
            </w:r>
          </w:p>
          <w:p w14:paraId="2B93A223" w14:textId="77777777" w:rsidR="008052F1" w:rsidRPr="0007673E" w:rsidRDefault="008052F1" w:rsidP="00AD6BED">
            <w:pPr>
              <w:spacing w:after="160" w:line="259" w:lineRule="auto"/>
              <w:rPr>
                <w:rFonts w:ascii="Arial" w:hAnsi="Arial" w:cs="Arial"/>
                <w:b/>
                <w:bCs/>
                <w:sz w:val="24"/>
                <w:szCs w:val="24"/>
              </w:rPr>
            </w:pPr>
          </w:p>
        </w:tc>
        <w:tc>
          <w:tcPr>
            <w:tcW w:w="19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9BFF480"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Submit Workbook 1 by January 16</w:t>
            </w:r>
            <w:r w:rsidRPr="0007673E">
              <w:rPr>
                <w:rFonts w:ascii="Arial" w:hAnsi="Arial" w:cs="Arial"/>
                <w:sz w:val="24"/>
                <w:szCs w:val="24"/>
                <w:vertAlign w:val="superscript"/>
              </w:rPr>
              <w:t>th</w:t>
            </w:r>
            <w:r w:rsidRPr="0007673E">
              <w:rPr>
                <w:rFonts w:ascii="Arial" w:hAnsi="Arial" w:cs="Arial"/>
                <w:sz w:val="24"/>
                <w:szCs w:val="24"/>
              </w:rPr>
              <w:t xml:space="preserve">, 2025.  </w:t>
            </w:r>
          </w:p>
          <w:p w14:paraId="3413BFE5"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Submit my Dissertation Proposal by February 27</w:t>
            </w:r>
            <w:r w:rsidRPr="0007673E">
              <w:rPr>
                <w:rFonts w:ascii="Arial" w:hAnsi="Arial" w:cs="Arial"/>
                <w:sz w:val="24"/>
                <w:szCs w:val="24"/>
                <w:vertAlign w:val="superscript"/>
              </w:rPr>
              <w:t>th</w:t>
            </w:r>
            <w:r w:rsidRPr="0007673E">
              <w:rPr>
                <w:rFonts w:ascii="Arial" w:hAnsi="Arial" w:cs="Arial"/>
                <w:sz w:val="24"/>
                <w:szCs w:val="24"/>
              </w:rPr>
              <w:t>, 2025.</w:t>
            </w:r>
          </w:p>
          <w:p w14:paraId="74B59585"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Submit Workbook 2 by May 8</w:t>
            </w:r>
            <w:r w:rsidRPr="0007673E">
              <w:rPr>
                <w:rFonts w:ascii="Arial" w:hAnsi="Arial" w:cs="Arial"/>
                <w:sz w:val="24"/>
                <w:szCs w:val="24"/>
                <w:vertAlign w:val="superscript"/>
              </w:rPr>
              <w:t>th</w:t>
            </w:r>
            <w:r w:rsidRPr="0007673E">
              <w:rPr>
                <w:rFonts w:ascii="Arial" w:hAnsi="Arial" w:cs="Arial"/>
                <w:sz w:val="24"/>
                <w:szCs w:val="24"/>
              </w:rPr>
              <w:t>, 2025.</w:t>
            </w:r>
          </w:p>
          <w:p w14:paraId="75360DA5"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Submit my dissertation by November 3</w:t>
            </w:r>
            <w:r w:rsidRPr="0007673E">
              <w:rPr>
                <w:rFonts w:ascii="Arial" w:hAnsi="Arial" w:cs="Arial"/>
                <w:sz w:val="24"/>
                <w:szCs w:val="24"/>
                <w:vertAlign w:val="superscript"/>
              </w:rPr>
              <w:t>rd</w:t>
            </w:r>
            <w:r w:rsidRPr="0007673E">
              <w:rPr>
                <w:rFonts w:ascii="Arial" w:hAnsi="Arial" w:cs="Arial"/>
                <w:sz w:val="24"/>
                <w:szCs w:val="24"/>
              </w:rPr>
              <w:t xml:space="preserve">, 2025.  </w:t>
            </w:r>
          </w:p>
          <w:p w14:paraId="35B6565F" w14:textId="77777777" w:rsidR="008052F1" w:rsidRPr="0007673E" w:rsidRDefault="008052F1" w:rsidP="00AD6BED">
            <w:pPr>
              <w:spacing w:after="160" w:line="259" w:lineRule="auto"/>
              <w:rPr>
                <w:rFonts w:ascii="Arial" w:hAnsi="Arial" w:cs="Arial"/>
                <w:sz w:val="24"/>
                <w:szCs w:val="24"/>
              </w:rPr>
            </w:pPr>
          </w:p>
        </w:tc>
      </w:tr>
      <w:tr w:rsidR="008052F1" w:rsidRPr="00400FB8" w14:paraId="6953C46E" w14:textId="77777777" w:rsidTr="008052F1">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164FC7"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 xml:space="preserve">National Counter Terrorism Negotiators Course. </w:t>
            </w:r>
          </w:p>
          <w:p w14:paraId="0BFF7F5B" w14:textId="77777777" w:rsidR="008052F1" w:rsidRPr="0007673E" w:rsidRDefault="008052F1" w:rsidP="00AD6BED">
            <w:pPr>
              <w:spacing w:after="160" w:line="259" w:lineRule="auto"/>
              <w:rPr>
                <w:rFonts w:ascii="Arial" w:hAnsi="Arial" w:cs="Arial"/>
                <w:b/>
                <w:bCs/>
                <w:sz w:val="24"/>
                <w:szCs w:val="24"/>
              </w:rPr>
            </w:pPr>
          </w:p>
          <w:p w14:paraId="63C5757D" w14:textId="77777777" w:rsidR="008052F1" w:rsidRPr="0007673E" w:rsidRDefault="008052F1" w:rsidP="00AD6BED">
            <w:pPr>
              <w:spacing w:after="160" w:line="259" w:lineRule="auto"/>
              <w:rPr>
                <w:rFonts w:ascii="Arial" w:hAnsi="Arial" w:cs="Arial"/>
                <w:b/>
                <w:bCs/>
                <w:sz w:val="24"/>
                <w:szCs w:val="24"/>
              </w:rPr>
            </w:pPr>
          </w:p>
          <w:p w14:paraId="2939156D" w14:textId="77777777" w:rsidR="008052F1" w:rsidRPr="0007673E" w:rsidRDefault="008052F1" w:rsidP="00AD6BED">
            <w:pPr>
              <w:spacing w:after="160" w:line="259" w:lineRule="auto"/>
              <w:rPr>
                <w:rFonts w:ascii="Arial" w:hAnsi="Arial" w:cs="Arial"/>
                <w:b/>
                <w:bCs/>
                <w:sz w:val="24"/>
                <w:szCs w:val="24"/>
              </w:rPr>
            </w:pPr>
          </w:p>
          <w:p w14:paraId="0DF7C859" w14:textId="77777777" w:rsidR="008052F1" w:rsidRPr="0007673E" w:rsidRDefault="008052F1" w:rsidP="00AD6BED">
            <w:pPr>
              <w:spacing w:after="160" w:line="259" w:lineRule="auto"/>
              <w:rPr>
                <w:rFonts w:ascii="Arial" w:hAnsi="Arial" w:cs="Arial"/>
                <w:b/>
                <w:bCs/>
                <w:sz w:val="24"/>
                <w:szCs w:val="24"/>
              </w:rPr>
            </w:pPr>
          </w:p>
        </w:tc>
        <w:tc>
          <w:tcPr>
            <w:tcW w:w="284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5CDB853"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Specific:</w:t>
            </w:r>
          </w:p>
          <w:p w14:paraId="7025389E"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will successfully complete the modules and role plays. </w:t>
            </w:r>
          </w:p>
          <w:p w14:paraId="5EF9F7F6"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Measurable:</w:t>
            </w:r>
          </w:p>
          <w:p w14:paraId="36AA8E3B"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aim to obtain high scores during the course, particularly during the role plays. </w:t>
            </w:r>
          </w:p>
          <w:p w14:paraId="481F3C8F"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Achievable:</w:t>
            </w:r>
          </w:p>
          <w:p w14:paraId="71630C98"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will use available resources relating to negotiating with extremists and terrorists. </w:t>
            </w:r>
          </w:p>
          <w:p w14:paraId="7FE70A77"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Relevant:</w:t>
            </w:r>
          </w:p>
          <w:p w14:paraId="5D89831F"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The course will enhance my negotiator skills. It will also equip me with the skills and knowledge I will require if I must try and negotiate with violent extremists or terrorists. I will also learn how to apply diplomatic knowledge to assess humanitarian and political issues. I will also learn how to analyse different conflicts and peace processes </w:t>
            </w:r>
            <w:r w:rsidRPr="0007673E">
              <w:rPr>
                <w:rFonts w:ascii="Arial" w:hAnsi="Arial" w:cs="Arial"/>
                <w:sz w:val="24"/>
                <w:szCs w:val="24"/>
              </w:rPr>
              <w:lastRenderedPageBreak/>
              <w:t xml:space="preserve">concerning various terrorist organisations.  </w:t>
            </w:r>
          </w:p>
          <w:p w14:paraId="7F781AE5"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Time – bound:</w:t>
            </w:r>
          </w:p>
          <w:p w14:paraId="3DACACD7"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I will attend a course in 2025.</w:t>
            </w:r>
          </w:p>
          <w:p w14:paraId="246F9271" w14:textId="77777777" w:rsidR="008052F1" w:rsidRPr="0007673E" w:rsidRDefault="008052F1" w:rsidP="00AD6BED">
            <w:pPr>
              <w:spacing w:after="160" w:line="259" w:lineRule="auto"/>
              <w:rPr>
                <w:rFonts w:ascii="Arial" w:hAnsi="Arial" w:cs="Arial"/>
                <w:b/>
                <w:bCs/>
                <w:sz w:val="24"/>
                <w:szCs w:val="24"/>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751C6D3"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lastRenderedPageBreak/>
              <w:t>Superintendent Jason Herbert (Force Lead)</w:t>
            </w:r>
          </w:p>
          <w:p w14:paraId="47457B52"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 xml:space="preserve">Colleagues who are currently trained National Counter Terrorism Negotiators. </w:t>
            </w:r>
          </w:p>
          <w:p w14:paraId="4F98DD7E" w14:textId="77777777" w:rsidR="008052F1" w:rsidRPr="0007673E" w:rsidRDefault="008052F1" w:rsidP="00AD6BED">
            <w:pPr>
              <w:spacing w:after="160" w:line="259" w:lineRule="auto"/>
              <w:rPr>
                <w:rFonts w:ascii="Arial" w:hAnsi="Arial" w:cs="Arial"/>
                <w:sz w:val="24"/>
                <w:szCs w:val="24"/>
              </w:rPr>
            </w:pPr>
          </w:p>
        </w:tc>
        <w:tc>
          <w:tcPr>
            <w:tcW w:w="19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36760969"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 xml:space="preserve">Date to be confirmed. </w:t>
            </w:r>
          </w:p>
        </w:tc>
      </w:tr>
      <w:tr w:rsidR="008052F1" w:rsidRPr="00400FB8" w14:paraId="238DE5D4" w14:textId="77777777" w:rsidTr="008052F1">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DA38E25"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PIP Level 2 – Investigative Supervisor Programme.</w:t>
            </w:r>
          </w:p>
          <w:p w14:paraId="169107A5" w14:textId="77777777" w:rsidR="008052F1" w:rsidRPr="0007673E" w:rsidRDefault="008052F1" w:rsidP="00AD6BED">
            <w:pPr>
              <w:spacing w:after="160" w:line="259" w:lineRule="auto"/>
              <w:rPr>
                <w:rFonts w:ascii="Arial" w:hAnsi="Arial" w:cs="Arial"/>
                <w:b/>
                <w:bCs/>
                <w:sz w:val="24"/>
                <w:szCs w:val="24"/>
              </w:rPr>
            </w:pPr>
          </w:p>
          <w:p w14:paraId="54DF157D" w14:textId="77777777" w:rsidR="008052F1" w:rsidRPr="0007673E" w:rsidRDefault="008052F1" w:rsidP="00AD6BED">
            <w:pPr>
              <w:spacing w:after="160" w:line="259" w:lineRule="auto"/>
              <w:rPr>
                <w:rFonts w:ascii="Arial" w:hAnsi="Arial" w:cs="Arial"/>
                <w:b/>
                <w:bCs/>
                <w:sz w:val="24"/>
                <w:szCs w:val="24"/>
              </w:rPr>
            </w:pPr>
          </w:p>
          <w:p w14:paraId="0D48405E" w14:textId="77777777" w:rsidR="008052F1" w:rsidRPr="0007673E" w:rsidRDefault="008052F1" w:rsidP="00AD6BED">
            <w:pPr>
              <w:spacing w:after="160" w:line="259" w:lineRule="auto"/>
              <w:rPr>
                <w:rFonts w:ascii="Arial" w:hAnsi="Arial" w:cs="Arial"/>
                <w:b/>
                <w:bCs/>
                <w:sz w:val="24"/>
                <w:szCs w:val="24"/>
              </w:rPr>
            </w:pPr>
          </w:p>
          <w:p w14:paraId="27DA1577" w14:textId="77777777" w:rsidR="008052F1" w:rsidRPr="0007673E" w:rsidRDefault="008052F1" w:rsidP="00AD6BED">
            <w:pPr>
              <w:spacing w:after="160" w:line="259" w:lineRule="auto"/>
              <w:rPr>
                <w:rFonts w:ascii="Arial" w:hAnsi="Arial" w:cs="Arial"/>
                <w:b/>
                <w:bCs/>
                <w:sz w:val="24"/>
                <w:szCs w:val="24"/>
              </w:rPr>
            </w:pPr>
          </w:p>
          <w:p w14:paraId="74763C5C" w14:textId="77777777" w:rsidR="008052F1" w:rsidRPr="0007673E" w:rsidRDefault="008052F1" w:rsidP="00AD6BED">
            <w:pPr>
              <w:spacing w:after="160" w:line="259" w:lineRule="auto"/>
              <w:rPr>
                <w:rFonts w:ascii="Arial" w:hAnsi="Arial" w:cs="Arial"/>
                <w:b/>
                <w:bCs/>
                <w:sz w:val="24"/>
                <w:szCs w:val="24"/>
              </w:rPr>
            </w:pPr>
          </w:p>
        </w:tc>
        <w:tc>
          <w:tcPr>
            <w:tcW w:w="284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76F69638"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Specific:</w:t>
            </w:r>
          </w:p>
          <w:p w14:paraId="6CEDEBD6"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will successfully complete the modules and fully participate during the course.  </w:t>
            </w:r>
          </w:p>
          <w:p w14:paraId="7E7D5691"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Measurable:</w:t>
            </w:r>
          </w:p>
          <w:p w14:paraId="296EF32F"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will successfully complete the course. </w:t>
            </w:r>
          </w:p>
          <w:p w14:paraId="20742B51"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Achievable:</w:t>
            </w:r>
          </w:p>
          <w:p w14:paraId="23AE82B7"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I will embrace what’s being taught.</w:t>
            </w:r>
          </w:p>
          <w:p w14:paraId="78D97A79"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Relevant:</w:t>
            </w:r>
          </w:p>
          <w:p w14:paraId="4A3C658C" w14:textId="77777777" w:rsidR="008052F1" w:rsidRPr="0007673E" w:rsidRDefault="008052F1" w:rsidP="00AD6BED">
            <w:pPr>
              <w:spacing w:after="160" w:line="259" w:lineRule="auto"/>
              <w:ind w:left="360"/>
              <w:rPr>
                <w:rFonts w:ascii="Arial" w:hAnsi="Arial" w:cs="Arial"/>
                <w:b/>
                <w:bCs/>
                <w:sz w:val="24"/>
                <w:szCs w:val="24"/>
              </w:rPr>
            </w:pPr>
            <w:r w:rsidRPr="0007673E">
              <w:rPr>
                <w:rFonts w:ascii="Arial" w:hAnsi="Arial" w:cs="Arial"/>
                <w:sz w:val="24"/>
                <w:szCs w:val="24"/>
              </w:rPr>
              <w:t>The course will enhance my management skills. It will also assist me carry out my supervisory role in relation to investigations, including public protection investigations, hate crimes, threats to life, high-risk offenders and sex and violent offenders.</w:t>
            </w:r>
          </w:p>
          <w:p w14:paraId="0A1093CA"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Time – bound:</w:t>
            </w:r>
          </w:p>
          <w:p w14:paraId="3FB357A7" w14:textId="77777777" w:rsidR="008052F1" w:rsidRDefault="008052F1" w:rsidP="008052F1">
            <w:pPr>
              <w:spacing w:after="160" w:line="259" w:lineRule="auto"/>
              <w:ind w:left="360"/>
              <w:rPr>
                <w:rFonts w:ascii="Arial" w:hAnsi="Arial" w:cs="Arial"/>
                <w:sz w:val="24"/>
                <w:szCs w:val="24"/>
              </w:rPr>
            </w:pPr>
            <w:r w:rsidRPr="0007673E">
              <w:rPr>
                <w:rFonts w:ascii="Arial" w:hAnsi="Arial" w:cs="Arial"/>
                <w:sz w:val="24"/>
                <w:szCs w:val="24"/>
              </w:rPr>
              <w:t>10</w:t>
            </w:r>
            <w:r w:rsidRPr="0007673E">
              <w:rPr>
                <w:rFonts w:ascii="Arial" w:hAnsi="Arial" w:cs="Arial"/>
                <w:sz w:val="24"/>
                <w:szCs w:val="24"/>
                <w:vertAlign w:val="superscript"/>
              </w:rPr>
              <w:t>th</w:t>
            </w:r>
            <w:r w:rsidRPr="0007673E">
              <w:rPr>
                <w:rFonts w:ascii="Arial" w:hAnsi="Arial" w:cs="Arial"/>
                <w:sz w:val="24"/>
                <w:szCs w:val="24"/>
              </w:rPr>
              <w:t xml:space="preserve"> March – 28</w:t>
            </w:r>
            <w:r w:rsidRPr="0007673E">
              <w:rPr>
                <w:rFonts w:ascii="Arial" w:hAnsi="Arial" w:cs="Arial"/>
                <w:sz w:val="24"/>
                <w:szCs w:val="24"/>
                <w:vertAlign w:val="superscript"/>
              </w:rPr>
              <w:t>th</w:t>
            </w:r>
            <w:r w:rsidRPr="0007673E">
              <w:rPr>
                <w:rFonts w:ascii="Arial" w:hAnsi="Arial" w:cs="Arial"/>
                <w:sz w:val="24"/>
                <w:szCs w:val="24"/>
              </w:rPr>
              <w:t xml:space="preserve"> March 2025.</w:t>
            </w:r>
          </w:p>
          <w:p w14:paraId="654A5269" w14:textId="77777777" w:rsidR="008052F1" w:rsidRDefault="008052F1" w:rsidP="008052F1">
            <w:pPr>
              <w:spacing w:after="160" w:line="259" w:lineRule="auto"/>
              <w:ind w:left="360"/>
              <w:rPr>
                <w:rFonts w:ascii="Arial" w:hAnsi="Arial" w:cs="Arial"/>
                <w:sz w:val="24"/>
                <w:szCs w:val="24"/>
              </w:rPr>
            </w:pPr>
          </w:p>
          <w:p w14:paraId="115083A3" w14:textId="68629F59" w:rsidR="008052F1" w:rsidRPr="0007673E" w:rsidRDefault="008052F1" w:rsidP="008052F1">
            <w:pPr>
              <w:spacing w:after="160" w:line="259" w:lineRule="auto"/>
              <w:ind w:left="360"/>
              <w:rPr>
                <w:rFonts w:ascii="Arial" w:hAnsi="Arial" w:cs="Arial"/>
                <w:sz w:val="24"/>
                <w:szCs w:val="24"/>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58D6C986"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South Wales Police Investigative Training Department.</w:t>
            </w:r>
          </w:p>
        </w:tc>
        <w:tc>
          <w:tcPr>
            <w:tcW w:w="19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2FDF431"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10</w:t>
            </w:r>
            <w:r w:rsidRPr="0007673E">
              <w:rPr>
                <w:rFonts w:ascii="Arial" w:hAnsi="Arial" w:cs="Arial"/>
                <w:sz w:val="24"/>
                <w:szCs w:val="24"/>
                <w:vertAlign w:val="superscript"/>
              </w:rPr>
              <w:t>th</w:t>
            </w:r>
            <w:r w:rsidRPr="0007673E">
              <w:rPr>
                <w:rFonts w:ascii="Arial" w:hAnsi="Arial" w:cs="Arial"/>
                <w:sz w:val="24"/>
                <w:szCs w:val="24"/>
              </w:rPr>
              <w:t xml:space="preserve"> March – 28</w:t>
            </w:r>
            <w:r w:rsidRPr="0007673E">
              <w:rPr>
                <w:rFonts w:ascii="Arial" w:hAnsi="Arial" w:cs="Arial"/>
                <w:sz w:val="24"/>
                <w:szCs w:val="24"/>
                <w:vertAlign w:val="superscript"/>
              </w:rPr>
              <w:t>th</w:t>
            </w:r>
            <w:r w:rsidRPr="0007673E">
              <w:rPr>
                <w:rFonts w:ascii="Arial" w:hAnsi="Arial" w:cs="Arial"/>
                <w:sz w:val="24"/>
                <w:szCs w:val="24"/>
              </w:rPr>
              <w:t xml:space="preserve"> March 2025.</w:t>
            </w:r>
          </w:p>
        </w:tc>
      </w:tr>
      <w:tr w:rsidR="008052F1" w:rsidRPr="00400FB8" w14:paraId="304B82B4" w14:textId="77777777" w:rsidTr="008052F1">
        <w:tc>
          <w:tcPr>
            <w:tcW w:w="225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15B6AA52" w14:textId="77777777" w:rsidR="008052F1" w:rsidRPr="0007673E" w:rsidRDefault="008052F1" w:rsidP="00AD6BED">
            <w:pPr>
              <w:spacing w:after="160" w:line="259" w:lineRule="auto"/>
              <w:rPr>
                <w:rFonts w:ascii="Arial" w:hAnsi="Arial" w:cs="Arial"/>
                <w:b/>
                <w:bCs/>
                <w:sz w:val="24"/>
                <w:szCs w:val="24"/>
              </w:rPr>
            </w:pPr>
            <w:r w:rsidRPr="0007673E">
              <w:rPr>
                <w:rFonts w:ascii="Arial" w:hAnsi="Arial" w:cs="Arial"/>
                <w:sz w:val="24"/>
                <w:szCs w:val="24"/>
              </w:rPr>
              <w:lastRenderedPageBreak/>
              <w:t>Mentor</w:t>
            </w:r>
            <w:r w:rsidRPr="0007673E">
              <w:rPr>
                <w:rFonts w:ascii="Arial" w:hAnsi="Arial" w:cs="Arial"/>
                <w:b/>
                <w:bCs/>
                <w:sz w:val="24"/>
                <w:szCs w:val="24"/>
              </w:rPr>
              <w:t xml:space="preserve"> </w:t>
            </w:r>
            <w:r w:rsidRPr="0007673E">
              <w:rPr>
                <w:rFonts w:ascii="Arial" w:hAnsi="Arial" w:cs="Arial"/>
                <w:sz w:val="24"/>
                <w:szCs w:val="24"/>
              </w:rPr>
              <w:t>two members of my staff</w:t>
            </w:r>
            <w:r w:rsidRPr="0007673E">
              <w:rPr>
                <w:rFonts w:ascii="Arial" w:hAnsi="Arial" w:cs="Arial"/>
                <w:b/>
                <w:bCs/>
                <w:sz w:val="24"/>
                <w:szCs w:val="24"/>
              </w:rPr>
              <w:t xml:space="preserve"> </w:t>
            </w:r>
            <w:r w:rsidRPr="0007673E">
              <w:rPr>
                <w:rFonts w:ascii="Arial" w:hAnsi="Arial" w:cs="Arial"/>
                <w:sz w:val="24"/>
                <w:szCs w:val="24"/>
              </w:rPr>
              <w:t>to become a detective and a detective sergeant.</w:t>
            </w:r>
            <w:r w:rsidRPr="0007673E">
              <w:rPr>
                <w:rFonts w:ascii="Arial" w:hAnsi="Arial" w:cs="Arial"/>
                <w:b/>
                <w:bCs/>
                <w:sz w:val="24"/>
                <w:szCs w:val="24"/>
              </w:rPr>
              <w:t xml:space="preserve"> </w:t>
            </w:r>
          </w:p>
          <w:p w14:paraId="1BB0B706" w14:textId="77777777" w:rsidR="008052F1" w:rsidRPr="0007673E" w:rsidRDefault="008052F1" w:rsidP="00AD6BED">
            <w:pPr>
              <w:spacing w:after="160" w:line="259" w:lineRule="auto"/>
              <w:rPr>
                <w:rFonts w:ascii="Arial" w:hAnsi="Arial" w:cs="Arial"/>
                <w:b/>
                <w:bCs/>
                <w:sz w:val="24"/>
                <w:szCs w:val="24"/>
              </w:rPr>
            </w:pPr>
          </w:p>
          <w:p w14:paraId="656A3399" w14:textId="77777777" w:rsidR="008052F1" w:rsidRPr="0007673E" w:rsidRDefault="008052F1" w:rsidP="00AD6BED">
            <w:pPr>
              <w:spacing w:after="160" w:line="259" w:lineRule="auto"/>
              <w:rPr>
                <w:rFonts w:ascii="Arial" w:hAnsi="Arial" w:cs="Arial"/>
                <w:b/>
                <w:bCs/>
                <w:sz w:val="24"/>
                <w:szCs w:val="24"/>
              </w:rPr>
            </w:pPr>
          </w:p>
          <w:p w14:paraId="364A6D4B" w14:textId="77777777" w:rsidR="008052F1" w:rsidRPr="0007673E" w:rsidRDefault="008052F1" w:rsidP="00AD6BED">
            <w:pPr>
              <w:spacing w:after="160" w:line="259" w:lineRule="auto"/>
              <w:rPr>
                <w:rFonts w:ascii="Arial" w:hAnsi="Arial" w:cs="Arial"/>
                <w:b/>
                <w:bCs/>
                <w:sz w:val="24"/>
                <w:szCs w:val="24"/>
              </w:rPr>
            </w:pPr>
          </w:p>
          <w:p w14:paraId="604FA19F" w14:textId="77777777" w:rsidR="008052F1" w:rsidRPr="0007673E" w:rsidRDefault="008052F1" w:rsidP="00AD6BED">
            <w:pPr>
              <w:spacing w:after="160" w:line="259" w:lineRule="auto"/>
              <w:rPr>
                <w:rFonts w:ascii="Arial" w:hAnsi="Arial" w:cs="Arial"/>
                <w:b/>
                <w:bCs/>
                <w:sz w:val="24"/>
                <w:szCs w:val="24"/>
              </w:rPr>
            </w:pPr>
          </w:p>
        </w:tc>
        <w:tc>
          <w:tcPr>
            <w:tcW w:w="2844"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9F8469F"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Specific:</w:t>
            </w:r>
          </w:p>
          <w:p w14:paraId="74BA373F"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I will provide support and guidance regarding the preparation that the officers will need to conduct.  </w:t>
            </w:r>
          </w:p>
          <w:p w14:paraId="26E664E6"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Measurable:</w:t>
            </w:r>
          </w:p>
          <w:p w14:paraId="6FB98C84"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The officers will obtain the required evidence for their portfolios. </w:t>
            </w:r>
          </w:p>
          <w:p w14:paraId="3C50904D"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One of the officers will then hopefully pass the sergeant's promotional assessment. </w:t>
            </w:r>
          </w:p>
          <w:p w14:paraId="79BCA69F"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Achievable:</w:t>
            </w:r>
          </w:p>
          <w:p w14:paraId="55511AFF"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The officers currently satisfy the criteria for the roles. If both apply themselves and work hard, both will be successful.</w:t>
            </w:r>
          </w:p>
          <w:p w14:paraId="23857E95"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Relevant:</w:t>
            </w:r>
          </w:p>
          <w:p w14:paraId="5355DAB7"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Achieving the ranks listed are the officer’s current personal and career goals.  </w:t>
            </w:r>
          </w:p>
          <w:p w14:paraId="1FB48E5A" w14:textId="77777777" w:rsidR="008052F1" w:rsidRPr="0007673E" w:rsidRDefault="008052F1" w:rsidP="00AD6BED">
            <w:pPr>
              <w:ind w:left="360"/>
              <w:rPr>
                <w:rFonts w:ascii="Arial" w:hAnsi="Arial" w:cs="Arial"/>
                <w:b/>
                <w:bCs/>
                <w:sz w:val="24"/>
                <w:szCs w:val="24"/>
              </w:rPr>
            </w:pPr>
            <w:r w:rsidRPr="0007673E">
              <w:rPr>
                <w:rFonts w:ascii="Arial" w:hAnsi="Arial" w:cs="Arial"/>
                <w:b/>
                <w:bCs/>
                <w:sz w:val="24"/>
                <w:szCs w:val="24"/>
              </w:rPr>
              <w:t>Time-bound:</w:t>
            </w:r>
          </w:p>
          <w:p w14:paraId="6CC5CD70"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 xml:space="preserve">The officers will complete their portfolios before the required deadlines. </w:t>
            </w:r>
          </w:p>
          <w:p w14:paraId="7B672B1C" w14:textId="77777777" w:rsidR="008052F1" w:rsidRPr="0007673E" w:rsidRDefault="008052F1" w:rsidP="00AD6BED">
            <w:pPr>
              <w:spacing w:after="160" w:line="259" w:lineRule="auto"/>
              <w:ind w:left="360"/>
              <w:rPr>
                <w:rFonts w:ascii="Arial" w:hAnsi="Arial" w:cs="Arial"/>
                <w:sz w:val="24"/>
                <w:szCs w:val="24"/>
              </w:rPr>
            </w:pPr>
            <w:r w:rsidRPr="0007673E">
              <w:rPr>
                <w:rFonts w:ascii="Arial" w:hAnsi="Arial" w:cs="Arial"/>
                <w:sz w:val="24"/>
                <w:szCs w:val="24"/>
              </w:rPr>
              <w:t>One of the officers concerned will sit a promotion board by May 2025.</w:t>
            </w:r>
          </w:p>
          <w:p w14:paraId="3FEDC0E4" w14:textId="77777777" w:rsidR="008052F1" w:rsidRPr="0007673E" w:rsidRDefault="008052F1" w:rsidP="00AD6BED">
            <w:pPr>
              <w:spacing w:after="160" w:line="259" w:lineRule="auto"/>
              <w:ind w:left="360"/>
              <w:rPr>
                <w:rFonts w:ascii="Arial" w:hAnsi="Arial" w:cs="Arial"/>
                <w:sz w:val="24"/>
                <w:szCs w:val="24"/>
              </w:rPr>
            </w:pPr>
          </w:p>
          <w:p w14:paraId="1F0DBE13" w14:textId="77777777" w:rsidR="008052F1" w:rsidRPr="0007673E" w:rsidRDefault="008052F1" w:rsidP="00AD6BED">
            <w:pPr>
              <w:ind w:left="360"/>
              <w:rPr>
                <w:rFonts w:ascii="Arial" w:hAnsi="Arial" w:cs="Arial"/>
                <w:b/>
                <w:bCs/>
                <w:sz w:val="24"/>
                <w:szCs w:val="24"/>
              </w:rPr>
            </w:pPr>
          </w:p>
        </w:tc>
        <w:tc>
          <w:tcPr>
            <w:tcW w:w="1985"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6D41B12C"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DI Jason Meadows (Line Manager)</w:t>
            </w:r>
          </w:p>
          <w:p w14:paraId="0C36CFC3" w14:textId="77777777" w:rsidR="008052F1" w:rsidRPr="0007673E" w:rsidRDefault="008052F1" w:rsidP="00AD6BED">
            <w:pPr>
              <w:spacing w:after="160" w:line="259" w:lineRule="auto"/>
              <w:rPr>
                <w:rFonts w:ascii="Arial" w:hAnsi="Arial" w:cs="Arial"/>
                <w:b/>
                <w:bCs/>
                <w:sz w:val="24"/>
                <w:szCs w:val="24"/>
              </w:rPr>
            </w:pPr>
            <w:r w:rsidRPr="0007673E">
              <w:rPr>
                <w:rFonts w:ascii="Arial" w:hAnsi="Arial" w:cs="Arial"/>
                <w:sz w:val="24"/>
                <w:szCs w:val="24"/>
              </w:rPr>
              <w:t>South Wales Police Investigative Training Department.</w:t>
            </w:r>
          </w:p>
        </w:tc>
        <w:tc>
          <w:tcPr>
            <w:tcW w:w="1933"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2DCD192C" w14:textId="77777777" w:rsidR="008052F1" w:rsidRPr="0007673E" w:rsidRDefault="008052F1" w:rsidP="00AD6BED">
            <w:pPr>
              <w:spacing w:after="160" w:line="259" w:lineRule="auto"/>
              <w:rPr>
                <w:rFonts w:ascii="Arial" w:hAnsi="Arial" w:cs="Arial"/>
                <w:sz w:val="24"/>
                <w:szCs w:val="24"/>
              </w:rPr>
            </w:pPr>
            <w:r w:rsidRPr="0007673E">
              <w:rPr>
                <w:rFonts w:ascii="Arial" w:hAnsi="Arial" w:cs="Arial"/>
                <w:sz w:val="24"/>
                <w:szCs w:val="24"/>
              </w:rPr>
              <w:t>November 2025.</w:t>
            </w:r>
          </w:p>
        </w:tc>
      </w:tr>
      <w:bookmarkEnd w:id="1"/>
    </w:tbl>
    <w:p w14:paraId="7979B35B" w14:textId="5DCC9B9E" w:rsidR="7336895D" w:rsidRPr="002170AC" w:rsidRDefault="7336895D" w:rsidP="7336895D">
      <w:pPr>
        <w:spacing w:before="240" w:after="60"/>
        <w:ind w:right="237"/>
        <w:jc w:val="both"/>
        <w:rPr>
          <w:rFonts w:asciiTheme="minorBidi" w:eastAsia="Arial" w:hAnsiTheme="minorBidi"/>
          <w:color w:val="000000" w:themeColor="text1"/>
          <w:sz w:val="24"/>
          <w:szCs w:val="24"/>
        </w:rPr>
      </w:pPr>
    </w:p>
    <w:p w14:paraId="4D63886D" w14:textId="7D77E062" w:rsidR="008052F1" w:rsidRDefault="008052F1">
      <w:pPr>
        <w:rPr>
          <w:rFonts w:asciiTheme="minorBidi" w:eastAsia="Arial" w:hAnsiTheme="minorBidi"/>
          <w:b/>
          <w:bCs/>
          <w:sz w:val="24"/>
          <w:szCs w:val="24"/>
        </w:rPr>
      </w:pPr>
      <w:r>
        <w:rPr>
          <w:rFonts w:asciiTheme="minorBidi" w:eastAsia="Arial" w:hAnsiTheme="minorBidi"/>
          <w:b/>
          <w:bCs/>
          <w:sz w:val="24"/>
          <w:szCs w:val="24"/>
        </w:rPr>
        <w:br w:type="page"/>
      </w:r>
    </w:p>
    <w:p w14:paraId="7AE80AEE" w14:textId="4A28A594" w:rsidR="799553ED" w:rsidRPr="008052F1" w:rsidRDefault="008052F1" w:rsidP="008052F1">
      <w:pPr>
        <w:jc w:val="center"/>
        <w:rPr>
          <w:rFonts w:asciiTheme="minorBidi" w:eastAsia="Arial" w:hAnsiTheme="minorBidi"/>
          <w:b/>
          <w:bCs/>
          <w:sz w:val="28"/>
          <w:szCs w:val="28"/>
        </w:rPr>
      </w:pPr>
      <w:r w:rsidRPr="008052F1">
        <w:rPr>
          <w:b/>
          <w:bCs/>
          <w:sz w:val="26"/>
          <w:szCs w:val="26"/>
        </w:rPr>
        <w:lastRenderedPageBreak/>
        <w:t>CONFIDENTIALITY and PLAGIARISM – confirmed by submission through Turnitin.</w:t>
      </w:r>
    </w:p>
    <w:sectPr w:rsidR="799553ED" w:rsidRPr="008052F1">
      <w:headerReference w:type="default" r:id="rId60"/>
      <w:footerReference w:type="default" r:id="rId6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12B9CC" w14:textId="77777777" w:rsidR="006005BD" w:rsidRDefault="006005BD">
      <w:pPr>
        <w:spacing w:after="0" w:line="240" w:lineRule="auto"/>
      </w:pPr>
      <w:r>
        <w:separator/>
      </w:r>
    </w:p>
  </w:endnote>
  <w:endnote w:type="continuationSeparator" w:id="0">
    <w:p w14:paraId="1655C7AA" w14:textId="77777777" w:rsidR="006005BD" w:rsidRDefault="00600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DD7F507" w14:paraId="6DFA9EBD" w14:textId="77777777" w:rsidTr="799553ED">
      <w:trPr>
        <w:trHeight w:val="300"/>
      </w:trPr>
      <w:tc>
        <w:tcPr>
          <w:tcW w:w="3005" w:type="dxa"/>
        </w:tcPr>
        <w:p w14:paraId="37357893" w14:textId="6AB1FE61" w:rsidR="7DD7F507" w:rsidRDefault="7DD7F507" w:rsidP="7DD7F507">
          <w:pPr>
            <w:pStyle w:val="Header"/>
            <w:ind w:left="-115"/>
          </w:pPr>
        </w:p>
      </w:tc>
      <w:tc>
        <w:tcPr>
          <w:tcW w:w="3005" w:type="dxa"/>
        </w:tcPr>
        <w:p w14:paraId="7266D9FB" w14:textId="3CE872FB" w:rsidR="7DD7F507" w:rsidRDefault="000E1E24" w:rsidP="000E1E24">
          <w:pPr>
            <w:pStyle w:val="Header"/>
            <w:tabs>
              <w:tab w:val="left" w:pos="1260"/>
              <w:tab w:val="center" w:pos="1394"/>
            </w:tabs>
          </w:pPr>
          <w:r>
            <w:tab/>
          </w:r>
          <w:r w:rsidR="799553ED">
            <w:t xml:space="preserve"> </w:t>
          </w:r>
        </w:p>
      </w:tc>
      <w:tc>
        <w:tcPr>
          <w:tcW w:w="3005" w:type="dxa"/>
        </w:tcPr>
        <w:p w14:paraId="5369BDCC" w14:textId="4AABE8E1" w:rsidR="7DD7F507" w:rsidRDefault="7DD7F507" w:rsidP="7DD7F507">
          <w:pPr>
            <w:pStyle w:val="Header"/>
            <w:ind w:right="-115"/>
            <w:jc w:val="right"/>
          </w:pPr>
        </w:p>
      </w:tc>
    </w:tr>
  </w:tbl>
  <w:p w14:paraId="1767FD33" w14:textId="7B29C051" w:rsidR="7DD7F507" w:rsidRDefault="7DD7F507" w:rsidP="7DD7F5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D2EB06" w14:textId="77777777" w:rsidR="006005BD" w:rsidRDefault="006005BD">
      <w:pPr>
        <w:spacing w:after="0" w:line="240" w:lineRule="auto"/>
      </w:pPr>
      <w:r>
        <w:separator/>
      </w:r>
    </w:p>
  </w:footnote>
  <w:footnote w:type="continuationSeparator" w:id="0">
    <w:p w14:paraId="439AAC07" w14:textId="77777777" w:rsidR="006005BD" w:rsidRDefault="006005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DD7F507" w14:paraId="3F5F66ED" w14:textId="77777777" w:rsidTr="7DD7F507">
      <w:trPr>
        <w:trHeight w:val="300"/>
      </w:trPr>
      <w:tc>
        <w:tcPr>
          <w:tcW w:w="3005" w:type="dxa"/>
        </w:tcPr>
        <w:p w14:paraId="0683F93E" w14:textId="0C2D0691" w:rsidR="7DD7F507" w:rsidRDefault="7DD7F507" w:rsidP="7DD7F507">
          <w:pPr>
            <w:pStyle w:val="Header"/>
            <w:ind w:left="-115"/>
          </w:pPr>
        </w:p>
      </w:tc>
      <w:tc>
        <w:tcPr>
          <w:tcW w:w="3005" w:type="dxa"/>
        </w:tcPr>
        <w:p w14:paraId="6C3999C3" w14:textId="1AAA0FEF" w:rsidR="7DD7F507" w:rsidRDefault="7DD7F507" w:rsidP="7DD7F507">
          <w:pPr>
            <w:pStyle w:val="Header"/>
            <w:jc w:val="center"/>
          </w:pPr>
        </w:p>
      </w:tc>
      <w:tc>
        <w:tcPr>
          <w:tcW w:w="3005" w:type="dxa"/>
        </w:tcPr>
        <w:p w14:paraId="1AD81381" w14:textId="2476C7FE" w:rsidR="7DD7F507" w:rsidRDefault="7DD7F507" w:rsidP="7DD7F507">
          <w:pPr>
            <w:pStyle w:val="Header"/>
            <w:ind w:right="-115"/>
            <w:jc w:val="right"/>
          </w:pPr>
        </w:p>
      </w:tc>
    </w:tr>
  </w:tbl>
  <w:p w14:paraId="3D1C645F" w14:textId="2054B557" w:rsidR="7DD7F507" w:rsidRDefault="7DD7F507" w:rsidP="7DD7F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326A0B"/>
    <w:multiLevelType w:val="hybridMultilevel"/>
    <w:tmpl w:val="04EE5746"/>
    <w:lvl w:ilvl="0" w:tplc="9306DBA0">
      <w:start w:val="1"/>
      <w:numFmt w:val="bullet"/>
      <w:lvlText w:val=""/>
      <w:lvlJc w:val="left"/>
      <w:pPr>
        <w:ind w:left="720" w:hanging="360"/>
      </w:pPr>
      <w:rPr>
        <w:rFonts w:ascii="Symbol" w:hAnsi="Symbol" w:hint="default"/>
      </w:rPr>
    </w:lvl>
    <w:lvl w:ilvl="1" w:tplc="3552FC6E">
      <w:start w:val="1"/>
      <w:numFmt w:val="bullet"/>
      <w:lvlText w:val="o"/>
      <w:lvlJc w:val="left"/>
      <w:pPr>
        <w:ind w:left="1440" w:hanging="360"/>
      </w:pPr>
      <w:rPr>
        <w:rFonts w:ascii="Courier New" w:hAnsi="Courier New" w:hint="default"/>
      </w:rPr>
    </w:lvl>
    <w:lvl w:ilvl="2" w:tplc="BAFE247C">
      <w:start w:val="1"/>
      <w:numFmt w:val="bullet"/>
      <w:lvlText w:val=""/>
      <w:lvlJc w:val="left"/>
      <w:pPr>
        <w:ind w:left="2160" w:hanging="360"/>
      </w:pPr>
      <w:rPr>
        <w:rFonts w:ascii="Wingdings" w:hAnsi="Wingdings" w:hint="default"/>
      </w:rPr>
    </w:lvl>
    <w:lvl w:ilvl="3" w:tplc="363CF8D2">
      <w:start w:val="1"/>
      <w:numFmt w:val="bullet"/>
      <w:lvlText w:val=""/>
      <w:lvlJc w:val="left"/>
      <w:pPr>
        <w:ind w:left="2880" w:hanging="360"/>
      </w:pPr>
      <w:rPr>
        <w:rFonts w:ascii="Symbol" w:hAnsi="Symbol" w:hint="default"/>
      </w:rPr>
    </w:lvl>
    <w:lvl w:ilvl="4" w:tplc="21DEBC82">
      <w:start w:val="1"/>
      <w:numFmt w:val="bullet"/>
      <w:lvlText w:val="o"/>
      <w:lvlJc w:val="left"/>
      <w:pPr>
        <w:ind w:left="3600" w:hanging="360"/>
      </w:pPr>
      <w:rPr>
        <w:rFonts w:ascii="Courier New" w:hAnsi="Courier New" w:hint="default"/>
      </w:rPr>
    </w:lvl>
    <w:lvl w:ilvl="5" w:tplc="5E22BD5C">
      <w:start w:val="1"/>
      <w:numFmt w:val="bullet"/>
      <w:lvlText w:val=""/>
      <w:lvlJc w:val="left"/>
      <w:pPr>
        <w:ind w:left="4320" w:hanging="360"/>
      </w:pPr>
      <w:rPr>
        <w:rFonts w:ascii="Wingdings" w:hAnsi="Wingdings" w:hint="default"/>
      </w:rPr>
    </w:lvl>
    <w:lvl w:ilvl="6" w:tplc="E51CE6E0">
      <w:start w:val="1"/>
      <w:numFmt w:val="bullet"/>
      <w:lvlText w:val=""/>
      <w:lvlJc w:val="left"/>
      <w:pPr>
        <w:ind w:left="5040" w:hanging="360"/>
      </w:pPr>
      <w:rPr>
        <w:rFonts w:ascii="Symbol" w:hAnsi="Symbol" w:hint="default"/>
      </w:rPr>
    </w:lvl>
    <w:lvl w:ilvl="7" w:tplc="AD947BC0">
      <w:start w:val="1"/>
      <w:numFmt w:val="bullet"/>
      <w:lvlText w:val="o"/>
      <w:lvlJc w:val="left"/>
      <w:pPr>
        <w:ind w:left="5760" w:hanging="360"/>
      </w:pPr>
      <w:rPr>
        <w:rFonts w:ascii="Courier New" w:hAnsi="Courier New" w:hint="default"/>
      </w:rPr>
    </w:lvl>
    <w:lvl w:ilvl="8" w:tplc="030660C6">
      <w:start w:val="1"/>
      <w:numFmt w:val="bullet"/>
      <w:lvlText w:val=""/>
      <w:lvlJc w:val="left"/>
      <w:pPr>
        <w:ind w:left="6480" w:hanging="360"/>
      </w:pPr>
      <w:rPr>
        <w:rFonts w:ascii="Wingdings" w:hAnsi="Wingdings" w:hint="default"/>
      </w:rPr>
    </w:lvl>
  </w:abstractNum>
  <w:abstractNum w:abstractNumId="1" w15:restartNumberingAfterBreak="0">
    <w:nsid w:val="0B4E6A32"/>
    <w:multiLevelType w:val="hybridMultilevel"/>
    <w:tmpl w:val="AEEC464C"/>
    <w:lvl w:ilvl="0" w:tplc="4DB2FED4">
      <w:start w:val="1"/>
      <w:numFmt w:val="bullet"/>
      <w:lvlText w:val=""/>
      <w:lvlJc w:val="left"/>
      <w:pPr>
        <w:ind w:left="720" w:hanging="360"/>
      </w:pPr>
      <w:rPr>
        <w:rFonts w:ascii="Symbol" w:hAnsi="Symbol" w:hint="default"/>
      </w:rPr>
    </w:lvl>
    <w:lvl w:ilvl="1" w:tplc="9FB44FF0">
      <w:start w:val="1"/>
      <w:numFmt w:val="bullet"/>
      <w:lvlText w:val="o"/>
      <w:lvlJc w:val="left"/>
      <w:pPr>
        <w:ind w:left="1440" w:hanging="360"/>
      </w:pPr>
      <w:rPr>
        <w:rFonts w:ascii="Courier New" w:hAnsi="Courier New" w:hint="default"/>
      </w:rPr>
    </w:lvl>
    <w:lvl w:ilvl="2" w:tplc="077ED0F8">
      <w:start w:val="1"/>
      <w:numFmt w:val="bullet"/>
      <w:lvlText w:val=""/>
      <w:lvlJc w:val="left"/>
      <w:pPr>
        <w:ind w:left="2160" w:hanging="360"/>
      </w:pPr>
      <w:rPr>
        <w:rFonts w:ascii="Wingdings" w:hAnsi="Wingdings" w:hint="default"/>
      </w:rPr>
    </w:lvl>
    <w:lvl w:ilvl="3" w:tplc="6F44EA48">
      <w:start w:val="1"/>
      <w:numFmt w:val="bullet"/>
      <w:lvlText w:val=""/>
      <w:lvlJc w:val="left"/>
      <w:pPr>
        <w:ind w:left="2880" w:hanging="360"/>
      </w:pPr>
      <w:rPr>
        <w:rFonts w:ascii="Symbol" w:hAnsi="Symbol" w:hint="default"/>
      </w:rPr>
    </w:lvl>
    <w:lvl w:ilvl="4" w:tplc="5560C23E">
      <w:start w:val="1"/>
      <w:numFmt w:val="bullet"/>
      <w:lvlText w:val="o"/>
      <w:lvlJc w:val="left"/>
      <w:pPr>
        <w:ind w:left="3600" w:hanging="360"/>
      </w:pPr>
      <w:rPr>
        <w:rFonts w:ascii="Courier New" w:hAnsi="Courier New" w:hint="default"/>
      </w:rPr>
    </w:lvl>
    <w:lvl w:ilvl="5" w:tplc="80C4464C">
      <w:start w:val="1"/>
      <w:numFmt w:val="bullet"/>
      <w:lvlText w:val=""/>
      <w:lvlJc w:val="left"/>
      <w:pPr>
        <w:ind w:left="4320" w:hanging="360"/>
      </w:pPr>
      <w:rPr>
        <w:rFonts w:ascii="Wingdings" w:hAnsi="Wingdings" w:hint="default"/>
      </w:rPr>
    </w:lvl>
    <w:lvl w:ilvl="6" w:tplc="1E6EC8C8">
      <w:start w:val="1"/>
      <w:numFmt w:val="bullet"/>
      <w:lvlText w:val=""/>
      <w:lvlJc w:val="left"/>
      <w:pPr>
        <w:ind w:left="5040" w:hanging="360"/>
      </w:pPr>
      <w:rPr>
        <w:rFonts w:ascii="Symbol" w:hAnsi="Symbol" w:hint="default"/>
      </w:rPr>
    </w:lvl>
    <w:lvl w:ilvl="7" w:tplc="32A06C98">
      <w:start w:val="1"/>
      <w:numFmt w:val="bullet"/>
      <w:lvlText w:val="o"/>
      <w:lvlJc w:val="left"/>
      <w:pPr>
        <w:ind w:left="5760" w:hanging="360"/>
      </w:pPr>
      <w:rPr>
        <w:rFonts w:ascii="Courier New" w:hAnsi="Courier New" w:hint="default"/>
      </w:rPr>
    </w:lvl>
    <w:lvl w:ilvl="8" w:tplc="7A3259C4">
      <w:start w:val="1"/>
      <w:numFmt w:val="bullet"/>
      <w:lvlText w:val=""/>
      <w:lvlJc w:val="left"/>
      <w:pPr>
        <w:ind w:left="6480" w:hanging="360"/>
      </w:pPr>
      <w:rPr>
        <w:rFonts w:ascii="Wingdings" w:hAnsi="Wingdings" w:hint="default"/>
      </w:rPr>
    </w:lvl>
  </w:abstractNum>
  <w:abstractNum w:abstractNumId="2" w15:restartNumberingAfterBreak="0">
    <w:nsid w:val="0C694410"/>
    <w:multiLevelType w:val="hybridMultilevel"/>
    <w:tmpl w:val="9ECEBEB6"/>
    <w:lvl w:ilvl="0" w:tplc="EACE807A">
      <w:start w:val="1"/>
      <w:numFmt w:val="decimal"/>
      <w:lvlText w:val="%1."/>
      <w:lvlJc w:val="left"/>
      <w:pPr>
        <w:ind w:left="720" w:hanging="360"/>
      </w:pPr>
    </w:lvl>
    <w:lvl w:ilvl="1" w:tplc="2BA268AC">
      <w:start w:val="1"/>
      <w:numFmt w:val="lowerLetter"/>
      <w:lvlText w:val="%2."/>
      <w:lvlJc w:val="left"/>
      <w:pPr>
        <w:ind w:left="1440" w:hanging="360"/>
      </w:pPr>
    </w:lvl>
    <w:lvl w:ilvl="2" w:tplc="EEF0F0DA">
      <w:start w:val="1"/>
      <w:numFmt w:val="lowerRoman"/>
      <w:lvlText w:val="%3."/>
      <w:lvlJc w:val="right"/>
      <w:pPr>
        <w:ind w:left="2160" w:hanging="180"/>
      </w:pPr>
    </w:lvl>
    <w:lvl w:ilvl="3" w:tplc="5DD0578C">
      <w:start w:val="1"/>
      <w:numFmt w:val="decimal"/>
      <w:lvlText w:val="%4."/>
      <w:lvlJc w:val="left"/>
      <w:pPr>
        <w:ind w:left="2880" w:hanging="360"/>
      </w:pPr>
    </w:lvl>
    <w:lvl w:ilvl="4" w:tplc="0212CD06">
      <w:start w:val="1"/>
      <w:numFmt w:val="lowerLetter"/>
      <w:lvlText w:val="%5."/>
      <w:lvlJc w:val="left"/>
      <w:pPr>
        <w:ind w:left="3600" w:hanging="360"/>
      </w:pPr>
    </w:lvl>
    <w:lvl w:ilvl="5" w:tplc="E52082AC">
      <w:start w:val="1"/>
      <w:numFmt w:val="lowerRoman"/>
      <w:lvlText w:val="%6."/>
      <w:lvlJc w:val="right"/>
      <w:pPr>
        <w:ind w:left="4320" w:hanging="180"/>
      </w:pPr>
    </w:lvl>
    <w:lvl w:ilvl="6" w:tplc="61B4B222">
      <w:start w:val="1"/>
      <w:numFmt w:val="decimal"/>
      <w:lvlText w:val="%7."/>
      <w:lvlJc w:val="left"/>
      <w:pPr>
        <w:ind w:left="5040" w:hanging="360"/>
      </w:pPr>
    </w:lvl>
    <w:lvl w:ilvl="7" w:tplc="3424C222">
      <w:start w:val="1"/>
      <w:numFmt w:val="lowerLetter"/>
      <w:lvlText w:val="%8."/>
      <w:lvlJc w:val="left"/>
      <w:pPr>
        <w:ind w:left="5760" w:hanging="360"/>
      </w:pPr>
    </w:lvl>
    <w:lvl w:ilvl="8" w:tplc="4EE4EB60">
      <w:start w:val="1"/>
      <w:numFmt w:val="lowerRoman"/>
      <w:lvlText w:val="%9."/>
      <w:lvlJc w:val="right"/>
      <w:pPr>
        <w:ind w:left="6480" w:hanging="180"/>
      </w:pPr>
    </w:lvl>
  </w:abstractNum>
  <w:abstractNum w:abstractNumId="3" w15:restartNumberingAfterBreak="0">
    <w:nsid w:val="12450D6E"/>
    <w:multiLevelType w:val="hybridMultilevel"/>
    <w:tmpl w:val="E430BF58"/>
    <w:lvl w:ilvl="0" w:tplc="262EFC1C">
      <w:start w:val="1"/>
      <w:numFmt w:val="bullet"/>
      <w:lvlText w:val="●"/>
      <w:lvlJc w:val="left"/>
      <w:pPr>
        <w:ind w:left="720" w:hanging="360"/>
      </w:pPr>
      <w:rPr>
        <w:rFonts w:ascii="Noto Sans Symbols" w:hAnsi="Noto Sans Symbols" w:hint="default"/>
      </w:rPr>
    </w:lvl>
    <w:lvl w:ilvl="1" w:tplc="5570FA26">
      <w:start w:val="1"/>
      <w:numFmt w:val="bullet"/>
      <w:lvlText w:val="o"/>
      <w:lvlJc w:val="left"/>
      <w:pPr>
        <w:ind w:left="1440" w:hanging="360"/>
      </w:pPr>
      <w:rPr>
        <w:rFonts w:ascii="Courier New" w:hAnsi="Courier New" w:hint="default"/>
      </w:rPr>
    </w:lvl>
    <w:lvl w:ilvl="2" w:tplc="0BB6C908">
      <w:start w:val="1"/>
      <w:numFmt w:val="bullet"/>
      <w:lvlText w:val=""/>
      <w:lvlJc w:val="left"/>
      <w:pPr>
        <w:ind w:left="2160" w:hanging="360"/>
      </w:pPr>
      <w:rPr>
        <w:rFonts w:ascii="Wingdings" w:hAnsi="Wingdings" w:hint="default"/>
      </w:rPr>
    </w:lvl>
    <w:lvl w:ilvl="3" w:tplc="D4D68FD6">
      <w:start w:val="1"/>
      <w:numFmt w:val="bullet"/>
      <w:lvlText w:val=""/>
      <w:lvlJc w:val="left"/>
      <w:pPr>
        <w:ind w:left="2880" w:hanging="360"/>
      </w:pPr>
      <w:rPr>
        <w:rFonts w:ascii="Symbol" w:hAnsi="Symbol" w:hint="default"/>
      </w:rPr>
    </w:lvl>
    <w:lvl w:ilvl="4" w:tplc="6D5036D0">
      <w:start w:val="1"/>
      <w:numFmt w:val="bullet"/>
      <w:lvlText w:val="o"/>
      <w:lvlJc w:val="left"/>
      <w:pPr>
        <w:ind w:left="3600" w:hanging="360"/>
      </w:pPr>
      <w:rPr>
        <w:rFonts w:ascii="Courier New" w:hAnsi="Courier New" w:hint="default"/>
      </w:rPr>
    </w:lvl>
    <w:lvl w:ilvl="5" w:tplc="58925FC0">
      <w:start w:val="1"/>
      <w:numFmt w:val="bullet"/>
      <w:lvlText w:val=""/>
      <w:lvlJc w:val="left"/>
      <w:pPr>
        <w:ind w:left="4320" w:hanging="360"/>
      </w:pPr>
      <w:rPr>
        <w:rFonts w:ascii="Wingdings" w:hAnsi="Wingdings" w:hint="default"/>
      </w:rPr>
    </w:lvl>
    <w:lvl w:ilvl="6" w:tplc="ACB41F76">
      <w:start w:val="1"/>
      <w:numFmt w:val="bullet"/>
      <w:lvlText w:val=""/>
      <w:lvlJc w:val="left"/>
      <w:pPr>
        <w:ind w:left="5040" w:hanging="360"/>
      </w:pPr>
      <w:rPr>
        <w:rFonts w:ascii="Symbol" w:hAnsi="Symbol" w:hint="default"/>
      </w:rPr>
    </w:lvl>
    <w:lvl w:ilvl="7" w:tplc="4F4A2A78">
      <w:start w:val="1"/>
      <w:numFmt w:val="bullet"/>
      <w:lvlText w:val="o"/>
      <w:lvlJc w:val="left"/>
      <w:pPr>
        <w:ind w:left="5760" w:hanging="360"/>
      </w:pPr>
      <w:rPr>
        <w:rFonts w:ascii="Courier New" w:hAnsi="Courier New" w:hint="default"/>
      </w:rPr>
    </w:lvl>
    <w:lvl w:ilvl="8" w:tplc="B4B89B38">
      <w:start w:val="1"/>
      <w:numFmt w:val="bullet"/>
      <w:lvlText w:val=""/>
      <w:lvlJc w:val="left"/>
      <w:pPr>
        <w:ind w:left="6480" w:hanging="360"/>
      </w:pPr>
      <w:rPr>
        <w:rFonts w:ascii="Wingdings" w:hAnsi="Wingdings" w:hint="default"/>
      </w:rPr>
    </w:lvl>
  </w:abstractNum>
  <w:abstractNum w:abstractNumId="4" w15:restartNumberingAfterBreak="0">
    <w:nsid w:val="252B6AA0"/>
    <w:multiLevelType w:val="hybridMultilevel"/>
    <w:tmpl w:val="304AFAC2"/>
    <w:lvl w:ilvl="0" w:tplc="72045C26">
      <w:start w:val="1"/>
      <w:numFmt w:val="decimal"/>
      <w:lvlText w:val="%1."/>
      <w:lvlJc w:val="left"/>
      <w:pPr>
        <w:ind w:left="720" w:hanging="360"/>
      </w:pPr>
    </w:lvl>
    <w:lvl w:ilvl="1" w:tplc="704A5E30">
      <w:start w:val="1"/>
      <w:numFmt w:val="lowerLetter"/>
      <w:lvlText w:val="%2."/>
      <w:lvlJc w:val="left"/>
      <w:pPr>
        <w:ind w:left="1440" w:hanging="360"/>
      </w:pPr>
    </w:lvl>
    <w:lvl w:ilvl="2" w:tplc="B4ACDF10">
      <w:start w:val="1"/>
      <w:numFmt w:val="lowerRoman"/>
      <w:lvlText w:val="%3."/>
      <w:lvlJc w:val="right"/>
      <w:pPr>
        <w:ind w:left="2160" w:hanging="180"/>
      </w:pPr>
    </w:lvl>
    <w:lvl w:ilvl="3" w:tplc="1C2039D8">
      <w:start w:val="1"/>
      <w:numFmt w:val="decimal"/>
      <w:lvlText w:val="%4."/>
      <w:lvlJc w:val="left"/>
      <w:pPr>
        <w:ind w:left="2880" w:hanging="360"/>
      </w:pPr>
    </w:lvl>
    <w:lvl w:ilvl="4" w:tplc="9198F506">
      <w:start w:val="1"/>
      <w:numFmt w:val="lowerLetter"/>
      <w:lvlText w:val="%5."/>
      <w:lvlJc w:val="left"/>
      <w:pPr>
        <w:ind w:left="3600" w:hanging="360"/>
      </w:pPr>
    </w:lvl>
    <w:lvl w:ilvl="5" w:tplc="9886B296">
      <w:start w:val="1"/>
      <w:numFmt w:val="lowerRoman"/>
      <w:lvlText w:val="%6."/>
      <w:lvlJc w:val="right"/>
      <w:pPr>
        <w:ind w:left="4320" w:hanging="180"/>
      </w:pPr>
    </w:lvl>
    <w:lvl w:ilvl="6" w:tplc="C11AA720">
      <w:start w:val="1"/>
      <w:numFmt w:val="decimal"/>
      <w:lvlText w:val="%7."/>
      <w:lvlJc w:val="left"/>
      <w:pPr>
        <w:ind w:left="5040" w:hanging="360"/>
      </w:pPr>
    </w:lvl>
    <w:lvl w:ilvl="7" w:tplc="1D2C84C6">
      <w:start w:val="1"/>
      <w:numFmt w:val="lowerLetter"/>
      <w:lvlText w:val="%8."/>
      <w:lvlJc w:val="left"/>
      <w:pPr>
        <w:ind w:left="5760" w:hanging="360"/>
      </w:pPr>
    </w:lvl>
    <w:lvl w:ilvl="8" w:tplc="32D0D116">
      <w:start w:val="1"/>
      <w:numFmt w:val="lowerRoman"/>
      <w:lvlText w:val="%9."/>
      <w:lvlJc w:val="right"/>
      <w:pPr>
        <w:ind w:left="6480" w:hanging="180"/>
      </w:pPr>
    </w:lvl>
  </w:abstractNum>
  <w:abstractNum w:abstractNumId="5" w15:restartNumberingAfterBreak="0">
    <w:nsid w:val="2BA33146"/>
    <w:multiLevelType w:val="multilevel"/>
    <w:tmpl w:val="6400D63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01B2AB3"/>
    <w:multiLevelType w:val="hybridMultilevel"/>
    <w:tmpl w:val="9ACCF0F0"/>
    <w:lvl w:ilvl="0" w:tplc="CB700D68">
      <w:start w:val="1"/>
      <w:numFmt w:val="bullet"/>
      <w:lvlText w:val=""/>
      <w:lvlJc w:val="left"/>
      <w:pPr>
        <w:ind w:left="720" w:hanging="360"/>
      </w:pPr>
      <w:rPr>
        <w:rFonts w:ascii="Symbol" w:hAnsi="Symbol" w:hint="default"/>
      </w:rPr>
    </w:lvl>
    <w:lvl w:ilvl="1" w:tplc="8F9490B4">
      <w:start w:val="1"/>
      <w:numFmt w:val="bullet"/>
      <w:lvlText w:val="o"/>
      <w:lvlJc w:val="left"/>
      <w:pPr>
        <w:ind w:left="1440" w:hanging="360"/>
      </w:pPr>
      <w:rPr>
        <w:rFonts w:ascii="Courier New" w:hAnsi="Courier New" w:hint="default"/>
      </w:rPr>
    </w:lvl>
    <w:lvl w:ilvl="2" w:tplc="CFFA2D52">
      <w:start w:val="1"/>
      <w:numFmt w:val="bullet"/>
      <w:lvlText w:val=""/>
      <w:lvlJc w:val="left"/>
      <w:pPr>
        <w:ind w:left="2160" w:hanging="360"/>
      </w:pPr>
      <w:rPr>
        <w:rFonts w:ascii="Wingdings" w:hAnsi="Wingdings" w:hint="default"/>
      </w:rPr>
    </w:lvl>
    <w:lvl w:ilvl="3" w:tplc="28E678F6">
      <w:start w:val="1"/>
      <w:numFmt w:val="bullet"/>
      <w:lvlText w:val=""/>
      <w:lvlJc w:val="left"/>
      <w:pPr>
        <w:ind w:left="2880" w:hanging="360"/>
      </w:pPr>
      <w:rPr>
        <w:rFonts w:ascii="Symbol" w:hAnsi="Symbol" w:hint="default"/>
      </w:rPr>
    </w:lvl>
    <w:lvl w:ilvl="4" w:tplc="0FA448F0">
      <w:start w:val="1"/>
      <w:numFmt w:val="bullet"/>
      <w:lvlText w:val="o"/>
      <w:lvlJc w:val="left"/>
      <w:pPr>
        <w:ind w:left="3600" w:hanging="360"/>
      </w:pPr>
      <w:rPr>
        <w:rFonts w:ascii="Courier New" w:hAnsi="Courier New" w:hint="default"/>
      </w:rPr>
    </w:lvl>
    <w:lvl w:ilvl="5" w:tplc="7BA84500">
      <w:start w:val="1"/>
      <w:numFmt w:val="bullet"/>
      <w:lvlText w:val=""/>
      <w:lvlJc w:val="left"/>
      <w:pPr>
        <w:ind w:left="4320" w:hanging="360"/>
      </w:pPr>
      <w:rPr>
        <w:rFonts w:ascii="Wingdings" w:hAnsi="Wingdings" w:hint="default"/>
      </w:rPr>
    </w:lvl>
    <w:lvl w:ilvl="6" w:tplc="7F241626">
      <w:start w:val="1"/>
      <w:numFmt w:val="bullet"/>
      <w:lvlText w:val=""/>
      <w:lvlJc w:val="left"/>
      <w:pPr>
        <w:ind w:left="5040" w:hanging="360"/>
      </w:pPr>
      <w:rPr>
        <w:rFonts w:ascii="Symbol" w:hAnsi="Symbol" w:hint="default"/>
      </w:rPr>
    </w:lvl>
    <w:lvl w:ilvl="7" w:tplc="08029BCE">
      <w:start w:val="1"/>
      <w:numFmt w:val="bullet"/>
      <w:lvlText w:val="o"/>
      <w:lvlJc w:val="left"/>
      <w:pPr>
        <w:ind w:left="5760" w:hanging="360"/>
      </w:pPr>
      <w:rPr>
        <w:rFonts w:ascii="Courier New" w:hAnsi="Courier New" w:hint="default"/>
      </w:rPr>
    </w:lvl>
    <w:lvl w:ilvl="8" w:tplc="9710E600">
      <w:start w:val="1"/>
      <w:numFmt w:val="bullet"/>
      <w:lvlText w:val=""/>
      <w:lvlJc w:val="left"/>
      <w:pPr>
        <w:ind w:left="6480" w:hanging="360"/>
      </w:pPr>
      <w:rPr>
        <w:rFonts w:ascii="Wingdings" w:hAnsi="Wingdings" w:hint="default"/>
      </w:rPr>
    </w:lvl>
  </w:abstractNum>
  <w:abstractNum w:abstractNumId="7" w15:restartNumberingAfterBreak="0">
    <w:nsid w:val="346A0D2C"/>
    <w:multiLevelType w:val="multilevel"/>
    <w:tmpl w:val="1F8A72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7D203BF"/>
    <w:multiLevelType w:val="multilevel"/>
    <w:tmpl w:val="21E0EAD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445D5FB0"/>
    <w:multiLevelType w:val="multilevel"/>
    <w:tmpl w:val="806409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20AC38C"/>
    <w:multiLevelType w:val="multilevel"/>
    <w:tmpl w:val="F3967E7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1" w15:restartNumberingAfterBreak="0">
    <w:nsid w:val="6D2C1212"/>
    <w:multiLevelType w:val="multilevel"/>
    <w:tmpl w:val="D38C6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635C9B5"/>
    <w:multiLevelType w:val="multilevel"/>
    <w:tmpl w:val="F04A025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13" w15:restartNumberingAfterBreak="0">
    <w:nsid w:val="77DD1E98"/>
    <w:multiLevelType w:val="hybridMultilevel"/>
    <w:tmpl w:val="BED0E4AA"/>
    <w:lvl w:ilvl="0" w:tplc="08A03140">
      <w:start w:val="1"/>
      <w:numFmt w:val="bullet"/>
      <w:lvlText w:val=""/>
      <w:lvlJc w:val="left"/>
      <w:pPr>
        <w:ind w:left="720" w:hanging="360"/>
      </w:pPr>
      <w:rPr>
        <w:rFonts w:ascii="Symbol" w:hAnsi="Symbol" w:hint="default"/>
      </w:rPr>
    </w:lvl>
    <w:lvl w:ilvl="1" w:tplc="AC70CEA2">
      <w:start w:val="1"/>
      <w:numFmt w:val="bullet"/>
      <w:lvlText w:val="o"/>
      <w:lvlJc w:val="left"/>
      <w:pPr>
        <w:ind w:left="1440" w:hanging="360"/>
      </w:pPr>
      <w:rPr>
        <w:rFonts w:ascii="Courier New" w:hAnsi="Courier New" w:hint="default"/>
      </w:rPr>
    </w:lvl>
    <w:lvl w:ilvl="2" w:tplc="99BADBB0">
      <w:start w:val="1"/>
      <w:numFmt w:val="bullet"/>
      <w:lvlText w:val=""/>
      <w:lvlJc w:val="left"/>
      <w:pPr>
        <w:ind w:left="2160" w:hanging="360"/>
      </w:pPr>
      <w:rPr>
        <w:rFonts w:ascii="Wingdings" w:hAnsi="Wingdings" w:hint="default"/>
      </w:rPr>
    </w:lvl>
    <w:lvl w:ilvl="3" w:tplc="8C1C9C76">
      <w:start w:val="1"/>
      <w:numFmt w:val="bullet"/>
      <w:lvlText w:val=""/>
      <w:lvlJc w:val="left"/>
      <w:pPr>
        <w:ind w:left="2880" w:hanging="360"/>
      </w:pPr>
      <w:rPr>
        <w:rFonts w:ascii="Symbol" w:hAnsi="Symbol" w:hint="default"/>
      </w:rPr>
    </w:lvl>
    <w:lvl w:ilvl="4" w:tplc="D9AC4038">
      <w:start w:val="1"/>
      <w:numFmt w:val="bullet"/>
      <w:lvlText w:val="o"/>
      <w:lvlJc w:val="left"/>
      <w:pPr>
        <w:ind w:left="3600" w:hanging="360"/>
      </w:pPr>
      <w:rPr>
        <w:rFonts w:ascii="Courier New" w:hAnsi="Courier New" w:hint="default"/>
      </w:rPr>
    </w:lvl>
    <w:lvl w:ilvl="5" w:tplc="31A4E9AC">
      <w:start w:val="1"/>
      <w:numFmt w:val="bullet"/>
      <w:lvlText w:val=""/>
      <w:lvlJc w:val="left"/>
      <w:pPr>
        <w:ind w:left="4320" w:hanging="360"/>
      </w:pPr>
      <w:rPr>
        <w:rFonts w:ascii="Wingdings" w:hAnsi="Wingdings" w:hint="default"/>
      </w:rPr>
    </w:lvl>
    <w:lvl w:ilvl="6" w:tplc="21180EA8">
      <w:start w:val="1"/>
      <w:numFmt w:val="bullet"/>
      <w:lvlText w:val=""/>
      <w:lvlJc w:val="left"/>
      <w:pPr>
        <w:ind w:left="5040" w:hanging="360"/>
      </w:pPr>
      <w:rPr>
        <w:rFonts w:ascii="Symbol" w:hAnsi="Symbol" w:hint="default"/>
      </w:rPr>
    </w:lvl>
    <w:lvl w:ilvl="7" w:tplc="AA3A2556">
      <w:start w:val="1"/>
      <w:numFmt w:val="bullet"/>
      <w:lvlText w:val="o"/>
      <w:lvlJc w:val="left"/>
      <w:pPr>
        <w:ind w:left="5760" w:hanging="360"/>
      </w:pPr>
      <w:rPr>
        <w:rFonts w:ascii="Courier New" w:hAnsi="Courier New" w:hint="default"/>
      </w:rPr>
    </w:lvl>
    <w:lvl w:ilvl="8" w:tplc="A098997E">
      <w:start w:val="1"/>
      <w:numFmt w:val="bullet"/>
      <w:lvlText w:val=""/>
      <w:lvlJc w:val="left"/>
      <w:pPr>
        <w:ind w:left="6480" w:hanging="360"/>
      </w:pPr>
      <w:rPr>
        <w:rFonts w:ascii="Wingdings" w:hAnsi="Wingdings" w:hint="default"/>
      </w:rPr>
    </w:lvl>
  </w:abstractNum>
  <w:abstractNum w:abstractNumId="14" w15:restartNumberingAfterBreak="0">
    <w:nsid w:val="7913B208"/>
    <w:multiLevelType w:val="multilevel"/>
    <w:tmpl w:val="68CE294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num w:numId="1" w16cid:durableId="438918086">
    <w:abstractNumId w:val="4"/>
  </w:num>
  <w:num w:numId="2" w16cid:durableId="1940329794">
    <w:abstractNumId w:val="14"/>
  </w:num>
  <w:num w:numId="3" w16cid:durableId="2047828746">
    <w:abstractNumId w:val="10"/>
  </w:num>
  <w:num w:numId="4" w16cid:durableId="1964191196">
    <w:abstractNumId w:val="8"/>
  </w:num>
  <w:num w:numId="5" w16cid:durableId="182280994">
    <w:abstractNumId w:val="12"/>
  </w:num>
  <w:num w:numId="6" w16cid:durableId="1867677385">
    <w:abstractNumId w:val="5"/>
  </w:num>
  <w:num w:numId="7" w16cid:durableId="1677342498">
    <w:abstractNumId w:val="13"/>
  </w:num>
  <w:num w:numId="8" w16cid:durableId="15546168">
    <w:abstractNumId w:val="3"/>
  </w:num>
  <w:num w:numId="9" w16cid:durableId="470908836">
    <w:abstractNumId w:val="6"/>
  </w:num>
  <w:num w:numId="10" w16cid:durableId="993682537">
    <w:abstractNumId w:val="1"/>
  </w:num>
  <w:num w:numId="11" w16cid:durableId="1886793519">
    <w:abstractNumId w:val="0"/>
  </w:num>
  <w:num w:numId="12" w16cid:durableId="1156338144">
    <w:abstractNumId w:val="2"/>
  </w:num>
  <w:num w:numId="13" w16cid:durableId="329604291">
    <w:abstractNumId w:val="9"/>
  </w:num>
  <w:num w:numId="14" w16cid:durableId="1850095668">
    <w:abstractNumId w:val="11"/>
  </w:num>
  <w:num w:numId="15" w16cid:durableId="7942583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MDQ2tTQ0NzewsDQxMrZU0lEKTi0uzszPAykwqgUA7hDY/iwAAAA="/>
    <w:docVar w:name="EN.Layout" w:val="&lt;ENLayout&gt;&lt;Style&gt;Harvard &lt;/Style&gt;&lt;LeftDelim&gt;{&lt;/LeftDelim&gt;&lt;RightDelim&gt;}&lt;/RightDelim&gt;&lt;FontName&gt;Aptos&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52F08452"/>
    <w:rsid w:val="000E1E24"/>
    <w:rsid w:val="00171D38"/>
    <w:rsid w:val="001D1F02"/>
    <w:rsid w:val="002170AC"/>
    <w:rsid w:val="00265ECE"/>
    <w:rsid w:val="003907D8"/>
    <w:rsid w:val="00583D68"/>
    <w:rsid w:val="006005BD"/>
    <w:rsid w:val="006349B6"/>
    <w:rsid w:val="00677E1E"/>
    <w:rsid w:val="008052F1"/>
    <w:rsid w:val="008F0046"/>
    <w:rsid w:val="00A05E9A"/>
    <w:rsid w:val="00AA25B9"/>
    <w:rsid w:val="00B437D4"/>
    <w:rsid w:val="00B72EA3"/>
    <w:rsid w:val="00B73FCF"/>
    <w:rsid w:val="00BD5655"/>
    <w:rsid w:val="00BF3A78"/>
    <w:rsid w:val="00C00593"/>
    <w:rsid w:val="00C03672"/>
    <w:rsid w:val="00C30DE1"/>
    <w:rsid w:val="00D25869"/>
    <w:rsid w:val="00DBC504"/>
    <w:rsid w:val="010A2EC9"/>
    <w:rsid w:val="01788E4D"/>
    <w:rsid w:val="01800419"/>
    <w:rsid w:val="018A1733"/>
    <w:rsid w:val="01F44E46"/>
    <w:rsid w:val="01F56996"/>
    <w:rsid w:val="01FF5D06"/>
    <w:rsid w:val="020828E7"/>
    <w:rsid w:val="021C0392"/>
    <w:rsid w:val="029A884A"/>
    <w:rsid w:val="02BC7DF7"/>
    <w:rsid w:val="02C46B7D"/>
    <w:rsid w:val="02D9E2D3"/>
    <w:rsid w:val="03145EAE"/>
    <w:rsid w:val="031D5437"/>
    <w:rsid w:val="035C80A2"/>
    <w:rsid w:val="03B24E2E"/>
    <w:rsid w:val="03CFB59F"/>
    <w:rsid w:val="03DEED5D"/>
    <w:rsid w:val="044F2412"/>
    <w:rsid w:val="047176B5"/>
    <w:rsid w:val="04FF81C6"/>
    <w:rsid w:val="05B55FD9"/>
    <w:rsid w:val="05C2EF1F"/>
    <w:rsid w:val="05E3B04D"/>
    <w:rsid w:val="05EAF473"/>
    <w:rsid w:val="05FA745B"/>
    <w:rsid w:val="064AA0BD"/>
    <w:rsid w:val="0654F4F9"/>
    <w:rsid w:val="06630026"/>
    <w:rsid w:val="066BEEAD"/>
    <w:rsid w:val="068C2E62"/>
    <w:rsid w:val="068F2BD9"/>
    <w:rsid w:val="06A32601"/>
    <w:rsid w:val="06BF2D3F"/>
    <w:rsid w:val="06F12AE3"/>
    <w:rsid w:val="0708D7BE"/>
    <w:rsid w:val="0720D680"/>
    <w:rsid w:val="0754D110"/>
    <w:rsid w:val="075EBF80"/>
    <w:rsid w:val="0786C4D4"/>
    <w:rsid w:val="078FEF1A"/>
    <w:rsid w:val="07BFD4EB"/>
    <w:rsid w:val="07D1547D"/>
    <w:rsid w:val="084E48A8"/>
    <w:rsid w:val="0858D607"/>
    <w:rsid w:val="0873C75C"/>
    <w:rsid w:val="08F0A171"/>
    <w:rsid w:val="0953ED07"/>
    <w:rsid w:val="097613B0"/>
    <w:rsid w:val="09920530"/>
    <w:rsid w:val="09A43C48"/>
    <w:rsid w:val="09D0D6F7"/>
    <w:rsid w:val="09D70C1D"/>
    <w:rsid w:val="0A20CBBD"/>
    <w:rsid w:val="0A2882E7"/>
    <w:rsid w:val="0A5122EB"/>
    <w:rsid w:val="0A607581"/>
    <w:rsid w:val="0A871342"/>
    <w:rsid w:val="0AB4893C"/>
    <w:rsid w:val="0AB65505"/>
    <w:rsid w:val="0AC78FDC"/>
    <w:rsid w:val="0ADE4D50"/>
    <w:rsid w:val="0B6838AC"/>
    <w:rsid w:val="0BE48713"/>
    <w:rsid w:val="0C41C02B"/>
    <w:rsid w:val="0CA1AF32"/>
    <w:rsid w:val="0CAA7532"/>
    <w:rsid w:val="0CC6384A"/>
    <w:rsid w:val="0D2E6EC3"/>
    <w:rsid w:val="0D5C5A71"/>
    <w:rsid w:val="0DF60658"/>
    <w:rsid w:val="0DFF309E"/>
    <w:rsid w:val="0E2F166F"/>
    <w:rsid w:val="0E852BD2"/>
    <w:rsid w:val="0E8549D5"/>
    <w:rsid w:val="0EB86267"/>
    <w:rsid w:val="0ECA3F24"/>
    <w:rsid w:val="0F15BD02"/>
    <w:rsid w:val="0F297BE4"/>
    <w:rsid w:val="0FD6044C"/>
    <w:rsid w:val="1018D6FC"/>
    <w:rsid w:val="1099FD9D"/>
    <w:rsid w:val="10A808F5"/>
    <w:rsid w:val="111BD22D"/>
    <w:rsid w:val="112DA71A"/>
    <w:rsid w:val="11557C5A"/>
    <w:rsid w:val="1166B731"/>
    <w:rsid w:val="118C0F8E"/>
    <w:rsid w:val="11A6B4A4"/>
    <w:rsid w:val="11CBF29F"/>
    <w:rsid w:val="11E03A69"/>
    <w:rsid w:val="11F4D7C9"/>
    <w:rsid w:val="1221A26A"/>
    <w:rsid w:val="12580390"/>
    <w:rsid w:val="12841374"/>
    <w:rsid w:val="12D2A1C1"/>
    <w:rsid w:val="12D31063"/>
    <w:rsid w:val="1329C8D5"/>
    <w:rsid w:val="136336BE"/>
    <w:rsid w:val="1391F65D"/>
    <w:rsid w:val="13D19E5F"/>
    <w:rsid w:val="13D1E489"/>
    <w:rsid w:val="1427886F"/>
    <w:rsid w:val="148DF598"/>
    <w:rsid w:val="1575FD4A"/>
    <w:rsid w:val="15C8E0CE"/>
    <w:rsid w:val="160A4283"/>
    <w:rsid w:val="16137958"/>
    <w:rsid w:val="1632D6E4"/>
    <w:rsid w:val="1650626A"/>
    <w:rsid w:val="1682318B"/>
    <w:rsid w:val="16CD0206"/>
    <w:rsid w:val="16E13BDC"/>
    <w:rsid w:val="17C98EF2"/>
    <w:rsid w:val="180E7DFA"/>
    <w:rsid w:val="1880AD7A"/>
    <w:rsid w:val="18E0A9BC"/>
    <w:rsid w:val="190EB2C1"/>
    <w:rsid w:val="1941E345"/>
    <w:rsid w:val="19BC994A"/>
    <w:rsid w:val="1A29B287"/>
    <w:rsid w:val="1A74B936"/>
    <w:rsid w:val="1AA98C16"/>
    <w:rsid w:val="1AD4B060"/>
    <w:rsid w:val="1AE5A12C"/>
    <w:rsid w:val="1B605C5A"/>
    <w:rsid w:val="1B73F7E5"/>
    <w:rsid w:val="1C69D6CD"/>
    <w:rsid w:val="1C8BC369"/>
    <w:rsid w:val="1C9441B0"/>
    <w:rsid w:val="1D2CF273"/>
    <w:rsid w:val="1D5EC0F7"/>
    <w:rsid w:val="1D7E7DB7"/>
    <w:rsid w:val="1D8327EB"/>
    <w:rsid w:val="1E051C74"/>
    <w:rsid w:val="1E17BAB2"/>
    <w:rsid w:val="1E1A0A49"/>
    <w:rsid w:val="1E28596E"/>
    <w:rsid w:val="1E45058F"/>
    <w:rsid w:val="1EA28BE6"/>
    <w:rsid w:val="1EBB9EA9"/>
    <w:rsid w:val="1EC2875B"/>
    <w:rsid w:val="1F3544BE"/>
    <w:rsid w:val="1F49FB4C"/>
    <w:rsid w:val="1F9D89F6"/>
    <w:rsid w:val="1FC9EEFC"/>
    <w:rsid w:val="1FD655A8"/>
    <w:rsid w:val="1FEA6EC7"/>
    <w:rsid w:val="201ED1BA"/>
    <w:rsid w:val="208FB1DC"/>
    <w:rsid w:val="20A260BD"/>
    <w:rsid w:val="20B9A654"/>
    <w:rsid w:val="214C5497"/>
    <w:rsid w:val="2154E2B0"/>
    <w:rsid w:val="21665F73"/>
    <w:rsid w:val="216BA024"/>
    <w:rsid w:val="2195CCF4"/>
    <w:rsid w:val="22199504"/>
    <w:rsid w:val="2253DF4E"/>
    <w:rsid w:val="226B220F"/>
    <w:rsid w:val="22739CA1"/>
    <w:rsid w:val="2292D885"/>
    <w:rsid w:val="23BA35DB"/>
    <w:rsid w:val="23CB4DA7"/>
    <w:rsid w:val="24019460"/>
    <w:rsid w:val="24270842"/>
    <w:rsid w:val="2481EFD8"/>
    <w:rsid w:val="248CFCCE"/>
    <w:rsid w:val="2493FC28"/>
    <w:rsid w:val="253CEA3C"/>
    <w:rsid w:val="257858DF"/>
    <w:rsid w:val="25879E43"/>
    <w:rsid w:val="25EFC57F"/>
    <w:rsid w:val="26368DB1"/>
    <w:rsid w:val="26AB5AE2"/>
    <w:rsid w:val="26C9D149"/>
    <w:rsid w:val="26E00432"/>
    <w:rsid w:val="26E175D7"/>
    <w:rsid w:val="27020A66"/>
    <w:rsid w:val="2723F8F5"/>
    <w:rsid w:val="2746B668"/>
    <w:rsid w:val="2779F53D"/>
    <w:rsid w:val="2784C121"/>
    <w:rsid w:val="279D4FB6"/>
    <w:rsid w:val="27BDFE3A"/>
    <w:rsid w:val="27C028D4"/>
    <w:rsid w:val="27CBE946"/>
    <w:rsid w:val="28459F50"/>
    <w:rsid w:val="2880BA79"/>
    <w:rsid w:val="28AD8EB8"/>
    <w:rsid w:val="28E71A26"/>
    <w:rsid w:val="2950030D"/>
    <w:rsid w:val="29553CDF"/>
    <w:rsid w:val="298DE12D"/>
    <w:rsid w:val="29CBEB27"/>
    <w:rsid w:val="29FD828B"/>
    <w:rsid w:val="2A29033B"/>
    <w:rsid w:val="2B733196"/>
    <w:rsid w:val="2BA3353E"/>
    <w:rsid w:val="2BCB5E5C"/>
    <w:rsid w:val="2C28128D"/>
    <w:rsid w:val="2C45DEA6"/>
    <w:rsid w:val="2C4D1CDD"/>
    <w:rsid w:val="2C994108"/>
    <w:rsid w:val="2CE767E4"/>
    <w:rsid w:val="2D07BDF0"/>
    <w:rsid w:val="2D6A4267"/>
    <w:rsid w:val="2E13388A"/>
    <w:rsid w:val="2E2787B6"/>
    <w:rsid w:val="2E3E9F63"/>
    <w:rsid w:val="2E5985D9"/>
    <w:rsid w:val="2E8A54E8"/>
    <w:rsid w:val="2E8DAE39"/>
    <w:rsid w:val="2E964533"/>
    <w:rsid w:val="2E9A6706"/>
    <w:rsid w:val="2F24BDC2"/>
    <w:rsid w:val="2FF9D5BB"/>
    <w:rsid w:val="30528F86"/>
    <w:rsid w:val="30586C1C"/>
    <w:rsid w:val="3094A59E"/>
    <w:rsid w:val="30CF2840"/>
    <w:rsid w:val="3128FD7B"/>
    <w:rsid w:val="3143E3D6"/>
    <w:rsid w:val="315B1583"/>
    <w:rsid w:val="31918534"/>
    <w:rsid w:val="31B1F99D"/>
    <w:rsid w:val="31BAB282"/>
    <w:rsid w:val="32433627"/>
    <w:rsid w:val="329D81C7"/>
    <w:rsid w:val="32B626E2"/>
    <w:rsid w:val="330B7647"/>
    <w:rsid w:val="332D0306"/>
    <w:rsid w:val="3369B656"/>
    <w:rsid w:val="338C23AF"/>
    <w:rsid w:val="338F2BF4"/>
    <w:rsid w:val="339FD67C"/>
    <w:rsid w:val="33A65367"/>
    <w:rsid w:val="33D983EB"/>
    <w:rsid w:val="33DF0688"/>
    <w:rsid w:val="33F0415F"/>
    <w:rsid w:val="3453F1AC"/>
    <w:rsid w:val="3470A98A"/>
    <w:rsid w:val="3492B5B4"/>
    <w:rsid w:val="34B2E795"/>
    <w:rsid w:val="34EDAB4E"/>
    <w:rsid w:val="34EF825D"/>
    <w:rsid w:val="3575544C"/>
    <w:rsid w:val="35783E96"/>
    <w:rsid w:val="35A4A40D"/>
    <w:rsid w:val="35A5AEAB"/>
    <w:rsid w:val="35F21EBC"/>
    <w:rsid w:val="36135033"/>
    <w:rsid w:val="36A4C4E6"/>
    <w:rsid w:val="36C4541A"/>
    <w:rsid w:val="36CC0521"/>
    <w:rsid w:val="36DAF8E6"/>
    <w:rsid w:val="36E30784"/>
    <w:rsid w:val="36FDF819"/>
    <w:rsid w:val="3736D817"/>
    <w:rsid w:val="37AA7A3A"/>
    <w:rsid w:val="37AB1149"/>
    <w:rsid w:val="37ABA781"/>
    <w:rsid w:val="37DD0536"/>
    <w:rsid w:val="381457DF"/>
    <w:rsid w:val="38B277AB"/>
    <w:rsid w:val="38BB7493"/>
    <w:rsid w:val="38E87FD7"/>
    <w:rsid w:val="38F69CB7"/>
    <w:rsid w:val="38FA1A13"/>
    <w:rsid w:val="391B357B"/>
    <w:rsid w:val="396599F7"/>
    <w:rsid w:val="3997CDC8"/>
    <w:rsid w:val="3A1594EB"/>
    <w:rsid w:val="3A235D56"/>
    <w:rsid w:val="3A3F4046"/>
    <w:rsid w:val="3A4AA0C2"/>
    <w:rsid w:val="3A5EB7B5"/>
    <w:rsid w:val="3AA92ACE"/>
    <w:rsid w:val="3AAE5135"/>
    <w:rsid w:val="3AB9EBBB"/>
    <w:rsid w:val="3AECE261"/>
    <w:rsid w:val="3B0B1129"/>
    <w:rsid w:val="3B4AC240"/>
    <w:rsid w:val="3B5618C1"/>
    <w:rsid w:val="3B591ED7"/>
    <w:rsid w:val="3BAA86DB"/>
    <w:rsid w:val="3BC0FD3A"/>
    <w:rsid w:val="3BEA186D"/>
    <w:rsid w:val="3C0340CA"/>
    <w:rsid w:val="3C06D84A"/>
    <w:rsid w:val="3C63EFF6"/>
    <w:rsid w:val="3C655B22"/>
    <w:rsid w:val="3D3DFBC0"/>
    <w:rsid w:val="3D4D35AD"/>
    <w:rsid w:val="3D6F2B5A"/>
    <w:rsid w:val="3DD0019A"/>
    <w:rsid w:val="3E01D9AA"/>
    <w:rsid w:val="3E225DCF"/>
    <w:rsid w:val="3E51D681"/>
    <w:rsid w:val="3EFD99BD"/>
    <w:rsid w:val="3F4EF0E6"/>
    <w:rsid w:val="4003CC5C"/>
    <w:rsid w:val="402320B6"/>
    <w:rsid w:val="40777C63"/>
    <w:rsid w:val="40B4233F"/>
    <w:rsid w:val="40BD8990"/>
    <w:rsid w:val="40C7463B"/>
    <w:rsid w:val="40DAC7DF"/>
    <w:rsid w:val="41B975BB"/>
    <w:rsid w:val="42094AE9"/>
    <w:rsid w:val="42116CE3"/>
    <w:rsid w:val="421A6325"/>
    <w:rsid w:val="423161A6"/>
    <w:rsid w:val="4280D0BC"/>
    <w:rsid w:val="42D7CCB2"/>
    <w:rsid w:val="43046A88"/>
    <w:rsid w:val="43587798"/>
    <w:rsid w:val="43901D51"/>
    <w:rsid w:val="43AD3D44"/>
    <w:rsid w:val="43AD6644"/>
    <w:rsid w:val="43DF6036"/>
    <w:rsid w:val="43E7A3B3"/>
    <w:rsid w:val="43EA78DC"/>
    <w:rsid w:val="43EEB2A0"/>
    <w:rsid w:val="43F23A2A"/>
    <w:rsid w:val="445369A8"/>
    <w:rsid w:val="4455D97E"/>
    <w:rsid w:val="44C010BF"/>
    <w:rsid w:val="450E4912"/>
    <w:rsid w:val="4511C684"/>
    <w:rsid w:val="452F7D3F"/>
    <w:rsid w:val="46BF6868"/>
    <w:rsid w:val="46EDD448"/>
    <w:rsid w:val="471AB9A3"/>
    <w:rsid w:val="471DFB26"/>
    <w:rsid w:val="4861A46D"/>
    <w:rsid w:val="4875F0F4"/>
    <w:rsid w:val="48B9CB87"/>
    <w:rsid w:val="4941C120"/>
    <w:rsid w:val="49CF6775"/>
    <w:rsid w:val="4A0A416C"/>
    <w:rsid w:val="4A45607D"/>
    <w:rsid w:val="4AA1B966"/>
    <w:rsid w:val="4AB919E8"/>
    <w:rsid w:val="4AD75B98"/>
    <w:rsid w:val="4AEAAC34"/>
    <w:rsid w:val="4AF291CB"/>
    <w:rsid w:val="4AF6DABA"/>
    <w:rsid w:val="4B3454EC"/>
    <w:rsid w:val="4B92D98B"/>
    <w:rsid w:val="4BD02F83"/>
    <w:rsid w:val="4C07A238"/>
    <w:rsid w:val="4C40D4D1"/>
    <w:rsid w:val="4C4A569D"/>
    <w:rsid w:val="4C6CB4DE"/>
    <w:rsid w:val="4C848854"/>
    <w:rsid w:val="4C907E4E"/>
    <w:rsid w:val="4CA6C412"/>
    <w:rsid w:val="4CD901A0"/>
    <w:rsid w:val="4CFD386C"/>
    <w:rsid w:val="4D4D9127"/>
    <w:rsid w:val="4D565CBD"/>
    <w:rsid w:val="4D876DE4"/>
    <w:rsid w:val="4D8942E4"/>
    <w:rsid w:val="4DBAA233"/>
    <w:rsid w:val="4DCC3EB0"/>
    <w:rsid w:val="4E4E3FA4"/>
    <w:rsid w:val="4E8EB97F"/>
    <w:rsid w:val="4E99B54F"/>
    <w:rsid w:val="4EC54298"/>
    <w:rsid w:val="4EF20836"/>
    <w:rsid w:val="4F12E3F6"/>
    <w:rsid w:val="4F7E38A1"/>
    <w:rsid w:val="4F88DCFE"/>
    <w:rsid w:val="4FC24886"/>
    <w:rsid w:val="4FF1F424"/>
    <w:rsid w:val="51AB5D60"/>
    <w:rsid w:val="51CBC66B"/>
    <w:rsid w:val="523F129B"/>
    <w:rsid w:val="524A0E55"/>
    <w:rsid w:val="5282B341"/>
    <w:rsid w:val="52F08452"/>
    <w:rsid w:val="53622C7E"/>
    <w:rsid w:val="538AB779"/>
    <w:rsid w:val="53CB7794"/>
    <w:rsid w:val="541ED78C"/>
    <w:rsid w:val="5497CE30"/>
    <w:rsid w:val="54A7A6DA"/>
    <w:rsid w:val="54B53BCB"/>
    <w:rsid w:val="54F550AF"/>
    <w:rsid w:val="5508DB29"/>
    <w:rsid w:val="552687DA"/>
    <w:rsid w:val="55CF82B9"/>
    <w:rsid w:val="55EEF66F"/>
    <w:rsid w:val="55EF7362"/>
    <w:rsid w:val="56588A88"/>
    <w:rsid w:val="56A38832"/>
    <w:rsid w:val="56D0468D"/>
    <w:rsid w:val="57031856"/>
    <w:rsid w:val="57FE7F55"/>
    <w:rsid w:val="580EB986"/>
    <w:rsid w:val="581FF45D"/>
    <w:rsid w:val="58215EB4"/>
    <w:rsid w:val="585BA5B1"/>
    <w:rsid w:val="58B537B1"/>
    <w:rsid w:val="58CE97B8"/>
    <w:rsid w:val="58F34093"/>
    <w:rsid w:val="59732620"/>
    <w:rsid w:val="5A3EBBEA"/>
    <w:rsid w:val="5A3FADBE"/>
    <w:rsid w:val="5A4C88B7"/>
    <w:rsid w:val="5A74F687"/>
    <w:rsid w:val="5A81185A"/>
    <w:rsid w:val="5B1C7715"/>
    <w:rsid w:val="5B390AB3"/>
    <w:rsid w:val="5B465A48"/>
    <w:rsid w:val="5B474E5F"/>
    <w:rsid w:val="5B940C1E"/>
    <w:rsid w:val="5BB8FD1D"/>
    <w:rsid w:val="5C10C6E8"/>
    <w:rsid w:val="5CC03EA5"/>
    <w:rsid w:val="5CF4F187"/>
    <w:rsid w:val="5D0A22F4"/>
    <w:rsid w:val="5D2DC6BD"/>
    <w:rsid w:val="5DCE0016"/>
    <w:rsid w:val="5E3BF211"/>
    <w:rsid w:val="5E4F4F1F"/>
    <w:rsid w:val="5E5C055D"/>
    <w:rsid w:val="5E7DFB0A"/>
    <w:rsid w:val="5E931E8F"/>
    <w:rsid w:val="5F3220B8"/>
    <w:rsid w:val="5F824B6C"/>
    <w:rsid w:val="5F9304BB"/>
    <w:rsid w:val="5FB67F53"/>
    <w:rsid w:val="5FDD7E47"/>
    <w:rsid w:val="5FFD47BF"/>
    <w:rsid w:val="6061B589"/>
    <w:rsid w:val="60971934"/>
    <w:rsid w:val="60977D95"/>
    <w:rsid w:val="60E4380B"/>
    <w:rsid w:val="611B4B56"/>
    <w:rsid w:val="6139AC50"/>
    <w:rsid w:val="619C736F"/>
    <w:rsid w:val="61A9A159"/>
    <w:rsid w:val="621A19C7"/>
    <w:rsid w:val="623E4343"/>
    <w:rsid w:val="624C7D9A"/>
    <w:rsid w:val="62517D5F"/>
    <w:rsid w:val="62CB3D35"/>
    <w:rsid w:val="63458B6A"/>
    <w:rsid w:val="637A7800"/>
    <w:rsid w:val="63BD137B"/>
    <w:rsid w:val="63D180F3"/>
    <w:rsid w:val="64699128"/>
    <w:rsid w:val="64BDE73C"/>
    <w:rsid w:val="64DA6BF2"/>
    <w:rsid w:val="64FE7765"/>
    <w:rsid w:val="6503FA02"/>
    <w:rsid w:val="66056189"/>
    <w:rsid w:val="662A7A31"/>
    <w:rsid w:val="662DB3FF"/>
    <w:rsid w:val="66671742"/>
    <w:rsid w:val="6697770B"/>
    <w:rsid w:val="669A47C6"/>
    <w:rsid w:val="6711B466"/>
    <w:rsid w:val="674414E8"/>
    <w:rsid w:val="674ACF16"/>
    <w:rsid w:val="67576AEB"/>
    <w:rsid w:val="67577802"/>
    <w:rsid w:val="67C64A92"/>
    <w:rsid w:val="67C6FF79"/>
    <w:rsid w:val="67D6A7C6"/>
    <w:rsid w:val="6824DD50"/>
    <w:rsid w:val="684CA223"/>
    <w:rsid w:val="68D2DBEA"/>
    <w:rsid w:val="693D0C5C"/>
    <w:rsid w:val="6984EB5D"/>
    <w:rsid w:val="69C1DB61"/>
    <w:rsid w:val="6A7CF4DC"/>
    <w:rsid w:val="6AC85E7E"/>
    <w:rsid w:val="6AC8D97E"/>
    <w:rsid w:val="6ADBAC81"/>
    <w:rsid w:val="6AF475AF"/>
    <w:rsid w:val="6B039B70"/>
    <w:rsid w:val="6B719F15"/>
    <w:rsid w:val="6B95F972"/>
    <w:rsid w:val="6B98BAC3"/>
    <w:rsid w:val="6BBC6C41"/>
    <w:rsid w:val="6CD658C6"/>
    <w:rsid w:val="6D0F0BE7"/>
    <w:rsid w:val="6D3215BB"/>
    <w:rsid w:val="6D57E2EC"/>
    <w:rsid w:val="6DAAFCC0"/>
    <w:rsid w:val="6DCBBEFB"/>
    <w:rsid w:val="6DFDFD91"/>
    <w:rsid w:val="6E08C16E"/>
    <w:rsid w:val="6E5A9DBE"/>
    <w:rsid w:val="6EB2EB04"/>
    <w:rsid w:val="6ED9F74E"/>
    <w:rsid w:val="6F1D3DEE"/>
    <w:rsid w:val="6F304E40"/>
    <w:rsid w:val="6F3C46E6"/>
    <w:rsid w:val="6FE7440F"/>
    <w:rsid w:val="7046ACA9"/>
    <w:rsid w:val="7123B228"/>
    <w:rsid w:val="715BD7B6"/>
    <w:rsid w:val="7163DC90"/>
    <w:rsid w:val="71933142"/>
    <w:rsid w:val="72100A3E"/>
    <w:rsid w:val="72397A6B"/>
    <w:rsid w:val="723FA574"/>
    <w:rsid w:val="731E4C5A"/>
    <w:rsid w:val="7336895D"/>
    <w:rsid w:val="73565520"/>
    <w:rsid w:val="7368F349"/>
    <w:rsid w:val="73697B2C"/>
    <w:rsid w:val="739A40B2"/>
    <w:rsid w:val="73AF3DDA"/>
    <w:rsid w:val="73DEFC97"/>
    <w:rsid w:val="73EE6A45"/>
    <w:rsid w:val="743112C1"/>
    <w:rsid w:val="744FDA92"/>
    <w:rsid w:val="7473873A"/>
    <w:rsid w:val="74B90861"/>
    <w:rsid w:val="75054B8D"/>
    <w:rsid w:val="7535ED80"/>
    <w:rsid w:val="757FDE17"/>
    <w:rsid w:val="759C13E2"/>
    <w:rsid w:val="75B435E3"/>
    <w:rsid w:val="76025CF6"/>
    <w:rsid w:val="764F5F6B"/>
    <w:rsid w:val="76A11BEE"/>
    <w:rsid w:val="76A8678E"/>
    <w:rsid w:val="7715CC2D"/>
    <w:rsid w:val="77169D59"/>
    <w:rsid w:val="771B3891"/>
    <w:rsid w:val="7740AE2F"/>
    <w:rsid w:val="77B1E192"/>
    <w:rsid w:val="77FF506D"/>
    <w:rsid w:val="783613B4"/>
    <w:rsid w:val="7851BE8E"/>
    <w:rsid w:val="78775B0F"/>
    <w:rsid w:val="78979F44"/>
    <w:rsid w:val="78BDB31B"/>
    <w:rsid w:val="78C22C4F"/>
    <w:rsid w:val="78E64F0F"/>
    <w:rsid w:val="79039CE6"/>
    <w:rsid w:val="794BDDF5"/>
    <w:rsid w:val="799553ED"/>
    <w:rsid w:val="79DD1310"/>
    <w:rsid w:val="7A04BE13"/>
    <w:rsid w:val="7A0F7390"/>
    <w:rsid w:val="7A12FADE"/>
    <w:rsid w:val="7A6053C8"/>
    <w:rsid w:val="7A67952A"/>
    <w:rsid w:val="7AA05445"/>
    <w:rsid w:val="7B0A393B"/>
    <w:rsid w:val="7B0B9147"/>
    <w:rsid w:val="7B17DBFC"/>
    <w:rsid w:val="7B797DAE"/>
    <w:rsid w:val="7B895F50"/>
    <w:rsid w:val="7BEA0E7C"/>
    <w:rsid w:val="7C06AB1B"/>
    <w:rsid w:val="7C31C3AD"/>
    <w:rsid w:val="7C3AB072"/>
    <w:rsid w:val="7C662BF7"/>
    <w:rsid w:val="7C7F9138"/>
    <w:rsid w:val="7C819BBD"/>
    <w:rsid w:val="7C975865"/>
    <w:rsid w:val="7CA3E2D5"/>
    <w:rsid w:val="7CB68CDE"/>
    <w:rsid w:val="7CD5E3E9"/>
    <w:rsid w:val="7CFBB852"/>
    <w:rsid w:val="7D3C5ED5"/>
    <w:rsid w:val="7D76FB64"/>
    <w:rsid w:val="7DA27B7C"/>
    <w:rsid w:val="7DB115CD"/>
    <w:rsid w:val="7DD7F507"/>
    <w:rsid w:val="7E1877F6"/>
    <w:rsid w:val="7E5A71F8"/>
    <w:rsid w:val="7E8D8A59"/>
    <w:rsid w:val="7ED00E24"/>
    <w:rsid w:val="7EDAEA60"/>
    <w:rsid w:val="7F1C6194"/>
    <w:rsid w:val="7F67270C"/>
    <w:rsid w:val="7FD4826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F08452"/>
  <w15:chartTrackingRefBased/>
  <w15:docId w15:val="{0528287B-AF11-47BC-8BF3-8BF0B439BC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3D68"/>
  </w:style>
  <w:style w:type="paragraph" w:styleId="Heading1">
    <w:name w:val="heading 1"/>
    <w:basedOn w:val="Normal"/>
    <w:next w:val="Normal"/>
    <w:link w:val="Heading1Char"/>
    <w:uiPriority w:val="9"/>
    <w:qFormat/>
    <w:rsid w:val="002170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799553ED"/>
    <w:pPr>
      <w:keepNext/>
      <w:keepLines/>
      <w:spacing w:before="160" w:after="80"/>
      <w:outlineLvl w:val="1"/>
    </w:pPr>
    <w:rPr>
      <w:rFonts w:asciiTheme="majorHAnsi" w:eastAsiaTheme="minorEastAsia" w:hAnsiTheme="majorHAnsi" w:cstheme="majorEastAsia"/>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ullet">
    <w:name w:val="bullet"/>
    <w:basedOn w:val="Normal"/>
    <w:link w:val="bulletChar"/>
    <w:rsid w:val="7336895D"/>
    <w:pPr>
      <w:spacing w:before="120" w:after="0"/>
      <w:ind w:left="1004" w:hanging="284"/>
      <w:jc w:val="both"/>
    </w:pPr>
    <w:rPr>
      <w:rFonts w:ascii="Times New Roman" w:eastAsia="Times New Roman" w:hAnsi="Times New Roman" w:cs="Times New Roman"/>
      <w:sz w:val="24"/>
      <w:szCs w:val="24"/>
      <w:lang w:eastAsia="en-GB"/>
    </w:rPr>
  </w:style>
  <w:style w:type="character" w:customStyle="1" w:styleId="bulletChar">
    <w:name w:val="bullet Char"/>
    <w:basedOn w:val="DefaultParagraphFont"/>
    <w:link w:val="bullet"/>
    <w:rsid w:val="7336895D"/>
    <w:rPr>
      <w:rFonts w:ascii="Times New Roman" w:eastAsia="Times New Roman" w:hAnsi="Times New Roman" w:cs="Times New Roman"/>
      <w:sz w:val="24"/>
      <w:szCs w:val="24"/>
      <w:lang w:eastAsia="en-GB"/>
    </w:rPr>
  </w:style>
  <w:style w:type="table" w:styleId="TableGrid">
    <w:name w:val="Table Grid"/>
    <w:basedOn w:val="TableNormal"/>
    <w:uiPriority w:val="3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customStyle="1" w:styleId="EndNoteBibliography">
    <w:name w:val="EndNote Bibliography"/>
    <w:basedOn w:val="Normal"/>
    <w:link w:val="EndNoteBibliographyChar"/>
    <w:rsid w:val="000E1E24"/>
    <w:pPr>
      <w:spacing w:line="240" w:lineRule="auto"/>
    </w:pPr>
    <w:rPr>
      <w:rFonts w:ascii="Aptos" w:hAnsi="Aptos"/>
      <w:noProof/>
      <w:kern w:val="2"/>
      <w:lang w:val="en-US"/>
      <w14:ligatures w14:val="standardContextual"/>
    </w:rPr>
  </w:style>
  <w:style w:type="character" w:customStyle="1" w:styleId="EndNoteBibliographyChar">
    <w:name w:val="EndNote Bibliography Char"/>
    <w:basedOn w:val="DefaultParagraphFont"/>
    <w:link w:val="EndNoteBibliography"/>
    <w:rsid w:val="000E1E24"/>
    <w:rPr>
      <w:rFonts w:ascii="Aptos" w:hAnsi="Aptos"/>
      <w:noProof/>
      <w:kern w:val="2"/>
      <w:lang w:val="en-US"/>
      <w14:ligatures w14:val="standardContextual"/>
    </w:rPr>
  </w:style>
  <w:style w:type="character" w:customStyle="1" w:styleId="Heading1Char">
    <w:name w:val="Heading 1 Char"/>
    <w:basedOn w:val="DefaultParagraphFont"/>
    <w:link w:val="Heading1"/>
    <w:uiPriority w:val="9"/>
    <w:rsid w:val="002170A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1246612">
      <w:bodyDiv w:val="1"/>
      <w:marLeft w:val="0"/>
      <w:marRight w:val="0"/>
      <w:marTop w:val="0"/>
      <w:marBottom w:val="0"/>
      <w:divBdr>
        <w:top w:val="none" w:sz="0" w:space="0" w:color="auto"/>
        <w:left w:val="none" w:sz="0" w:space="0" w:color="auto"/>
        <w:bottom w:val="none" w:sz="0" w:space="0" w:color="auto"/>
        <w:right w:val="none" w:sz="0" w:space="0" w:color="auto"/>
      </w:divBdr>
      <w:divsChild>
        <w:div w:id="657611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julianstodd.wordpress.com/2012/04/13/what-are-you-proud-of-understanding-how-pride-and-motivation-relate-to-learning-and-achievement/" TargetMode="External"/><Relationship Id="rId18" Type="http://schemas.openxmlformats.org/officeDocument/2006/relationships/hyperlink" Target="https://www.apccs.police.uk/media/6362/eng-police-and-crime-plan-2021-25.pdf" TargetMode="External"/><Relationship Id="rId26" Type="http://schemas.openxmlformats.org/officeDocument/2006/relationships/hyperlink" Target="https://www.local.gov.uk/sites/default/files/documents/tackling-serious-and-orga-44a.pdf" TargetMode="External"/><Relationship Id="rId39" Type="http://schemas.openxmlformats.org/officeDocument/2006/relationships/hyperlink" Target="https://assets.publishing.service.gov.uk/media/5bdaf407ed915d150754eb52/exploring-the-role-of-the-financial-investigator-report-horr104.pdf" TargetMode="External"/><Relationship Id="rId21" Type="http://schemas.openxmlformats.org/officeDocument/2006/relationships/hyperlink" Target="https://www.apccs.police.uk/media/6147/reducing-reoffending-in-focus.pdf" TargetMode="External"/><Relationship Id="rId34" Type="http://schemas.openxmlformats.org/officeDocument/2006/relationships/hyperlink" Target="https://assets.publishing.service.gov.uk/media/5a7ad567e5274a34770e76f6/hoor4305.pdf" TargetMode="External"/><Relationship Id="rId42" Type="http://schemas.openxmlformats.org/officeDocument/2006/relationships/hyperlink" Target="https://www.gov.uk/government/publications/pace-code-b-2013/pace-code-b-accessible" TargetMode="External"/><Relationship Id="rId47" Type="http://schemas.openxmlformats.org/officeDocument/2006/relationships/hyperlink" Target="https://nhttac.acf.hhs.gov/soar/eguide/ask/Trauma_Informed_Rapport_Building" TargetMode="External"/><Relationship Id="rId50" Type="http://schemas.openxmlformats.org/officeDocument/2006/relationships/hyperlink" Target="https://criminal-justice.iresearchnet.com/criminal-justice-process/investigation-and-evidence-gathering/use-of-informants-in-investigations/" TargetMode="External"/><Relationship Id="rId55" Type="http://schemas.openxmlformats.org/officeDocument/2006/relationships/hyperlink" Target="https://www.kiteworks.com/risk-compliance-glossary/uk-investigatory-powers-act/" TargetMode="External"/><Relationship Id="rId63"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jobya.com/learn/career_advice/career_development/the_importance_of_keeping_a_career_journal" TargetMode="External"/><Relationship Id="rId29" Type="http://schemas.openxmlformats.org/officeDocument/2006/relationships/hyperlink" Target="https://news.npcc.police.uk/releases/county-lines-are-changing-to-become-more-localised-reveals-new-county-lines-strategic-threat-risk-assessment" TargetMode="External"/><Relationship Id="rId11" Type="http://schemas.openxmlformats.org/officeDocument/2006/relationships/hyperlink" Target="https://poets.org/poem/if" TargetMode="External"/><Relationship Id="rId24" Type="http://schemas.openxmlformats.org/officeDocument/2006/relationships/hyperlink" Target="https://www.derbyshiresab.org.uk/safeguarding-topics/trauma-informed-practice-in-safeguarding.aspx" TargetMode="External"/><Relationship Id="rId32" Type="http://schemas.openxmlformats.org/officeDocument/2006/relationships/hyperlink" Target="https://www.transunion.co.uk/blog/county-lines-in-focus-drug-dealing-gangs-using-rental-firms-to-avoid-police-detection" TargetMode="External"/><Relationship Id="rId37" Type="http://schemas.openxmlformats.org/officeDocument/2006/relationships/hyperlink" Target="https://www.college.police.uk/app/investigation/investigative-strategies/automatic-number-plate-recognition-anpr" TargetMode="External"/><Relationship Id="rId40" Type="http://schemas.openxmlformats.org/officeDocument/2006/relationships/hyperlink" Target="https://globalcybersecuritynetwork.com/blog/benefits-and-challenges-of-digital-forensics/" TargetMode="External"/><Relationship Id="rId45" Type="http://schemas.openxmlformats.org/officeDocument/2006/relationships/hyperlink" Target="https://assets.publishing.service.gov.uk/media/63c918b4e90e07071db36a7e/management-handling-evidence-pf.pdf" TargetMode="External"/><Relationship Id="rId53" Type="http://schemas.openxmlformats.org/officeDocument/2006/relationships/hyperlink" Target="https://ico.org.uk/for-organisations/uk-gdpr-guidance-and-resources/cctv-and-video-surveillance/guidance-on-video-surveillance-including-cctv/what-are-our-responsibilities-in-terms-of-accountability/" TargetMode="External"/><Relationship Id="rId58" Type="http://schemas.openxmlformats.org/officeDocument/2006/relationships/hyperlink" Target="https://www.ucpi.org.uk/" TargetMode="External"/><Relationship Id="rId5" Type="http://schemas.openxmlformats.org/officeDocument/2006/relationships/styles" Target="styles.xml"/><Relationship Id="rId61" Type="http://schemas.openxmlformats.org/officeDocument/2006/relationships/footer" Target="footer1.xml"/><Relationship Id="rId19" Type="http://schemas.openxmlformats.org/officeDocument/2006/relationships/hyperlink" Target="https://pcclivewww.blob.core.windows.net/wordpress-uploads/South-Wales-Police-Authority-Legacy-Statement.pdf" TargetMode="External"/><Relationship Id="rId14" Type="http://schemas.openxmlformats.org/officeDocument/2006/relationships/hyperlink" Target="https://www.college.police.uk/career-learning/career-development/CPD" TargetMode="External"/><Relationship Id="rId22" Type="http://schemas.openxmlformats.org/officeDocument/2006/relationships/hyperlink" Target="https://www.cipd.org/uk/knowledge/factsheets/swot-analysis-factsheet" TargetMode="External"/><Relationship Id="rId27" Type="http://schemas.openxmlformats.org/officeDocument/2006/relationships/hyperlink" Target="https://www.legislation.gov.uk/ukpga/2015/30/section/2" TargetMode="External"/><Relationship Id="rId30" Type="http://schemas.openxmlformats.org/officeDocument/2006/relationships/hyperlink" Target="https://publications.parliament.uk/pa/cm201719/cmselect/cmpubacc/2049/204904.htm" TargetMode="External"/><Relationship Id="rId35" Type="http://schemas.openxmlformats.org/officeDocument/2006/relationships/hyperlink" Target="https://www.applytosupply.digitalmarketplace.service.gov.uk/g-cloud/services/456194698041330" TargetMode="External"/><Relationship Id="rId43" Type="http://schemas.openxmlformats.org/officeDocument/2006/relationships/hyperlink" Target="https://ico.org.uk/media/about-the-ico/documents/2617838/ico-report-on-mpe-in-england-and-wales-v1_1.pdf" TargetMode="External"/><Relationship Id="rId48" Type="http://schemas.openxmlformats.org/officeDocument/2006/relationships/hyperlink" Target="https://www.gov.uk/guidance/human-trafficking-migrant-health-guide" TargetMode="External"/><Relationship Id="rId56" Type="http://schemas.openxmlformats.org/officeDocument/2006/relationships/hyperlink" Target="https://www.ucl.ac.uk/museums-collections/auto-icon-jeremy-bentham/panopticon" TargetMode="External"/><Relationship Id="rId8" Type="http://schemas.openxmlformats.org/officeDocument/2006/relationships/footnotes" Target="footnotes.xml"/><Relationship Id="rId51" Type="http://schemas.openxmlformats.org/officeDocument/2006/relationships/hyperlink" Target="https://www.bigbrotherwatch.org.uk/wp-content/uploads/2024/03/Big-Brother-Watch-Impact-Report-2023.pdf" TargetMode="External"/><Relationship Id="rId3" Type="http://schemas.openxmlformats.org/officeDocument/2006/relationships/customXml" Target="../customXml/item3.xml"/><Relationship Id="rId12" Type="http://schemas.openxmlformats.org/officeDocument/2006/relationships/hyperlink" Target="https://positivepsychology.com/comfort-zone" TargetMode="External"/><Relationship Id="rId17" Type="http://schemas.openxmlformats.org/officeDocument/2006/relationships/hyperlink" Target="https://www.simplypsychology.org/learning-kolb.html" TargetMode="External"/><Relationship Id="rId25" Type="http://schemas.openxmlformats.org/officeDocument/2006/relationships/hyperlink" Target="https://interventionsalliance.com/county-lines-literature-review/" TargetMode="External"/><Relationship Id="rId33" Type="http://schemas.openxmlformats.org/officeDocument/2006/relationships/hyperlink" Target="https://www.nottingham.ac.uk/news/alarming-reality-of-child-modern-slavery" TargetMode="External"/><Relationship Id="rId38" Type="http://schemas.openxmlformats.org/officeDocument/2006/relationships/hyperlink" Target="https://www.legislation.gov.uk/ukpga/2018/12/contents/enacted" TargetMode="External"/><Relationship Id="rId46" Type="http://schemas.openxmlformats.org/officeDocument/2006/relationships/hyperlink" Target="https://www.legislation.gov.uk/ukpga/2015/30/section/2" TargetMode="External"/><Relationship Id="rId59" Type="http://schemas.openxmlformats.org/officeDocument/2006/relationships/hyperlink" Target="https://libguides.usc.edu/writingguide/theoreticalframework" TargetMode="External"/><Relationship Id="rId20" Type="http://schemas.openxmlformats.org/officeDocument/2006/relationships/hyperlink" Target="https://www.psychologytoday.com/gb/blog/anger-in-the-age-entitlement/201309/the-good-and-the-bad-journaling" TargetMode="External"/><Relationship Id="rId41" Type="http://schemas.openxmlformats.org/officeDocument/2006/relationships/hyperlink" Target="https://videosurveillance.blog.gov.uk/2019/10/09/leading-the-policing-strand-of-the-national-surveillance-camera-strategy/" TargetMode="External"/><Relationship Id="rId54" Type="http://schemas.openxmlformats.org/officeDocument/2006/relationships/hyperlink" Target="https://www.ifsecglobal.com/video-surveillance/revealed-the-uks-most-watched-cities/" TargetMode="Externa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ssets.college.police.uk/s3fs-public/2023-06/A-commitment-to-change-the-future-of-police-leadership.pdf" TargetMode="External"/><Relationship Id="rId23" Type="http://schemas.openxmlformats.org/officeDocument/2006/relationships/hyperlink" Target="https://www.legislation.gov.uk/ukpga/1977/45/section/1" TargetMode="External"/><Relationship Id="rId28" Type="http://schemas.openxmlformats.org/officeDocument/2006/relationships/hyperlink" Target="https://prohic.nl/wp-content/uploads/2021/05/210-10mei2021-HarmPreventionSystemPolice.pdf" TargetMode="External"/><Relationship Id="rId36" Type="http://schemas.openxmlformats.org/officeDocument/2006/relationships/hyperlink" Target="https://assets.college.police.uk/s3fs-public/2022-12/Investigation%20process.pdf" TargetMode="External"/><Relationship Id="rId49" Type="http://schemas.openxmlformats.org/officeDocument/2006/relationships/hyperlink" Target="https://www.propertysec.co.uk/post/cctv-footage-rules-explained-uk" TargetMode="External"/><Relationship Id="rId57" Type="http://schemas.openxmlformats.org/officeDocument/2006/relationships/hyperlink" Target="file:///C:\Users\Microsoft\Downloads\www.ucpi.org.ukUndercover" TargetMode="External"/><Relationship Id="rId10" Type="http://schemas.openxmlformats.org/officeDocument/2006/relationships/image" Target="media/image1.png"/><Relationship Id="rId31" Type="http://schemas.openxmlformats.org/officeDocument/2006/relationships/hyperlink" Target="https://post.parliament.uk/children-and-young-people-and-the-criminal-justice-system/" TargetMode="External"/><Relationship Id="rId44" Type="http://schemas.openxmlformats.org/officeDocument/2006/relationships/hyperlink" Target="https://www.legislation.gov.uk/ukpga/2016/25/contents" TargetMode="External"/><Relationship Id="rId52" Type="http://schemas.openxmlformats.org/officeDocument/2006/relationships/hyperlink" Target="https://www.gov.uk/government/publications/regulation-of-investigatory-powers-act-2000-ripa/regulation-of-investigatory-powers-act-2000-ripa" TargetMode="External"/><Relationship Id="rId6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4" ma:contentTypeDescription="Create a new document." ma:contentTypeScope="" ma:versionID="3e3a3bcaf4b20ff8499e86f8a9a3073a">
  <xsd:schema xmlns:xsd="http://www.w3.org/2001/XMLSchema" xmlns:xs="http://www.w3.org/2001/XMLSchema" xmlns:p="http://schemas.microsoft.com/office/2006/metadata/properties" xmlns:ns3="b2fc9981-ef01-4a0a-b284-2726949bd531" targetNamespace="http://schemas.microsoft.com/office/2006/metadata/properties" ma:root="true" ma:fieldsID="ecc918ae544567a91c873578b4c23f62" ns3:_="">
    <xsd:import namespace="b2fc9981-ef01-4a0a-b284-2726949bd531"/>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2B9003E-156F-4442-AE85-6C4401BDD560}">
  <ds:schemaRefs>
    <ds:schemaRef ds:uri="http://schemas.microsoft.com/sharepoint/v3/contenttype/forms"/>
  </ds:schemaRefs>
</ds:datastoreItem>
</file>

<file path=customXml/itemProps2.xml><?xml version="1.0" encoding="utf-8"?>
<ds:datastoreItem xmlns:ds="http://schemas.openxmlformats.org/officeDocument/2006/customXml" ds:itemID="{957DEB3B-C96C-4210-A9C3-55EB290805A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54FAD5D-7DAC-449F-A95A-72CAB6A313A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52</Pages>
  <Words>33557</Words>
  <Characters>191275</Characters>
  <Application>Microsoft Office Word</Application>
  <DocSecurity>0</DocSecurity>
  <Lines>1593</Lines>
  <Paragraphs>448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Andrews</dc:creator>
  <cp:keywords/>
  <dc:description/>
  <cp:lastModifiedBy>Wayne Staunton (2222122)</cp:lastModifiedBy>
  <cp:revision>2</cp:revision>
  <dcterms:created xsi:type="dcterms:W3CDTF">2025-01-15T16:59:00Z</dcterms:created>
  <dcterms:modified xsi:type="dcterms:W3CDTF">2025-01-15T16:59:00Z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