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14B8EC8" wp14:paraId="38032D86" wp14:textId="417C07C5">
      <w:pPr>
        <w:spacing w:before="0" w:beforeAutospacing="off" w:after="0" w:afterAutospacing="off" w:line="360" w:lineRule="auto"/>
        <w:jc w:val="center"/>
        <w:rPr>
          <w:rFonts w:ascii="Aptos" w:hAnsi="Aptos" w:eastAsia="Aptos" w:cs="Aptos" w:asciiTheme="minorAscii" w:hAnsiTheme="minorAscii" w:eastAsiaTheme="minorAscii" w:cstheme="minorAscii"/>
          <w:b w:val="1"/>
          <w:bCs w:val="1"/>
          <w:color w:val="000000" w:themeColor="text1" w:themeTint="FF" w:themeShade="FF"/>
          <w:sz w:val="24"/>
          <w:szCs w:val="24"/>
        </w:rPr>
      </w:pPr>
    </w:p>
    <w:p xmlns:wp14="http://schemas.microsoft.com/office/word/2010/wordml" w:rsidP="714B8EC8" wp14:paraId="6099DF98" wp14:textId="5C9AA294">
      <w:pPr>
        <w:shd w:val="clear" w:color="auto" w:fill="FFFFFF" w:themeFill="background1"/>
        <w:spacing w:before="0" w:beforeAutospacing="off" w:after="240" w:afterAutospacing="off"/>
        <w:jc w:val="left"/>
        <w:rPr>
          <w:rFonts w:ascii="Aptos" w:hAnsi="Aptos" w:eastAsia="Aptos" w:cs="Aptos"/>
          <w:b w:val="0"/>
          <w:bCs w:val="0"/>
          <w:i w:val="0"/>
          <w:iCs w:val="0"/>
          <w:caps w:val="0"/>
          <w:smallCaps w:val="0"/>
          <w:color w:val="1D2125"/>
          <w:sz w:val="24"/>
          <w:szCs w:val="24"/>
        </w:rPr>
      </w:pPr>
      <w:r w:rsidRPr="714B8EC8" w:rsidR="3E6C9D85">
        <w:rPr>
          <w:rFonts w:ascii="Aptos" w:hAnsi="Aptos" w:eastAsia="Aptos" w:cs="Aptos"/>
          <w:b w:val="0"/>
          <w:bCs w:val="0"/>
          <w:i w:val="0"/>
          <w:iCs w:val="0"/>
          <w:caps w:val="0"/>
          <w:smallCaps w:val="0"/>
          <w:color w:val="1D2125"/>
          <w:sz w:val="24"/>
          <w:szCs w:val="24"/>
        </w:rPr>
        <w:t xml:space="preserve">I acknowledge the use of </w:t>
      </w:r>
      <w:r w:rsidRPr="714B8EC8" w:rsidR="3E6C9D85">
        <w:rPr>
          <w:rFonts w:ascii="Aptos" w:hAnsi="Aptos" w:eastAsia="Aptos" w:cs="Aptos"/>
          <w:b w:val="0"/>
          <w:bCs w:val="0"/>
          <w:i w:val="0"/>
          <w:iCs w:val="0"/>
          <w:caps w:val="0"/>
          <w:smallCaps w:val="0"/>
          <w:color w:val="1D2125"/>
          <w:sz w:val="24"/>
          <w:szCs w:val="24"/>
        </w:rPr>
        <w:t>ChatGTP</w:t>
      </w:r>
      <w:r w:rsidRPr="714B8EC8" w:rsidR="3E6C9D85">
        <w:rPr>
          <w:rFonts w:ascii="Aptos" w:hAnsi="Aptos" w:eastAsia="Aptos" w:cs="Aptos"/>
          <w:b w:val="0"/>
          <w:bCs w:val="0"/>
          <w:i w:val="0"/>
          <w:iCs w:val="0"/>
          <w:caps w:val="0"/>
          <w:smallCaps w:val="0"/>
          <w:color w:val="1D2125"/>
          <w:sz w:val="24"/>
          <w:szCs w:val="24"/>
        </w:rPr>
        <w:t xml:space="preserve"> </w:t>
      </w:r>
      <w:r w:rsidRPr="714B8EC8" w:rsidR="3E6C9D85">
        <w:rPr>
          <w:rFonts w:ascii="Aptos" w:hAnsi="Aptos" w:eastAsia="Aptos" w:cs="Aptos"/>
          <w:b w:val="0"/>
          <w:bCs w:val="0"/>
          <w:i w:val="0"/>
          <w:iCs w:val="0"/>
          <w:caps w:val="0"/>
          <w:smallCaps w:val="0"/>
          <w:color w:val="000000" w:themeColor="text1" w:themeTint="FF" w:themeShade="FF"/>
          <w:sz w:val="24"/>
          <w:szCs w:val="24"/>
        </w:rPr>
        <w:t>(</w:t>
      </w:r>
      <w:hyperlink r:id="R126312f11834481a">
        <w:r w:rsidRPr="714B8EC8" w:rsidR="3E6C9D85">
          <w:rPr>
            <w:rStyle w:val="Hyperlink"/>
            <w:rFonts w:ascii="Aptos" w:hAnsi="Aptos" w:eastAsia="Aptos" w:cs="Aptos"/>
            <w:b w:val="0"/>
            <w:bCs w:val="0"/>
            <w:i w:val="0"/>
            <w:iCs w:val="0"/>
            <w:caps w:val="0"/>
            <w:smallCaps w:val="0"/>
            <w:strike w:val="0"/>
            <w:dstrike w:val="0"/>
            <w:color w:val="000000" w:themeColor="text1" w:themeTint="FF" w:themeShade="FF"/>
            <w:sz w:val="24"/>
            <w:szCs w:val="24"/>
          </w:rPr>
          <w:t>https://chatgtp.com</w:t>
        </w:r>
      </w:hyperlink>
      <w:r w:rsidRPr="714B8EC8" w:rsidR="3E6C9D85">
        <w:rPr>
          <w:rFonts w:ascii="Aptos" w:hAnsi="Aptos" w:eastAsia="Aptos" w:cs="Aptos"/>
          <w:b w:val="0"/>
          <w:bCs w:val="0"/>
          <w:i w:val="0"/>
          <w:iCs w:val="0"/>
          <w:caps w:val="0"/>
          <w:smallCaps w:val="0"/>
          <w:color w:val="000000" w:themeColor="text1" w:themeTint="FF" w:themeShade="FF"/>
          <w:sz w:val="24"/>
          <w:szCs w:val="24"/>
        </w:rPr>
        <w:t>) on 17 February, 3 and 5</w:t>
      </w:r>
      <w:r w:rsidRPr="714B8EC8" w:rsidR="3E6C9D85">
        <w:rPr>
          <w:rFonts w:ascii="Aptos" w:hAnsi="Aptos" w:eastAsia="Aptos" w:cs="Aptos"/>
          <w:b w:val="0"/>
          <w:bCs w:val="0"/>
          <w:i w:val="0"/>
          <w:iCs w:val="0"/>
          <w:caps w:val="0"/>
          <w:smallCaps w:val="0"/>
          <w:color w:val="000000" w:themeColor="text1" w:themeTint="FF" w:themeShade="FF"/>
          <w:sz w:val="24"/>
          <w:szCs w:val="24"/>
          <w:vertAlign w:val="superscript"/>
        </w:rPr>
        <w:t xml:space="preserve"> </w:t>
      </w:r>
      <w:r w:rsidRPr="714B8EC8" w:rsidR="3E6C9D85">
        <w:rPr>
          <w:rFonts w:ascii="Aptos" w:hAnsi="Aptos" w:eastAsia="Aptos" w:cs="Aptos"/>
          <w:b w:val="0"/>
          <w:bCs w:val="0"/>
          <w:i w:val="0"/>
          <w:iCs w:val="0"/>
          <w:caps w:val="0"/>
          <w:smallCaps w:val="0"/>
          <w:color w:val="000000" w:themeColor="text1" w:themeTint="FF" w:themeShade="FF"/>
          <w:sz w:val="24"/>
          <w:szCs w:val="24"/>
        </w:rPr>
        <w:t>March 2026 and Claude (</w:t>
      </w:r>
      <w:hyperlink r:id="R28165bc8e00a429a">
        <w:r w:rsidRPr="714B8EC8" w:rsidR="3E6C9D85">
          <w:rPr>
            <w:rStyle w:val="Hyperlink"/>
            <w:rFonts w:ascii="Aptos" w:hAnsi="Aptos" w:eastAsia="Aptos" w:cs="Aptos"/>
            <w:b w:val="0"/>
            <w:bCs w:val="0"/>
            <w:i w:val="0"/>
            <w:iCs w:val="0"/>
            <w:caps w:val="0"/>
            <w:smallCaps w:val="0"/>
            <w:strike w:val="0"/>
            <w:dstrike w:val="0"/>
            <w:color w:val="000000" w:themeColor="text1" w:themeTint="FF" w:themeShade="FF"/>
            <w:sz w:val="24"/>
            <w:szCs w:val="24"/>
          </w:rPr>
          <w:t>Essay grammar and accuracy review - Claude)</w:t>
        </w:r>
      </w:hyperlink>
      <w:r w:rsidRPr="714B8EC8" w:rsidR="3E6C9D85">
        <w:rPr>
          <w:rFonts w:ascii="Aptos" w:hAnsi="Aptos" w:eastAsia="Aptos" w:cs="Aptos"/>
          <w:b w:val="0"/>
          <w:bCs w:val="0"/>
          <w:i w:val="0"/>
          <w:iCs w:val="0"/>
          <w:caps w:val="0"/>
          <w:smallCaps w:val="0"/>
          <w:color w:val="000000" w:themeColor="text1" w:themeTint="FF" w:themeShade="FF"/>
          <w:sz w:val="24"/>
          <w:szCs w:val="24"/>
        </w:rPr>
        <w:t xml:space="preserve"> </w:t>
      </w:r>
      <w:r w:rsidRPr="714B8EC8" w:rsidR="3E6C9D85">
        <w:rPr>
          <w:rFonts w:ascii="Aptos" w:hAnsi="Aptos" w:eastAsia="Aptos" w:cs="Aptos"/>
          <w:b w:val="0"/>
          <w:bCs w:val="0"/>
          <w:i w:val="0"/>
          <w:iCs w:val="0"/>
          <w:caps w:val="0"/>
          <w:smallCaps w:val="0"/>
          <w:color w:val="1D2125"/>
          <w:sz w:val="24"/>
          <w:szCs w:val="24"/>
        </w:rPr>
        <w:t>on 6</w:t>
      </w:r>
      <w:r w:rsidRPr="714B8EC8" w:rsidR="1BF9043A">
        <w:rPr>
          <w:rFonts w:ascii="Aptos" w:hAnsi="Aptos" w:eastAsia="Aptos" w:cs="Aptos"/>
          <w:b w:val="0"/>
          <w:bCs w:val="0"/>
          <w:i w:val="0"/>
          <w:iCs w:val="0"/>
          <w:caps w:val="0"/>
          <w:smallCaps w:val="0"/>
          <w:color w:val="1D2125"/>
          <w:sz w:val="24"/>
          <w:szCs w:val="24"/>
        </w:rPr>
        <w:t xml:space="preserve"> and 8</w:t>
      </w:r>
      <w:r w:rsidRPr="714B8EC8" w:rsidR="3E6C9D85">
        <w:rPr>
          <w:rFonts w:ascii="Aptos" w:hAnsi="Aptos" w:eastAsia="Aptos" w:cs="Aptos"/>
          <w:b w:val="0"/>
          <w:bCs w:val="0"/>
          <w:i w:val="0"/>
          <w:iCs w:val="0"/>
          <w:caps w:val="0"/>
          <w:smallCaps w:val="0"/>
          <w:color w:val="1D2125"/>
          <w:sz w:val="24"/>
          <w:szCs w:val="24"/>
        </w:rPr>
        <w:t xml:space="preserve"> March 2026 to support my essay. </w:t>
      </w:r>
    </w:p>
    <w:p xmlns:wp14="http://schemas.microsoft.com/office/word/2010/wordml" w:rsidP="714B8EC8" wp14:paraId="53F28A8F" wp14:textId="2A7C7FFD">
      <w:pPr>
        <w:shd w:val="clear" w:color="auto" w:fill="FFFFFF" w:themeFill="background1"/>
        <w:spacing w:before="0" w:beforeAutospacing="off" w:after="240" w:afterAutospacing="off"/>
        <w:jc w:val="left"/>
        <w:rPr>
          <w:rFonts w:ascii="Aptos" w:hAnsi="Aptos" w:eastAsia="Aptos" w:cs="Aptos"/>
          <w:b w:val="0"/>
          <w:bCs w:val="0"/>
          <w:i w:val="0"/>
          <w:iCs w:val="0"/>
          <w:caps w:val="0"/>
          <w:smallCaps w:val="0"/>
          <w:color w:val="1D2125"/>
          <w:sz w:val="24"/>
          <w:szCs w:val="24"/>
        </w:rPr>
      </w:pPr>
      <w:r w:rsidRPr="714B8EC8" w:rsidR="3E6C9D85">
        <w:rPr>
          <w:rFonts w:ascii="Aptos" w:hAnsi="Aptos" w:eastAsia="Aptos" w:cs="Aptos"/>
          <w:b w:val="0"/>
          <w:bCs w:val="0"/>
          <w:i w:val="0"/>
          <w:iCs w:val="0"/>
          <w:caps w:val="0"/>
          <w:smallCaps w:val="0"/>
          <w:color w:val="1D2125"/>
          <w:sz w:val="24"/>
          <w:szCs w:val="24"/>
        </w:rPr>
        <w:t xml:space="preserve">I used the prompt(s): </w:t>
      </w:r>
    </w:p>
    <w:p xmlns:wp14="http://schemas.microsoft.com/office/word/2010/wordml" w:rsidP="714B8EC8" wp14:paraId="4A035A3F" wp14:textId="0D0313CB">
      <w:pPr>
        <w:shd w:val="clear" w:color="auto" w:fill="FFFFFF" w:themeFill="background1"/>
        <w:spacing w:before="0" w:beforeAutospacing="off" w:after="240" w:afterAutospacing="off" w:line="240" w:lineRule="auto"/>
        <w:jc w:val="left"/>
        <w:rPr>
          <w:rFonts w:ascii="Aptos" w:hAnsi="Aptos" w:eastAsia="Aptos" w:cs="Aptos"/>
          <w:b w:val="0"/>
          <w:bCs w:val="0"/>
          <w:i w:val="0"/>
          <w:iCs w:val="0"/>
          <w:caps w:val="0"/>
          <w:smallCaps w:val="0"/>
          <w:color w:val="1D2125"/>
          <w:sz w:val="24"/>
          <w:szCs w:val="24"/>
        </w:rPr>
      </w:pPr>
      <w:r w:rsidRPr="714B8EC8" w:rsidR="3E6C9D85">
        <w:rPr>
          <w:rFonts w:ascii="Aptos" w:hAnsi="Aptos" w:eastAsia="Aptos" w:cs="Aptos"/>
          <w:b w:val="0"/>
          <w:bCs w:val="0"/>
          <w:i w:val="0"/>
          <w:iCs w:val="0"/>
          <w:caps w:val="0"/>
          <w:smallCaps w:val="0"/>
          <w:color w:val="1D2125"/>
          <w:sz w:val="24"/>
          <w:szCs w:val="24"/>
        </w:rPr>
        <w:t>1. Provide some online academic links to Marxist, anti-</w:t>
      </w:r>
      <w:r w:rsidRPr="714B8EC8" w:rsidR="3E6C9D85">
        <w:rPr>
          <w:rFonts w:ascii="Aptos" w:hAnsi="Aptos" w:eastAsia="Aptos" w:cs="Aptos"/>
          <w:b w:val="0"/>
          <w:bCs w:val="0"/>
          <w:i w:val="0"/>
          <w:iCs w:val="0"/>
          <w:caps w:val="0"/>
          <w:smallCaps w:val="0"/>
          <w:color w:val="1D2125"/>
          <w:sz w:val="24"/>
          <w:szCs w:val="24"/>
        </w:rPr>
        <w:t>globalisation</w:t>
      </w:r>
      <w:r w:rsidRPr="714B8EC8" w:rsidR="3E6C9D85">
        <w:rPr>
          <w:rFonts w:ascii="Aptos" w:hAnsi="Aptos" w:eastAsia="Aptos" w:cs="Aptos"/>
          <w:b w:val="0"/>
          <w:bCs w:val="0"/>
          <w:i w:val="0"/>
          <w:iCs w:val="0"/>
          <w:caps w:val="0"/>
          <w:smallCaps w:val="0"/>
          <w:color w:val="1D2125"/>
          <w:sz w:val="24"/>
          <w:szCs w:val="24"/>
        </w:rPr>
        <w:t>, food justice critiques framework</w:t>
      </w:r>
      <w:r w:rsidRPr="714B8EC8" w:rsidR="079D4D6C">
        <w:rPr>
          <w:rFonts w:ascii="Aptos" w:hAnsi="Aptos" w:eastAsia="Aptos" w:cs="Aptos"/>
          <w:b w:val="0"/>
          <w:bCs w:val="0"/>
          <w:i w:val="0"/>
          <w:iCs w:val="0"/>
          <w:caps w:val="0"/>
          <w:smallCaps w:val="0"/>
          <w:color w:val="1D2125"/>
          <w:sz w:val="24"/>
          <w:szCs w:val="24"/>
        </w:rPr>
        <w:t xml:space="preserve"> (ChatGTP)</w:t>
      </w:r>
    </w:p>
    <w:p xmlns:wp14="http://schemas.microsoft.com/office/word/2010/wordml" w:rsidP="714B8EC8" wp14:paraId="3398935E" wp14:textId="536E38E5">
      <w:pPr>
        <w:shd w:val="clear" w:color="auto" w:fill="FFFFFF" w:themeFill="background1"/>
        <w:spacing w:before="0" w:beforeAutospacing="off" w:after="240" w:afterAutospacing="off" w:line="240" w:lineRule="auto"/>
        <w:jc w:val="left"/>
        <w:rPr>
          <w:rFonts w:ascii="Aptos" w:hAnsi="Aptos" w:eastAsia="Aptos" w:cs="Aptos"/>
          <w:b w:val="0"/>
          <w:bCs w:val="0"/>
          <w:i w:val="0"/>
          <w:iCs w:val="0"/>
          <w:caps w:val="0"/>
          <w:smallCaps w:val="0"/>
          <w:color w:val="1D2125"/>
          <w:sz w:val="24"/>
          <w:szCs w:val="24"/>
        </w:rPr>
      </w:pPr>
      <w:r w:rsidRPr="714B8EC8" w:rsidR="3E6C9D85">
        <w:rPr>
          <w:rFonts w:ascii="Aptos" w:hAnsi="Aptos" w:eastAsia="Aptos" w:cs="Aptos"/>
          <w:b w:val="0"/>
          <w:bCs w:val="0"/>
          <w:i w:val="0"/>
          <w:iCs w:val="0"/>
          <w:caps w:val="0"/>
          <w:smallCaps w:val="0"/>
          <w:color w:val="1D2125"/>
          <w:sz w:val="24"/>
          <w:szCs w:val="24"/>
        </w:rPr>
        <w:t xml:space="preserve">2. Could you check the following (text) for </w:t>
      </w:r>
      <w:r w:rsidRPr="714B8EC8" w:rsidR="08888375">
        <w:rPr>
          <w:rFonts w:ascii="Aptos" w:hAnsi="Aptos" w:eastAsia="Aptos" w:cs="Aptos"/>
          <w:b w:val="0"/>
          <w:bCs w:val="0"/>
          <w:i w:val="0"/>
          <w:iCs w:val="0"/>
          <w:caps w:val="0"/>
          <w:smallCaps w:val="0"/>
          <w:color w:val="1D2125"/>
          <w:sz w:val="24"/>
          <w:szCs w:val="24"/>
        </w:rPr>
        <w:t>grammar</w:t>
      </w:r>
      <w:r w:rsidRPr="714B8EC8" w:rsidR="3E6C9D85">
        <w:rPr>
          <w:rFonts w:ascii="Aptos" w:hAnsi="Aptos" w:eastAsia="Aptos" w:cs="Aptos"/>
          <w:b w:val="0"/>
          <w:bCs w:val="0"/>
          <w:i w:val="0"/>
          <w:iCs w:val="0"/>
          <w:caps w:val="0"/>
          <w:smallCaps w:val="0"/>
          <w:color w:val="1D2125"/>
          <w:sz w:val="24"/>
          <w:szCs w:val="24"/>
        </w:rPr>
        <w:t xml:space="preserve">, accuracy, and </w:t>
      </w:r>
      <w:r w:rsidRPr="714B8EC8" w:rsidR="58DD66DD">
        <w:rPr>
          <w:rFonts w:ascii="Aptos" w:hAnsi="Aptos" w:eastAsia="Aptos" w:cs="Aptos"/>
          <w:b w:val="0"/>
          <w:bCs w:val="0"/>
          <w:i w:val="0"/>
          <w:iCs w:val="0"/>
          <w:caps w:val="0"/>
          <w:smallCaps w:val="0"/>
          <w:color w:val="1D2125"/>
          <w:sz w:val="24"/>
          <w:szCs w:val="24"/>
        </w:rPr>
        <w:t>syntax</w:t>
      </w:r>
      <w:r w:rsidRPr="714B8EC8" w:rsidR="3E6C9D85">
        <w:rPr>
          <w:rFonts w:ascii="Aptos" w:hAnsi="Aptos" w:eastAsia="Aptos" w:cs="Aptos"/>
          <w:b w:val="0"/>
          <w:bCs w:val="0"/>
          <w:i w:val="0"/>
          <w:iCs w:val="0"/>
          <w:caps w:val="0"/>
          <w:smallCaps w:val="0"/>
          <w:color w:val="1D2125"/>
          <w:sz w:val="24"/>
          <w:szCs w:val="24"/>
        </w:rPr>
        <w:t>?</w:t>
      </w:r>
      <w:r w:rsidRPr="714B8EC8" w:rsidR="63AF3FAD">
        <w:rPr>
          <w:rFonts w:ascii="Aptos" w:hAnsi="Aptos" w:eastAsia="Aptos" w:cs="Aptos"/>
          <w:b w:val="0"/>
          <w:bCs w:val="0"/>
          <w:i w:val="0"/>
          <w:iCs w:val="0"/>
          <w:caps w:val="0"/>
          <w:smallCaps w:val="0"/>
          <w:color w:val="1D2125"/>
          <w:sz w:val="24"/>
          <w:szCs w:val="24"/>
        </w:rPr>
        <w:t xml:space="preserve"> (Claude)</w:t>
      </w:r>
    </w:p>
    <w:p xmlns:wp14="http://schemas.microsoft.com/office/word/2010/wordml" w:rsidP="10E9F3F5" wp14:paraId="56D5410C" wp14:textId="3E269088">
      <w:pPr>
        <w:shd w:val="clear" w:color="auto" w:fill="FFFFFF" w:themeFill="background1"/>
        <w:spacing w:before="0" w:beforeAutospacing="off" w:after="240" w:afterAutospacing="off" w:line="240" w:lineRule="auto"/>
        <w:jc w:val="left"/>
        <w:rPr>
          <w:rFonts w:ascii="Aptos" w:hAnsi="Aptos" w:eastAsia="Aptos" w:cs="Aptos"/>
          <w:b w:val="0"/>
          <w:bCs w:val="0"/>
          <w:i w:val="0"/>
          <w:iCs w:val="0"/>
          <w:caps w:val="0"/>
          <w:smallCaps w:val="0"/>
          <w:color w:val="1D2125"/>
          <w:sz w:val="24"/>
          <w:szCs w:val="24"/>
        </w:rPr>
      </w:pPr>
      <w:r w:rsidRPr="10E9F3F5" w:rsidR="313B713A">
        <w:rPr>
          <w:rFonts w:ascii="Aptos" w:hAnsi="Aptos" w:eastAsia="Aptos" w:cs="Aptos"/>
          <w:b w:val="0"/>
          <w:bCs w:val="0"/>
          <w:i w:val="0"/>
          <w:iCs w:val="0"/>
          <w:caps w:val="0"/>
          <w:smallCaps w:val="0"/>
          <w:color w:val="1D2125"/>
          <w:sz w:val="24"/>
          <w:szCs w:val="24"/>
        </w:rPr>
        <w:t xml:space="preserve">3. </w:t>
      </w:r>
      <w:r w:rsidRPr="10E9F3F5" w:rsidR="7694CA5E">
        <w:rPr>
          <w:rFonts w:ascii="Aptos" w:hAnsi="Aptos" w:eastAsia="Aptos" w:cs="Aptos"/>
          <w:b w:val="0"/>
          <w:bCs w:val="0"/>
          <w:i w:val="0"/>
          <w:iCs w:val="0"/>
          <w:caps w:val="0"/>
          <w:smallCaps w:val="0"/>
          <w:color w:val="1D2125"/>
          <w:sz w:val="24"/>
          <w:szCs w:val="24"/>
        </w:rPr>
        <w:t xml:space="preserve"> </w:t>
      </w:r>
      <w:r w:rsidRPr="10E9F3F5" w:rsidR="2551D158">
        <w:rPr>
          <w:rFonts w:ascii="Aptos" w:hAnsi="Aptos" w:eastAsia="Aptos" w:cs="Aptos"/>
          <w:b w:val="0"/>
          <w:bCs w:val="0"/>
          <w:i w:val="0"/>
          <w:iCs w:val="0"/>
          <w:caps w:val="0"/>
          <w:smallCaps w:val="0"/>
          <w:color w:val="1D2125"/>
          <w:sz w:val="24"/>
          <w:szCs w:val="24"/>
        </w:rPr>
        <w:t xml:space="preserve">Match the reference list to the essay </w:t>
      </w:r>
      <w:r w:rsidRPr="10E9F3F5" w:rsidR="6C9D72E1">
        <w:rPr>
          <w:rFonts w:ascii="Aptos" w:hAnsi="Aptos" w:eastAsia="Aptos" w:cs="Aptos"/>
          <w:b w:val="0"/>
          <w:bCs w:val="0"/>
          <w:i w:val="0"/>
          <w:iCs w:val="0"/>
          <w:caps w:val="0"/>
          <w:smallCaps w:val="0"/>
          <w:color w:val="1D2125"/>
          <w:sz w:val="24"/>
          <w:szCs w:val="24"/>
        </w:rPr>
        <w:t xml:space="preserve">contents </w:t>
      </w:r>
      <w:r w:rsidRPr="10E9F3F5" w:rsidR="2551D158">
        <w:rPr>
          <w:rFonts w:ascii="Aptos" w:hAnsi="Aptos" w:eastAsia="Aptos" w:cs="Aptos"/>
          <w:b w:val="0"/>
          <w:bCs w:val="0"/>
          <w:i w:val="0"/>
          <w:iCs w:val="0"/>
          <w:caps w:val="0"/>
          <w:smallCaps w:val="0"/>
          <w:color w:val="1D2125"/>
          <w:sz w:val="24"/>
          <w:szCs w:val="24"/>
        </w:rPr>
        <w:t>and place in alphabetical order (Claude)</w:t>
      </w:r>
    </w:p>
    <w:p xmlns:wp14="http://schemas.microsoft.com/office/word/2010/wordml" w:rsidP="714B8EC8" wp14:paraId="4A462F33" wp14:textId="66F17270">
      <w:pPr>
        <w:shd w:val="clear" w:color="auto" w:fill="FFFFFF" w:themeFill="background1"/>
        <w:spacing w:before="0" w:beforeAutospacing="off" w:after="240" w:afterAutospacing="off"/>
        <w:jc w:val="left"/>
        <w:rPr>
          <w:rFonts w:ascii="Aptos" w:hAnsi="Aptos" w:eastAsia="Aptos" w:cs="Aptos"/>
          <w:b w:val="0"/>
          <w:bCs w:val="0"/>
          <w:i w:val="0"/>
          <w:iCs w:val="0"/>
          <w:caps w:val="0"/>
          <w:smallCaps w:val="0"/>
          <w:color w:val="1D2125"/>
          <w:sz w:val="24"/>
          <w:szCs w:val="24"/>
        </w:rPr>
      </w:pPr>
      <w:r w:rsidRPr="714B8EC8" w:rsidR="3E6C9D85">
        <w:rPr>
          <w:rFonts w:ascii="Aptos" w:hAnsi="Aptos" w:eastAsia="Aptos" w:cs="Aptos"/>
          <w:b w:val="0"/>
          <w:bCs w:val="0"/>
          <w:i w:val="0"/>
          <w:iCs w:val="0"/>
          <w:caps w:val="0"/>
          <w:smallCaps w:val="0"/>
          <w:color w:val="1D2125"/>
          <w:sz w:val="24"/>
          <w:szCs w:val="24"/>
        </w:rPr>
        <w:t>I confirm that I have not presented any AI generated text as my own work</w:t>
      </w:r>
    </w:p>
    <w:p xmlns:wp14="http://schemas.microsoft.com/office/word/2010/wordml" w:rsidP="714B8EC8" wp14:paraId="10294D11" wp14:textId="474EEE76">
      <w:pPr>
        <w:shd w:val="clear" w:color="auto" w:fill="FFFFFF" w:themeFill="background1"/>
        <w:spacing w:before="0" w:beforeAutospacing="off" w:after="240" w:afterAutospacing="off"/>
        <w:jc w:val="left"/>
        <w:rPr>
          <w:rFonts w:ascii="Aptos" w:hAnsi="Aptos" w:eastAsia="Aptos" w:cs="Aptos"/>
          <w:b w:val="0"/>
          <w:bCs w:val="0"/>
          <w:i w:val="0"/>
          <w:iCs w:val="0"/>
          <w:caps w:val="0"/>
          <w:smallCaps w:val="0"/>
          <w:color w:val="1D2125"/>
          <w:sz w:val="24"/>
          <w:szCs w:val="24"/>
        </w:rPr>
      </w:pPr>
      <w:r w:rsidRPr="714B8EC8" w:rsidR="3E6C9D85">
        <w:rPr>
          <w:rFonts w:ascii="Aptos" w:hAnsi="Aptos" w:eastAsia="Aptos" w:cs="Aptos"/>
          <w:b w:val="0"/>
          <w:bCs w:val="0"/>
          <w:i w:val="0"/>
          <w:iCs w:val="0"/>
          <w:caps w:val="0"/>
          <w:smallCaps w:val="0"/>
          <w:color w:val="1D2125"/>
          <w:sz w:val="24"/>
          <w:szCs w:val="24"/>
        </w:rPr>
        <w:t>I confirm I have copies of my drafts, notes, and other resources I used before, and after the use of AI tools which I may be asked to provide in evidence</w:t>
      </w:r>
    </w:p>
    <w:p xmlns:wp14="http://schemas.microsoft.com/office/word/2010/wordml" w:rsidP="714B8EC8" wp14:paraId="18DB016D" wp14:textId="4E3404E7">
      <w:pPr>
        <w:spacing w:before="0" w:beforeAutospacing="off" w:after="0" w:afterAutospacing="off" w:line="360" w:lineRule="auto"/>
        <w:jc w:val="left"/>
        <w:rPr>
          <w:rFonts w:ascii="Aptos" w:hAnsi="Aptos" w:eastAsia="Aptos" w:cs="Aptos" w:asciiTheme="minorAscii" w:hAnsiTheme="minorAscii" w:eastAsiaTheme="minorAscii" w:cstheme="minorAscii"/>
          <w:b w:val="1"/>
          <w:bCs w:val="1"/>
          <w:color w:val="000000" w:themeColor="text1" w:themeTint="FF" w:themeShade="FF"/>
          <w:sz w:val="24"/>
          <w:szCs w:val="24"/>
        </w:rPr>
      </w:pPr>
    </w:p>
    <w:p xmlns:wp14="http://schemas.microsoft.com/office/word/2010/wordml" w:rsidP="714B8EC8" wp14:paraId="3A586B88" wp14:textId="57C32BD9">
      <w:pPr>
        <w:spacing w:before="0" w:beforeAutospacing="off" w:after="0" w:afterAutospacing="off" w:line="360" w:lineRule="auto"/>
        <w:jc w:val="center"/>
        <w:rPr>
          <w:rFonts w:ascii="Aptos" w:hAnsi="Aptos" w:eastAsia="Aptos" w:cs="Aptos" w:asciiTheme="minorAscii" w:hAnsiTheme="minorAscii" w:eastAsiaTheme="minorAscii" w:cstheme="minorAscii"/>
          <w:b w:val="1"/>
          <w:bCs w:val="1"/>
          <w:color w:val="000000" w:themeColor="text1" w:themeTint="FF" w:themeShade="FF"/>
          <w:sz w:val="24"/>
          <w:szCs w:val="24"/>
        </w:rPr>
      </w:pPr>
    </w:p>
    <w:p xmlns:wp14="http://schemas.microsoft.com/office/word/2010/wordml" w:rsidP="714B8EC8" wp14:paraId="6AC52F5C" wp14:textId="6596F691">
      <w:pPr>
        <w:spacing w:before="0" w:beforeAutospacing="off" w:after="0" w:afterAutospacing="off" w:line="360" w:lineRule="auto"/>
        <w:jc w:val="center"/>
        <w:rPr>
          <w:rFonts w:ascii="Aptos" w:hAnsi="Aptos" w:eastAsia="Aptos" w:cs="Aptos" w:asciiTheme="minorAscii" w:hAnsiTheme="minorAscii" w:eastAsiaTheme="minorAscii" w:cstheme="minorAscii"/>
          <w:b w:val="1"/>
          <w:bCs w:val="1"/>
          <w:color w:val="000000" w:themeColor="text1" w:themeTint="FF" w:themeShade="FF"/>
          <w:sz w:val="24"/>
          <w:szCs w:val="24"/>
        </w:rPr>
      </w:pPr>
    </w:p>
    <w:p xmlns:wp14="http://schemas.microsoft.com/office/word/2010/wordml" w:rsidP="714B8EC8" wp14:paraId="369FB1D7" wp14:textId="7635E3A2">
      <w:pPr>
        <w:spacing w:before="0" w:beforeAutospacing="off" w:after="0" w:afterAutospacing="off" w:line="360" w:lineRule="auto"/>
        <w:jc w:val="center"/>
        <w:rPr>
          <w:rFonts w:ascii="Aptos" w:hAnsi="Aptos" w:eastAsia="Aptos" w:cs="Aptos" w:asciiTheme="minorAscii" w:hAnsiTheme="minorAscii" w:eastAsiaTheme="minorAscii" w:cstheme="minorAscii"/>
          <w:b w:val="1"/>
          <w:bCs w:val="1"/>
          <w:color w:val="000000" w:themeColor="text1" w:themeTint="FF" w:themeShade="FF"/>
          <w:sz w:val="24"/>
          <w:szCs w:val="24"/>
        </w:rPr>
      </w:pPr>
    </w:p>
    <w:p xmlns:wp14="http://schemas.microsoft.com/office/word/2010/wordml" w:rsidP="714B8EC8" wp14:paraId="1F62104B" wp14:textId="12A08931">
      <w:pPr>
        <w:spacing w:before="0" w:beforeAutospacing="off" w:after="0" w:afterAutospacing="off" w:line="360" w:lineRule="auto"/>
        <w:jc w:val="center"/>
        <w:rPr>
          <w:rFonts w:ascii="Aptos" w:hAnsi="Aptos" w:eastAsia="Aptos" w:cs="Aptos" w:asciiTheme="minorAscii" w:hAnsiTheme="minorAscii" w:eastAsiaTheme="minorAscii" w:cstheme="minorAscii"/>
          <w:b w:val="1"/>
          <w:bCs w:val="1"/>
          <w:color w:val="000000" w:themeColor="text1" w:themeTint="FF" w:themeShade="FF"/>
          <w:sz w:val="24"/>
          <w:szCs w:val="24"/>
        </w:rPr>
      </w:pPr>
    </w:p>
    <w:p xmlns:wp14="http://schemas.microsoft.com/office/word/2010/wordml" w:rsidP="714B8EC8" wp14:paraId="4DD4865C" wp14:textId="7B50941C">
      <w:pPr>
        <w:spacing w:before="0" w:beforeAutospacing="off" w:after="0" w:afterAutospacing="off" w:line="360" w:lineRule="auto"/>
        <w:jc w:val="center"/>
        <w:rPr>
          <w:rFonts w:ascii="Aptos" w:hAnsi="Aptos" w:eastAsia="Aptos" w:cs="Aptos" w:asciiTheme="minorAscii" w:hAnsiTheme="minorAscii" w:eastAsiaTheme="minorAscii" w:cstheme="minorAscii"/>
          <w:b w:val="1"/>
          <w:bCs w:val="1"/>
          <w:color w:val="000000" w:themeColor="text1" w:themeTint="FF" w:themeShade="FF"/>
          <w:sz w:val="24"/>
          <w:szCs w:val="24"/>
        </w:rPr>
      </w:pPr>
    </w:p>
    <w:p xmlns:wp14="http://schemas.microsoft.com/office/word/2010/wordml" w:rsidP="714B8EC8" wp14:paraId="5B2FE4BD" wp14:textId="0C11ACBC">
      <w:pPr>
        <w:spacing w:before="0" w:beforeAutospacing="off" w:after="0" w:afterAutospacing="off" w:line="360" w:lineRule="auto"/>
        <w:jc w:val="center"/>
        <w:rPr>
          <w:rFonts w:ascii="Aptos" w:hAnsi="Aptos" w:eastAsia="Aptos" w:cs="Aptos" w:asciiTheme="minorAscii" w:hAnsiTheme="minorAscii" w:eastAsiaTheme="minorAscii" w:cstheme="minorAscii"/>
          <w:b w:val="1"/>
          <w:bCs w:val="1"/>
          <w:color w:val="000000" w:themeColor="text1" w:themeTint="FF" w:themeShade="FF"/>
          <w:sz w:val="24"/>
          <w:szCs w:val="24"/>
        </w:rPr>
      </w:pPr>
    </w:p>
    <w:p xmlns:wp14="http://schemas.microsoft.com/office/word/2010/wordml" w:rsidP="714B8EC8" wp14:paraId="7FC9A2AF" wp14:textId="2577446F">
      <w:pPr>
        <w:spacing w:before="0" w:beforeAutospacing="off" w:after="0" w:afterAutospacing="off" w:line="360" w:lineRule="auto"/>
        <w:jc w:val="center"/>
        <w:rPr>
          <w:rFonts w:ascii="Aptos" w:hAnsi="Aptos" w:eastAsia="Aptos" w:cs="Aptos" w:asciiTheme="minorAscii" w:hAnsiTheme="minorAscii" w:eastAsiaTheme="minorAscii" w:cstheme="minorAscii"/>
          <w:b w:val="1"/>
          <w:bCs w:val="1"/>
          <w:color w:val="000000" w:themeColor="text1" w:themeTint="FF" w:themeShade="FF"/>
          <w:sz w:val="24"/>
          <w:szCs w:val="24"/>
        </w:rPr>
      </w:pPr>
    </w:p>
    <w:p xmlns:wp14="http://schemas.microsoft.com/office/word/2010/wordml" w:rsidP="714B8EC8" wp14:paraId="27BB3214" wp14:textId="7F42C19D">
      <w:pPr>
        <w:spacing w:before="0" w:beforeAutospacing="off" w:after="0" w:afterAutospacing="off" w:line="360" w:lineRule="auto"/>
        <w:jc w:val="center"/>
        <w:rPr>
          <w:rFonts w:ascii="Aptos" w:hAnsi="Aptos" w:eastAsia="Aptos" w:cs="Aptos" w:asciiTheme="minorAscii" w:hAnsiTheme="minorAscii" w:eastAsiaTheme="minorAscii" w:cstheme="minorAscii"/>
          <w:b w:val="1"/>
          <w:bCs w:val="1"/>
          <w:color w:val="000000" w:themeColor="text1" w:themeTint="FF" w:themeShade="FF"/>
          <w:sz w:val="24"/>
          <w:szCs w:val="24"/>
        </w:rPr>
      </w:pPr>
    </w:p>
    <w:p xmlns:wp14="http://schemas.microsoft.com/office/word/2010/wordml" w:rsidP="714B8EC8" wp14:paraId="670C4D0C" wp14:textId="32F76471">
      <w:pPr>
        <w:spacing w:before="0" w:beforeAutospacing="off" w:after="0" w:afterAutospacing="off" w:line="360" w:lineRule="auto"/>
        <w:jc w:val="center"/>
        <w:rPr>
          <w:rFonts w:ascii="Aptos" w:hAnsi="Aptos" w:eastAsia="Aptos" w:cs="Aptos" w:asciiTheme="minorAscii" w:hAnsiTheme="minorAscii" w:eastAsiaTheme="minorAscii" w:cstheme="minorAscii"/>
          <w:b w:val="1"/>
          <w:bCs w:val="1"/>
          <w:color w:val="000000" w:themeColor="text1" w:themeTint="FF" w:themeShade="FF"/>
          <w:sz w:val="24"/>
          <w:szCs w:val="24"/>
        </w:rPr>
      </w:pPr>
    </w:p>
    <w:p xmlns:wp14="http://schemas.microsoft.com/office/word/2010/wordml" w:rsidP="714B8EC8" wp14:paraId="68A5CD40" wp14:textId="2005FC7E">
      <w:pPr>
        <w:spacing w:before="0" w:beforeAutospacing="off" w:after="0" w:afterAutospacing="off" w:line="360" w:lineRule="auto"/>
        <w:jc w:val="center"/>
        <w:rPr>
          <w:rFonts w:ascii="Aptos" w:hAnsi="Aptos" w:eastAsia="Aptos" w:cs="Aptos" w:asciiTheme="minorAscii" w:hAnsiTheme="minorAscii" w:eastAsiaTheme="minorAscii" w:cstheme="minorAscii"/>
          <w:b w:val="1"/>
          <w:bCs w:val="1"/>
          <w:color w:val="000000" w:themeColor="text1" w:themeTint="FF" w:themeShade="FF"/>
          <w:sz w:val="24"/>
          <w:szCs w:val="24"/>
        </w:rPr>
      </w:pPr>
    </w:p>
    <w:p xmlns:wp14="http://schemas.microsoft.com/office/word/2010/wordml" w:rsidP="714B8EC8" wp14:paraId="643A3CFA" wp14:textId="0ADC1259">
      <w:pPr>
        <w:spacing w:before="0" w:beforeAutospacing="off" w:after="0" w:afterAutospacing="off" w:line="360" w:lineRule="auto"/>
        <w:jc w:val="center"/>
        <w:rPr>
          <w:rFonts w:ascii="Aptos" w:hAnsi="Aptos" w:eastAsia="Aptos" w:cs="Aptos" w:asciiTheme="minorAscii" w:hAnsiTheme="minorAscii" w:eastAsiaTheme="minorAscii" w:cstheme="minorAscii"/>
          <w:b w:val="1"/>
          <w:bCs w:val="1"/>
          <w:color w:val="000000" w:themeColor="text1" w:themeTint="FF" w:themeShade="FF"/>
          <w:sz w:val="24"/>
          <w:szCs w:val="24"/>
        </w:rPr>
      </w:pPr>
    </w:p>
    <w:p xmlns:wp14="http://schemas.microsoft.com/office/word/2010/wordml" w:rsidP="714B8EC8" wp14:paraId="20A24552" wp14:textId="3F6A759A">
      <w:pPr>
        <w:spacing w:before="0" w:beforeAutospacing="off" w:after="0" w:afterAutospacing="off" w:line="360" w:lineRule="auto"/>
        <w:jc w:val="center"/>
        <w:rPr>
          <w:rFonts w:ascii="Aptos" w:hAnsi="Aptos" w:eastAsia="Aptos" w:cs="Aptos" w:asciiTheme="minorAscii" w:hAnsiTheme="minorAscii" w:eastAsiaTheme="minorAscii" w:cstheme="minorAscii"/>
          <w:b w:val="1"/>
          <w:bCs w:val="1"/>
          <w:color w:val="000000" w:themeColor="text1" w:themeTint="FF" w:themeShade="FF"/>
          <w:sz w:val="24"/>
          <w:szCs w:val="24"/>
        </w:rPr>
      </w:pPr>
    </w:p>
    <w:p xmlns:wp14="http://schemas.microsoft.com/office/word/2010/wordml" w:rsidP="714B8EC8" wp14:paraId="51349000" wp14:textId="09CEFA4B">
      <w:pPr>
        <w:spacing w:before="0" w:beforeAutospacing="off" w:after="0" w:afterAutospacing="off" w:line="360" w:lineRule="auto"/>
        <w:jc w:val="center"/>
        <w:rPr>
          <w:rFonts w:ascii="Aptos" w:hAnsi="Aptos" w:eastAsia="Aptos" w:cs="Aptos" w:asciiTheme="minorAscii" w:hAnsiTheme="minorAscii" w:eastAsiaTheme="minorAscii" w:cstheme="minorAscii"/>
          <w:b w:val="1"/>
          <w:bCs w:val="1"/>
          <w:color w:val="000000" w:themeColor="text1" w:themeTint="FF" w:themeShade="FF"/>
          <w:sz w:val="24"/>
          <w:szCs w:val="24"/>
        </w:rPr>
      </w:pPr>
    </w:p>
    <w:p xmlns:wp14="http://schemas.microsoft.com/office/word/2010/wordml" w:rsidP="714B8EC8" wp14:paraId="5A20D67D" wp14:textId="3F97C4EC">
      <w:pPr>
        <w:spacing w:before="0" w:beforeAutospacing="off" w:after="0" w:afterAutospacing="off" w:line="360" w:lineRule="auto"/>
        <w:jc w:val="center"/>
        <w:rPr>
          <w:rFonts w:ascii="Aptos" w:hAnsi="Aptos" w:eastAsia="Aptos" w:cs="Aptos" w:asciiTheme="minorAscii" w:hAnsiTheme="minorAscii" w:eastAsiaTheme="minorAscii" w:cstheme="minorAscii"/>
          <w:b w:val="1"/>
          <w:bCs w:val="1"/>
          <w:color w:val="000000" w:themeColor="text1" w:themeTint="FF" w:themeShade="FF"/>
          <w:sz w:val="24"/>
          <w:szCs w:val="24"/>
        </w:rPr>
      </w:pPr>
    </w:p>
    <w:p xmlns:wp14="http://schemas.microsoft.com/office/word/2010/wordml" w:rsidP="714B8EC8" wp14:paraId="24672BB6" wp14:textId="2EABA3AF">
      <w:pPr>
        <w:spacing w:before="0" w:beforeAutospacing="off" w:after="0" w:afterAutospacing="off" w:line="360" w:lineRule="auto"/>
        <w:jc w:val="center"/>
        <w:rPr>
          <w:rFonts w:ascii="Aptos" w:hAnsi="Aptos" w:eastAsia="Aptos" w:cs="Aptos" w:asciiTheme="minorAscii" w:hAnsiTheme="minorAscii" w:eastAsiaTheme="minorAscii" w:cstheme="minorAscii"/>
          <w:b w:val="1"/>
          <w:bCs w:val="1"/>
          <w:color w:val="000000" w:themeColor="text1" w:themeTint="FF" w:themeShade="FF"/>
          <w:sz w:val="24"/>
          <w:szCs w:val="24"/>
        </w:rPr>
      </w:pPr>
    </w:p>
    <w:p xmlns:wp14="http://schemas.microsoft.com/office/word/2010/wordml" w:rsidP="714B8EC8" wp14:paraId="6CA6ACF2" wp14:textId="1062A6C0">
      <w:pPr>
        <w:spacing w:before="0" w:beforeAutospacing="off" w:after="0" w:afterAutospacing="off" w:line="360" w:lineRule="auto"/>
        <w:jc w:val="center"/>
        <w:rPr>
          <w:rFonts w:ascii="Aptos" w:hAnsi="Aptos" w:eastAsia="Aptos" w:cs="Aptos" w:asciiTheme="minorAscii" w:hAnsiTheme="minorAscii" w:eastAsiaTheme="minorAscii" w:cstheme="minorAscii"/>
          <w:b w:val="1"/>
          <w:bCs w:val="1"/>
          <w:color w:val="000000" w:themeColor="text1" w:themeTint="FF" w:themeShade="FF"/>
          <w:sz w:val="24"/>
          <w:szCs w:val="24"/>
        </w:rPr>
      </w:pPr>
    </w:p>
    <w:p xmlns:wp14="http://schemas.microsoft.com/office/word/2010/wordml" w:rsidP="714B8EC8" wp14:paraId="2AA39E94" wp14:textId="758EBAE3">
      <w:pPr>
        <w:spacing w:before="0" w:beforeAutospacing="off" w:after="0" w:afterAutospacing="off" w:line="360" w:lineRule="auto"/>
        <w:jc w:val="center"/>
        <w:rPr>
          <w:rFonts w:ascii="Aptos" w:hAnsi="Aptos" w:eastAsia="Aptos" w:cs="Aptos" w:asciiTheme="minorAscii" w:hAnsiTheme="minorAscii" w:eastAsiaTheme="minorAscii" w:cstheme="minorAscii"/>
          <w:b w:val="1"/>
          <w:bCs w:val="1"/>
          <w:color w:val="000000" w:themeColor="text1" w:themeTint="FF" w:themeShade="FF"/>
          <w:sz w:val="24"/>
          <w:szCs w:val="24"/>
        </w:rPr>
      </w:pPr>
    </w:p>
    <w:p xmlns:wp14="http://schemas.microsoft.com/office/word/2010/wordml" w:rsidP="714B8EC8" wp14:paraId="0568E38D" wp14:textId="654DED87">
      <w:pPr>
        <w:spacing w:before="0" w:beforeAutospacing="off" w:after="0" w:afterAutospacing="off" w:line="360" w:lineRule="auto"/>
        <w:jc w:val="center"/>
        <w:rPr>
          <w:rFonts w:ascii="Aptos" w:hAnsi="Aptos" w:eastAsia="Aptos" w:cs="Aptos" w:asciiTheme="minorAscii" w:hAnsiTheme="minorAscii" w:eastAsiaTheme="minorAscii" w:cstheme="minorAscii"/>
          <w:b w:val="1"/>
          <w:bCs w:val="1"/>
          <w:color w:val="000000" w:themeColor="text1" w:themeTint="FF" w:themeShade="FF"/>
          <w:sz w:val="24"/>
          <w:szCs w:val="24"/>
        </w:rPr>
      </w:pPr>
    </w:p>
    <w:p xmlns:wp14="http://schemas.microsoft.com/office/word/2010/wordml" w:rsidP="714B8EC8" wp14:paraId="661C3F9A" wp14:textId="0B865659">
      <w:pPr>
        <w:spacing w:before="0" w:beforeAutospacing="off" w:after="0" w:afterAutospacing="off" w:line="360" w:lineRule="auto"/>
        <w:jc w:val="center"/>
        <w:rPr>
          <w:rFonts w:ascii="Aptos" w:hAnsi="Aptos" w:eastAsia="Aptos" w:cs="Aptos" w:asciiTheme="minorAscii" w:hAnsiTheme="minorAscii" w:eastAsiaTheme="minorAscii" w:cstheme="minorAscii"/>
          <w:b w:val="1"/>
          <w:bCs w:val="1"/>
          <w:color w:val="000000" w:themeColor="text1" w:themeTint="FF" w:themeShade="FF"/>
          <w:sz w:val="24"/>
          <w:szCs w:val="24"/>
        </w:rPr>
      </w:pPr>
    </w:p>
    <w:p xmlns:wp14="http://schemas.microsoft.com/office/word/2010/wordml" w:rsidP="714B8EC8" wp14:paraId="672D47B6" wp14:textId="02BE58A2">
      <w:pPr>
        <w:pStyle w:val="Normal"/>
        <w:spacing w:before="0" w:beforeAutospacing="off" w:after="0" w:afterAutospacing="off" w:line="360" w:lineRule="auto"/>
        <w:jc w:val="center"/>
        <w:rPr>
          <w:rFonts w:ascii="Aptos" w:hAnsi="Aptos" w:eastAsia="Aptos" w:cs="Aptos" w:asciiTheme="minorAscii" w:hAnsiTheme="minorAscii" w:eastAsiaTheme="minorAscii" w:cstheme="minorAscii"/>
          <w:b w:val="1"/>
          <w:bCs w:val="1"/>
          <w:color w:val="000000" w:themeColor="text1" w:themeTint="FF" w:themeShade="FF"/>
          <w:sz w:val="24"/>
          <w:szCs w:val="24"/>
        </w:rPr>
      </w:pPr>
      <w:r w:rsidRPr="714B8EC8" w:rsidR="76F230D1">
        <w:rPr>
          <w:rFonts w:ascii="Aptos" w:hAnsi="Aptos" w:eastAsia="Aptos" w:cs="Aptos" w:asciiTheme="minorAscii" w:hAnsiTheme="minorAscii" w:eastAsiaTheme="minorAscii" w:cstheme="minorAscii"/>
          <w:b w:val="1"/>
          <w:bCs w:val="1"/>
          <w:color w:val="000000" w:themeColor="text1" w:themeTint="FF" w:themeShade="FF"/>
          <w:sz w:val="24"/>
          <w:szCs w:val="24"/>
        </w:rPr>
        <w:t>Political Influence on Inequality and Diversity</w:t>
      </w:r>
    </w:p>
    <w:p xmlns:wp14="http://schemas.microsoft.com/office/word/2010/wordml" w:rsidP="714B8EC8" wp14:paraId="7A48C862" wp14:textId="58D64FFF">
      <w:pPr>
        <w:spacing w:before="0" w:beforeAutospacing="off" w:after="0" w:afterAutospacing="off" w:line="360" w:lineRule="auto"/>
        <w:jc w:val="center"/>
        <w:rPr>
          <w:rFonts w:ascii="Aptos" w:hAnsi="Aptos" w:eastAsia="Aptos" w:cs="Aptos" w:asciiTheme="minorAscii" w:hAnsiTheme="minorAscii" w:eastAsiaTheme="minorAscii" w:cstheme="minorAscii"/>
          <w:b w:val="1"/>
          <w:bCs w:val="1"/>
          <w:color w:val="000000" w:themeColor="text1" w:themeTint="FF" w:themeShade="FF"/>
          <w:sz w:val="24"/>
          <w:szCs w:val="24"/>
        </w:rPr>
      </w:pPr>
      <w:r w:rsidRPr="714B8EC8" w:rsidR="76F230D1">
        <w:rPr>
          <w:rFonts w:ascii="Aptos" w:hAnsi="Aptos" w:eastAsia="Aptos" w:cs="Aptos" w:asciiTheme="minorAscii" w:hAnsiTheme="minorAscii" w:eastAsiaTheme="minorAscii" w:cstheme="minorAscii"/>
          <w:b w:val="1"/>
          <w:bCs w:val="1"/>
          <w:color w:val="000000" w:themeColor="text1" w:themeTint="FF" w:themeShade="FF"/>
          <w:sz w:val="24"/>
          <w:szCs w:val="24"/>
        </w:rPr>
        <w:t>Assessment 1:</w:t>
      </w:r>
    </w:p>
    <w:p xmlns:wp14="http://schemas.microsoft.com/office/word/2010/wordml" w:rsidP="714B8EC8" wp14:paraId="7990495A" wp14:textId="3FD920ED">
      <w:pPr>
        <w:spacing w:before="0" w:beforeAutospacing="off" w:after="0" w:afterAutospacing="off" w:line="360" w:lineRule="auto"/>
        <w:jc w:val="center"/>
        <w:rPr>
          <w:rFonts w:ascii="Aptos" w:hAnsi="Aptos" w:eastAsia="Aptos" w:cs="Aptos" w:asciiTheme="minorAscii" w:hAnsiTheme="minorAscii" w:eastAsiaTheme="minorAscii" w:cstheme="minorAscii"/>
          <w:i w:val="1"/>
          <w:iCs w:val="1"/>
          <w:color w:val="000000" w:themeColor="text1" w:themeTint="FF" w:themeShade="FF"/>
          <w:sz w:val="24"/>
          <w:szCs w:val="24"/>
        </w:rPr>
      </w:pPr>
      <w:r w:rsidRPr="714B8EC8" w:rsidR="76F230D1">
        <w:rPr>
          <w:rFonts w:ascii="Aptos" w:hAnsi="Aptos" w:eastAsia="Aptos" w:cs="Aptos" w:asciiTheme="minorAscii" w:hAnsiTheme="minorAscii" w:eastAsiaTheme="minorAscii" w:cstheme="minorAscii"/>
          <w:i w:val="1"/>
          <w:iCs w:val="1"/>
          <w:color w:val="000000" w:themeColor="text1" w:themeTint="FF" w:themeShade="FF"/>
          <w:sz w:val="24"/>
          <w:szCs w:val="24"/>
        </w:rPr>
        <w:t>Critically reflect upon the ideological influences (drivers) on a social policy of your choosing.</w:t>
      </w:r>
    </w:p>
    <w:p xmlns:wp14="http://schemas.microsoft.com/office/word/2010/wordml" w:rsidP="714B8EC8" wp14:paraId="1083EBA3" wp14:textId="019C1D72">
      <w:pPr>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r w:rsidRPr="714B8EC8"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p>
    <w:p xmlns:wp14="http://schemas.microsoft.com/office/word/2010/wordml" w:rsidP="714B8EC8" wp14:paraId="449166C3" wp14:textId="0A3C2317">
      <w:pPr>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r w:rsidRPr="714B8EC8"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p>
    <w:p xmlns:wp14="http://schemas.microsoft.com/office/word/2010/wordml" w:rsidP="714B8EC8" wp14:paraId="42B3E474" wp14:textId="73D200F9">
      <w:pPr>
        <w:pStyle w:val="Normal"/>
        <w:rPr>
          <w:rFonts w:ascii="Aptos" w:hAnsi="Aptos" w:eastAsia="Aptos" w:cs="Aptos" w:asciiTheme="minorAscii" w:hAnsiTheme="minorAscii" w:eastAsiaTheme="minorAscii" w:cstheme="minorAscii"/>
          <w:b w:val="0"/>
          <w:bCs w:val="0"/>
          <w:strike w:val="0"/>
          <w:dstrike w:val="0"/>
          <w:color w:val="000000" w:themeColor="text1" w:themeTint="FF" w:themeShade="FF"/>
          <w:sz w:val="24"/>
          <w:szCs w:val="24"/>
          <w:u w:val="single"/>
        </w:rPr>
      </w:pPr>
      <w:r w:rsidRPr="7ACD7C2B" w:rsidR="76F230D1">
        <w:rPr>
          <w:u w:val="single"/>
        </w:rPr>
        <w:t>Introduction</w:t>
      </w:r>
    </w:p>
    <w:p xmlns:wp14="http://schemas.microsoft.com/office/word/2010/wordml" w:rsidP="7ACD7C2B" wp14:paraId="1C7B3FA6" wp14:textId="2E4D9368">
      <w:pPr>
        <w:spacing w:before="240" w:beforeAutospacing="off" w:after="240" w:afterAutospacing="off" w:line="360" w:lineRule="auto"/>
      </w:pPr>
      <w:r w:rsidRPr="7ACD7C2B" w:rsidR="48FA92C4">
        <w:rPr>
          <w:rFonts w:ascii="Aptos" w:hAnsi="Aptos" w:eastAsia="Aptos" w:cs="Aptos"/>
          <w:noProof w:val="0"/>
          <w:sz w:val="24"/>
          <w:szCs w:val="24"/>
          <w:lang w:val="en-GB"/>
        </w:rPr>
        <w:t xml:space="preserve">The UK Seasonal Workers Visa (SWV), previously known as the Seasonal Workers Pilot (SWP), is the central policy examined throughout this essay (Home Office, 2024; 2025; 2026). The SWP/SWV has undergone significant development since its introduction, yet its fundamental purpose has </w:t>
      </w:r>
      <w:r w:rsidRPr="7ACD7C2B" w:rsidR="48FA92C4">
        <w:rPr>
          <w:rFonts w:ascii="Aptos" w:hAnsi="Aptos" w:eastAsia="Aptos" w:cs="Aptos"/>
          <w:noProof w:val="0"/>
          <w:sz w:val="24"/>
          <w:szCs w:val="24"/>
          <w:lang w:val="en-GB"/>
        </w:rPr>
        <w:t>remained</w:t>
      </w:r>
      <w:r w:rsidRPr="7ACD7C2B" w:rsidR="48FA92C4">
        <w:rPr>
          <w:rFonts w:ascii="Aptos" w:hAnsi="Aptos" w:eastAsia="Aptos" w:cs="Aptos"/>
          <w:noProof w:val="0"/>
          <w:sz w:val="24"/>
          <w:szCs w:val="24"/>
          <w:lang w:val="en-GB"/>
        </w:rPr>
        <w:t xml:space="preserve"> consistent: to supply the agricultural food (agri-food) sector with temporary migrant labourers for roles such as fruit-picking and broader agricultural work. This essay critically reflects on the ideological drivers underpinning the SWP/SWV, with particular focus on neoliberal political ideology as a structuring force in its design and implementation. It will be argued that SWP/SWV policies have consistently prioritised food production, market stability, and employer needs over the rights, protection, and social inclusion of migrant workers (Alcock and </w:t>
      </w:r>
      <w:r w:rsidRPr="7ACD7C2B" w:rsidR="48FA92C4">
        <w:rPr>
          <w:rFonts w:ascii="Aptos" w:hAnsi="Aptos" w:eastAsia="Aptos" w:cs="Aptos"/>
          <w:noProof w:val="0"/>
          <w:sz w:val="24"/>
          <w:szCs w:val="24"/>
          <w:lang w:val="en-GB"/>
        </w:rPr>
        <w:t>May,</w:t>
      </w:r>
      <w:r w:rsidRPr="7ACD7C2B" w:rsidR="48FA92C4">
        <w:rPr>
          <w:rFonts w:ascii="Aptos" w:hAnsi="Aptos" w:eastAsia="Aptos" w:cs="Aptos"/>
          <w:noProof w:val="0"/>
          <w:sz w:val="24"/>
          <w:szCs w:val="24"/>
          <w:lang w:val="en-GB"/>
        </w:rPr>
        <w:t xml:space="preserve"> 2014; Anderson, 2010; Milbourne and Coulson, 2021; </w:t>
      </w:r>
      <w:r w:rsidRPr="7ACD7C2B" w:rsidR="48FA92C4">
        <w:rPr>
          <w:rFonts w:ascii="Aptos" w:hAnsi="Aptos" w:eastAsia="Aptos" w:cs="Aptos"/>
          <w:noProof w:val="0"/>
          <w:sz w:val="24"/>
          <w:szCs w:val="24"/>
          <w:lang w:val="en-GB"/>
        </w:rPr>
        <w:t>Mantouvalou</w:t>
      </w:r>
      <w:r w:rsidRPr="7ACD7C2B" w:rsidR="48FA92C4">
        <w:rPr>
          <w:rFonts w:ascii="Aptos" w:hAnsi="Aptos" w:eastAsia="Aptos" w:cs="Aptos"/>
          <w:noProof w:val="0"/>
          <w:sz w:val="24"/>
          <w:szCs w:val="24"/>
          <w:lang w:val="en-GB"/>
        </w:rPr>
        <w:t xml:space="preserve">, 2022; Chee, 2025). Although the agri-food sector relies heavily on migrant labourers who are granted only temporary residence in the UK (Home Office, 2024), there is a substantial body of research suggesting that the SWP/SWV reproduces structural inequality through insecure and potentially exploitative labour arrangements. These dynamics will be examined through the </w:t>
      </w:r>
      <w:r w:rsidRPr="7ACD7C2B" w:rsidR="7E554594">
        <w:rPr>
          <w:rFonts w:ascii="Aptos" w:hAnsi="Aptos" w:eastAsia="Aptos" w:cs="Aptos"/>
          <w:noProof w:val="0"/>
          <w:sz w:val="24"/>
          <w:szCs w:val="24"/>
          <w:lang w:val="en-GB"/>
        </w:rPr>
        <w:t>theory</w:t>
      </w:r>
      <w:r w:rsidRPr="7ACD7C2B" w:rsidR="48FA92C4">
        <w:rPr>
          <w:rFonts w:ascii="Aptos" w:hAnsi="Aptos" w:eastAsia="Aptos" w:cs="Aptos"/>
          <w:noProof w:val="0"/>
          <w:sz w:val="24"/>
          <w:szCs w:val="24"/>
          <w:lang w:val="en-GB"/>
        </w:rPr>
        <w:t xml:space="preserve"> of neoliberal ideology, which, it will be argued, consistently elevates the production of goods above the welfare of the workers who produce them (Anderson, 2010; </w:t>
      </w:r>
      <w:r w:rsidRPr="7ACD7C2B" w:rsidR="48FA92C4">
        <w:rPr>
          <w:rFonts w:ascii="Aptos" w:hAnsi="Aptos" w:eastAsia="Aptos" w:cs="Aptos"/>
          <w:noProof w:val="0"/>
          <w:sz w:val="24"/>
          <w:szCs w:val="24"/>
          <w:lang w:val="en-GB"/>
        </w:rPr>
        <w:t>Mantouvalou</w:t>
      </w:r>
      <w:r w:rsidRPr="7ACD7C2B" w:rsidR="48FA92C4">
        <w:rPr>
          <w:rFonts w:ascii="Aptos" w:hAnsi="Aptos" w:eastAsia="Aptos" w:cs="Aptos"/>
          <w:noProof w:val="0"/>
          <w:sz w:val="24"/>
          <w:szCs w:val="24"/>
          <w:lang w:val="en-GB"/>
        </w:rPr>
        <w:t>, 2023; Milbourne and Coulson, 2021).</w:t>
      </w:r>
    </w:p>
    <w:p xmlns:wp14="http://schemas.microsoft.com/office/word/2010/wordml" w:rsidP="714B8EC8" wp14:paraId="0E91E230" wp14:textId="4AF6A304">
      <w:pPr>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p>
    <w:p xmlns:wp14="http://schemas.microsoft.com/office/word/2010/wordml" w:rsidP="7ACD7C2B" wp14:paraId="5A2935FC" wp14:textId="1DD609C7">
      <w:pPr>
        <w:pStyle w:val="Normal"/>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Adopting a broader analytical lens, this paper explores the SWV in relation to the </w:t>
      </w:r>
      <w:r w:rsidRPr="7ACD7C2B" w:rsidR="5CE8E202">
        <w:rPr>
          <w:rFonts w:ascii="Aptos" w:hAnsi="Aptos" w:eastAsia="Aptos" w:cs="Aptos" w:asciiTheme="minorAscii" w:hAnsiTheme="minorAscii" w:eastAsiaTheme="minorAscii" w:cstheme="minorAscii"/>
          <w:color w:val="000000" w:themeColor="text1" w:themeTint="FF" w:themeShade="FF"/>
          <w:sz w:val="24"/>
          <w:szCs w:val="24"/>
        </w:rPr>
        <w:t xml:space="preserve">claimed false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narrative of a 'labour shortage', which</w:t>
      </w:r>
      <w:r w:rsidRPr="7ACD7C2B" w:rsidR="03EE15C9">
        <w:rPr>
          <w:rFonts w:ascii="Aptos" w:hAnsi="Aptos" w:eastAsia="Aptos" w:cs="Aptos" w:asciiTheme="minorAscii" w:hAnsiTheme="minorAscii" w:eastAsiaTheme="minorAscii" w:cstheme="minorAscii"/>
          <w:color w:val="000000" w:themeColor="text1" w:themeTint="FF" w:themeShade="FF"/>
          <w:sz w:val="24"/>
          <w:szCs w:val="24"/>
        </w:rPr>
        <w:t>, it is argued,</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functions to obscure migrant labour exploitation, particularly in the context of the UK's decision to leave the European Union in June 2016,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commonly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known as 'Brexit' (Cabinet Office, 2016) and the COVID-19 pandemic which led to a stalling of movement across borders and limited workforce and food supplies (Milbourne and Coulson, 2021). Power relations are examined through the concepts of 'dirty work' and labour market segmentation</w:t>
      </w:r>
      <w:r w:rsidRPr="7ACD7C2B" w:rsidR="267FF799">
        <w:rPr>
          <w:rFonts w:ascii="Aptos" w:hAnsi="Aptos" w:eastAsia="Aptos" w:cs="Aptos" w:asciiTheme="minorAscii" w:hAnsiTheme="minorAscii" w:eastAsiaTheme="minorAscii" w:cstheme="minorAscii"/>
          <w:color w:val="000000" w:themeColor="text1" w:themeTint="FF" w:themeShade="FF"/>
          <w:sz w:val="24"/>
          <w:szCs w:val="24"/>
        </w:rPr>
        <w:t xml:space="preserve"> (Anderson, 2010; McCabe and Hamilton, 2015; Milbourne and Coulson, 2021)</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r w:rsidRPr="7ACD7C2B" w:rsidR="466B0251">
        <w:rPr>
          <w:rFonts w:ascii="Aptos" w:hAnsi="Aptos" w:eastAsia="Aptos" w:cs="Aptos" w:asciiTheme="minorAscii" w:hAnsiTheme="minorAscii" w:eastAsiaTheme="minorAscii" w:cstheme="minorAscii"/>
          <w:color w:val="000000" w:themeColor="text1" w:themeTint="FF" w:themeShade="FF"/>
          <w:sz w:val="24"/>
          <w:szCs w:val="24"/>
        </w:rPr>
        <w:t xml:space="preserve">additionally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drawing on the theoretical perspectives of Foucault (1980, cited in Chee, 2025). </w:t>
      </w:r>
      <w:r w:rsidRPr="7ACD7C2B" w:rsidR="20A0D31B">
        <w:rPr>
          <w:rFonts w:ascii="Aptos" w:hAnsi="Aptos" w:eastAsia="Aptos" w:cs="Aptos" w:asciiTheme="minorAscii" w:hAnsiTheme="minorAscii" w:eastAsiaTheme="minorAscii" w:cstheme="minorAscii"/>
          <w:color w:val="000000" w:themeColor="text1" w:themeTint="FF" w:themeShade="FF"/>
          <w:sz w:val="24"/>
          <w:szCs w:val="24"/>
        </w:rPr>
        <w:t>Finally, n</w:t>
      </w:r>
      <w:r w:rsidRPr="7ACD7C2B" w:rsidR="02812E4B">
        <w:rPr>
          <w:rFonts w:ascii="Aptos" w:hAnsi="Aptos" w:eastAsia="Aptos" w:cs="Aptos" w:asciiTheme="minorAscii" w:hAnsiTheme="minorAscii" w:eastAsiaTheme="minorAscii" w:cstheme="minorAscii"/>
          <w:color w:val="000000" w:themeColor="text1" w:themeTint="FF" w:themeShade="FF"/>
          <w:sz w:val="24"/>
          <w:szCs w:val="24"/>
        </w:rPr>
        <w:t>eo</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-Marxist food justice is </w:t>
      </w:r>
      <w:r w:rsidRPr="7ACD7C2B" w:rsidR="2C45AABB">
        <w:rPr>
          <w:rFonts w:ascii="Aptos" w:hAnsi="Aptos" w:eastAsia="Aptos" w:cs="Aptos" w:asciiTheme="minorAscii" w:hAnsiTheme="minorAscii" w:eastAsiaTheme="minorAscii" w:cstheme="minorAscii"/>
          <w:color w:val="000000" w:themeColor="text1" w:themeTint="FF" w:themeShade="FF"/>
          <w:sz w:val="24"/>
          <w:szCs w:val="24"/>
        </w:rPr>
        <w:t>considered</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as an alternative model to neoliberalism (Marx, 1867;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Sbicca</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2018; Gare, 2021</w:t>
      </w:r>
      <w:r w:rsidRPr="7ACD7C2B" w:rsidR="475133FE">
        <w:rPr>
          <w:rFonts w:ascii="Aptos" w:hAnsi="Aptos" w:eastAsia="Aptos" w:cs="Aptos" w:asciiTheme="minorAscii" w:hAnsiTheme="minorAscii" w:eastAsiaTheme="minorAscii" w:cstheme="minorAscii"/>
          <w:color w:val="000000" w:themeColor="text1" w:themeTint="FF" w:themeShade="FF"/>
          <w:sz w:val="24"/>
          <w:szCs w:val="24"/>
        </w:rPr>
        <w:t>; 2021a</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w:t>
      </w:r>
    </w:p>
    <w:p xmlns:wp14="http://schemas.microsoft.com/office/word/2010/wordml" w:rsidP="714B8EC8" wp14:paraId="270834A7" wp14:textId="5CF5D306">
      <w:pPr>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r w:rsidRPr="714B8EC8"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p>
    <w:p xmlns:wp14="http://schemas.microsoft.com/office/word/2010/wordml" w:rsidP="714B8EC8" wp14:paraId="1D7E2140" wp14:textId="427CCB64">
      <w:pPr>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r w:rsidRPr="10E9F3F5" w:rsidR="76F230D1">
        <w:rPr>
          <w:rFonts w:ascii="Aptos" w:hAnsi="Aptos" w:eastAsia="Aptos" w:cs="Aptos" w:asciiTheme="minorAscii" w:hAnsiTheme="minorAscii" w:eastAsiaTheme="minorAscii" w:cstheme="minorAscii"/>
          <w:color w:val="000000" w:themeColor="text1" w:themeTint="FF" w:themeShade="FF"/>
          <w:sz w:val="24"/>
          <w:szCs w:val="24"/>
        </w:rPr>
        <w:t>For the purposes of this work, the term 'migrant' refers to workers who cross national borders for employment, regardless of length of stay. Anderson (2010) argues that migration encompasses both temporary and long-term cross-border movement.</w:t>
      </w:r>
    </w:p>
    <w:p xmlns:wp14="http://schemas.microsoft.com/office/word/2010/wordml" w:rsidP="714B8EC8" wp14:paraId="3E51A533" wp14:textId="39EAAFDB">
      <w:pPr>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r w:rsidRPr="714B8EC8"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p>
    <w:p xmlns:wp14="http://schemas.microsoft.com/office/word/2010/wordml" w:rsidP="714B8EC8" wp14:paraId="0B9B81C9" wp14:textId="10453BCA">
      <w:pPr>
        <w:pStyle w:val="Normal"/>
        <w:rPr>
          <w:rFonts w:ascii="Aptos" w:hAnsi="Aptos" w:eastAsia="Aptos" w:cs="Aptos" w:asciiTheme="minorAscii" w:hAnsiTheme="minorAscii" w:eastAsiaTheme="minorAscii" w:cstheme="minorAscii"/>
          <w:b w:val="0"/>
          <w:bCs w:val="0"/>
          <w:strike w:val="0"/>
          <w:dstrike w:val="0"/>
          <w:color w:val="000000" w:themeColor="text1" w:themeTint="FF" w:themeShade="FF"/>
          <w:sz w:val="24"/>
          <w:szCs w:val="24"/>
          <w:u w:val="single"/>
        </w:rPr>
      </w:pPr>
      <w:r w:rsidRPr="714B8EC8" w:rsidR="76F230D1">
        <w:rPr>
          <w:u w:val="single"/>
        </w:rPr>
        <w:t>Policy Context</w:t>
      </w:r>
    </w:p>
    <w:p xmlns:wp14="http://schemas.microsoft.com/office/word/2010/wordml" w:rsidP="10E9F3F5" wp14:paraId="1A8B0138" wp14:textId="2231F124">
      <w:pPr>
        <w:pStyle w:val="Normal"/>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According to Alcock and May (2014), social policies are embedded within broader social contexts, shaping structures of security,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rights</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and responsibilities</w:t>
      </w:r>
      <w:r w:rsidRPr="7ACD7C2B" w:rsidR="0F22B1A7">
        <w:rPr>
          <w:rFonts w:ascii="Aptos" w:hAnsi="Aptos" w:eastAsia="Aptos" w:cs="Aptos" w:asciiTheme="minorAscii" w:hAnsiTheme="minorAscii" w:eastAsiaTheme="minorAscii" w:cstheme="minorAscii"/>
          <w:color w:val="000000" w:themeColor="text1" w:themeTint="FF" w:themeShade="FF"/>
          <w:sz w:val="24"/>
          <w:szCs w:val="24"/>
        </w:rPr>
        <w:t>, they argue that state decisions have consequences beyond national borders. Social policies using this view</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should therefore be analysed within a global </w:t>
      </w:r>
      <w:r w:rsidRPr="7ACD7C2B" w:rsidR="09A6D1AE">
        <w:rPr>
          <w:rFonts w:ascii="Aptos" w:hAnsi="Aptos" w:eastAsia="Aptos" w:cs="Aptos" w:asciiTheme="minorAscii" w:hAnsiTheme="minorAscii" w:eastAsiaTheme="minorAscii" w:cstheme="minorAscii"/>
          <w:color w:val="000000" w:themeColor="text1" w:themeTint="FF" w:themeShade="FF"/>
          <w:sz w:val="24"/>
          <w:szCs w:val="24"/>
        </w:rPr>
        <w:t>framework</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The SWP/SWV can be understood as a social policy</w:t>
      </w:r>
      <w:r w:rsidRPr="7ACD7C2B" w:rsidR="64A80D2A">
        <w:rPr>
          <w:rFonts w:ascii="Aptos" w:hAnsi="Aptos" w:eastAsia="Aptos" w:cs="Aptos" w:asciiTheme="minorAscii" w:hAnsiTheme="minorAscii" w:eastAsiaTheme="minorAscii" w:cstheme="minorAscii"/>
          <w:color w:val="000000" w:themeColor="text1" w:themeTint="FF" w:themeShade="FF"/>
          <w:sz w:val="24"/>
          <w:szCs w:val="24"/>
        </w:rPr>
        <w:t>,</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it regulates access to labour and conditional residence </w:t>
      </w:r>
      <w:r w:rsidRPr="7ACD7C2B" w:rsidR="76F8178F">
        <w:rPr>
          <w:rFonts w:ascii="Aptos" w:hAnsi="Aptos" w:eastAsia="Aptos" w:cs="Aptos" w:asciiTheme="minorAscii" w:hAnsiTheme="minorAscii" w:eastAsiaTheme="minorAscii" w:cstheme="minorAscii"/>
          <w:color w:val="000000" w:themeColor="text1" w:themeTint="FF" w:themeShade="FF"/>
          <w:sz w:val="24"/>
          <w:szCs w:val="24"/>
        </w:rPr>
        <w:t>however</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does not extend equivalent long-term protections or welfare entitlements such as </w:t>
      </w:r>
      <w:r w:rsidRPr="7ACD7C2B" w:rsidR="124A87EE">
        <w:rPr>
          <w:rFonts w:ascii="Aptos" w:hAnsi="Aptos" w:eastAsia="Aptos" w:cs="Aptos" w:asciiTheme="minorAscii" w:hAnsiTheme="minorAscii" w:eastAsiaTheme="minorAscii" w:cstheme="minorAscii"/>
          <w:color w:val="000000" w:themeColor="text1" w:themeTint="FF" w:themeShade="FF"/>
          <w:sz w:val="24"/>
          <w:szCs w:val="24"/>
        </w:rPr>
        <w:t xml:space="preserve">long-term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settlement, family unification, or access to public funds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Mantouvalou</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2023; Home Office, 2026).</w:t>
      </w:r>
    </w:p>
    <w:p xmlns:wp14="http://schemas.microsoft.com/office/word/2010/wordml" w:rsidP="714B8EC8" wp14:paraId="60E1EBDB" wp14:textId="36DCC3CC">
      <w:pPr>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r w:rsidRPr="714B8EC8"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p>
    <w:p xmlns:wp14="http://schemas.microsoft.com/office/word/2010/wordml" w:rsidP="714B8EC8" wp14:paraId="1EEE7A17" wp14:textId="626A4344">
      <w:pPr>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r w:rsidRPr="7ACD7C2B" w:rsidR="76F230D1">
        <w:rPr>
          <w:rFonts w:ascii="Aptos" w:hAnsi="Aptos" w:eastAsia="Aptos" w:cs="Aptos" w:asciiTheme="minorAscii" w:hAnsiTheme="minorAscii" w:eastAsiaTheme="minorAscii" w:cstheme="minorAscii"/>
          <w:color w:val="000000" w:themeColor="text1" w:themeTint="FF" w:themeShade="FF"/>
          <w:sz w:val="24"/>
          <w:szCs w:val="24"/>
        </w:rPr>
        <w:t>The SWV replaced the former Seasonal Agricultural Workers Sch</w:t>
      </w:r>
      <w:r w:rsidRPr="7ACD7C2B" w:rsidR="68B7DE05">
        <w:rPr>
          <w:rFonts w:ascii="Aptos" w:hAnsi="Aptos" w:eastAsia="Aptos" w:cs="Aptos" w:asciiTheme="minorAscii" w:hAnsiTheme="minorAscii" w:eastAsiaTheme="minorAscii" w:cstheme="minorAscii"/>
          <w:color w:val="000000" w:themeColor="text1" w:themeTint="FF" w:themeShade="FF"/>
          <w:sz w:val="24"/>
          <w:szCs w:val="24"/>
        </w:rPr>
        <w:t>eme</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(SAWS, 1945–2013) (HM Revenue and Customs, 2026). Following the UK's withdrawal from the European Union in 2016 (Cabinet Office, 2016), concerns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emerged</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regarding</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the future supply of EU migrant labour within agriculture. Milbourne and Coulson (2021)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identify</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several contributing factors: the depreciation of the pound, uncertainty surrounding migrant status and reduced freedom of movement within the EU due to Brexit. There was an increasingly hostile political climate towards migration shown by some Brexit supporters</w:t>
      </w:r>
      <w:r w:rsidRPr="7ACD7C2B" w:rsidR="579EC68B">
        <w:rPr>
          <w:rFonts w:ascii="Aptos" w:hAnsi="Aptos" w:eastAsia="Aptos" w:cs="Aptos" w:asciiTheme="minorAscii" w:hAnsiTheme="minorAscii" w:eastAsiaTheme="minorAscii" w:cstheme="minorAscii"/>
          <w:color w:val="000000" w:themeColor="text1" w:themeTint="FF" w:themeShade="FF"/>
          <w:sz w:val="24"/>
          <w:szCs w:val="24"/>
        </w:rPr>
        <w:t xml:space="preserve"> at that time,</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who were in favour of excluding migrants and introducing tighter border control</w:t>
      </w:r>
      <w:r w:rsidRPr="7ACD7C2B" w:rsidR="07597232">
        <w:rPr>
          <w:rFonts w:ascii="Aptos" w:hAnsi="Aptos" w:eastAsia="Aptos" w:cs="Aptos" w:asciiTheme="minorAscii" w:hAnsiTheme="minorAscii" w:eastAsiaTheme="minorAscii" w:cstheme="minorAscii"/>
          <w:color w:val="000000" w:themeColor="text1" w:themeTint="FF" w:themeShade="FF"/>
          <w:sz w:val="24"/>
          <w:szCs w:val="24"/>
        </w:rPr>
        <w:t>s</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(Goodfellow, 2019).</w:t>
      </w:r>
    </w:p>
    <w:p xmlns:wp14="http://schemas.microsoft.com/office/word/2010/wordml" w:rsidP="714B8EC8" wp14:paraId="7E0213D4" wp14:textId="32DD2219">
      <w:pPr>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r w:rsidRPr="714B8EC8"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p>
    <w:p xmlns:wp14="http://schemas.microsoft.com/office/word/2010/wordml" w:rsidP="10E9F3F5" wp14:paraId="34167534" wp14:textId="6D8867FB">
      <w:pPr>
        <w:pStyle w:val="Normal"/>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r w:rsidRPr="7ACD7C2B" w:rsidR="76F230D1">
        <w:rPr>
          <w:rFonts w:ascii="Aptos" w:hAnsi="Aptos" w:eastAsia="Aptos" w:cs="Aptos" w:asciiTheme="minorAscii" w:hAnsiTheme="minorAscii" w:eastAsiaTheme="minorAscii" w:cstheme="minorAscii"/>
          <w:color w:val="000000" w:themeColor="text1" w:themeTint="FF" w:themeShade="FF"/>
          <w:sz w:val="24"/>
          <w:szCs w:val="24"/>
        </w:rPr>
        <w:t>Soon after the Brexit referendum, concerns were raised</w:t>
      </w:r>
      <w:r w:rsidRPr="7ACD7C2B" w:rsidR="0BFA689D">
        <w:rPr>
          <w:rFonts w:ascii="Aptos" w:hAnsi="Aptos" w:eastAsia="Aptos" w:cs="Aptos" w:asciiTheme="minorAscii" w:hAnsiTheme="minorAscii" w:eastAsiaTheme="minorAscii" w:cstheme="minorAscii"/>
          <w:color w:val="000000" w:themeColor="text1" w:themeTint="FF" w:themeShade="FF"/>
          <w:sz w:val="24"/>
          <w:szCs w:val="24"/>
        </w:rPr>
        <w:t>, primarily</w:t>
      </w:r>
      <w:r w:rsidRPr="7ACD7C2B" w:rsidR="3EDF3D81">
        <w:rPr>
          <w:rFonts w:ascii="Aptos" w:hAnsi="Aptos" w:eastAsia="Aptos" w:cs="Aptos" w:asciiTheme="minorAscii" w:hAnsiTheme="minorAscii" w:eastAsiaTheme="minorAscii" w:cstheme="minorAscii"/>
          <w:color w:val="000000" w:themeColor="text1" w:themeTint="FF" w:themeShade="FF"/>
          <w:sz w:val="24"/>
          <w:szCs w:val="24"/>
        </w:rPr>
        <w:t xml:space="preserve"> by </w:t>
      </w:r>
      <w:r w:rsidRPr="7ACD7C2B" w:rsidR="0FBA035E">
        <w:rPr>
          <w:rFonts w:ascii="Aptos" w:hAnsi="Aptos" w:eastAsia="Aptos" w:cs="Aptos" w:asciiTheme="minorAscii" w:hAnsiTheme="minorAscii" w:eastAsiaTheme="minorAscii" w:cstheme="minorAscii"/>
          <w:color w:val="000000" w:themeColor="text1" w:themeTint="FF" w:themeShade="FF"/>
          <w:sz w:val="24"/>
          <w:szCs w:val="24"/>
        </w:rPr>
        <w:t>farm managers</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regarding</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potential food insecurity due to uncertainty surrounding labour supply within agri-food production</w:t>
      </w:r>
      <w:r w:rsidRPr="7ACD7C2B" w:rsidR="7F755709">
        <w:rPr>
          <w:rFonts w:ascii="Aptos" w:hAnsi="Aptos" w:eastAsia="Aptos" w:cs="Aptos" w:asciiTheme="minorAscii" w:hAnsiTheme="minorAscii" w:eastAsiaTheme="minorAscii" w:cstheme="minorAscii"/>
          <w:color w:val="000000" w:themeColor="text1" w:themeTint="FF" w:themeShade="FF"/>
          <w:sz w:val="24"/>
          <w:szCs w:val="24"/>
        </w:rPr>
        <w:t>, t</w:t>
      </w:r>
      <w:r w:rsidRPr="7ACD7C2B" w:rsidR="76F230D1">
        <w:rPr>
          <w:rFonts w:ascii="Aptos" w:hAnsi="Aptos" w:eastAsia="Aptos" w:cs="Aptos" w:asciiTheme="minorAscii" w:hAnsiTheme="minorAscii" w:eastAsiaTheme="minorAscii" w:cstheme="minorAscii"/>
          <w:strike w:val="0"/>
          <w:dstrike w:val="0"/>
          <w:color w:val="000000" w:themeColor="text1" w:themeTint="FF" w:themeShade="FF"/>
          <w:sz w:val="24"/>
          <w:szCs w:val="24"/>
        </w:rPr>
        <w:t>he referendum</w:t>
      </w:r>
      <w:r w:rsidRPr="7ACD7C2B" w:rsidR="5C28E61F">
        <w:rPr>
          <w:rFonts w:ascii="Aptos" w:hAnsi="Aptos" w:eastAsia="Aptos" w:cs="Aptos" w:asciiTheme="minorAscii" w:hAnsiTheme="minorAscii" w:eastAsiaTheme="minorAscii" w:cstheme="minorAscii"/>
          <w:strike w:val="0"/>
          <w:dstrike w:val="0"/>
          <w:color w:val="000000" w:themeColor="text1" w:themeTint="FF" w:themeShade="FF"/>
          <w:sz w:val="24"/>
          <w:szCs w:val="24"/>
        </w:rPr>
        <w:t xml:space="preserve"> was claimed to have</w:t>
      </w:r>
      <w:r w:rsidRPr="7ACD7C2B" w:rsidR="76F230D1">
        <w:rPr>
          <w:rFonts w:ascii="Aptos" w:hAnsi="Aptos" w:eastAsia="Aptos" w:cs="Aptos" w:asciiTheme="minorAscii" w:hAnsiTheme="minorAscii" w:eastAsiaTheme="minorAscii" w:cstheme="minorAscii"/>
          <w:strike w:val="0"/>
          <w:dstrike w:val="0"/>
          <w:color w:val="000000" w:themeColor="text1" w:themeTint="FF" w:themeShade="FF"/>
          <w:sz w:val="24"/>
          <w:szCs w:val="24"/>
        </w:rPr>
        <w:t xml:space="preserve"> </w:t>
      </w:r>
      <w:r w:rsidRPr="7ACD7C2B" w:rsidR="76F230D1">
        <w:rPr>
          <w:rFonts w:ascii="Aptos" w:hAnsi="Aptos" w:eastAsia="Aptos" w:cs="Aptos" w:asciiTheme="minorAscii" w:hAnsiTheme="minorAscii" w:eastAsiaTheme="minorAscii" w:cstheme="minorAscii"/>
          <w:strike w:val="0"/>
          <w:dstrike w:val="0"/>
          <w:color w:val="000000" w:themeColor="text1" w:themeTint="FF" w:themeShade="FF"/>
          <w:sz w:val="24"/>
          <w:szCs w:val="24"/>
        </w:rPr>
        <w:t xml:space="preserve">occurred without proper forward planning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(Clutterbuck, 2017)</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r w:rsidRPr="7ACD7C2B" w:rsidR="09BCC422">
        <w:rPr>
          <w:rFonts w:ascii="Aptos" w:hAnsi="Aptos" w:eastAsia="Aptos" w:cs="Aptos" w:asciiTheme="minorAscii" w:hAnsiTheme="minorAscii" w:eastAsiaTheme="minorAscii" w:cstheme="minorAscii"/>
          <w:color w:val="000000" w:themeColor="text1" w:themeTint="FF" w:themeShade="FF"/>
          <w:sz w:val="24"/>
          <w:szCs w:val="24"/>
        </w:rPr>
        <w:t xml:space="preserve">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Milbourne and Coulson (2021) emphasise that </w:t>
      </w:r>
      <w:r w:rsidRPr="7ACD7C2B" w:rsidR="42712272">
        <w:rPr>
          <w:rFonts w:ascii="Aptos" w:hAnsi="Aptos" w:eastAsia="Aptos" w:cs="Aptos" w:asciiTheme="minorAscii" w:hAnsiTheme="minorAscii" w:eastAsiaTheme="minorAscii" w:cstheme="minorAscii"/>
          <w:color w:val="000000" w:themeColor="text1" w:themeTint="FF" w:themeShade="FF"/>
          <w:sz w:val="24"/>
          <w:szCs w:val="24"/>
        </w:rPr>
        <w:t>production</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concerns were </w:t>
      </w:r>
      <w:r w:rsidRPr="7ACD7C2B" w:rsidR="4B72FE4C">
        <w:rPr>
          <w:rFonts w:ascii="Aptos" w:hAnsi="Aptos" w:eastAsia="Aptos" w:cs="Aptos" w:asciiTheme="minorAscii" w:hAnsiTheme="minorAscii" w:eastAsiaTheme="minorAscii" w:cstheme="minorAscii"/>
          <w:color w:val="000000" w:themeColor="text1" w:themeTint="FF" w:themeShade="FF"/>
          <w:sz w:val="24"/>
          <w:szCs w:val="24"/>
        </w:rPr>
        <w:t xml:space="preserve">chiefly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driven by agricultural employers, growers and food suppliers who warned of impending labour shortages</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Industry bodies argued that without continued access to migrant labour, domestic food production would be jeopardised (National Farmers Union, [NFU], 2025).</w:t>
      </w:r>
      <w:r w:rsidRPr="7ACD7C2B" w:rsidR="13781F60">
        <w:rPr>
          <w:rFonts w:ascii="Aptos" w:hAnsi="Aptos" w:eastAsia="Aptos" w:cs="Aptos" w:asciiTheme="minorAscii" w:hAnsiTheme="minorAscii" w:eastAsiaTheme="minorAscii" w:cstheme="minorAscii"/>
          <w:color w:val="000000" w:themeColor="text1" w:themeTint="FF" w:themeShade="FF"/>
          <w:sz w:val="24"/>
          <w:szCs w:val="24"/>
        </w:rPr>
        <w:t xml:space="preserve"> In contradiction, critics challenge the framing of a 'labour shortage', suggesting that the issue was less an absence of workers and more a reluctance among UK residents to accept low-paid, insecure and physically demanding agri</w:t>
      </w:r>
      <w:r w:rsidRPr="7ACD7C2B" w:rsidR="5B286441">
        <w:rPr>
          <w:rFonts w:ascii="Aptos" w:hAnsi="Aptos" w:eastAsia="Aptos" w:cs="Aptos" w:asciiTheme="minorAscii" w:hAnsiTheme="minorAscii" w:eastAsiaTheme="minorAscii" w:cstheme="minorAscii"/>
          <w:color w:val="000000" w:themeColor="text1" w:themeTint="FF" w:themeShade="FF"/>
          <w:sz w:val="24"/>
          <w:szCs w:val="24"/>
        </w:rPr>
        <w:t>-</w:t>
      </w:r>
      <w:r w:rsidRPr="7ACD7C2B" w:rsidR="13781F60">
        <w:rPr>
          <w:rFonts w:ascii="Aptos" w:hAnsi="Aptos" w:eastAsia="Aptos" w:cs="Aptos" w:asciiTheme="minorAscii" w:hAnsiTheme="minorAscii" w:eastAsiaTheme="minorAscii" w:cstheme="minorAscii"/>
          <w:color w:val="000000" w:themeColor="text1" w:themeTint="FF" w:themeShade="FF"/>
          <w:sz w:val="24"/>
          <w:szCs w:val="24"/>
        </w:rPr>
        <w:t xml:space="preserve">work (Anderson, 2010; Milbourne and Coulson, 2021; </w:t>
      </w:r>
      <w:r w:rsidRPr="7ACD7C2B" w:rsidR="13781F60">
        <w:rPr>
          <w:rFonts w:ascii="Aptos" w:hAnsi="Aptos" w:eastAsia="Aptos" w:cs="Aptos" w:asciiTheme="minorAscii" w:hAnsiTheme="minorAscii" w:eastAsiaTheme="minorAscii" w:cstheme="minorAscii"/>
          <w:color w:val="000000" w:themeColor="text1" w:themeTint="FF" w:themeShade="FF"/>
          <w:sz w:val="24"/>
          <w:szCs w:val="24"/>
        </w:rPr>
        <w:t>Mantouvalou</w:t>
      </w:r>
      <w:r w:rsidRPr="7ACD7C2B" w:rsidR="13781F60">
        <w:rPr>
          <w:rFonts w:ascii="Aptos" w:hAnsi="Aptos" w:eastAsia="Aptos" w:cs="Aptos" w:asciiTheme="minorAscii" w:hAnsiTheme="minorAscii" w:eastAsiaTheme="minorAscii" w:cstheme="minorAscii"/>
          <w:color w:val="000000" w:themeColor="text1" w:themeTint="FF" w:themeShade="FF"/>
          <w:sz w:val="24"/>
          <w:szCs w:val="24"/>
        </w:rPr>
        <w:t>, 2023). From this perspective, the labour shortage narrative functions politically to legitimise the continued recruitment of temporary, cheap, flexible migrant labour while avoiding positive structural reform of wages and working conditions (Scott, 2013).</w:t>
      </w:r>
      <w:r w:rsidRPr="7ACD7C2B" w:rsidR="00FDA356">
        <w:rPr>
          <w:rFonts w:ascii="Aptos" w:hAnsi="Aptos" w:eastAsia="Aptos" w:cs="Aptos" w:asciiTheme="minorAscii" w:hAnsiTheme="minorAscii" w:eastAsiaTheme="minorAscii" w:cstheme="minorAscii"/>
          <w:color w:val="000000" w:themeColor="text1" w:themeTint="FF" w:themeShade="FF"/>
          <w:sz w:val="24"/>
          <w:szCs w:val="24"/>
        </w:rPr>
        <w:t xml:space="preserve"> However, i</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n response to </w:t>
      </w:r>
      <w:r w:rsidRPr="7ACD7C2B" w:rsidR="79CDD9BB">
        <w:rPr>
          <w:rFonts w:ascii="Aptos" w:hAnsi="Aptos" w:eastAsia="Aptos" w:cs="Aptos" w:asciiTheme="minorAscii" w:hAnsiTheme="minorAscii" w:eastAsiaTheme="minorAscii" w:cstheme="minorAscii"/>
          <w:color w:val="000000" w:themeColor="text1" w:themeTint="FF" w:themeShade="FF"/>
          <w:sz w:val="24"/>
          <w:szCs w:val="24"/>
        </w:rPr>
        <w:t>agri</w:t>
      </w:r>
      <w:r w:rsidRPr="7ACD7C2B" w:rsidR="79CDD9BB">
        <w:rPr>
          <w:rFonts w:ascii="Aptos" w:hAnsi="Aptos" w:eastAsia="Aptos" w:cs="Aptos" w:asciiTheme="minorAscii" w:hAnsiTheme="minorAscii" w:eastAsiaTheme="minorAscii" w:cstheme="minorAscii"/>
          <w:color w:val="000000" w:themeColor="text1" w:themeTint="FF" w:themeShade="FF"/>
          <w:sz w:val="24"/>
          <w:szCs w:val="24"/>
        </w:rPr>
        <w:t>-sector</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lobbying, the government introduced the SWP in 2019, which expanded rapidly from 2020 and was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subsequently</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formalised as the SWV</w:t>
      </w:r>
      <w:r w:rsidRPr="7ACD7C2B" w:rsidR="4194B3B7">
        <w:rPr>
          <w:rFonts w:ascii="Aptos" w:hAnsi="Aptos" w:eastAsia="Aptos" w:cs="Aptos" w:asciiTheme="minorAscii" w:hAnsiTheme="minorAscii" w:eastAsiaTheme="minorAscii" w:cstheme="minorAscii"/>
          <w:color w:val="000000" w:themeColor="text1" w:themeTint="FF" w:themeShade="FF"/>
          <w:sz w:val="24"/>
          <w:szCs w:val="24"/>
        </w:rPr>
        <w:t xml:space="preserve"> program</w:t>
      </w:r>
      <w:r w:rsidRPr="7ACD7C2B" w:rsidR="13100978">
        <w:rPr>
          <w:rFonts w:ascii="Aptos" w:hAnsi="Aptos" w:eastAsia="Aptos" w:cs="Aptos" w:asciiTheme="minorAscii" w:hAnsiTheme="minorAscii" w:eastAsiaTheme="minorAscii" w:cstheme="minorAscii"/>
          <w:color w:val="000000" w:themeColor="text1" w:themeTint="FF" w:themeShade="FF"/>
          <w:sz w:val="24"/>
          <w:szCs w:val="24"/>
        </w:rPr>
        <w:t xml:space="preserve"> in 2021 (Home Office, 2025)</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The scheme is currently scheduled to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operate</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until at least 2029 (Home Office, 2024).</w:t>
      </w:r>
      <w:r w:rsidRPr="7ACD7C2B" w:rsidR="2D717DEA">
        <w:rPr>
          <w:rFonts w:ascii="Aptos" w:hAnsi="Aptos" w:eastAsia="Aptos" w:cs="Aptos" w:asciiTheme="minorAscii" w:hAnsiTheme="minorAscii" w:eastAsiaTheme="minorAscii" w:cstheme="minorAscii"/>
          <w:color w:val="000000" w:themeColor="text1" w:themeTint="FF" w:themeShade="FF"/>
          <w:sz w:val="24"/>
          <w:szCs w:val="24"/>
        </w:rPr>
        <w:t xml:space="preserve"> </w:t>
      </w:r>
    </w:p>
    <w:p xmlns:wp14="http://schemas.microsoft.com/office/word/2010/wordml" w:rsidP="714B8EC8" wp14:paraId="052C692D" wp14:textId="1B8EB854">
      <w:pPr>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r w:rsidRPr="714B8EC8"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p>
    <w:p xmlns:wp14="http://schemas.microsoft.com/office/word/2010/wordml" w:rsidP="714B8EC8" wp14:paraId="3A9BC5D5" wp14:textId="449C723D">
      <w:pPr>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The main features of the </w:t>
      </w:r>
      <w:r w:rsidRPr="7ACD7C2B" w:rsidR="7B8D13A1">
        <w:rPr>
          <w:rFonts w:ascii="Aptos" w:hAnsi="Aptos" w:eastAsia="Aptos" w:cs="Aptos" w:asciiTheme="minorAscii" w:hAnsiTheme="minorAscii" w:eastAsiaTheme="minorAscii" w:cstheme="minorAscii"/>
          <w:color w:val="000000" w:themeColor="text1" w:themeTint="FF" w:themeShade="FF"/>
          <w:sz w:val="24"/>
          <w:szCs w:val="24"/>
        </w:rPr>
        <w:t>SWV policy</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include</w:t>
      </w:r>
      <w:r w:rsidRPr="7ACD7C2B" w:rsidR="0AECD70C">
        <w:rPr>
          <w:rFonts w:ascii="Aptos" w:hAnsi="Aptos" w:eastAsia="Aptos" w:cs="Aptos" w:asciiTheme="minorAscii" w:hAnsiTheme="minorAscii" w:eastAsiaTheme="minorAscii" w:cstheme="minorAscii"/>
          <w:color w:val="000000" w:themeColor="text1" w:themeTint="FF" w:themeShade="FF"/>
          <w:sz w:val="24"/>
          <w:szCs w:val="24"/>
        </w:rPr>
        <w:t>s</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sponsorship by a licensed operator or farm; a requirement to demonstrate £1,270 in personal savings; a visa fee of £318; permission to work in the UK for up to six months; prohibition on secondary employment; </w:t>
      </w:r>
      <w:r w:rsidRPr="7ACD7C2B" w:rsidR="4A37F226">
        <w:rPr>
          <w:rFonts w:ascii="Aptos" w:hAnsi="Aptos" w:eastAsia="Aptos" w:cs="Aptos" w:asciiTheme="minorAscii" w:hAnsiTheme="minorAscii" w:eastAsiaTheme="minorAscii" w:cstheme="minorAscii"/>
          <w:color w:val="000000" w:themeColor="text1" w:themeTint="FF" w:themeShade="FF"/>
          <w:sz w:val="24"/>
          <w:szCs w:val="24"/>
        </w:rPr>
        <w:t xml:space="preserve">but </w:t>
      </w:r>
      <w:r w:rsidRPr="7ACD7C2B" w:rsidR="6D961521">
        <w:rPr>
          <w:rFonts w:ascii="Aptos" w:hAnsi="Aptos" w:eastAsia="Aptos" w:cs="Aptos" w:asciiTheme="minorAscii" w:hAnsiTheme="minorAscii" w:eastAsiaTheme="minorAscii" w:cstheme="minorAscii"/>
          <w:color w:val="000000" w:themeColor="text1" w:themeTint="FF" w:themeShade="FF"/>
          <w:sz w:val="24"/>
          <w:szCs w:val="24"/>
        </w:rPr>
        <w:t xml:space="preserve">there are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no access to public funds; and no right to bring dependants (Home Office, 2026a).</w:t>
      </w:r>
      <w:r w:rsidRPr="7ACD7C2B" w:rsidR="76F230D1">
        <w:rPr>
          <w:rFonts w:ascii="Aptos" w:hAnsi="Aptos" w:eastAsia="Aptos" w:cs="Aptos" w:asciiTheme="minorAscii" w:hAnsiTheme="minorAscii" w:eastAsiaTheme="minorAscii" w:cstheme="minorAscii"/>
          <w:i w:val="1"/>
          <w:iCs w:val="1"/>
          <w:color w:val="000000" w:themeColor="text1" w:themeTint="FF" w:themeShade="FF"/>
          <w:sz w:val="24"/>
          <w:szCs w:val="24"/>
        </w:rPr>
        <w:t xml:space="preserve">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These conditions </w:t>
      </w:r>
      <w:r w:rsidRPr="7ACD7C2B" w:rsidR="76F230D1">
        <w:rPr>
          <w:rFonts w:ascii="Aptos" w:hAnsi="Aptos" w:eastAsia="Aptos" w:cs="Aptos" w:asciiTheme="minorAscii" w:hAnsiTheme="minorAscii" w:eastAsiaTheme="minorAscii" w:cstheme="minorAscii"/>
          <w:color w:val="000000" w:themeColor="text1" w:themeTint="FF" w:themeShade="FF"/>
          <w:sz w:val="24"/>
          <w:szCs w:val="24"/>
          <w:u w:val="none"/>
        </w:rPr>
        <w:t>introduce</w:t>
      </w:r>
      <w:r w:rsidRPr="7ACD7C2B" w:rsidR="76F230D1">
        <w:rPr>
          <w:rFonts w:ascii="Aptos" w:hAnsi="Aptos" w:eastAsia="Aptos" w:cs="Aptos" w:asciiTheme="minorAscii" w:hAnsiTheme="minorAscii" w:eastAsiaTheme="minorAscii" w:cstheme="minorAscii"/>
          <w:i w:val="1"/>
          <w:iCs w:val="1"/>
          <w:color w:val="000000" w:themeColor="text1" w:themeTint="FF" w:themeShade="FF"/>
          <w:sz w:val="24"/>
          <w:szCs w:val="24"/>
          <w:u w:val="none"/>
        </w:rPr>
        <w:t xml:space="preserve"> </w:t>
      </w:r>
      <w:r w:rsidRPr="7ACD7C2B" w:rsidR="76F230D1">
        <w:rPr>
          <w:rFonts w:ascii="Aptos" w:hAnsi="Aptos" w:eastAsia="Aptos" w:cs="Aptos" w:asciiTheme="minorAscii" w:hAnsiTheme="minorAscii" w:eastAsiaTheme="minorAscii" w:cstheme="minorAscii"/>
          <w:color w:val="000000" w:themeColor="text1" w:themeTint="FF" w:themeShade="FF"/>
          <w:sz w:val="24"/>
          <w:szCs w:val="24"/>
          <w:u w:val="none"/>
        </w:rPr>
        <w:t xml:space="preserve">significant </w:t>
      </w:r>
      <w:r w:rsidRPr="7ACD7C2B" w:rsidR="76F230D1">
        <w:rPr>
          <w:rFonts w:ascii="Aptos" w:hAnsi="Aptos" w:eastAsia="Aptos" w:cs="Aptos" w:asciiTheme="minorAscii" w:hAnsiTheme="minorAscii" w:eastAsiaTheme="minorAscii" w:cstheme="minorAscii"/>
          <w:color w:val="000000" w:themeColor="text1" w:themeTint="FF" w:themeShade="FF"/>
          <w:sz w:val="24"/>
          <w:szCs w:val="24"/>
          <w:u w:val="none"/>
        </w:rPr>
        <w:t>restrictions</w:t>
      </w:r>
      <w:r w:rsidRPr="7ACD7C2B" w:rsidR="76F230D1">
        <w:rPr>
          <w:rFonts w:ascii="Aptos" w:hAnsi="Aptos" w:eastAsia="Aptos" w:cs="Aptos" w:asciiTheme="minorAscii" w:hAnsiTheme="minorAscii" w:eastAsiaTheme="minorAscii" w:cstheme="minorAscii"/>
          <w:i w:val="1"/>
          <w:iCs w:val="1"/>
          <w:color w:val="000000" w:themeColor="text1" w:themeTint="FF" w:themeShade="FF"/>
          <w:sz w:val="24"/>
          <w:szCs w:val="24"/>
          <w:u w:val="none"/>
        </w:rPr>
        <w:t xml:space="preserve">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on both economic mobility and social integration for migrant workers, reinforcing the temporary and conditional nature of migrant labour in the agri-food sector (Anderson, 2010; Goodfellow, 2019).</w:t>
      </w:r>
    </w:p>
    <w:p xmlns:wp14="http://schemas.microsoft.com/office/word/2010/wordml" w:rsidP="714B8EC8" wp14:paraId="32E5410B" wp14:textId="72AA7C44">
      <w:pPr>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u w:val="single"/>
        </w:rPr>
      </w:pPr>
      <w:r w:rsidRPr="714B8EC8"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p>
    <w:p xmlns:wp14="http://schemas.microsoft.com/office/word/2010/wordml" w:rsidP="714B8EC8" wp14:paraId="2D54A099" wp14:textId="5A9C7C7E">
      <w:pPr>
        <w:pStyle w:val="Normal"/>
        <w:rPr>
          <w:rFonts w:ascii="Aptos" w:hAnsi="Aptos" w:eastAsia="Aptos" w:cs="Aptos" w:asciiTheme="minorAscii" w:hAnsiTheme="minorAscii" w:eastAsiaTheme="minorAscii" w:cstheme="minorAscii"/>
          <w:b w:val="0"/>
          <w:bCs w:val="0"/>
          <w:strike w:val="0"/>
          <w:dstrike w:val="0"/>
          <w:color w:val="000000" w:themeColor="text1" w:themeTint="FF" w:themeShade="FF"/>
          <w:sz w:val="24"/>
          <w:szCs w:val="24"/>
          <w:u w:val="single"/>
        </w:rPr>
      </w:pPr>
      <w:r w:rsidRPr="714B8EC8" w:rsidR="76F230D1">
        <w:rPr>
          <w:u w:val="single"/>
        </w:rPr>
        <w:t>Brexit and Structural Change</w:t>
      </w:r>
    </w:p>
    <w:p xmlns:wp14="http://schemas.microsoft.com/office/word/2010/wordml" w:rsidP="714B8EC8" wp14:paraId="4E2C71B2" wp14:textId="76E5E55C">
      <w:pPr>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r w:rsidRPr="7ACD7C2B" w:rsidR="76F230D1">
        <w:rPr>
          <w:rFonts w:ascii="Aptos" w:hAnsi="Aptos" w:eastAsia="Aptos" w:cs="Aptos" w:asciiTheme="minorAscii" w:hAnsiTheme="minorAscii" w:eastAsiaTheme="minorAscii" w:cstheme="minorAscii"/>
          <w:color w:val="000000" w:themeColor="text1" w:themeTint="FF" w:themeShade="FF"/>
          <w:sz w:val="24"/>
          <w:szCs w:val="24"/>
        </w:rPr>
        <w:t>Brexit marked the end of EU free movement and introduced significant structural changes affecting migrant workers (Home Office, 2025). Prior to 2016, EU workers could leave seasonal employment if dissatisfied with conditions or exit the sector altogether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Mantouvalou</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2023). The introduction of the SWP in 2019 replaced this flexibility with temporary, employer-sponsored contracts (Home Office, 2024; 2025). The labour rights organisation Focus on Labour Exploitation (FLEX) raised concerns that the new policy framework increased structural risks for seasonal workers, particularly through visa-dependence on employers (FLEX, 2021). These concerns were amplified by the rapid expansion of the scheme: 2,500 visas were issued in 2019, rising to 10,000 in 2020 and</w:t>
      </w:r>
      <w:r w:rsidRPr="7ACD7C2B" w:rsidR="7FEBA862">
        <w:rPr>
          <w:rFonts w:ascii="Aptos" w:hAnsi="Aptos" w:eastAsia="Aptos" w:cs="Aptos" w:asciiTheme="minorAscii" w:hAnsiTheme="minorAscii" w:eastAsiaTheme="minorAscii" w:cstheme="minorAscii"/>
          <w:color w:val="000000" w:themeColor="text1" w:themeTint="FF" w:themeShade="FF"/>
          <w:sz w:val="24"/>
          <w:szCs w:val="24"/>
        </w:rPr>
        <w:t xml:space="preserve"> </w:t>
      </w:r>
      <w:r w:rsidRPr="7ACD7C2B" w:rsidR="7D570D49">
        <w:rPr>
          <w:rFonts w:ascii="Aptos" w:hAnsi="Aptos" w:eastAsia="Aptos" w:cs="Aptos" w:asciiTheme="minorAscii" w:hAnsiTheme="minorAscii" w:eastAsiaTheme="minorAscii" w:cstheme="minorAscii"/>
          <w:color w:val="000000" w:themeColor="text1" w:themeTint="FF" w:themeShade="FF"/>
          <w:sz w:val="24"/>
          <w:szCs w:val="24"/>
        </w:rPr>
        <w:t xml:space="preserve">is </w:t>
      </w:r>
      <w:r w:rsidRPr="7ACD7C2B" w:rsidR="7FEBA862">
        <w:rPr>
          <w:rFonts w:ascii="Aptos" w:hAnsi="Aptos" w:eastAsia="Aptos" w:cs="Aptos" w:asciiTheme="minorAscii" w:hAnsiTheme="minorAscii" w:eastAsiaTheme="minorAscii" w:cstheme="minorAscii"/>
          <w:color w:val="000000" w:themeColor="text1" w:themeTint="FF" w:themeShade="FF"/>
          <w:sz w:val="24"/>
          <w:szCs w:val="24"/>
        </w:rPr>
        <w:t>currently</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r w:rsidRPr="7ACD7C2B" w:rsidR="1CE739C7">
        <w:rPr>
          <w:rFonts w:ascii="Aptos" w:hAnsi="Aptos" w:eastAsia="Aptos" w:cs="Aptos" w:asciiTheme="minorAscii" w:hAnsiTheme="minorAscii" w:eastAsiaTheme="minorAscii" w:cstheme="minorAscii"/>
          <w:color w:val="000000" w:themeColor="text1" w:themeTint="FF" w:themeShade="FF"/>
          <w:sz w:val="24"/>
          <w:szCs w:val="24"/>
        </w:rPr>
        <w:t>at</w:t>
      </w:r>
      <w:r w:rsidRPr="7ACD7C2B" w:rsidR="2D798907">
        <w:rPr>
          <w:rFonts w:ascii="Aptos" w:hAnsi="Aptos" w:eastAsia="Aptos" w:cs="Aptos" w:asciiTheme="minorAscii" w:hAnsiTheme="minorAscii" w:eastAsiaTheme="minorAscii" w:cstheme="minorAscii"/>
          <w:color w:val="000000" w:themeColor="text1" w:themeTint="FF" w:themeShade="FF"/>
          <w:sz w:val="24"/>
          <w:szCs w:val="24"/>
        </w:rPr>
        <w:t xml:space="preserve"> around 45,000</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(Home Office, 2024).</w:t>
      </w:r>
    </w:p>
    <w:p xmlns:wp14="http://schemas.microsoft.com/office/word/2010/wordml" w:rsidP="714B8EC8" wp14:paraId="6128D5EA" wp14:textId="0F54648B">
      <w:pPr>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r w:rsidRPr="714B8EC8"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p>
    <w:p xmlns:wp14="http://schemas.microsoft.com/office/word/2010/wordml" w:rsidP="714B8EC8" wp14:paraId="60E44D0B" wp14:textId="4A1C5BB4">
      <w:pPr>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r w:rsidRPr="7ACD7C2B" w:rsidR="76F230D1">
        <w:rPr>
          <w:rFonts w:ascii="Aptos" w:hAnsi="Aptos" w:eastAsia="Aptos" w:cs="Aptos" w:asciiTheme="minorAscii" w:hAnsiTheme="minorAscii" w:eastAsiaTheme="minorAscii" w:cstheme="minorAscii"/>
          <w:color w:val="000000" w:themeColor="text1" w:themeTint="FF" w:themeShade="FF"/>
          <w:sz w:val="24"/>
          <w:szCs w:val="24"/>
        </w:rPr>
        <w:t>Although the Equality Act 2010 protects workers from discrimination in employment (Equality and Human Rights Commission, 2019), the FLEX (2021) report highlighted several risks associated with the SWP, including vulnerability to trafficking and forced labour, employer dependency created by tied visas, lack of wage transparency (including piece-rate systems), and unsafe employer-controlled accommodation. The report warned that the scheme created structural risks that predisposed workers to exploitation ma</w:t>
      </w:r>
      <w:r w:rsidRPr="7ACD7C2B" w:rsidR="3E6E36A9">
        <w:rPr>
          <w:rFonts w:ascii="Aptos" w:hAnsi="Aptos" w:eastAsia="Aptos" w:cs="Aptos" w:asciiTheme="minorAscii" w:hAnsiTheme="minorAscii" w:eastAsiaTheme="minorAscii" w:cstheme="minorAscii"/>
          <w:color w:val="000000" w:themeColor="text1" w:themeTint="FF" w:themeShade="FF"/>
          <w:sz w:val="24"/>
          <w:szCs w:val="24"/>
        </w:rPr>
        <w:t>king</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recommendations including improved access to translation services, clearer grievance procedures, guaranteed income protections, regular welfare reviews, and increased workplace inspections that aimed to counteract gaps that increased workers' vulnerability.</w:t>
      </w:r>
    </w:p>
    <w:p xmlns:wp14="http://schemas.microsoft.com/office/word/2010/wordml" w:rsidP="714B8EC8" wp14:paraId="5EB36356" wp14:textId="1A51684C">
      <w:pPr>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r w:rsidRPr="714B8EC8"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p>
    <w:p xmlns:wp14="http://schemas.microsoft.com/office/word/2010/wordml" w:rsidP="7ACD7C2B" wp14:paraId="2E579500" wp14:textId="01523046">
      <w:pPr>
        <w:spacing w:before="0" w:beforeAutospacing="off" w:after="0" w:afterAutospacing="off" w:line="360" w:lineRule="auto"/>
        <w:rPr>
          <w:rFonts w:ascii="Aptos" w:hAnsi="Aptos" w:eastAsia="Aptos" w:cs="Aptos" w:asciiTheme="minorAscii" w:hAnsiTheme="minorAscii" w:eastAsiaTheme="minorAscii" w:cstheme="minorAscii"/>
          <w:i w:val="1"/>
          <w:iCs w:val="1"/>
          <w:color w:val="000000" w:themeColor="text1" w:themeTint="FF" w:themeShade="FF"/>
          <w:sz w:val="24"/>
          <w:szCs w:val="24"/>
        </w:rPr>
      </w:pP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Critics argue that the SWP/SWV operates primarily to meet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employer</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and market demands while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maintaining</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tight control over migrant labour (Davies, 2018; Dodds, 2025; Mellino,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Pangeni</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and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Boutaud</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2023; Mellino and Chapman, 2023)</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r w:rsidRPr="7ACD7C2B" w:rsidR="10D9B8D3">
        <w:rPr>
          <w:rFonts w:ascii="Aptos" w:hAnsi="Aptos" w:eastAsia="Aptos" w:cs="Aptos" w:asciiTheme="minorAscii" w:hAnsiTheme="minorAscii" w:eastAsiaTheme="minorAscii" w:cstheme="minorAscii"/>
          <w:color w:val="000000" w:themeColor="text1" w:themeTint="FF" w:themeShade="FF"/>
          <w:sz w:val="24"/>
          <w:szCs w:val="24"/>
        </w:rPr>
        <w:t xml:space="preserve">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Palumbo (2024) describes the 'situational vulnerability' of seasonal migrant workers, emphasising how limited rights, rural isolation, restricted access to family and public funds, and dependence on a single employer heighten exploitation risks. Whilst visa conditions themselves may be lawful, actions reported </w:t>
      </w:r>
      <w:r w:rsidRPr="7ACD7C2B" w:rsidR="44BF23C5">
        <w:rPr>
          <w:rFonts w:ascii="Aptos" w:hAnsi="Aptos" w:eastAsia="Aptos" w:cs="Aptos" w:asciiTheme="minorAscii" w:hAnsiTheme="minorAscii" w:eastAsiaTheme="minorAscii" w:cstheme="minorAscii"/>
          <w:color w:val="000000" w:themeColor="text1" w:themeTint="FF" w:themeShade="FF"/>
          <w:sz w:val="24"/>
          <w:szCs w:val="24"/>
        </w:rPr>
        <w:t>by independent reports such as FLEX (2021)</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contradict the Equality Act, 2010 (Equality and Human Rights Commission, 2019)</w:t>
      </w:r>
      <w:r w:rsidRPr="7ACD7C2B" w:rsidR="22DA8065">
        <w:rPr>
          <w:rFonts w:ascii="Aptos" w:hAnsi="Aptos" w:eastAsia="Aptos" w:cs="Aptos" w:asciiTheme="minorAscii" w:hAnsiTheme="minorAscii" w:eastAsiaTheme="minorAscii" w:cstheme="minorAscii"/>
          <w:color w:val="000000" w:themeColor="text1" w:themeTint="FF" w:themeShade="FF"/>
          <w:sz w:val="24"/>
          <w:szCs w:val="24"/>
        </w:rPr>
        <w:t>. C</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ritics </w:t>
      </w:r>
      <w:r w:rsidRPr="7ACD7C2B" w:rsidR="7FB9863B">
        <w:rPr>
          <w:rFonts w:ascii="Aptos" w:hAnsi="Aptos" w:eastAsia="Aptos" w:cs="Aptos" w:asciiTheme="minorAscii" w:hAnsiTheme="minorAscii" w:eastAsiaTheme="minorAscii" w:cstheme="minorAscii"/>
          <w:color w:val="000000" w:themeColor="text1" w:themeTint="FF" w:themeShade="FF"/>
          <w:sz w:val="24"/>
          <w:szCs w:val="24"/>
        </w:rPr>
        <w:t xml:space="preserve">further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claim that the </w:t>
      </w:r>
      <w:r w:rsidRPr="7ACD7C2B" w:rsidR="1A3F9A88">
        <w:rPr>
          <w:rFonts w:ascii="Aptos" w:hAnsi="Aptos" w:eastAsia="Aptos" w:cs="Aptos" w:asciiTheme="minorAscii" w:hAnsiTheme="minorAscii" w:eastAsiaTheme="minorAscii" w:cstheme="minorAscii"/>
          <w:color w:val="000000" w:themeColor="text1" w:themeTint="FF" w:themeShade="FF"/>
          <w:sz w:val="24"/>
          <w:szCs w:val="24"/>
        </w:rPr>
        <w:t>structure that the policy exists in</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is detrimental to migrant workers,</w:t>
      </w:r>
      <w:r w:rsidRPr="7ACD7C2B" w:rsidR="4C428659">
        <w:rPr>
          <w:rFonts w:ascii="Aptos" w:hAnsi="Aptos" w:eastAsia="Aptos" w:cs="Aptos" w:asciiTheme="minorAscii" w:hAnsiTheme="minorAscii" w:eastAsiaTheme="minorAscii" w:cstheme="minorAscii"/>
          <w:color w:val="000000" w:themeColor="text1" w:themeTint="FF" w:themeShade="FF"/>
          <w:sz w:val="24"/>
          <w:szCs w:val="24"/>
        </w:rPr>
        <w:t xml:space="preserve"> socially and politically</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r w:rsidRPr="7ACD7C2B" w:rsidR="5629036C">
        <w:rPr>
          <w:rFonts w:ascii="Aptos" w:hAnsi="Aptos" w:eastAsia="Aptos" w:cs="Aptos" w:asciiTheme="minorAscii" w:hAnsiTheme="minorAscii" w:eastAsiaTheme="minorAscii" w:cstheme="minorAscii"/>
          <w:color w:val="000000" w:themeColor="text1" w:themeTint="FF" w:themeShade="FF"/>
          <w:sz w:val="24"/>
          <w:szCs w:val="24"/>
        </w:rPr>
        <w:t xml:space="preserve">creating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exclu</w:t>
      </w:r>
      <w:r w:rsidRPr="7ACD7C2B" w:rsidR="26F58364">
        <w:rPr>
          <w:rFonts w:ascii="Aptos" w:hAnsi="Aptos" w:eastAsia="Aptos" w:cs="Aptos" w:asciiTheme="minorAscii" w:hAnsiTheme="minorAscii" w:eastAsiaTheme="minorAscii" w:cstheme="minorAscii"/>
          <w:color w:val="000000" w:themeColor="text1" w:themeTint="FF" w:themeShade="FF"/>
          <w:sz w:val="24"/>
          <w:szCs w:val="24"/>
        </w:rPr>
        <w:t>sion</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r w:rsidRPr="7ACD7C2B" w:rsidR="600F3694">
        <w:rPr>
          <w:rFonts w:ascii="Aptos" w:hAnsi="Aptos" w:eastAsia="Aptos" w:cs="Aptos" w:asciiTheme="minorAscii" w:hAnsiTheme="minorAscii" w:eastAsiaTheme="minorAscii" w:cstheme="minorAscii"/>
          <w:color w:val="000000" w:themeColor="text1" w:themeTint="FF" w:themeShade="FF"/>
          <w:sz w:val="24"/>
          <w:szCs w:val="24"/>
        </w:rPr>
        <w:t>due to</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their status</w:t>
      </w:r>
      <w:r w:rsidRPr="7ACD7C2B" w:rsidR="67BC9286">
        <w:rPr>
          <w:rFonts w:ascii="Aptos" w:hAnsi="Aptos" w:eastAsia="Aptos" w:cs="Aptos" w:asciiTheme="minorAscii" w:hAnsiTheme="minorAscii" w:eastAsiaTheme="minorAscii" w:cstheme="minorAscii"/>
          <w:color w:val="000000" w:themeColor="text1" w:themeTint="FF" w:themeShade="FF"/>
          <w:sz w:val="24"/>
          <w:szCs w:val="24"/>
        </w:rPr>
        <w:t>,</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nationality</w:t>
      </w:r>
      <w:r w:rsidRPr="7ACD7C2B" w:rsidR="4C61AAC8">
        <w:rPr>
          <w:rFonts w:ascii="Aptos" w:hAnsi="Aptos" w:eastAsia="Aptos" w:cs="Aptos" w:asciiTheme="minorAscii" w:hAnsiTheme="minorAscii" w:eastAsiaTheme="minorAscii" w:cstheme="minorAscii"/>
          <w:color w:val="000000" w:themeColor="text1" w:themeTint="FF" w:themeShade="FF"/>
          <w:sz w:val="24"/>
          <w:szCs w:val="24"/>
        </w:rPr>
        <w:t xml:space="preserve"> and</w:t>
      </w:r>
      <w:r w:rsidRPr="7ACD7C2B" w:rsidR="39AFE588">
        <w:rPr>
          <w:rFonts w:ascii="Aptos" w:hAnsi="Aptos" w:eastAsia="Aptos" w:cs="Aptos" w:asciiTheme="minorAscii" w:hAnsiTheme="minorAscii" w:eastAsiaTheme="minorAscii" w:cstheme="minorAscii"/>
          <w:color w:val="000000" w:themeColor="text1" w:themeTint="FF" w:themeShade="FF"/>
          <w:sz w:val="24"/>
          <w:szCs w:val="24"/>
        </w:rPr>
        <w:t xml:space="preserve"> </w:t>
      </w:r>
      <w:r w:rsidRPr="7ACD7C2B" w:rsidR="23DABC83">
        <w:rPr>
          <w:rFonts w:ascii="Aptos" w:hAnsi="Aptos" w:eastAsia="Aptos" w:cs="Aptos" w:asciiTheme="minorAscii" w:hAnsiTheme="minorAscii" w:eastAsiaTheme="minorAscii" w:cstheme="minorAscii"/>
          <w:color w:val="000000" w:themeColor="text1" w:themeTint="FF" w:themeShade="FF"/>
          <w:sz w:val="24"/>
          <w:szCs w:val="24"/>
        </w:rPr>
        <w:t xml:space="preserve">social </w:t>
      </w:r>
      <w:r w:rsidRPr="7ACD7C2B" w:rsidR="4E7054BD">
        <w:rPr>
          <w:rFonts w:ascii="Aptos" w:hAnsi="Aptos" w:eastAsia="Aptos" w:cs="Aptos" w:asciiTheme="minorAscii" w:hAnsiTheme="minorAscii" w:eastAsiaTheme="minorAscii" w:cstheme="minorAscii"/>
          <w:color w:val="000000" w:themeColor="text1" w:themeTint="FF" w:themeShade="FF"/>
          <w:sz w:val="24"/>
          <w:szCs w:val="24"/>
        </w:rPr>
        <w:t>position</w:t>
      </w:r>
      <w:r w:rsidRPr="7ACD7C2B" w:rsidR="282385AD">
        <w:rPr>
          <w:rFonts w:ascii="Aptos" w:hAnsi="Aptos" w:eastAsia="Aptos" w:cs="Aptos" w:asciiTheme="minorAscii" w:hAnsiTheme="minorAscii" w:eastAsiaTheme="minorAscii" w:cstheme="minorAscii"/>
          <w:color w:val="000000" w:themeColor="text1" w:themeTint="FF" w:themeShade="FF"/>
          <w:sz w:val="24"/>
          <w:szCs w:val="24"/>
        </w:rPr>
        <w:t>ing</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(Milbourne and Coulson, 2021</w:t>
      </w:r>
      <w:r w:rsidRPr="7ACD7C2B" w:rsidR="1BC4E0FD">
        <w:rPr>
          <w:rFonts w:ascii="Aptos" w:hAnsi="Aptos" w:eastAsia="Aptos" w:cs="Aptos" w:asciiTheme="minorAscii" w:hAnsiTheme="minorAscii" w:eastAsiaTheme="minorAscii" w:cstheme="minorAscii"/>
          <w:color w:val="000000" w:themeColor="text1" w:themeTint="FF" w:themeShade="FF"/>
          <w:sz w:val="24"/>
          <w:szCs w:val="24"/>
        </w:rPr>
        <w:t>; Palumbo, 2024</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w:t>
      </w:r>
      <w:r w:rsidRPr="7ACD7C2B" w:rsidR="76F230D1">
        <w:rPr>
          <w:rFonts w:ascii="Aptos" w:hAnsi="Aptos" w:eastAsia="Aptos" w:cs="Aptos" w:asciiTheme="minorAscii" w:hAnsiTheme="minorAscii" w:eastAsiaTheme="minorAscii" w:cstheme="minorAscii"/>
          <w:i w:val="1"/>
          <w:iCs w:val="1"/>
          <w:color w:val="000000" w:themeColor="text1" w:themeTint="FF" w:themeShade="FF"/>
          <w:sz w:val="24"/>
          <w:szCs w:val="24"/>
        </w:rPr>
        <w:t xml:space="preserve"> </w:t>
      </w:r>
    </w:p>
    <w:p xmlns:wp14="http://schemas.microsoft.com/office/word/2010/wordml" w:rsidP="714B8EC8" wp14:paraId="611422E7" wp14:textId="05B915E5">
      <w:pPr>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r w:rsidRPr="714B8EC8"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p>
    <w:p xmlns:wp14="http://schemas.microsoft.com/office/word/2010/wordml" w:rsidP="714B8EC8" wp14:paraId="6BA85FEA" wp14:textId="2D9C670F">
      <w:pPr>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r w:rsidRPr="7ACD7C2B" w:rsidR="76F230D1">
        <w:rPr>
          <w:rFonts w:ascii="Aptos" w:hAnsi="Aptos" w:eastAsia="Aptos" w:cs="Aptos" w:asciiTheme="minorAscii" w:hAnsiTheme="minorAscii" w:eastAsiaTheme="minorAscii" w:cstheme="minorAscii"/>
          <w:color w:val="000000" w:themeColor="text1" w:themeTint="FF" w:themeShade="FF"/>
          <w:sz w:val="24"/>
          <w:szCs w:val="24"/>
        </w:rPr>
        <w:t>Anderson (2010) similarly argues that precarious employment structures generate vulnerability. The end of free movement and the tying of visas to employers have intensified t</w:t>
      </w:r>
      <w:r w:rsidRPr="7ACD7C2B" w:rsidR="4C15A353">
        <w:rPr>
          <w:rFonts w:ascii="Aptos" w:hAnsi="Aptos" w:eastAsia="Aptos" w:cs="Aptos" w:asciiTheme="minorAscii" w:hAnsiTheme="minorAscii" w:eastAsiaTheme="minorAscii" w:cstheme="minorAscii"/>
          <w:color w:val="000000" w:themeColor="text1" w:themeTint="FF" w:themeShade="FF"/>
          <w:sz w:val="24"/>
          <w:szCs w:val="24"/>
        </w:rPr>
        <w:t>he</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precarity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an</w:t>
      </w:r>
      <w:r w:rsidRPr="7ACD7C2B" w:rsidR="76F230D1">
        <w:rPr>
          <w:rFonts w:ascii="Aptos" w:hAnsi="Aptos" w:eastAsia="Aptos" w:cs="Aptos" w:asciiTheme="minorAscii" w:hAnsiTheme="minorAscii" w:eastAsiaTheme="minorAscii" w:cstheme="minorAscii"/>
          <w:color w:val="000000" w:themeColor="text1" w:themeTint="FF" w:themeShade="FF"/>
          <w:sz w:val="24"/>
          <w:szCs w:val="24"/>
          <w:u w:val="none"/>
        </w:rPr>
        <w:t xml:space="preserve">d </w:t>
      </w:r>
      <w:r w:rsidRPr="7ACD7C2B" w:rsidR="76F230D1">
        <w:rPr>
          <w:rFonts w:ascii="Aptos" w:hAnsi="Aptos" w:eastAsia="Aptos" w:cs="Aptos" w:asciiTheme="minorAscii" w:hAnsiTheme="minorAscii" w:eastAsiaTheme="minorAscii" w:cstheme="minorAscii"/>
          <w:color w:val="000000" w:themeColor="text1" w:themeTint="FF" w:themeShade="FF"/>
          <w:sz w:val="24"/>
          <w:szCs w:val="24"/>
          <w:u w:val="none"/>
        </w:rPr>
        <w:t>vulnerability</w:t>
      </w:r>
      <w:r w:rsidRPr="7ACD7C2B" w:rsidR="76F230D1">
        <w:rPr>
          <w:rFonts w:ascii="Aptos" w:hAnsi="Aptos" w:eastAsia="Aptos" w:cs="Aptos" w:asciiTheme="minorAscii" w:hAnsiTheme="minorAscii" w:eastAsiaTheme="minorAscii" w:cstheme="minorAscii"/>
          <w:color w:val="000000" w:themeColor="text1" w:themeTint="FF" w:themeShade="FF"/>
          <w:sz w:val="24"/>
          <w:szCs w:val="24"/>
          <w:u w:val="none"/>
        </w:rPr>
        <w:t xml:space="preserve"> of</w:t>
      </w:r>
      <w:r w:rsidRPr="7ACD7C2B" w:rsidR="76F230D1">
        <w:rPr>
          <w:rFonts w:ascii="Aptos" w:hAnsi="Aptos" w:eastAsia="Aptos" w:cs="Aptos" w:asciiTheme="minorAscii" w:hAnsiTheme="minorAscii" w:eastAsiaTheme="minorAscii" w:cstheme="minorAscii"/>
          <w:i w:val="1"/>
          <w:iCs w:val="1"/>
          <w:color w:val="000000" w:themeColor="text1" w:themeTint="FF" w:themeShade="FF"/>
          <w:sz w:val="24"/>
          <w:szCs w:val="24"/>
          <w:u w:val="none"/>
        </w:rPr>
        <w:t xml:space="preserve">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migrant workers (FLEX, 2021; Potter and Hamilton, 2014; Lever and Milbourne, 2016). Post-Brexit</w:t>
      </w:r>
      <w:r w:rsidRPr="7ACD7C2B" w:rsidR="4EF90C10">
        <w:rPr>
          <w:rFonts w:ascii="Aptos" w:hAnsi="Aptos" w:eastAsia="Aptos" w:cs="Aptos" w:asciiTheme="minorAscii" w:hAnsiTheme="minorAscii" w:eastAsiaTheme="minorAscii" w:cstheme="minorAscii"/>
          <w:color w:val="000000" w:themeColor="text1" w:themeTint="FF" w:themeShade="FF"/>
          <w:sz w:val="24"/>
          <w:szCs w:val="24"/>
        </w:rPr>
        <w:t>,</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political and public discourse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frequently</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framed withdrawal from the EU as a means of 'taking back control' of borders (Heffernan et al., 2016; Goodfellow, 2019). However, the simultaneous expansion of the SWP/SWV suggests a contradiction: while public rhetoric emphasised the need for migration control, agricultural production </w:t>
      </w:r>
      <w:r w:rsidRPr="7ACD7C2B" w:rsidR="57D1E185">
        <w:rPr>
          <w:rFonts w:ascii="Aptos" w:hAnsi="Aptos" w:eastAsia="Aptos" w:cs="Aptos" w:asciiTheme="minorAscii" w:hAnsiTheme="minorAscii" w:eastAsiaTheme="minorAscii" w:cstheme="minorAscii"/>
          <w:color w:val="000000" w:themeColor="text1" w:themeTint="FF" w:themeShade="FF"/>
          <w:sz w:val="24"/>
          <w:szCs w:val="24"/>
        </w:rPr>
        <w:t>visibly</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increas</w:t>
      </w:r>
      <w:r w:rsidRPr="7ACD7C2B" w:rsidR="1C615A42">
        <w:rPr>
          <w:rFonts w:ascii="Aptos" w:hAnsi="Aptos" w:eastAsia="Aptos" w:cs="Aptos" w:asciiTheme="minorAscii" w:hAnsiTheme="minorAscii" w:eastAsiaTheme="minorAscii" w:cstheme="minorAscii"/>
          <w:color w:val="000000" w:themeColor="text1" w:themeTint="FF" w:themeShade="FF"/>
          <w:sz w:val="24"/>
          <w:szCs w:val="24"/>
        </w:rPr>
        <w:t>ed</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dependen</w:t>
      </w:r>
      <w:r w:rsidRPr="7ACD7C2B" w:rsidR="75C12758">
        <w:rPr>
          <w:rFonts w:ascii="Aptos" w:hAnsi="Aptos" w:eastAsia="Aptos" w:cs="Aptos" w:asciiTheme="minorAscii" w:hAnsiTheme="minorAscii" w:eastAsiaTheme="minorAscii" w:cstheme="minorAscii"/>
          <w:color w:val="000000" w:themeColor="text1" w:themeTint="FF" w:themeShade="FF"/>
          <w:sz w:val="24"/>
          <w:szCs w:val="24"/>
        </w:rPr>
        <w:t>cy</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on managed temporary migration. This supports the argument that immigration controls do not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eliminate</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reliance on migrant labour but instead restructure</w:t>
      </w:r>
      <w:r w:rsidRPr="7ACD7C2B" w:rsidR="2C3DF6CA">
        <w:rPr>
          <w:rFonts w:ascii="Aptos" w:hAnsi="Aptos" w:eastAsia="Aptos" w:cs="Aptos" w:asciiTheme="minorAscii" w:hAnsiTheme="minorAscii" w:eastAsiaTheme="minorAscii" w:cstheme="minorAscii"/>
          <w:color w:val="000000" w:themeColor="text1" w:themeTint="FF" w:themeShade="FF"/>
          <w:sz w:val="24"/>
          <w:szCs w:val="24"/>
        </w:rPr>
        <w:t>s</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it into more precarious forms (Anderson, 2010; Clutterbuck, 2017).</w:t>
      </w:r>
    </w:p>
    <w:p xmlns:wp14="http://schemas.microsoft.com/office/word/2010/wordml" w:rsidP="714B8EC8" wp14:paraId="22143447" wp14:textId="1C2443B7">
      <w:pPr>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u w:val="single"/>
        </w:rPr>
      </w:pPr>
      <w:r w:rsidRPr="714B8EC8"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p>
    <w:p xmlns:wp14="http://schemas.microsoft.com/office/word/2010/wordml" w:rsidP="714B8EC8" wp14:paraId="6984CF39" wp14:textId="50DD81A0">
      <w:pPr>
        <w:pStyle w:val="Normal"/>
        <w:rPr>
          <w:rFonts w:ascii="Aptos" w:hAnsi="Aptos" w:eastAsia="Aptos" w:cs="Aptos" w:asciiTheme="minorAscii" w:hAnsiTheme="minorAscii" w:eastAsiaTheme="minorAscii" w:cstheme="minorAscii"/>
          <w:b w:val="0"/>
          <w:bCs w:val="0"/>
          <w:strike w:val="0"/>
          <w:dstrike w:val="0"/>
          <w:color w:val="000000" w:themeColor="text1" w:themeTint="FF" w:themeShade="FF"/>
          <w:sz w:val="24"/>
          <w:szCs w:val="24"/>
          <w:u w:val="single"/>
        </w:rPr>
      </w:pPr>
      <w:r w:rsidRPr="714B8EC8" w:rsidR="76F230D1">
        <w:rPr>
          <w:u w:val="single"/>
        </w:rPr>
        <w:t>COVID-19 and Policy Response</w:t>
      </w:r>
    </w:p>
    <w:p xmlns:wp14="http://schemas.microsoft.com/office/word/2010/wordml" w:rsidP="714B8EC8" wp14:paraId="7F8B0AA0" wp14:textId="39588F5A">
      <w:pPr>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Concerns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regarding</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the rapid expansion of the scheme and limited infrastructure planning were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submitted</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to the House of Lords Horticultural Sector Committee by FLEX (UK Parliament Committee, 2023). Despite ongoing warnings, expansion of the scheme </w:t>
      </w:r>
      <w:r w:rsidRPr="7ACD7C2B" w:rsidR="00A4AE41">
        <w:rPr>
          <w:rFonts w:ascii="Aptos" w:hAnsi="Aptos" w:eastAsia="Aptos" w:cs="Aptos" w:asciiTheme="minorAscii" w:hAnsiTheme="minorAscii" w:eastAsiaTheme="minorAscii" w:cstheme="minorAscii"/>
          <w:color w:val="000000" w:themeColor="text1" w:themeTint="FF" w:themeShade="FF"/>
          <w:sz w:val="24"/>
          <w:szCs w:val="24"/>
        </w:rPr>
        <w:t>did</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not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substantially address</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underlying vulnerabilities</w:t>
      </w:r>
      <w:r w:rsidRPr="7ACD7C2B" w:rsidR="5B4A4127">
        <w:rPr>
          <w:rFonts w:ascii="Aptos" w:hAnsi="Aptos" w:eastAsia="Aptos" w:cs="Aptos" w:asciiTheme="minorAscii" w:hAnsiTheme="minorAscii" w:eastAsiaTheme="minorAscii" w:cstheme="minorAscii"/>
          <w:color w:val="000000" w:themeColor="text1" w:themeTint="FF" w:themeShade="FF"/>
          <w:sz w:val="24"/>
          <w:szCs w:val="24"/>
        </w:rPr>
        <w:t xml:space="preserve"> despite opportunities to do so</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r w:rsidRPr="7ACD7C2B" w:rsidR="4D795A5C">
        <w:rPr>
          <w:rFonts w:ascii="Aptos" w:hAnsi="Aptos" w:eastAsia="Aptos" w:cs="Aptos" w:asciiTheme="minorAscii" w:hAnsiTheme="minorAscii" w:eastAsiaTheme="minorAscii" w:cstheme="minorAscii"/>
          <w:color w:val="000000" w:themeColor="text1" w:themeTint="FF" w:themeShade="FF"/>
          <w:sz w:val="24"/>
          <w:szCs w:val="24"/>
        </w:rPr>
        <w:t>during</w:t>
      </w:r>
      <w:r w:rsidRPr="7ACD7C2B" w:rsidR="2FCA4A2E">
        <w:rPr>
          <w:rFonts w:ascii="Aptos" w:hAnsi="Aptos" w:eastAsia="Aptos" w:cs="Aptos" w:asciiTheme="minorAscii" w:hAnsiTheme="minorAscii" w:eastAsiaTheme="minorAscii" w:cstheme="minorAscii"/>
          <w:color w:val="000000" w:themeColor="text1" w:themeTint="FF" w:themeShade="FF"/>
          <w:sz w:val="24"/>
          <w:szCs w:val="24"/>
        </w:rPr>
        <w:t xml:space="preserve"> </w:t>
      </w:r>
      <w:r w:rsidRPr="7ACD7C2B" w:rsidR="2FCA4A2E">
        <w:rPr>
          <w:rFonts w:ascii="Aptos" w:hAnsi="Aptos" w:eastAsia="Aptos" w:cs="Aptos" w:asciiTheme="minorAscii" w:hAnsiTheme="minorAscii" w:eastAsiaTheme="minorAscii" w:cstheme="minorAscii"/>
          <w:color w:val="000000" w:themeColor="text1" w:themeTint="FF" w:themeShade="FF"/>
          <w:sz w:val="24"/>
          <w:szCs w:val="24"/>
        </w:rPr>
        <w:t xml:space="preserve">the </w:t>
      </w:r>
      <w:r w:rsidRPr="7ACD7C2B" w:rsidR="2FCA4A2E">
        <w:rPr>
          <w:rFonts w:ascii="Aptos" w:hAnsi="Aptos" w:eastAsia="Aptos" w:cs="Aptos" w:asciiTheme="minorAscii" w:hAnsiTheme="minorAscii" w:eastAsiaTheme="minorAscii" w:cstheme="minorAscii"/>
          <w:color w:val="000000" w:themeColor="text1" w:themeTint="FF" w:themeShade="FF"/>
          <w:sz w:val="24"/>
          <w:szCs w:val="24"/>
        </w:rPr>
        <w:t>COVID-19 pandemic and Brexit</w:t>
      </w:r>
      <w:r w:rsidRPr="7ACD7C2B" w:rsidR="2FCA4A2E">
        <w:rPr>
          <w:rFonts w:ascii="Aptos" w:hAnsi="Aptos" w:eastAsia="Aptos" w:cs="Aptos" w:asciiTheme="minorAscii" w:hAnsiTheme="minorAscii" w:eastAsiaTheme="minorAscii" w:cstheme="minorAscii"/>
          <w:color w:val="000000" w:themeColor="text1" w:themeTint="FF" w:themeShade="FF"/>
          <w:sz w:val="24"/>
          <w:szCs w:val="24"/>
        </w:rPr>
        <w:t xml:space="preserve">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(FLEX, 2021; Lindsay, 2025).</w:t>
      </w:r>
    </w:p>
    <w:p xmlns:wp14="http://schemas.microsoft.com/office/word/2010/wordml" w:rsidP="714B8EC8" wp14:paraId="76B331F2" wp14:textId="6628B644">
      <w:pPr>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r w:rsidRPr="714B8EC8"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p>
    <w:p xmlns:wp14="http://schemas.microsoft.com/office/word/2010/wordml" w:rsidP="7ACD7C2B" wp14:paraId="525075A1" wp14:textId="23264B59">
      <w:pPr>
        <w:spacing w:before="0" w:beforeAutospacing="off" w:after="0" w:afterAutospacing="off" w:line="360" w:lineRule="auto"/>
        <w:rPr>
          <w:rFonts w:ascii="Aptos" w:hAnsi="Aptos" w:eastAsia="Aptos" w:cs="Aptos" w:asciiTheme="minorAscii" w:hAnsiTheme="minorAscii" w:eastAsiaTheme="minorAscii" w:cstheme="minorAscii"/>
          <w:i w:val="1"/>
          <w:iCs w:val="1"/>
          <w:color w:val="000000" w:themeColor="text1" w:themeTint="FF" w:themeShade="FF"/>
          <w:sz w:val="24"/>
          <w:szCs w:val="24"/>
          <w:u w:val="none"/>
        </w:rPr>
      </w:pPr>
      <w:r w:rsidRPr="7ACD7C2B" w:rsidR="16C90C04">
        <w:rPr>
          <w:rFonts w:ascii="Aptos" w:hAnsi="Aptos" w:eastAsia="Aptos" w:cs="Aptos" w:asciiTheme="minorAscii" w:hAnsiTheme="minorAscii" w:eastAsiaTheme="minorAscii" w:cstheme="minorAscii"/>
          <w:color w:val="000000" w:themeColor="text1" w:themeTint="FF" w:themeShade="FF"/>
          <w:sz w:val="24"/>
          <w:szCs w:val="24"/>
        </w:rPr>
        <w:t>In response to border restrictions, t</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he government launched the 'Pick for Britain' campaign in 2020</w:t>
      </w:r>
      <w:r w:rsidRPr="7ACD7C2B" w:rsidR="75BD69F0">
        <w:rPr>
          <w:rFonts w:ascii="Aptos" w:hAnsi="Aptos" w:eastAsia="Aptos" w:cs="Aptos" w:asciiTheme="minorAscii" w:hAnsiTheme="minorAscii" w:eastAsiaTheme="minorAscii" w:cstheme="minorAscii"/>
          <w:color w:val="000000" w:themeColor="text1" w:themeTint="FF" w:themeShade="FF"/>
          <w:sz w:val="24"/>
          <w:szCs w:val="24"/>
        </w:rPr>
        <w:t xml:space="preserve"> during COVID-19</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to encourage domestic workers to take up agricultural roles (Farmers Weekly, 2020). Although initial interest was high (approximately 15,000 applications), only a small proportion of applicants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ultimately took</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up positions, and the campaign ended in 2021 (Pro-Force Ltd, 2021; Sandercock, 2021). Some political narratives framed this as a reluctance among British workers to undertake physically demanding work. However, others argue that the underlying issue lies in the structural devaluation of agricultural labour and the governmen</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t</w:t>
      </w:r>
      <w:r w:rsidRPr="7ACD7C2B" w:rsidR="76F230D1">
        <w:rPr>
          <w:rFonts w:ascii="Aptos" w:hAnsi="Aptos" w:eastAsia="Aptos" w:cs="Aptos" w:asciiTheme="minorAscii" w:hAnsiTheme="minorAscii" w:eastAsiaTheme="minorAscii" w:cstheme="minorAscii"/>
          <w:color w:val="000000" w:themeColor="text1" w:themeTint="FF" w:themeShade="FF"/>
          <w:sz w:val="24"/>
          <w:szCs w:val="24"/>
          <w:u w:val="none"/>
        </w:rPr>
        <w:t>'s failure</w:t>
      </w:r>
      <w:r w:rsidRPr="7ACD7C2B" w:rsidR="76F230D1">
        <w:rPr>
          <w:rFonts w:ascii="Aptos" w:hAnsi="Aptos" w:eastAsia="Aptos" w:cs="Aptos" w:asciiTheme="minorAscii" w:hAnsiTheme="minorAscii" w:eastAsiaTheme="minorAscii" w:cstheme="minorAscii"/>
          <w:i w:val="1"/>
          <w:iCs w:val="1"/>
          <w:color w:val="000000" w:themeColor="text1" w:themeTint="FF" w:themeShade="FF"/>
          <w:sz w:val="24"/>
          <w:szCs w:val="24"/>
          <w:u w:val="none"/>
        </w:rPr>
        <w:t xml:space="preserve">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to address poor working conditions (Clutterbuck, 2017;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Mantouvalou</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2023). Milbourne and Coulson (2021)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maintain</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that Brexit and C</w:t>
      </w:r>
      <w:r w:rsidRPr="7ACD7C2B" w:rsidR="1B00D53E">
        <w:rPr>
          <w:rFonts w:ascii="Aptos" w:hAnsi="Aptos" w:eastAsia="Aptos" w:cs="Aptos" w:asciiTheme="minorAscii" w:hAnsiTheme="minorAscii" w:eastAsiaTheme="minorAscii" w:cstheme="minorAscii"/>
          <w:color w:val="000000" w:themeColor="text1" w:themeTint="FF" w:themeShade="FF"/>
          <w:sz w:val="24"/>
          <w:szCs w:val="24"/>
        </w:rPr>
        <w:t>OVID</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-19 offered</w:t>
      </w:r>
      <w:r w:rsidRPr="7ACD7C2B" w:rsidR="5C25150D">
        <w:rPr>
          <w:rFonts w:ascii="Aptos" w:hAnsi="Aptos" w:eastAsia="Aptos" w:cs="Aptos" w:asciiTheme="minorAscii" w:hAnsiTheme="minorAscii" w:eastAsiaTheme="minorAscii" w:cstheme="minorAscii"/>
          <w:color w:val="000000" w:themeColor="text1" w:themeTint="FF" w:themeShade="FF"/>
          <w:sz w:val="24"/>
          <w:szCs w:val="24"/>
        </w:rPr>
        <w:t xml:space="preserve">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opportunit</w:t>
      </w:r>
      <w:r w:rsidRPr="7ACD7C2B" w:rsidR="1D12FFFF">
        <w:rPr>
          <w:rFonts w:ascii="Aptos" w:hAnsi="Aptos" w:eastAsia="Aptos" w:cs="Aptos" w:asciiTheme="minorAscii" w:hAnsiTheme="minorAscii" w:eastAsiaTheme="minorAscii" w:cstheme="minorAscii"/>
          <w:color w:val="000000" w:themeColor="text1" w:themeTint="FF" w:themeShade="FF"/>
          <w:sz w:val="24"/>
          <w:szCs w:val="24"/>
        </w:rPr>
        <w:t>ies</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r w:rsidRPr="7ACD7C2B" w:rsidR="68CEDEDF">
        <w:rPr>
          <w:rFonts w:ascii="Aptos" w:hAnsi="Aptos" w:eastAsia="Aptos" w:cs="Aptos" w:asciiTheme="minorAscii" w:hAnsiTheme="minorAscii" w:eastAsiaTheme="minorAscii" w:cstheme="minorAscii"/>
          <w:color w:val="000000" w:themeColor="text1" w:themeTint="FF" w:themeShade="FF"/>
          <w:sz w:val="24"/>
          <w:szCs w:val="24"/>
        </w:rPr>
        <w:t>for</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the UK government to address structural disadvantages within the SWV but that these were missed</w:t>
      </w:r>
      <w:r w:rsidRPr="7ACD7C2B" w:rsidR="6BCFE754">
        <w:rPr>
          <w:rFonts w:ascii="Aptos" w:hAnsi="Aptos" w:eastAsia="Aptos" w:cs="Aptos" w:asciiTheme="minorAscii" w:hAnsiTheme="minorAscii" w:eastAsiaTheme="minorAscii" w:cstheme="minorAscii"/>
          <w:color w:val="000000" w:themeColor="text1" w:themeTint="FF" w:themeShade="FF"/>
          <w:sz w:val="24"/>
          <w:szCs w:val="24"/>
        </w:rPr>
        <w:t xml:space="preserve"> at these junctures</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w:t>
      </w:r>
      <w:r w:rsidRPr="7ACD7C2B" w:rsidR="76F230D1">
        <w:rPr>
          <w:rFonts w:ascii="Aptos" w:hAnsi="Aptos" w:eastAsia="Aptos" w:cs="Aptos" w:asciiTheme="minorAscii" w:hAnsiTheme="minorAscii" w:eastAsiaTheme="minorAscii" w:cstheme="minorAscii"/>
          <w:color w:val="000000" w:themeColor="text1" w:themeTint="FF" w:themeShade="FF"/>
          <w:sz w:val="24"/>
          <w:szCs w:val="24"/>
          <w:u w:val="none"/>
        </w:rPr>
        <w:t xml:space="preserve"> </w:t>
      </w:r>
      <w:r w:rsidRPr="7ACD7C2B" w:rsidR="76F230D1">
        <w:rPr>
          <w:rFonts w:ascii="Aptos" w:hAnsi="Aptos" w:eastAsia="Aptos" w:cs="Aptos" w:asciiTheme="minorAscii" w:hAnsiTheme="minorAscii" w:eastAsiaTheme="minorAscii" w:cstheme="minorAscii"/>
          <w:color w:val="000000" w:themeColor="text1" w:themeTint="FF" w:themeShade="FF"/>
          <w:sz w:val="24"/>
          <w:szCs w:val="24"/>
          <w:u w:val="none"/>
        </w:rPr>
        <w:t xml:space="preserve">One partial exception noted in the FLEX (2021) report was that requests to change workplaces and sponsors were </w:t>
      </w:r>
      <w:r w:rsidRPr="7ACD7C2B" w:rsidR="76F230D1">
        <w:rPr>
          <w:rFonts w:ascii="Aptos" w:hAnsi="Aptos" w:eastAsia="Aptos" w:cs="Aptos" w:asciiTheme="minorAscii" w:hAnsiTheme="minorAscii" w:eastAsiaTheme="minorAscii" w:cstheme="minorAscii"/>
          <w:color w:val="000000" w:themeColor="text1" w:themeTint="FF" w:themeShade="FF"/>
          <w:sz w:val="24"/>
          <w:szCs w:val="24"/>
          <w:u w:val="none"/>
        </w:rPr>
        <w:t>permitted</w:t>
      </w:r>
      <w:r w:rsidRPr="7ACD7C2B" w:rsidR="76F230D1">
        <w:rPr>
          <w:rFonts w:ascii="Aptos" w:hAnsi="Aptos" w:eastAsia="Aptos" w:cs="Aptos" w:asciiTheme="minorAscii" w:hAnsiTheme="minorAscii" w:eastAsiaTheme="minorAscii" w:cstheme="minorAscii"/>
          <w:color w:val="000000" w:themeColor="text1" w:themeTint="FF" w:themeShade="FF"/>
          <w:sz w:val="24"/>
          <w:szCs w:val="24"/>
          <w:u w:val="none"/>
        </w:rPr>
        <w:t>; however, in practice this provision remained obscured by language barriers and unclear procedures (</w:t>
      </w:r>
      <w:r w:rsidRPr="7ACD7C2B" w:rsidR="76F230D1">
        <w:rPr>
          <w:rFonts w:ascii="Aptos" w:hAnsi="Aptos" w:eastAsia="Aptos" w:cs="Aptos" w:asciiTheme="minorAscii" w:hAnsiTheme="minorAscii" w:eastAsiaTheme="minorAscii" w:cstheme="minorAscii"/>
          <w:color w:val="000000" w:themeColor="text1" w:themeTint="FF" w:themeShade="FF"/>
          <w:sz w:val="24"/>
          <w:szCs w:val="24"/>
          <w:u w:val="none"/>
        </w:rPr>
        <w:t>Mantouvalou</w:t>
      </w:r>
      <w:r w:rsidRPr="7ACD7C2B" w:rsidR="76F230D1">
        <w:rPr>
          <w:rFonts w:ascii="Aptos" w:hAnsi="Aptos" w:eastAsia="Aptos" w:cs="Aptos" w:asciiTheme="minorAscii" w:hAnsiTheme="minorAscii" w:eastAsiaTheme="minorAscii" w:cstheme="minorAscii"/>
          <w:color w:val="000000" w:themeColor="text1" w:themeTint="FF" w:themeShade="FF"/>
          <w:sz w:val="24"/>
          <w:szCs w:val="24"/>
          <w:u w:val="none"/>
        </w:rPr>
        <w:t>, 2023).</w:t>
      </w:r>
      <w:r w:rsidRPr="7ACD7C2B" w:rsidR="76F230D1">
        <w:rPr>
          <w:rFonts w:ascii="Aptos" w:hAnsi="Aptos" w:eastAsia="Aptos" w:cs="Aptos" w:asciiTheme="minorAscii" w:hAnsiTheme="minorAscii" w:eastAsiaTheme="minorAscii" w:cstheme="minorAscii"/>
          <w:i w:val="1"/>
          <w:iCs w:val="1"/>
          <w:color w:val="000000" w:themeColor="text1" w:themeTint="FF" w:themeShade="FF"/>
          <w:sz w:val="24"/>
          <w:szCs w:val="24"/>
          <w:u w:val="none"/>
        </w:rPr>
        <w:t xml:space="preserve"> </w:t>
      </w:r>
    </w:p>
    <w:p xmlns:wp14="http://schemas.microsoft.com/office/word/2010/wordml" w:rsidP="714B8EC8" wp14:paraId="38449F95" wp14:textId="51BBA526">
      <w:pPr>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r w:rsidRPr="714B8EC8"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p>
    <w:p xmlns:wp14="http://schemas.microsoft.com/office/word/2010/wordml" w:rsidP="714B8EC8" wp14:paraId="699F826B" wp14:textId="724DB0C3">
      <w:pPr>
        <w:pStyle w:val="Normal"/>
        <w:rPr>
          <w:rFonts w:ascii="Aptos" w:hAnsi="Aptos" w:eastAsia="Aptos" w:cs="Aptos" w:asciiTheme="minorAscii" w:hAnsiTheme="minorAscii" w:eastAsiaTheme="minorAscii" w:cstheme="minorAscii"/>
          <w:b w:val="0"/>
          <w:bCs w:val="0"/>
          <w:strike w:val="0"/>
          <w:dstrike w:val="0"/>
          <w:color w:val="000000" w:themeColor="text1" w:themeTint="FF" w:themeShade="FF"/>
          <w:sz w:val="24"/>
          <w:szCs w:val="24"/>
          <w:u w:val="single"/>
        </w:rPr>
      </w:pPr>
      <w:r w:rsidRPr="714B8EC8" w:rsidR="76F230D1">
        <w:rPr>
          <w:u w:val="single"/>
        </w:rPr>
        <w:t>Independent Inspection</w:t>
      </w:r>
    </w:p>
    <w:p xmlns:wp14="http://schemas.microsoft.com/office/word/2010/wordml" w:rsidP="714B8EC8" wp14:paraId="6259D67F" wp14:textId="1DAF1575">
      <w:pPr>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An inspection by the Independent Chief Inspector of Borders and Immigration (2022)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identified</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the need for improved governance and management of the SWV, noting welfare concerns despite the scheme's importance to agri</w:t>
      </w:r>
      <w:r w:rsidRPr="7ACD7C2B" w:rsidR="3C71C995">
        <w:rPr>
          <w:rFonts w:ascii="Aptos" w:hAnsi="Aptos" w:eastAsia="Aptos" w:cs="Aptos" w:asciiTheme="minorAscii" w:hAnsiTheme="minorAscii" w:eastAsiaTheme="minorAscii" w:cstheme="minorAscii"/>
          <w:color w:val="000000" w:themeColor="text1" w:themeTint="FF" w:themeShade="FF"/>
          <w:sz w:val="24"/>
          <w:szCs w:val="24"/>
        </w:rPr>
        <w:t>-</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labour supply. The report highlighted tensions between government departments and industry stakeholders and suggested that the Home Office had managed a complex visa system that the sector claimed was essential to prevent food production and supply collapse (Independent Chief Inspector of Borders and Immigration, 2022, p.5). However, the recommendations focused primarily on compliance procedures and clearer administrative responsibilities, rather than addressing the underlying policy design that ties workers' rights to employer sponsorship and the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a</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gri</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sector, or the broader structural precarity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i</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dentified</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by FLEX (2021).</w:t>
      </w:r>
    </w:p>
    <w:p xmlns:wp14="http://schemas.microsoft.com/office/word/2010/wordml" w:rsidP="714B8EC8" wp14:paraId="32528769" wp14:textId="29CE96A5">
      <w:pPr>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u w:val="single"/>
        </w:rPr>
      </w:pPr>
      <w:r w:rsidRPr="714B8EC8"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p>
    <w:p xmlns:wp14="http://schemas.microsoft.com/office/word/2010/wordml" w:rsidP="714B8EC8" wp14:paraId="5165C765" wp14:textId="47843645">
      <w:pPr>
        <w:pStyle w:val="Normal"/>
        <w:rPr>
          <w:u w:val="single"/>
        </w:rPr>
      </w:pPr>
      <w:r w:rsidRPr="714B8EC8" w:rsidR="76F230D1">
        <w:rPr>
          <w:u w:val="single"/>
        </w:rPr>
        <w:t xml:space="preserve">Government </w:t>
      </w:r>
      <w:r w:rsidRPr="714B8EC8" w:rsidR="6A3426B2">
        <w:rPr>
          <w:u w:val="single"/>
        </w:rPr>
        <w:t>Context</w:t>
      </w:r>
    </w:p>
    <w:p xmlns:wp14="http://schemas.microsoft.com/office/word/2010/wordml" w:rsidP="714B8EC8" wp14:paraId="7BFE7BD5" wp14:textId="5AA22701">
      <w:pPr>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r w:rsidRPr="714B8EC8" w:rsidR="76F230D1">
        <w:rPr>
          <w:rFonts w:ascii="Aptos" w:hAnsi="Aptos" w:eastAsia="Aptos" w:cs="Aptos" w:asciiTheme="minorAscii" w:hAnsiTheme="minorAscii" w:eastAsiaTheme="minorAscii" w:cstheme="minorAscii"/>
          <w:color w:val="000000" w:themeColor="text1" w:themeTint="FF" w:themeShade="FF"/>
          <w:sz w:val="24"/>
          <w:szCs w:val="24"/>
        </w:rPr>
        <w:t xml:space="preserve">The SWP/SWV was introduced following Brexit in response to reported labour shortages and warnings of potential food insecurity (NFU, 2025; Home Office, 2024; 2025). The scheme was implemented and </w:t>
      </w:r>
      <w:r w:rsidRPr="714B8EC8" w:rsidR="76F230D1">
        <w:rPr>
          <w:rFonts w:ascii="Aptos" w:hAnsi="Aptos" w:eastAsia="Aptos" w:cs="Aptos" w:asciiTheme="minorAscii" w:hAnsiTheme="minorAscii" w:eastAsiaTheme="minorAscii" w:cstheme="minorAscii"/>
          <w:color w:val="000000" w:themeColor="text1" w:themeTint="FF" w:themeShade="FF"/>
          <w:sz w:val="24"/>
          <w:szCs w:val="24"/>
        </w:rPr>
        <w:t>subsequently</w:t>
      </w:r>
      <w:r w:rsidRPr="714B8EC8" w:rsidR="76F230D1">
        <w:rPr>
          <w:rFonts w:ascii="Aptos" w:hAnsi="Aptos" w:eastAsia="Aptos" w:cs="Aptos" w:asciiTheme="minorAscii" w:hAnsiTheme="minorAscii" w:eastAsiaTheme="minorAscii" w:cstheme="minorAscii"/>
          <w:color w:val="000000" w:themeColor="text1" w:themeTint="FF" w:themeShade="FF"/>
          <w:sz w:val="24"/>
          <w:szCs w:val="24"/>
        </w:rPr>
        <w:t xml:space="preserve"> expanded rapidly under pressure from agricultural producers and labour providers (NFU, 2025; Pro-Force, 2021; Milbourne and Coulson, 2021). However, FLEX (2021) and Lindsay (2025) argue that this expansion was premature, as the necessary regulatory infrastructure and oversight mechanisms were not fully </w:t>
      </w:r>
      <w:r w:rsidRPr="714B8EC8" w:rsidR="76F230D1">
        <w:rPr>
          <w:rFonts w:ascii="Aptos" w:hAnsi="Aptos" w:eastAsia="Aptos" w:cs="Aptos" w:asciiTheme="minorAscii" w:hAnsiTheme="minorAscii" w:eastAsiaTheme="minorAscii" w:cstheme="minorAscii"/>
          <w:color w:val="000000" w:themeColor="text1" w:themeTint="FF" w:themeShade="FF"/>
          <w:sz w:val="24"/>
          <w:szCs w:val="24"/>
        </w:rPr>
        <w:t>established</w:t>
      </w:r>
      <w:r w:rsidRPr="714B8EC8" w:rsidR="76F230D1">
        <w:rPr>
          <w:rFonts w:ascii="Aptos" w:hAnsi="Aptos" w:eastAsia="Aptos" w:cs="Aptos" w:asciiTheme="minorAscii" w:hAnsiTheme="minorAscii" w:eastAsiaTheme="minorAscii" w:cstheme="minorAscii"/>
          <w:color w:val="000000" w:themeColor="text1" w:themeTint="FF" w:themeShade="FF"/>
          <w:sz w:val="24"/>
          <w:szCs w:val="24"/>
        </w:rPr>
        <w:t xml:space="preserve"> to ensure effective sectoral coordination or adequate protection of seasonal workers' rights.</w:t>
      </w:r>
    </w:p>
    <w:p xmlns:wp14="http://schemas.microsoft.com/office/word/2010/wordml" w:rsidP="714B8EC8" wp14:paraId="6FCFB24F" wp14:textId="46BA9A6E">
      <w:pPr>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r w:rsidRPr="714B8EC8"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p>
    <w:p xmlns:wp14="http://schemas.microsoft.com/office/word/2010/wordml" w:rsidP="714B8EC8" wp14:paraId="5E03E226" wp14:textId="493DDBA3">
      <w:pPr>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r w:rsidRPr="714B8EC8" w:rsidR="76F230D1">
        <w:rPr>
          <w:rFonts w:ascii="Aptos" w:hAnsi="Aptos" w:eastAsia="Aptos" w:cs="Aptos" w:asciiTheme="minorAscii" w:hAnsiTheme="minorAscii" w:eastAsiaTheme="minorAscii" w:cstheme="minorAscii"/>
          <w:color w:val="000000" w:themeColor="text1" w:themeTint="FF" w:themeShade="FF"/>
          <w:sz w:val="24"/>
          <w:szCs w:val="24"/>
        </w:rPr>
        <w:t xml:space="preserve">Pro-Force (2021) </w:t>
      </w:r>
      <w:r w:rsidRPr="714B8EC8" w:rsidR="64B6D6B3">
        <w:rPr>
          <w:rFonts w:ascii="Aptos" w:hAnsi="Aptos" w:eastAsia="Aptos" w:cs="Aptos" w:asciiTheme="minorAscii" w:hAnsiTheme="minorAscii" w:eastAsiaTheme="minorAscii" w:cstheme="minorAscii"/>
          <w:color w:val="000000" w:themeColor="text1" w:themeTint="FF" w:themeShade="FF"/>
          <w:sz w:val="24"/>
          <w:szCs w:val="24"/>
        </w:rPr>
        <w:t>stated</w:t>
      </w:r>
      <w:r w:rsidRPr="714B8EC8" w:rsidR="76F230D1">
        <w:rPr>
          <w:rFonts w:ascii="Aptos" w:hAnsi="Aptos" w:eastAsia="Aptos" w:cs="Aptos" w:asciiTheme="minorAscii" w:hAnsiTheme="minorAscii" w:eastAsiaTheme="minorAscii" w:cstheme="minorAscii"/>
          <w:color w:val="000000" w:themeColor="text1" w:themeTint="FF" w:themeShade="FF"/>
          <w:sz w:val="24"/>
          <w:szCs w:val="24"/>
        </w:rPr>
        <w:t xml:space="preserve"> post</w:t>
      </w:r>
      <w:r w:rsidRPr="714B8EC8" w:rsidR="76F230D1">
        <w:rPr>
          <w:rFonts w:ascii="Aptos" w:hAnsi="Aptos" w:eastAsia="Aptos" w:cs="Aptos" w:asciiTheme="minorAscii" w:hAnsiTheme="minorAscii" w:eastAsiaTheme="minorAscii" w:cstheme="minorAscii"/>
          <w:strike w:val="1"/>
          <w:color w:val="000000" w:themeColor="text1" w:themeTint="FF" w:themeShade="FF"/>
          <w:sz w:val="24"/>
          <w:szCs w:val="24"/>
        </w:rPr>
        <w:t>-</w:t>
      </w:r>
      <w:r w:rsidRPr="714B8EC8" w:rsidR="76F230D1">
        <w:rPr>
          <w:rFonts w:ascii="Aptos" w:hAnsi="Aptos" w:eastAsia="Aptos" w:cs="Aptos" w:asciiTheme="minorAscii" w:hAnsiTheme="minorAscii" w:eastAsiaTheme="minorAscii" w:cstheme="minorAscii"/>
          <w:color w:val="000000" w:themeColor="text1" w:themeTint="FF" w:themeShade="FF"/>
          <w:sz w:val="24"/>
          <w:szCs w:val="24"/>
        </w:rPr>
        <w:t xml:space="preserve"> Brexit that food providers in the UK (farms) could not produce the required targets to meet demand, and more EU workers were needed, arguing that the SWP would need to be expanded. Milbourne and Coulson (2021) have argued that the growth of the SWP/SWV occurred under the guise of a labour crisis. Their research finds </w:t>
      </w:r>
      <w:r w:rsidRPr="714B8EC8" w:rsidR="184A45D5">
        <w:rPr>
          <w:rFonts w:ascii="Aptos" w:hAnsi="Aptos" w:eastAsia="Aptos" w:cs="Aptos" w:asciiTheme="minorAscii" w:hAnsiTheme="minorAscii" w:eastAsiaTheme="minorAscii" w:cstheme="minorAscii"/>
          <w:color w:val="000000" w:themeColor="text1" w:themeTint="FF" w:themeShade="FF"/>
          <w:sz w:val="24"/>
          <w:szCs w:val="24"/>
        </w:rPr>
        <w:t>no</w:t>
      </w:r>
      <w:r w:rsidRPr="714B8EC8" w:rsidR="76F230D1">
        <w:rPr>
          <w:rFonts w:ascii="Aptos" w:hAnsi="Aptos" w:eastAsia="Aptos" w:cs="Aptos" w:asciiTheme="minorAscii" w:hAnsiTheme="minorAscii" w:eastAsiaTheme="minorAscii" w:cstheme="minorAscii"/>
          <w:color w:val="000000" w:themeColor="text1" w:themeTint="FF" w:themeShade="FF"/>
          <w:sz w:val="24"/>
          <w:szCs w:val="24"/>
        </w:rPr>
        <w:t xml:space="preserve"> evidence of an acute shortage of migrant workers following the Brexit referendum, suggesting instead that the most significant shift during this period was rising wage expectations. From this perspective, the 'labour shortage' reflects employer resistance to increased labour costs rather than an absolute absence of available workers. The dominant narrative of agricultural labour scarcity is therefore contested. Critics argue that the core issue lies not in worker supply, but in the structural conditions of agricultural employment, including low pay, insecure contracts, physically demanding work, and limited progression opportunities (Anderson, 2010; Clutterbuck, 2017; Davies, 2018; Milbourne and Coulson, 2021). These characteristics reflect patterns of labour market segmentation in advanced capitalist economies, in which certain forms of 'dirty' or socially devalued work become systematically associated with marginalised populations (Scott, 2012; Castles, 2004).</w:t>
      </w:r>
    </w:p>
    <w:p xmlns:wp14="http://schemas.microsoft.com/office/word/2010/wordml" w:rsidP="714B8EC8" wp14:paraId="7383B516" wp14:textId="27F01C00">
      <w:pPr>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r w:rsidRPr="714B8EC8"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p>
    <w:p xmlns:wp14="http://schemas.microsoft.com/office/word/2010/wordml" w:rsidP="714B8EC8" wp14:paraId="0062F617" wp14:textId="1C8FAF98">
      <w:pPr>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r w:rsidRPr="714B8EC8" w:rsidR="76F230D1">
        <w:rPr>
          <w:rFonts w:ascii="Aptos" w:hAnsi="Aptos" w:eastAsia="Aptos" w:cs="Aptos" w:asciiTheme="minorAscii" w:hAnsiTheme="minorAscii" w:eastAsiaTheme="minorAscii" w:cstheme="minorAscii"/>
          <w:color w:val="000000" w:themeColor="text1" w:themeTint="FF" w:themeShade="FF"/>
          <w:sz w:val="24"/>
          <w:szCs w:val="24"/>
        </w:rPr>
        <w:t xml:space="preserve">The 'Pick for Britain' campaign is </w:t>
      </w:r>
      <w:r w:rsidRPr="714B8EC8" w:rsidR="76F230D1">
        <w:rPr>
          <w:rFonts w:ascii="Aptos" w:hAnsi="Aptos" w:eastAsia="Aptos" w:cs="Aptos" w:asciiTheme="minorAscii" w:hAnsiTheme="minorAscii" w:eastAsiaTheme="minorAscii" w:cstheme="minorAscii"/>
          <w:color w:val="000000" w:themeColor="text1" w:themeTint="FF" w:themeShade="FF"/>
          <w:sz w:val="24"/>
          <w:szCs w:val="24"/>
        </w:rPr>
        <w:t>frequently</w:t>
      </w:r>
      <w:r w:rsidRPr="714B8EC8" w:rsidR="76F230D1">
        <w:rPr>
          <w:rFonts w:ascii="Aptos" w:hAnsi="Aptos" w:eastAsia="Aptos" w:cs="Aptos" w:asciiTheme="minorAscii" w:hAnsiTheme="minorAscii" w:eastAsiaTheme="minorAscii" w:cstheme="minorAscii"/>
          <w:color w:val="000000" w:themeColor="text1" w:themeTint="FF" w:themeShade="FF"/>
          <w:sz w:val="24"/>
          <w:szCs w:val="24"/>
        </w:rPr>
        <w:t xml:space="preserve"> cited within this debate. Pro-Force Ltd (2021) suggests that its limited success was attributable to the remote locations of farms and working hours that were incompatible with other domestic commitments for UK workers. Potter and Hamilton (2014) similarly argue that UK workers are often unwilling to undertake agricultural labour due to its intensity and instability. By contrast, migrant workers may perceive even relatively low wages as economically </w:t>
      </w:r>
      <w:r w:rsidRPr="714B8EC8" w:rsidR="76F230D1">
        <w:rPr>
          <w:rFonts w:ascii="Aptos" w:hAnsi="Aptos" w:eastAsia="Aptos" w:cs="Aptos" w:asciiTheme="minorAscii" w:hAnsiTheme="minorAscii" w:eastAsiaTheme="minorAscii" w:cstheme="minorAscii"/>
          <w:color w:val="000000" w:themeColor="text1" w:themeTint="FF" w:themeShade="FF"/>
          <w:sz w:val="24"/>
          <w:szCs w:val="24"/>
        </w:rPr>
        <w:t>viable</w:t>
      </w:r>
      <w:r w:rsidRPr="714B8EC8" w:rsidR="76F230D1">
        <w:rPr>
          <w:rFonts w:ascii="Aptos" w:hAnsi="Aptos" w:eastAsia="Aptos" w:cs="Aptos" w:asciiTheme="minorAscii" w:hAnsiTheme="minorAscii" w:eastAsiaTheme="minorAscii" w:cstheme="minorAscii"/>
          <w:color w:val="000000" w:themeColor="text1" w:themeTint="FF" w:themeShade="FF"/>
          <w:sz w:val="24"/>
          <w:szCs w:val="24"/>
        </w:rPr>
        <w:t xml:space="preserve"> when compared to earning opportunities in their countries of origin. This differential valuation of wages, combined with restricted employment </w:t>
      </w:r>
      <w:r w:rsidRPr="714B8EC8" w:rsidR="76F230D1">
        <w:rPr>
          <w:rFonts w:ascii="Aptos" w:hAnsi="Aptos" w:eastAsia="Aptos" w:cs="Aptos" w:asciiTheme="minorAscii" w:hAnsiTheme="minorAscii" w:eastAsiaTheme="minorAscii" w:cstheme="minorAscii"/>
          <w:color w:val="000000" w:themeColor="text1" w:themeTint="FF" w:themeShade="FF"/>
          <w:sz w:val="24"/>
          <w:szCs w:val="24"/>
        </w:rPr>
        <w:t>alternative</w:t>
      </w:r>
      <w:r w:rsidRPr="714B8EC8" w:rsidR="76F230D1">
        <w:rPr>
          <w:rFonts w:ascii="Aptos" w:hAnsi="Aptos" w:eastAsia="Aptos" w:cs="Aptos" w:asciiTheme="minorAscii" w:hAnsiTheme="minorAscii" w:eastAsiaTheme="minorAscii" w:cstheme="minorAscii"/>
          <w:color w:val="000000" w:themeColor="text1" w:themeTint="FF" w:themeShade="FF"/>
          <w:sz w:val="24"/>
          <w:szCs w:val="24"/>
          <w:u w:val="none"/>
        </w:rPr>
        <w:t>s</w:t>
      </w:r>
      <w:r w:rsidRPr="714B8EC8" w:rsidR="76F230D1">
        <w:rPr>
          <w:rFonts w:ascii="Aptos" w:hAnsi="Aptos" w:eastAsia="Aptos" w:cs="Aptos" w:asciiTheme="minorAscii" w:hAnsiTheme="minorAscii" w:eastAsiaTheme="minorAscii" w:cstheme="minorAscii"/>
          <w:color w:val="000000" w:themeColor="text1" w:themeTint="FF" w:themeShade="FF"/>
          <w:sz w:val="24"/>
          <w:szCs w:val="24"/>
          <w:u w:val="none"/>
        </w:rPr>
        <w:t>,</w:t>
      </w:r>
      <w:r w:rsidRPr="714B8EC8" w:rsidR="76F230D1">
        <w:rPr>
          <w:rFonts w:ascii="Aptos" w:hAnsi="Aptos" w:eastAsia="Aptos" w:cs="Aptos" w:asciiTheme="minorAscii" w:hAnsiTheme="minorAscii" w:eastAsiaTheme="minorAscii" w:cstheme="minorAscii"/>
          <w:color w:val="000000" w:themeColor="text1" w:themeTint="FF" w:themeShade="FF"/>
          <w:sz w:val="24"/>
          <w:szCs w:val="24"/>
          <w:u w:val="none"/>
        </w:rPr>
        <w:t xml:space="preserve"> can increase</w:t>
      </w:r>
      <w:r w:rsidRPr="714B8EC8" w:rsidR="76F230D1">
        <w:rPr>
          <w:rFonts w:ascii="Aptos" w:hAnsi="Aptos" w:eastAsia="Aptos" w:cs="Aptos" w:asciiTheme="minorAscii" w:hAnsiTheme="minorAscii" w:eastAsiaTheme="minorAscii" w:cstheme="minorAscii"/>
          <w:i w:val="1"/>
          <w:iCs w:val="1"/>
          <w:color w:val="000000" w:themeColor="text1" w:themeTint="FF" w:themeShade="FF"/>
          <w:sz w:val="24"/>
          <w:szCs w:val="24"/>
          <w:u w:val="none"/>
        </w:rPr>
        <w:t xml:space="preserve"> </w:t>
      </w:r>
      <w:r w:rsidRPr="714B8EC8" w:rsidR="76F230D1">
        <w:rPr>
          <w:rFonts w:ascii="Aptos" w:hAnsi="Aptos" w:eastAsia="Aptos" w:cs="Aptos" w:asciiTheme="minorAscii" w:hAnsiTheme="minorAscii" w:eastAsiaTheme="minorAscii" w:cstheme="minorAscii"/>
          <w:color w:val="000000" w:themeColor="text1" w:themeTint="FF" w:themeShade="FF"/>
          <w:sz w:val="24"/>
          <w:szCs w:val="24"/>
        </w:rPr>
        <w:t>tolerance of poor conditions and vulnerability to exploitation (Potter and Hamilton, 2014).</w:t>
      </w:r>
    </w:p>
    <w:p xmlns:wp14="http://schemas.microsoft.com/office/word/2010/wordml" w:rsidP="714B8EC8" wp14:paraId="443D0B25" wp14:textId="1D922D72">
      <w:pPr>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r w:rsidRPr="714B8EC8"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p>
    <w:p xmlns:wp14="http://schemas.microsoft.com/office/word/2010/wordml" w:rsidP="714B8EC8" wp14:paraId="68386FA2" wp14:textId="26FFDAC8">
      <w:pPr>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Clutterbuck (2017) further argues that the political prioritisation of cheap and readily available food enables the public to overlook the realities of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agri</w:t>
      </w:r>
      <w:r w:rsidRPr="7ACD7C2B" w:rsidR="29C08D10">
        <w:rPr>
          <w:rFonts w:ascii="Aptos" w:hAnsi="Aptos" w:eastAsia="Aptos" w:cs="Aptos" w:asciiTheme="minorAscii" w:hAnsiTheme="minorAscii" w:eastAsiaTheme="minorAscii" w:cstheme="minorAscii"/>
          <w:color w:val="000000" w:themeColor="text1" w:themeTint="FF" w:themeShade="FF"/>
          <w:sz w:val="24"/>
          <w:szCs w:val="24"/>
        </w:rPr>
        <w:t>-</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labour conditions. By framing food affordability as a policy success, governments can obscure the labour structures that sustain low prices. This argument is extended by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Sbicca</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(2018), who contends that the organisation of the agricultural sector is inseparable from state practices that devalue and marginalise its workforce, including through racially structured inequalities. He suggests that structural injustices are reproduced through economic, political, and social systems that shape food production and distribution, thereby reinforcing food justice concerns </w:t>
      </w:r>
      <w:r w:rsidRPr="7ACD7C2B" w:rsidR="06A5B068">
        <w:rPr>
          <w:rFonts w:ascii="Aptos" w:hAnsi="Aptos" w:eastAsia="Aptos" w:cs="Aptos" w:asciiTheme="minorAscii" w:hAnsiTheme="minorAscii" w:eastAsiaTheme="minorAscii" w:cstheme="minorAscii"/>
          <w:color w:val="000000" w:themeColor="text1" w:themeTint="FF" w:themeShade="FF"/>
          <w:sz w:val="24"/>
          <w:szCs w:val="24"/>
        </w:rPr>
        <w:t>that</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r w:rsidRPr="7ACD7C2B" w:rsidR="79A0C2FC">
        <w:rPr>
          <w:rFonts w:ascii="Aptos" w:hAnsi="Aptos" w:eastAsia="Aptos" w:cs="Aptos" w:asciiTheme="minorAscii" w:hAnsiTheme="minorAscii" w:eastAsiaTheme="minorAscii" w:cstheme="minorAscii"/>
          <w:color w:val="000000" w:themeColor="text1" w:themeTint="FF" w:themeShade="FF"/>
          <w:sz w:val="24"/>
          <w:szCs w:val="24"/>
        </w:rPr>
        <w:t>prevent</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social change.</w:t>
      </w:r>
    </w:p>
    <w:p xmlns:wp14="http://schemas.microsoft.com/office/word/2010/wordml" w:rsidP="714B8EC8" wp14:paraId="1723C2F4" wp14:textId="7D62A1CF">
      <w:pPr>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r w:rsidRPr="714B8EC8"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p>
    <w:p xmlns:wp14="http://schemas.microsoft.com/office/word/2010/wordml" w:rsidP="10E9F3F5" wp14:paraId="68682A28" wp14:textId="5349D6E9">
      <w:pPr>
        <w:pStyle w:val="Normal"/>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r w:rsidRPr="10E9F3F5" w:rsidR="76F230D1">
        <w:rPr>
          <w:rFonts w:ascii="Aptos" w:hAnsi="Aptos" w:eastAsia="Aptos" w:cs="Aptos" w:asciiTheme="minorAscii" w:hAnsiTheme="minorAscii" w:eastAsiaTheme="minorAscii" w:cstheme="minorAscii"/>
          <w:color w:val="000000" w:themeColor="text1" w:themeTint="FF" w:themeShade="FF"/>
          <w:sz w:val="24"/>
          <w:szCs w:val="24"/>
        </w:rPr>
        <w:t xml:space="preserve">In the case of seasonal </w:t>
      </w:r>
      <w:r w:rsidRPr="10E9F3F5" w:rsidR="76F230D1">
        <w:rPr>
          <w:rFonts w:ascii="Aptos" w:hAnsi="Aptos" w:eastAsia="Aptos" w:cs="Aptos" w:asciiTheme="minorAscii" w:hAnsiTheme="minorAscii" w:eastAsiaTheme="minorAscii" w:cstheme="minorAscii"/>
          <w:color w:val="000000" w:themeColor="text1" w:themeTint="FF" w:themeShade="FF"/>
          <w:sz w:val="24"/>
          <w:szCs w:val="24"/>
        </w:rPr>
        <w:t>agri</w:t>
      </w:r>
      <w:r w:rsidRPr="10E9F3F5" w:rsidR="76F230D1">
        <w:rPr>
          <w:rFonts w:ascii="Aptos" w:hAnsi="Aptos" w:eastAsia="Aptos" w:cs="Aptos" w:asciiTheme="minorAscii" w:hAnsiTheme="minorAscii" w:eastAsiaTheme="minorAscii" w:cstheme="minorAscii"/>
          <w:color w:val="000000" w:themeColor="text1" w:themeTint="FF" w:themeShade="FF"/>
          <w:sz w:val="24"/>
          <w:szCs w:val="24"/>
        </w:rPr>
        <w:t>-labour, critics argue that the policy framework was implemented prematurely and justified through a narrative of crisis that lacks robust grounding</w:t>
      </w:r>
      <w:r w:rsidRPr="10E9F3F5" w:rsidR="077C5298">
        <w:rPr>
          <w:rFonts w:ascii="Aptos" w:hAnsi="Aptos" w:eastAsia="Aptos" w:cs="Aptos" w:asciiTheme="minorAscii" w:hAnsiTheme="minorAscii" w:eastAsiaTheme="minorAscii" w:cstheme="minorAscii"/>
          <w:color w:val="000000" w:themeColor="text1" w:themeTint="FF" w:themeShade="FF"/>
          <w:sz w:val="24"/>
          <w:szCs w:val="24"/>
        </w:rPr>
        <w:t xml:space="preserve"> (FLEX, 2021; Lindsay 2025)</w:t>
      </w:r>
      <w:r w:rsidRPr="10E9F3F5" w:rsidR="76F230D1">
        <w:rPr>
          <w:rFonts w:ascii="Aptos" w:hAnsi="Aptos" w:eastAsia="Aptos" w:cs="Aptos" w:asciiTheme="minorAscii" w:hAnsiTheme="minorAscii" w:eastAsiaTheme="minorAscii" w:cstheme="minorAscii"/>
          <w:color w:val="000000" w:themeColor="text1" w:themeTint="FF" w:themeShade="FF"/>
          <w:sz w:val="24"/>
          <w:szCs w:val="24"/>
        </w:rPr>
        <w:t>. The underlying driver may therefore lie less in addressing genuine labour scarcity and more in securing a flexible, cost-efficient workforce capable of sustaining intensive production schedules and meeting supermarket pricing pressures</w:t>
      </w:r>
      <w:r w:rsidRPr="10E9F3F5" w:rsidR="0A288FF4">
        <w:rPr>
          <w:rFonts w:ascii="Aptos" w:hAnsi="Aptos" w:eastAsia="Aptos" w:cs="Aptos" w:asciiTheme="minorAscii" w:hAnsiTheme="minorAscii" w:eastAsiaTheme="minorAscii" w:cstheme="minorAscii"/>
          <w:color w:val="000000" w:themeColor="text1" w:themeTint="FF" w:themeShade="FF"/>
          <w:sz w:val="24"/>
          <w:szCs w:val="24"/>
        </w:rPr>
        <w:t xml:space="preserve"> (Anderson, 2010; Milbourne and Coulson, 2021)</w:t>
      </w:r>
      <w:r w:rsidRPr="10E9F3F5" w:rsidR="76F230D1">
        <w:rPr>
          <w:rFonts w:ascii="Aptos" w:hAnsi="Aptos" w:eastAsia="Aptos" w:cs="Aptos" w:asciiTheme="minorAscii" w:hAnsiTheme="minorAscii" w:eastAsiaTheme="minorAscii" w:cstheme="minorAscii"/>
          <w:color w:val="000000" w:themeColor="text1" w:themeTint="FF" w:themeShade="FF"/>
          <w:sz w:val="24"/>
          <w:szCs w:val="24"/>
        </w:rPr>
        <w:t>. In this sense, the SWV can be understood as embedded within broader economic structures that prioritise efficiency and low consumer prices over long-term labour and food sustainabili</w:t>
      </w:r>
      <w:r w:rsidRPr="10E9F3F5" w:rsidR="76F230D1">
        <w:rPr>
          <w:rFonts w:ascii="Aptos" w:hAnsi="Aptos" w:eastAsia="Aptos" w:cs="Aptos" w:asciiTheme="minorAscii" w:hAnsiTheme="minorAscii" w:eastAsiaTheme="minorAscii" w:cstheme="minorAscii"/>
          <w:color w:val="000000" w:themeColor="text1" w:themeTint="FF" w:themeShade="FF"/>
          <w:sz w:val="24"/>
          <w:szCs w:val="24"/>
        </w:rPr>
        <w:t>ty</w:t>
      </w:r>
      <w:r w:rsidRPr="10E9F3F5" w:rsidR="25B21889">
        <w:rPr>
          <w:rFonts w:ascii="Aptos" w:hAnsi="Aptos" w:eastAsia="Aptos" w:cs="Aptos" w:asciiTheme="minorAscii" w:hAnsiTheme="minorAscii" w:eastAsiaTheme="minorAscii" w:cstheme="minorAscii"/>
          <w:color w:val="000000" w:themeColor="text1" w:themeTint="FF" w:themeShade="FF"/>
          <w:sz w:val="24"/>
          <w:szCs w:val="24"/>
        </w:rPr>
        <w:t xml:space="preserve"> (Sb</w:t>
      </w:r>
      <w:r w:rsidRPr="10E9F3F5" w:rsidR="25B21889">
        <w:rPr>
          <w:rFonts w:ascii="Aptos" w:hAnsi="Aptos" w:eastAsia="Aptos" w:cs="Aptos" w:asciiTheme="minorAscii" w:hAnsiTheme="minorAscii" w:eastAsiaTheme="minorAscii" w:cstheme="minorAscii"/>
          <w:color w:val="000000" w:themeColor="text1" w:themeTint="FF" w:themeShade="FF"/>
          <w:sz w:val="24"/>
          <w:szCs w:val="24"/>
        </w:rPr>
        <w:t>icca, 2018)</w:t>
      </w:r>
      <w:r w:rsidRPr="10E9F3F5" w:rsidR="76F230D1">
        <w:rPr>
          <w:rFonts w:ascii="Aptos" w:hAnsi="Aptos" w:eastAsia="Aptos" w:cs="Aptos" w:asciiTheme="minorAscii" w:hAnsiTheme="minorAscii" w:eastAsiaTheme="minorAscii" w:cstheme="minorAscii"/>
          <w:color w:val="000000" w:themeColor="text1" w:themeTint="FF" w:themeShade="FF"/>
          <w:sz w:val="24"/>
          <w:szCs w:val="24"/>
        </w:rPr>
        <w:t>.</w:t>
      </w:r>
    </w:p>
    <w:p xmlns:wp14="http://schemas.microsoft.com/office/word/2010/wordml" w:rsidP="714B8EC8" wp14:paraId="0CCE72F5" wp14:textId="0491FC84">
      <w:pPr>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u w:val="single"/>
        </w:rPr>
      </w:pPr>
      <w:r w:rsidRPr="714B8EC8"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p>
    <w:p xmlns:wp14="http://schemas.microsoft.com/office/word/2010/wordml" w:rsidP="714B8EC8" wp14:paraId="400AC4A9" wp14:textId="0DA54E3D">
      <w:pPr>
        <w:pStyle w:val="Normal"/>
        <w:rPr>
          <w:rFonts w:ascii="Aptos" w:hAnsi="Aptos" w:eastAsia="Aptos" w:cs="Aptos" w:asciiTheme="minorAscii" w:hAnsiTheme="minorAscii" w:eastAsiaTheme="minorAscii" w:cstheme="minorAscii"/>
          <w:b w:val="0"/>
          <w:bCs w:val="0"/>
          <w:strike w:val="0"/>
          <w:dstrike w:val="0"/>
          <w:color w:val="000000" w:themeColor="text1" w:themeTint="FF" w:themeShade="FF"/>
          <w:sz w:val="24"/>
          <w:szCs w:val="24"/>
          <w:u w:val="single"/>
        </w:rPr>
      </w:pPr>
      <w:r w:rsidRPr="714B8EC8" w:rsidR="76F230D1">
        <w:rPr>
          <w:u w:val="single"/>
        </w:rPr>
        <w:t>Neoliberalism as Ideological Driver</w:t>
      </w:r>
    </w:p>
    <w:p xmlns:wp14="http://schemas.microsoft.com/office/word/2010/wordml" w:rsidP="7ACD7C2B" wp14:paraId="7E4E5A5D" wp14:textId="1E15586F">
      <w:pPr>
        <w:pStyle w:val="Normal"/>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rPr>
      </w:pP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The framing of the SWP/SWV </w:t>
      </w:r>
      <w:r w:rsidRPr="7ACD7C2B" w:rsidR="2507B0EE">
        <w:rPr>
          <w:rFonts w:ascii="Aptos" w:hAnsi="Aptos" w:eastAsia="Aptos" w:cs="Aptos" w:asciiTheme="minorAscii" w:hAnsiTheme="minorAscii" w:eastAsiaTheme="minorAscii" w:cstheme="minorAscii"/>
          <w:color w:val="000000" w:themeColor="text1" w:themeTint="FF" w:themeShade="FF"/>
          <w:sz w:val="24"/>
          <w:szCs w:val="24"/>
          <w:u w:val="none"/>
        </w:rPr>
        <w:t>policies</w:t>
      </w:r>
      <w:r w:rsidRPr="7ACD7C2B" w:rsidR="2507B0EE">
        <w:rPr>
          <w:rFonts w:ascii="Aptos" w:hAnsi="Aptos" w:eastAsia="Aptos" w:cs="Aptos" w:asciiTheme="minorAscii" w:hAnsiTheme="minorAscii" w:eastAsiaTheme="minorAscii" w:cstheme="minorAscii"/>
          <w:color w:val="000000" w:themeColor="text1" w:themeTint="FF" w:themeShade="FF"/>
          <w:sz w:val="24"/>
          <w:szCs w:val="24"/>
          <w:u w:val="single"/>
        </w:rPr>
        <w:t xml:space="preserve">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as a response to labour scarcity can be considered within a broader neoliberal ideological framework, particularly in relationship to prioritising market efficiency, labour flexibility and economic protection over social support, health, community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inclusion</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and food sustainability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Sbicca</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2018). Neoliberal ideology emphasises deregulation,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privatisation</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and individual responsibility, yet paradoxically relies on an active state to construct, regulate and protect market systems (Alcock and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May,</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2014). During the Thatcher government (1979–1990), for example, there was a change in traditional conservative economic processes in relation to purposefully privatising state industries and favouring ownership of property. </w:t>
      </w:r>
      <w:r w:rsidRPr="7ACD7C2B" w:rsidR="4B8A6F70">
        <w:rPr>
          <w:rFonts w:ascii="Aptos" w:hAnsi="Aptos" w:eastAsia="Aptos" w:cs="Aptos" w:asciiTheme="minorAscii" w:hAnsiTheme="minorAscii" w:eastAsiaTheme="minorAscii" w:cstheme="minorAscii"/>
          <w:color w:val="000000" w:themeColor="text1" w:themeTint="FF" w:themeShade="FF"/>
          <w:sz w:val="24"/>
          <w:szCs w:val="24"/>
        </w:rPr>
        <w:t>There was a focus</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on individual responsibility instead of state support; market needs were </w:t>
      </w:r>
      <w:r w:rsidRPr="7ACD7C2B" w:rsidR="604634BA">
        <w:rPr>
          <w:rFonts w:ascii="Aptos" w:hAnsi="Aptos" w:eastAsia="Aptos" w:cs="Aptos" w:asciiTheme="minorAscii" w:hAnsiTheme="minorAscii" w:eastAsiaTheme="minorAscii" w:cstheme="minorAscii"/>
          <w:color w:val="000000" w:themeColor="text1" w:themeTint="FF" w:themeShade="FF"/>
          <w:sz w:val="24"/>
          <w:szCs w:val="24"/>
        </w:rPr>
        <w:t>prioritised</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over individual</w:t>
      </w:r>
      <w:r w:rsidRPr="7ACD7C2B" w:rsidR="1B6BBB12">
        <w:rPr>
          <w:rFonts w:ascii="Aptos" w:hAnsi="Aptos" w:eastAsia="Aptos" w:cs="Aptos" w:asciiTheme="minorAscii" w:hAnsiTheme="minorAscii" w:eastAsiaTheme="minorAscii" w:cstheme="minorAscii"/>
          <w:color w:val="000000" w:themeColor="text1" w:themeTint="FF" w:themeShade="FF"/>
          <w:sz w:val="24"/>
          <w:szCs w:val="24"/>
        </w:rPr>
        <w:t xml:space="preserve"> support</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in this model</w:t>
      </w:r>
      <w:r w:rsidRPr="7ACD7C2B" w:rsidR="0D39EE4C">
        <w:rPr>
          <w:rFonts w:ascii="Aptos" w:hAnsi="Aptos" w:eastAsia="Aptos" w:cs="Aptos" w:asciiTheme="minorAscii" w:hAnsiTheme="minorAscii" w:eastAsiaTheme="minorAscii" w:cstheme="minorAscii"/>
          <w:color w:val="000000" w:themeColor="text1" w:themeTint="FF" w:themeShade="FF"/>
          <w:sz w:val="24"/>
          <w:szCs w:val="24"/>
        </w:rPr>
        <w:t>. T</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he </w:t>
      </w:r>
      <w:r w:rsidRPr="7ACD7C2B" w:rsidR="50544B5F">
        <w:rPr>
          <w:rFonts w:ascii="Aptos" w:hAnsi="Aptos" w:eastAsia="Aptos" w:cs="Aptos" w:asciiTheme="minorAscii" w:hAnsiTheme="minorAscii" w:eastAsiaTheme="minorAscii" w:cstheme="minorAscii"/>
          <w:color w:val="000000" w:themeColor="text1" w:themeTint="FF" w:themeShade="FF"/>
          <w:sz w:val="24"/>
          <w:szCs w:val="24"/>
        </w:rPr>
        <w:t xml:space="preserve">prevailing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notion </w:t>
      </w:r>
      <w:r w:rsidRPr="7ACD7C2B" w:rsidR="0EA82E96">
        <w:rPr>
          <w:rFonts w:ascii="Aptos" w:hAnsi="Aptos" w:eastAsia="Aptos" w:cs="Aptos" w:asciiTheme="minorAscii" w:hAnsiTheme="minorAscii" w:eastAsiaTheme="minorAscii" w:cstheme="minorAscii"/>
          <w:color w:val="000000" w:themeColor="text1" w:themeTint="FF" w:themeShade="FF"/>
          <w:sz w:val="24"/>
          <w:szCs w:val="24"/>
        </w:rPr>
        <w:t>was that</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poverty </w:t>
      </w:r>
      <w:r w:rsidRPr="7ACD7C2B" w:rsidR="3626F649">
        <w:rPr>
          <w:rFonts w:ascii="Aptos" w:hAnsi="Aptos" w:eastAsia="Aptos" w:cs="Aptos" w:asciiTheme="minorAscii" w:hAnsiTheme="minorAscii" w:eastAsiaTheme="minorAscii" w:cstheme="minorAscii"/>
          <w:color w:val="000000" w:themeColor="text1" w:themeTint="FF" w:themeShade="FF"/>
          <w:sz w:val="24"/>
          <w:szCs w:val="24"/>
        </w:rPr>
        <w:t>could be</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held at bay by </w:t>
      </w:r>
      <w:r w:rsidRPr="7ACD7C2B" w:rsidR="50779D27">
        <w:rPr>
          <w:rFonts w:ascii="Aptos" w:hAnsi="Aptos" w:eastAsia="Aptos" w:cs="Aptos" w:asciiTheme="minorAscii" w:hAnsiTheme="minorAscii" w:eastAsiaTheme="minorAscii" w:cstheme="minorAscii"/>
          <w:color w:val="000000" w:themeColor="text1" w:themeTint="FF" w:themeShade="FF"/>
          <w:sz w:val="24"/>
          <w:szCs w:val="24"/>
        </w:rPr>
        <w:t>the</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'trickle down' theory</w:t>
      </w:r>
      <w:r w:rsidRPr="7ACD7C2B" w:rsidR="3983656D">
        <w:rPr>
          <w:rFonts w:ascii="Aptos" w:hAnsi="Aptos" w:eastAsia="Aptos" w:cs="Aptos" w:asciiTheme="minorAscii" w:hAnsiTheme="minorAscii" w:eastAsiaTheme="minorAscii" w:cstheme="minorAscii"/>
          <w:color w:val="000000" w:themeColor="text1" w:themeTint="FF" w:themeShade="FF"/>
          <w:sz w:val="24"/>
          <w:szCs w:val="24"/>
        </w:rPr>
        <w:t xml:space="preserve">, whereby wealth generated at the top would </w:t>
      </w:r>
      <w:r w:rsidRPr="7ACD7C2B" w:rsidR="3983656D">
        <w:rPr>
          <w:rFonts w:ascii="Aptos" w:hAnsi="Aptos" w:eastAsia="Aptos" w:cs="Aptos" w:asciiTheme="minorAscii" w:hAnsiTheme="minorAscii" w:eastAsiaTheme="minorAscii" w:cstheme="minorAscii"/>
          <w:color w:val="000000" w:themeColor="text1" w:themeTint="FF" w:themeShade="FF"/>
          <w:sz w:val="24"/>
          <w:szCs w:val="24"/>
        </w:rPr>
        <w:t>benefit</w:t>
      </w:r>
      <w:r w:rsidRPr="7ACD7C2B" w:rsidR="3983656D">
        <w:rPr>
          <w:rFonts w:ascii="Aptos" w:hAnsi="Aptos" w:eastAsia="Aptos" w:cs="Aptos" w:asciiTheme="minorAscii" w:hAnsiTheme="minorAscii" w:eastAsiaTheme="minorAscii" w:cstheme="minorAscii"/>
          <w:color w:val="000000" w:themeColor="text1" w:themeTint="FF" w:themeShade="FF"/>
          <w:sz w:val="24"/>
          <w:szCs w:val="24"/>
        </w:rPr>
        <w:t xml:space="preserve"> lower-income groups through free markets and trade</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(Harvey, 2005; Peck, 2010; Alcock and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May,</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2014).</w:t>
      </w:r>
      <w:r w:rsidRPr="7ACD7C2B" w:rsidR="43DF8347">
        <w:rPr>
          <w:rFonts w:ascii="Aptos" w:hAnsi="Aptos" w:eastAsia="Aptos" w:cs="Aptos" w:asciiTheme="minorAscii" w:hAnsiTheme="minorAscii" w:eastAsiaTheme="minorAscii" w:cstheme="minorAscii"/>
          <w:color w:val="000000" w:themeColor="text1" w:themeTint="FF" w:themeShade="FF"/>
          <w:sz w:val="24"/>
          <w:szCs w:val="24"/>
        </w:rPr>
        <w:t xml:space="preserve"> ‘Figure 1’ below diagram illustrates this theory</w:t>
      </w:r>
      <w:r w:rsidRPr="7ACD7C2B" w:rsidR="43DF8347">
        <w:rPr>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rPr>
        <w:t>:</w:t>
      </w:r>
    </w:p>
    <w:p xmlns:wp14="http://schemas.microsoft.com/office/word/2010/wordml" w:rsidP="714B8EC8" wp14:paraId="4D50AF4F" wp14:textId="63DDE39D">
      <w:pPr>
        <w:pStyle w:val="Normal"/>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rPr>
      </w:pPr>
    </w:p>
    <w:p xmlns:wp14="http://schemas.microsoft.com/office/word/2010/wordml" w:rsidP="714B8EC8" wp14:paraId="7E8395D7" wp14:textId="3DD2AFD4">
      <w:pPr>
        <w:pStyle w:val="Normal"/>
        <w:spacing w:before="0" w:beforeAutospacing="off" w:after="0" w:afterAutospacing="off" w:line="360" w:lineRule="auto"/>
        <w:jc w:val="center"/>
        <w:rPr>
          <w:rFonts w:ascii="Aptos" w:hAnsi="Aptos" w:eastAsia="Aptos" w:cs="Aptos" w:asciiTheme="minorAscii" w:hAnsiTheme="minorAscii" w:eastAsiaTheme="minorAscii" w:cstheme="minorAscii"/>
          <w:color w:val="000000" w:themeColor="text1" w:themeTint="FF" w:themeShade="FF"/>
          <w:sz w:val="24"/>
          <w:szCs w:val="24"/>
        </w:rPr>
      </w:pPr>
      <w:r w:rsidR="38175098">
        <w:drawing>
          <wp:inline xmlns:wp14="http://schemas.microsoft.com/office/word/2010/wordprocessingDrawing" wp14:editId="39620F2B" wp14:anchorId="1B6CBCBE">
            <wp:extent cx="3829050" cy="2867025"/>
            <wp:effectExtent l="0" t="0" r="0" b="0"/>
            <wp:docPr id="85429718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54297182" name="Picture 854297182"/>
                    <pic:cNvPicPr/>
                  </pic:nvPicPr>
                  <pic:blipFill>
                    <a:blip xmlns:r="http://schemas.openxmlformats.org/officeDocument/2006/relationships" r:embed="rId974698800">
                      <a:extLst>
                        <a:ext uri="{28A0092B-C50C-407E-A947-70E740481C1C}">
                          <a14:useLocalDpi xmlns:a14="http://schemas.microsoft.com/office/drawing/2010/main"/>
                        </a:ext>
                      </a:extLst>
                    </a:blip>
                    <a:stretch>
                      <a:fillRect/>
                    </a:stretch>
                  </pic:blipFill>
                  <pic:spPr>
                    <a:xfrm>
                      <a:off x="0" y="0"/>
                      <a:ext cx="3829050" cy="2867025"/>
                    </a:xfrm>
                    <a:prstGeom prst="rect">
                      <a:avLst/>
                    </a:prstGeom>
                  </pic:spPr>
                </pic:pic>
              </a:graphicData>
            </a:graphic>
          </wp:inline>
        </w:drawing>
      </w:r>
    </w:p>
    <w:p xmlns:wp14="http://schemas.microsoft.com/office/word/2010/wordml" w:rsidP="714B8EC8" wp14:paraId="618BF4ED" wp14:textId="6584FBBF">
      <w:pPr>
        <w:pStyle w:val="Normal"/>
        <w:spacing w:before="0" w:beforeAutospacing="off" w:after="0" w:afterAutospacing="off" w:line="360" w:lineRule="auto"/>
        <w:jc w:val="center"/>
        <w:rPr>
          <w:rFonts w:ascii="Aptos" w:hAnsi="Aptos" w:eastAsia="Aptos" w:cs="Aptos" w:asciiTheme="minorAscii" w:hAnsiTheme="minorAscii" w:eastAsiaTheme="minorAscii" w:cstheme="minorAscii"/>
          <w:color w:val="000000" w:themeColor="text1" w:themeTint="FF" w:themeShade="FF"/>
          <w:sz w:val="24"/>
          <w:szCs w:val="24"/>
        </w:rPr>
      </w:pPr>
    </w:p>
    <w:p xmlns:wp14="http://schemas.microsoft.com/office/word/2010/wordml" w:rsidP="714B8EC8" wp14:paraId="159FDFB7" wp14:textId="5A132718">
      <w:pPr>
        <w:spacing w:before="0" w:beforeAutospacing="off" w:after="0" w:afterAutospacing="off" w:line="360" w:lineRule="auto"/>
        <w:jc w:val="center"/>
        <w:rPr>
          <w:rFonts w:ascii="Aptos" w:hAnsi="Aptos" w:eastAsia="Aptos" w:cs="Aptos" w:asciiTheme="minorAscii" w:hAnsiTheme="minorAscii" w:eastAsiaTheme="minorAscii" w:cstheme="minorAscii"/>
          <w:color w:val="000000" w:themeColor="text1" w:themeTint="FF" w:themeShade="FF"/>
          <w:sz w:val="24"/>
          <w:szCs w:val="24"/>
        </w:rPr>
      </w:pPr>
      <w:r w:rsidRPr="714B8EC8" w:rsidR="3817509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Figure 1: ‘</w:t>
      </w:r>
      <w:r w:rsidRPr="714B8EC8" w:rsidR="3817509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Trickle down</w:t>
      </w:r>
      <w:r w:rsidRPr="714B8EC8" w:rsidR="3817509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effect’,</w:t>
      </w:r>
      <w:r w:rsidRPr="714B8EC8" w:rsidR="38175098">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 xml:space="preserve"> (</w:t>
      </w:r>
      <w:r w:rsidRPr="714B8EC8" w:rsidR="38175098">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Pettinger 2022)</w:t>
      </w:r>
    </w:p>
    <w:p xmlns:wp14="http://schemas.microsoft.com/office/word/2010/wordml" w:rsidP="714B8EC8" wp14:paraId="1AF0B077" wp14:textId="7B0E8699">
      <w:pPr>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r w:rsidRPr="714B8EC8"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p>
    <w:p xmlns:wp14="http://schemas.microsoft.com/office/word/2010/wordml" w:rsidP="7ACD7C2B" wp14:paraId="0E86AD57" wp14:textId="28FB868D">
      <w:pPr>
        <w:spacing w:before="0" w:beforeAutospacing="off" w:after="0" w:afterAutospacing="off" w:line="360" w:lineRule="auto"/>
        <w:rPr>
          <w:rFonts w:ascii="Aptos" w:hAnsi="Aptos" w:eastAsia="Aptos" w:cs="Aptos" w:asciiTheme="minorAscii" w:hAnsiTheme="minorAscii" w:eastAsiaTheme="minorAscii" w:cstheme="minorAscii"/>
          <w:i w:val="1"/>
          <w:iCs w:val="1"/>
          <w:color w:val="000000" w:themeColor="text1" w:themeTint="FF" w:themeShade="FF"/>
          <w:sz w:val="24"/>
          <w:szCs w:val="24"/>
        </w:rPr>
      </w:pPr>
      <w:r w:rsidRPr="7ACD7C2B" w:rsidR="7F8FE9A6">
        <w:rPr>
          <w:rFonts w:ascii="Aptos" w:hAnsi="Aptos" w:eastAsia="Aptos" w:cs="Aptos" w:asciiTheme="minorAscii" w:hAnsiTheme="minorAscii" w:eastAsiaTheme="minorAscii" w:cstheme="minorAscii"/>
          <w:color w:val="000000" w:themeColor="text1" w:themeTint="FF" w:themeShade="FF"/>
          <w:sz w:val="24"/>
          <w:szCs w:val="24"/>
        </w:rPr>
        <w:t xml:space="preserve">In contrast,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Keynesian ideology dominated UK politics prior to the late 1970s (pre-Thatcher). This approach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maintained</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that during periods of economic stress, state intervention and employment should be encouraged to protect and stabilise markets</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The assumption was that government intervention was necessary to correct market failures and protect social welfare at times of economic need (Keynes, 1936; IMF, 2014). Contrasting this approach, the SWP/SWV present</w:t>
      </w:r>
      <w:r w:rsidRPr="7ACD7C2B" w:rsidR="7A8B7AE6">
        <w:rPr>
          <w:rFonts w:ascii="Aptos" w:hAnsi="Aptos" w:eastAsia="Aptos" w:cs="Aptos" w:asciiTheme="minorAscii" w:hAnsiTheme="minorAscii" w:eastAsiaTheme="minorAscii" w:cstheme="minorAscii"/>
          <w:color w:val="000000" w:themeColor="text1" w:themeTint="FF" w:themeShade="FF"/>
          <w:sz w:val="24"/>
          <w:szCs w:val="24"/>
        </w:rPr>
        <w:t xml:space="preserve">s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a different form of government intervention. Rather than supporting the stabilisation of labour markets through improved wages, working conditions and long-term workforce development; the state instead </w:t>
      </w:r>
      <w:r w:rsidRPr="7ACD7C2B" w:rsidR="10740A0C">
        <w:rPr>
          <w:rFonts w:ascii="Aptos" w:hAnsi="Aptos" w:eastAsia="Aptos" w:cs="Aptos" w:asciiTheme="minorAscii" w:hAnsiTheme="minorAscii" w:eastAsiaTheme="minorAscii" w:cstheme="minorAscii"/>
          <w:color w:val="000000" w:themeColor="text1" w:themeTint="FF" w:themeShade="FF"/>
          <w:sz w:val="24"/>
          <w:szCs w:val="24"/>
        </w:rPr>
        <w:t xml:space="preserve">intervened to </w:t>
      </w:r>
      <w:r w:rsidRPr="7ACD7C2B" w:rsidR="76F230D1">
        <w:rPr>
          <w:rFonts w:ascii="Aptos" w:hAnsi="Aptos" w:eastAsia="Aptos" w:cs="Aptos" w:asciiTheme="minorAscii" w:hAnsiTheme="minorAscii" w:eastAsiaTheme="minorAscii" w:cstheme="minorAscii"/>
          <w:color w:val="000000" w:themeColor="text1" w:themeTint="FF" w:themeShade="FF"/>
          <w:sz w:val="24"/>
          <w:szCs w:val="24"/>
          <w:u w:val="none"/>
        </w:rPr>
        <w:t>produce</w:t>
      </w:r>
      <w:r w:rsidRPr="7ACD7C2B" w:rsidR="76F230D1">
        <w:rPr>
          <w:rFonts w:ascii="Aptos" w:hAnsi="Aptos" w:eastAsia="Aptos" w:cs="Aptos" w:asciiTheme="minorAscii" w:hAnsiTheme="minorAscii" w:eastAsiaTheme="minorAscii" w:cstheme="minorAscii"/>
          <w:i w:val="1"/>
          <w:iCs w:val="1"/>
          <w:color w:val="000000" w:themeColor="text1" w:themeTint="FF" w:themeShade="FF"/>
          <w:sz w:val="24"/>
          <w:szCs w:val="24"/>
          <w:u w:val="none"/>
        </w:rPr>
        <w:t xml:space="preserve">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a policy that secures a compliant and temporary workforce (Scott, 2013). This approach</w:t>
      </w:r>
      <w:r w:rsidRPr="7ACD7C2B" w:rsidR="6D4448D1">
        <w:rPr>
          <w:rFonts w:ascii="Aptos" w:hAnsi="Aptos" w:eastAsia="Aptos" w:cs="Aptos" w:asciiTheme="minorAscii" w:hAnsiTheme="minorAscii" w:eastAsiaTheme="minorAscii" w:cstheme="minorAscii"/>
          <w:color w:val="000000" w:themeColor="text1" w:themeTint="FF" w:themeShade="FF"/>
          <w:sz w:val="24"/>
          <w:szCs w:val="24"/>
        </w:rPr>
        <w:t xml:space="preserve"> is suggested to</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prioritise agricultural employers and the provision of food under the narrative of securing workers to manage 'labour shortage' at the cheapest rate whilst limiting the rights of vulnerable workers and normalising temporary, unequal labour (Milbourne and Coulson, 2021). The failure of the system is due to it being tailored to manage and control market forces over social and human sustainability; rather than addressing the structural </w:t>
      </w:r>
      <w:r w:rsidRPr="7ACD7C2B" w:rsidR="110D22EA">
        <w:rPr>
          <w:rFonts w:ascii="Aptos" w:hAnsi="Aptos" w:eastAsia="Aptos" w:cs="Aptos" w:asciiTheme="minorAscii" w:hAnsiTheme="minorAscii" w:eastAsiaTheme="minorAscii" w:cstheme="minorAscii"/>
          <w:color w:val="000000" w:themeColor="text1" w:themeTint="FF" w:themeShade="FF"/>
          <w:sz w:val="24"/>
          <w:szCs w:val="24"/>
        </w:rPr>
        <w:t xml:space="preserve">conditions </w:t>
      </w:r>
      <w:r w:rsidRPr="7ACD7C2B" w:rsidR="52DC0062">
        <w:rPr>
          <w:rFonts w:ascii="Aptos" w:hAnsi="Aptos" w:eastAsia="Aptos" w:cs="Aptos" w:asciiTheme="minorAscii" w:hAnsiTheme="minorAscii" w:eastAsiaTheme="minorAscii" w:cstheme="minorAscii"/>
          <w:color w:val="000000" w:themeColor="text1" w:themeTint="FF" w:themeShade="FF"/>
          <w:sz w:val="24"/>
          <w:szCs w:val="24"/>
        </w:rPr>
        <w:t>that reproduce</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labour precarity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Sbicca</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2018; Palumbo, 2024).</w:t>
      </w:r>
      <w:r w:rsidRPr="7ACD7C2B" w:rsidR="76F230D1">
        <w:rPr>
          <w:rFonts w:ascii="Aptos" w:hAnsi="Aptos" w:eastAsia="Aptos" w:cs="Aptos" w:asciiTheme="minorAscii" w:hAnsiTheme="minorAscii" w:eastAsiaTheme="minorAscii" w:cstheme="minorAscii"/>
          <w:i w:val="1"/>
          <w:iCs w:val="1"/>
          <w:color w:val="000000" w:themeColor="text1" w:themeTint="FF" w:themeShade="FF"/>
          <w:sz w:val="24"/>
          <w:szCs w:val="24"/>
        </w:rPr>
        <w:t xml:space="preserve"> </w:t>
      </w:r>
    </w:p>
    <w:p xmlns:wp14="http://schemas.microsoft.com/office/word/2010/wordml" w:rsidP="714B8EC8" wp14:paraId="14F1B94F" wp14:textId="54F30B10">
      <w:pPr>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r w:rsidRPr="714B8EC8"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p>
    <w:p xmlns:wp14="http://schemas.microsoft.com/office/word/2010/wordml" w:rsidP="714B8EC8" wp14:paraId="2BBF15D8" wp14:textId="3CD54503">
      <w:pPr>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Conditionality of belonging is central to neoliberal ideology; </w:t>
      </w:r>
      <w:r w:rsidRPr="7ACD7C2B" w:rsidR="76F230D1">
        <w:rPr>
          <w:rFonts w:ascii="Aptos" w:hAnsi="Aptos" w:eastAsia="Aptos" w:cs="Aptos" w:asciiTheme="minorAscii" w:hAnsiTheme="minorAscii" w:eastAsiaTheme="minorAscii" w:cstheme="minorAscii"/>
          <w:color w:val="000000" w:themeColor="text1" w:themeTint="FF" w:themeShade="FF"/>
          <w:sz w:val="24"/>
          <w:szCs w:val="24"/>
          <w:u w:val="none"/>
        </w:rPr>
        <w:t>Ong (2022)</w:t>
      </w:r>
      <w:r w:rsidRPr="7ACD7C2B" w:rsidR="76F230D1">
        <w:rPr>
          <w:rFonts w:ascii="Aptos" w:hAnsi="Aptos" w:eastAsia="Aptos" w:cs="Aptos" w:asciiTheme="minorAscii" w:hAnsiTheme="minorAscii" w:eastAsiaTheme="minorAscii" w:cstheme="minorAscii"/>
          <w:i w:val="1"/>
          <w:iCs w:val="1"/>
          <w:color w:val="000000" w:themeColor="text1" w:themeTint="FF" w:themeShade="FF"/>
          <w:sz w:val="24"/>
          <w:szCs w:val="24"/>
          <w:u w:val="none"/>
        </w:rPr>
        <w:t xml:space="preserve">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illustrates this through the concept of flexible citizenship, describing how those with wealth can strategically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acquire</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dual citizenship or residency rights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in order to</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maximise economic opportunity</w:t>
      </w:r>
      <w:r w:rsidRPr="7ACD7C2B" w:rsidR="48E4717B">
        <w:rPr>
          <w:rFonts w:ascii="Aptos" w:hAnsi="Aptos" w:eastAsia="Aptos" w:cs="Aptos" w:asciiTheme="minorAscii" w:hAnsiTheme="minorAscii" w:eastAsiaTheme="minorAscii" w:cstheme="minorAscii"/>
          <w:color w:val="000000" w:themeColor="text1" w:themeTint="FF" w:themeShade="FF"/>
          <w:sz w:val="24"/>
          <w:szCs w:val="24"/>
        </w:rPr>
        <w:t xml:space="preserve"> for </w:t>
      </w:r>
      <w:r w:rsidRPr="7ACD7C2B" w:rsidR="3754DF3D">
        <w:rPr>
          <w:rFonts w:ascii="Aptos" w:hAnsi="Aptos" w:eastAsia="Aptos" w:cs="Aptos" w:asciiTheme="minorAscii" w:hAnsiTheme="minorAscii" w:eastAsiaTheme="minorAscii" w:cstheme="minorAscii"/>
          <w:color w:val="000000" w:themeColor="text1" w:themeTint="FF" w:themeShade="FF"/>
          <w:sz w:val="24"/>
          <w:szCs w:val="24"/>
        </w:rPr>
        <w:t xml:space="preserve">a </w:t>
      </w:r>
      <w:r w:rsidRPr="7ACD7C2B" w:rsidR="48E4717B">
        <w:rPr>
          <w:rFonts w:ascii="Aptos" w:hAnsi="Aptos" w:eastAsia="Aptos" w:cs="Aptos" w:asciiTheme="minorAscii" w:hAnsiTheme="minorAscii" w:eastAsiaTheme="minorAscii" w:cstheme="minorAscii"/>
          <w:color w:val="000000" w:themeColor="text1" w:themeTint="FF" w:themeShade="FF"/>
          <w:sz w:val="24"/>
          <w:szCs w:val="24"/>
        </w:rPr>
        <w:t>countr</w:t>
      </w:r>
      <w:r w:rsidRPr="7ACD7C2B" w:rsidR="515CA6F5">
        <w:rPr>
          <w:rFonts w:ascii="Aptos" w:hAnsi="Aptos" w:eastAsia="Aptos" w:cs="Aptos" w:asciiTheme="minorAscii" w:hAnsiTheme="minorAscii" w:eastAsiaTheme="minorAscii" w:cstheme="minorAscii"/>
          <w:color w:val="000000" w:themeColor="text1" w:themeTint="FF" w:themeShade="FF"/>
          <w:sz w:val="24"/>
          <w:szCs w:val="24"/>
        </w:rPr>
        <w:t>y</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In this context, citizenship becomes a market asset rather than a fixed status. Anderson (2021) furthers this argument by linking rights of citizenship to broader structures of inequality, </w:t>
      </w:r>
      <w:r w:rsidRPr="7ACD7C2B" w:rsidR="7F4AD950">
        <w:rPr>
          <w:rFonts w:ascii="Aptos" w:hAnsi="Aptos" w:eastAsia="Aptos" w:cs="Aptos" w:asciiTheme="minorAscii" w:hAnsiTheme="minorAscii" w:eastAsiaTheme="minorAscii" w:cstheme="minorAscii"/>
          <w:color w:val="000000" w:themeColor="text1" w:themeTint="FF" w:themeShade="FF"/>
          <w:sz w:val="24"/>
          <w:szCs w:val="24"/>
        </w:rPr>
        <w:t>suggesting</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that states are more receptive to migrants who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d</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emonstrate</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economic value through capital or investment. In contrast, those who lack such resources are subjected to heightened conditional legal and social statuses</w:t>
      </w:r>
      <w:r w:rsidRPr="7ACD7C2B" w:rsidR="0D04C4B0">
        <w:rPr>
          <w:rFonts w:ascii="Aptos" w:hAnsi="Aptos" w:eastAsia="Aptos" w:cs="Aptos" w:asciiTheme="minorAscii" w:hAnsiTheme="minorAscii" w:eastAsiaTheme="minorAscii" w:cstheme="minorAscii"/>
          <w:color w:val="000000" w:themeColor="text1" w:themeTint="FF" w:themeShade="FF"/>
          <w:sz w:val="24"/>
          <w:szCs w:val="24"/>
        </w:rPr>
        <w:t>,</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regulat</w:t>
      </w:r>
      <w:r w:rsidRPr="7ACD7C2B" w:rsidR="624B4EE6">
        <w:rPr>
          <w:rFonts w:ascii="Aptos" w:hAnsi="Aptos" w:eastAsia="Aptos" w:cs="Aptos" w:asciiTheme="minorAscii" w:hAnsiTheme="minorAscii" w:eastAsiaTheme="minorAscii" w:cstheme="minorAscii"/>
          <w:color w:val="000000" w:themeColor="text1" w:themeTint="FF" w:themeShade="FF"/>
          <w:sz w:val="24"/>
          <w:szCs w:val="24"/>
        </w:rPr>
        <w:t>ing</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mobility and distinguish</w:t>
      </w:r>
      <w:r w:rsidRPr="7ACD7C2B" w:rsidR="00D5CE4F">
        <w:rPr>
          <w:rFonts w:ascii="Aptos" w:hAnsi="Aptos" w:eastAsia="Aptos" w:cs="Aptos" w:asciiTheme="minorAscii" w:hAnsiTheme="minorAscii" w:eastAsiaTheme="minorAscii" w:cstheme="minorAscii"/>
          <w:color w:val="000000" w:themeColor="text1" w:themeTint="FF" w:themeShade="FF"/>
          <w:sz w:val="24"/>
          <w:szCs w:val="24"/>
        </w:rPr>
        <w:t>ing</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between those who are considered 'deserving' and 'undeserving'. This is a distinction reflected in current UK migration policy, where highly qualified migrants can access longer-term residence, </w:t>
      </w:r>
      <w:r w:rsidRPr="7ACD7C2B" w:rsidR="2CC8F69C">
        <w:rPr>
          <w:rFonts w:ascii="Aptos" w:hAnsi="Aptos" w:eastAsia="Aptos" w:cs="Aptos" w:asciiTheme="minorAscii" w:hAnsiTheme="minorAscii" w:eastAsiaTheme="minorAscii" w:cstheme="minorAscii"/>
          <w:color w:val="000000" w:themeColor="text1" w:themeTint="FF" w:themeShade="FF"/>
          <w:sz w:val="24"/>
          <w:szCs w:val="24"/>
        </w:rPr>
        <w:t>yet</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agricultural labourers are granted a maximum stay of six months (Castles, 2004; Independent Chief Inspector of Borders and Immigration, 2022; Home Office, 2025a). Anderson (2021) further suggests that traditions of governing labour and wealth are closely tied to belonging and inclusion, producing a form of neoliberal conditionality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e</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vident</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in t</w:t>
      </w:r>
      <w:r w:rsidRPr="7ACD7C2B" w:rsidR="00527421">
        <w:rPr>
          <w:rFonts w:ascii="Aptos" w:hAnsi="Aptos" w:eastAsia="Aptos" w:cs="Aptos" w:asciiTheme="minorAscii" w:hAnsiTheme="minorAscii" w:eastAsiaTheme="minorAscii" w:cstheme="minorAscii"/>
          <w:color w:val="000000" w:themeColor="text1" w:themeTint="FF" w:themeShade="FF"/>
          <w:sz w:val="24"/>
          <w:szCs w:val="24"/>
        </w:rPr>
        <w:t xml:space="preserve">he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SWP/SWV scheme</w:t>
      </w:r>
      <w:r w:rsidRPr="7ACD7C2B" w:rsidR="397EF54A">
        <w:rPr>
          <w:rFonts w:ascii="Aptos" w:hAnsi="Aptos" w:eastAsia="Aptos" w:cs="Aptos" w:asciiTheme="minorAscii" w:hAnsiTheme="minorAscii" w:eastAsiaTheme="minorAscii" w:cstheme="minorAscii"/>
          <w:color w:val="000000" w:themeColor="text1" w:themeTint="FF" w:themeShade="FF"/>
          <w:sz w:val="24"/>
          <w:szCs w:val="24"/>
        </w:rPr>
        <w:t>s</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r w:rsidRPr="7ACD7C2B" w:rsidR="36538D1C">
        <w:rPr>
          <w:rFonts w:ascii="Aptos" w:hAnsi="Aptos" w:eastAsia="Aptos" w:cs="Aptos" w:asciiTheme="minorAscii" w:hAnsiTheme="minorAscii" w:eastAsiaTheme="minorAscii" w:cstheme="minorAscii"/>
          <w:color w:val="000000" w:themeColor="text1" w:themeTint="FF" w:themeShade="FF"/>
          <w:sz w:val="24"/>
          <w:szCs w:val="24"/>
        </w:rPr>
        <w:t>For example, w</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orkers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a</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re required to</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d</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emonstrate</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at least £1,270 in savings and apply for a temporary visa costing £318, in addition to covering their own travel expenses. However, they are not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p</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ermitted</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to bring family members or dependants, cannot access public funds, and must leave after six months (Home Office, 2026a). This reinforces the narrative that migrant workers are economically valued for their labour while being socially excluded and denied full membership within society (Taylor, 199</w:t>
      </w:r>
      <w:r w:rsidRPr="7ACD7C2B" w:rsidR="563ADD85">
        <w:rPr>
          <w:rFonts w:ascii="Aptos" w:hAnsi="Aptos" w:eastAsia="Aptos" w:cs="Aptos" w:asciiTheme="minorAscii" w:hAnsiTheme="minorAscii" w:eastAsiaTheme="minorAscii" w:cstheme="minorAscii"/>
          <w:color w:val="000000" w:themeColor="text1" w:themeTint="FF" w:themeShade="FF"/>
          <w:sz w:val="24"/>
          <w:szCs w:val="24"/>
        </w:rPr>
        <w:t>4</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M</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antouvalou</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2023; Anderson, 2010).</w:t>
      </w:r>
    </w:p>
    <w:p xmlns:wp14="http://schemas.microsoft.com/office/word/2010/wordml" w:rsidP="714B8EC8" wp14:paraId="10CCEBBC" wp14:textId="1E064005">
      <w:pPr>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r w:rsidRPr="714B8EC8"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p>
    <w:p xmlns:wp14="http://schemas.microsoft.com/office/word/2010/wordml" w:rsidP="7ACD7C2B" wp14:paraId="0A4DB72A" wp14:textId="4DF1FAB3">
      <w:pPr>
        <w:pStyle w:val="Normal"/>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u w:val="none"/>
        </w:rPr>
      </w:pP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Neoliberal governance can be viewed through a Foucauldian </w:t>
      </w:r>
      <w:r w:rsidRPr="7ACD7C2B" w:rsidR="33E8876F">
        <w:rPr>
          <w:rFonts w:ascii="Aptos" w:hAnsi="Aptos" w:eastAsia="Aptos" w:cs="Aptos" w:asciiTheme="minorAscii" w:hAnsiTheme="minorAscii" w:eastAsiaTheme="minorAscii" w:cstheme="minorAscii"/>
          <w:color w:val="000000" w:themeColor="text1" w:themeTint="FF" w:themeShade="FF"/>
          <w:sz w:val="24"/>
          <w:szCs w:val="24"/>
        </w:rPr>
        <w:t>lens</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w:t>
      </w:r>
      <w:r w:rsidRPr="7ACD7C2B" w:rsidR="7FEE9720">
        <w:rPr>
          <w:rFonts w:ascii="Aptos" w:hAnsi="Aptos" w:eastAsia="Aptos" w:cs="Aptos" w:asciiTheme="minorAscii" w:hAnsiTheme="minorAscii" w:eastAsiaTheme="minorAscii" w:cstheme="minorAscii"/>
          <w:color w:val="000000" w:themeColor="text1" w:themeTint="FF" w:themeShade="FF"/>
          <w:sz w:val="24"/>
          <w:szCs w:val="24"/>
        </w:rPr>
        <w:t xml:space="preserve"> </w:t>
      </w:r>
      <w:r w:rsidRPr="7ACD7C2B" w:rsidR="76F230D1">
        <w:rPr>
          <w:rFonts w:ascii="Aptos" w:hAnsi="Aptos" w:eastAsia="Aptos" w:cs="Aptos" w:asciiTheme="minorAscii" w:hAnsiTheme="minorAscii" w:eastAsiaTheme="minorAscii" w:cstheme="minorAscii"/>
          <w:color w:val="000000" w:themeColor="text1" w:themeTint="FF" w:themeShade="FF"/>
          <w:sz w:val="24"/>
          <w:szCs w:val="24"/>
          <w:u w:val="none"/>
        </w:rPr>
        <w:t>as power exercised through</w:t>
      </w:r>
      <w:r w:rsidRPr="7ACD7C2B" w:rsidR="76F230D1">
        <w:rPr>
          <w:rFonts w:ascii="Aptos" w:hAnsi="Aptos" w:eastAsia="Aptos" w:cs="Aptos" w:asciiTheme="minorAscii" w:hAnsiTheme="minorAscii" w:eastAsiaTheme="minorAscii" w:cstheme="minorAscii"/>
          <w:i w:val="1"/>
          <w:iCs w:val="1"/>
          <w:color w:val="000000" w:themeColor="text1" w:themeTint="FF" w:themeShade="FF"/>
          <w:sz w:val="24"/>
          <w:szCs w:val="24"/>
          <w:u w:val="none"/>
        </w:rPr>
        <w:t xml:space="preserve">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subtle normalised controlling techniques (Foucault, 1980, cited in Chee, 2025; Davies, 2018). Foucault's concept of the panopticon</w:t>
      </w:r>
      <w:r w:rsidRPr="7ACD7C2B" w:rsidR="3C69C1F6">
        <w:rPr>
          <w:rFonts w:ascii="Aptos" w:hAnsi="Aptos" w:eastAsia="Aptos" w:cs="Aptos" w:asciiTheme="minorAscii" w:hAnsiTheme="minorAscii" w:eastAsiaTheme="minorAscii" w:cstheme="minorAscii"/>
          <w:color w:val="000000" w:themeColor="text1" w:themeTint="FF" w:themeShade="FF"/>
          <w:sz w:val="24"/>
          <w:szCs w:val="24"/>
          <w:u w:val="none"/>
        </w:rPr>
        <w:t xml:space="preserve"> illustrates</w:t>
      </w:r>
      <w:r w:rsidRPr="7ACD7C2B" w:rsidR="76F230D1">
        <w:rPr>
          <w:rFonts w:ascii="Aptos" w:hAnsi="Aptos" w:eastAsia="Aptos" w:cs="Aptos" w:asciiTheme="minorAscii" w:hAnsiTheme="minorAscii" w:eastAsiaTheme="minorAscii" w:cstheme="minorAscii"/>
          <w:color w:val="000000" w:themeColor="text1" w:themeTint="FF" w:themeShade="FF"/>
          <w:sz w:val="24"/>
          <w:szCs w:val="24"/>
          <w:u w:val="none"/>
        </w:rPr>
        <w:t xml:space="preserve"> a structure that allows </w:t>
      </w:r>
      <w:r w:rsidRPr="7ACD7C2B" w:rsidR="69DC0C4D">
        <w:rPr>
          <w:rFonts w:ascii="Aptos" w:hAnsi="Aptos" w:eastAsia="Aptos" w:cs="Aptos" w:asciiTheme="minorAscii" w:hAnsiTheme="minorAscii" w:eastAsiaTheme="minorAscii" w:cstheme="minorAscii"/>
          <w:color w:val="000000" w:themeColor="text1" w:themeTint="FF" w:themeShade="FF"/>
          <w:sz w:val="24"/>
          <w:szCs w:val="24"/>
          <w:u w:val="none"/>
        </w:rPr>
        <w:t>‘</w:t>
      </w:r>
      <w:r w:rsidRPr="7ACD7C2B" w:rsidR="76F230D1">
        <w:rPr>
          <w:rFonts w:ascii="Aptos" w:hAnsi="Aptos" w:eastAsia="Aptos" w:cs="Aptos" w:asciiTheme="minorAscii" w:hAnsiTheme="minorAscii" w:eastAsiaTheme="minorAscii" w:cstheme="minorAscii"/>
          <w:color w:val="000000" w:themeColor="text1" w:themeTint="FF" w:themeShade="FF"/>
          <w:sz w:val="24"/>
          <w:szCs w:val="24"/>
          <w:u w:val="none"/>
        </w:rPr>
        <w:t>subjects</w:t>
      </w:r>
      <w:r w:rsidRPr="7ACD7C2B" w:rsidR="09DFC7F4">
        <w:rPr>
          <w:rFonts w:ascii="Aptos" w:hAnsi="Aptos" w:eastAsia="Aptos" w:cs="Aptos" w:asciiTheme="minorAscii" w:hAnsiTheme="minorAscii" w:eastAsiaTheme="minorAscii" w:cstheme="minorAscii"/>
          <w:color w:val="000000" w:themeColor="text1" w:themeTint="FF" w:themeShade="FF"/>
          <w:sz w:val="24"/>
          <w:szCs w:val="24"/>
          <w:u w:val="none"/>
        </w:rPr>
        <w:t>’ (individuals)</w:t>
      </w:r>
      <w:r w:rsidRPr="7ACD7C2B" w:rsidR="76F230D1">
        <w:rPr>
          <w:rFonts w:ascii="Aptos" w:hAnsi="Aptos" w:eastAsia="Aptos" w:cs="Aptos" w:asciiTheme="minorAscii" w:hAnsiTheme="minorAscii" w:eastAsiaTheme="minorAscii" w:cstheme="minorAscii"/>
          <w:color w:val="000000" w:themeColor="text1" w:themeTint="FF" w:themeShade="FF"/>
          <w:sz w:val="24"/>
          <w:szCs w:val="24"/>
          <w:u w:val="none"/>
        </w:rPr>
        <w:t xml:space="preserve"> to be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observed</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at any point without </w:t>
      </w:r>
      <w:r w:rsidRPr="7ACD7C2B" w:rsidR="03CFC1A9">
        <w:rPr>
          <w:rFonts w:ascii="Aptos" w:hAnsi="Aptos" w:eastAsia="Aptos" w:cs="Aptos" w:asciiTheme="minorAscii" w:hAnsiTheme="minorAscii" w:eastAsiaTheme="minorAscii" w:cstheme="minorAscii"/>
          <w:color w:val="000000" w:themeColor="text1" w:themeTint="FF" w:themeShade="FF"/>
          <w:sz w:val="24"/>
          <w:szCs w:val="24"/>
        </w:rPr>
        <w:t>knowing</w:t>
      </w:r>
      <w:r w:rsidRPr="7ACD7C2B" w:rsidR="76A9ADCA">
        <w:rPr>
          <w:rFonts w:ascii="Aptos" w:hAnsi="Aptos" w:eastAsia="Aptos" w:cs="Aptos" w:asciiTheme="minorAscii" w:hAnsiTheme="minorAscii" w:eastAsiaTheme="minorAscii" w:cstheme="minorAscii"/>
          <w:color w:val="000000" w:themeColor="text1" w:themeTint="FF" w:themeShade="FF"/>
          <w:sz w:val="24"/>
          <w:szCs w:val="24"/>
        </w:rPr>
        <w:t xml:space="preserve"> when</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is a useful framework for analysing the experience of migrant workers. </w:t>
      </w:r>
      <w:r w:rsidRPr="7ACD7C2B" w:rsidR="4CC206BE">
        <w:rPr>
          <w:rFonts w:ascii="Aptos" w:hAnsi="Aptos" w:eastAsia="Aptos" w:cs="Aptos" w:asciiTheme="minorAscii" w:hAnsiTheme="minorAscii" w:eastAsiaTheme="minorAscii" w:cstheme="minorAscii"/>
          <w:color w:val="000000" w:themeColor="text1" w:themeTint="FF" w:themeShade="FF"/>
          <w:sz w:val="24"/>
          <w:szCs w:val="24"/>
        </w:rPr>
        <w:t xml:space="preserve">  </w:t>
      </w:r>
      <w:r w:rsidRPr="7ACD7C2B" w:rsidR="70790FD8">
        <w:rPr>
          <w:rFonts w:ascii="Aptos" w:hAnsi="Aptos" w:eastAsia="Aptos" w:cs="Aptos" w:asciiTheme="minorAscii" w:hAnsiTheme="minorAscii" w:eastAsiaTheme="minorAscii" w:cstheme="minorAscii"/>
          <w:color w:val="000000" w:themeColor="text1" w:themeTint="FF" w:themeShade="FF"/>
          <w:sz w:val="24"/>
          <w:szCs w:val="24"/>
        </w:rPr>
        <w:t xml:space="preserve">‘Figure 2’ </w:t>
      </w:r>
      <w:r w:rsidRPr="7ACD7C2B" w:rsidR="70790FD8">
        <w:rPr>
          <w:rFonts w:ascii="Aptos" w:hAnsi="Aptos" w:eastAsia="Aptos" w:cs="Aptos" w:asciiTheme="minorAscii" w:hAnsiTheme="minorAscii" w:eastAsiaTheme="minorAscii" w:cstheme="minorAscii"/>
          <w:color w:val="000000" w:themeColor="text1" w:themeTint="FF" w:themeShade="FF"/>
          <w:sz w:val="24"/>
          <w:szCs w:val="24"/>
        </w:rPr>
        <w:t>demonstrates</w:t>
      </w:r>
      <w:r w:rsidRPr="7ACD7C2B" w:rsidR="70790FD8">
        <w:rPr>
          <w:rFonts w:ascii="Aptos" w:hAnsi="Aptos" w:eastAsia="Aptos" w:cs="Aptos" w:asciiTheme="minorAscii" w:hAnsiTheme="minorAscii" w:eastAsiaTheme="minorAscii" w:cstheme="minorAscii"/>
          <w:color w:val="000000" w:themeColor="text1" w:themeTint="FF" w:themeShade="FF"/>
          <w:sz w:val="24"/>
          <w:szCs w:val="24"/>
        </w:rPr>
        <w:t xml:space="preserve"> this concept using the penitentiary system.</w:t>
      </w:r>
    </w:p>
    <w:p xmlns:wp14="http://schemas.microsoft.com/office/word/2010/wordml" w:rsidP="7ACD7C2B" wp14:paraId="22FEE4FA" wp14:textId="718F92BD">
      <w:pPr>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p>
    <w:p xmlns:wp14="http://schemas.microsoft.com/office/word/2010/wordml" w:rsidP="7ACD7C2B" wp14:paraId="7EED2802" wp14:textId="26961BB8">
      <w:pPr>
        <w:pStyle w:val="Normal"/>
        <w:spacing w:before="0" w:beforeAutospacing="off" w:after="0" w:afterAutospacing="off" w:line="360" w:lineRule="auto"/>
        <w:jc w:val="center"/>
        <w:rPr>
          <w:rFonts w:ascii="Aptos" w:hAnsi="Aptos" w:eastAsia="Aptos" w:cs="Aptos" w:asciiTheme="minorAscii" w:hAnsiTheme="minorAscii" w:eastAsiaTheme="minorAscii" w:cstheme="minorAscii"/>
          <w:color w:val="000000" w:themeColor="text1" w:themeTint="FF" w:themeShade="FF"/>
          <w:sz w:val="24"/>
          <w:szCs w:val="24"/>
        </w:rPr>
      </w:pPr>
      <w:r w:rsidR="4CC206BE">
        <w:drawing>
          <wp:inline xmlns:wp14="http://schemas.microsoft.com/office/word/2010/wordprocessingDrawing" wp14:editId="3CEF4B46" wp14:anchorId="72EA8677">
            <wp:extent cx="2295525" cy="1771650"/>
            <wp:effectExtent l="0" t="0" r="0" b="0"/>
            <wp:docPr id="149948984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97512231" name="Picture 1897512231"/>
                    <pic:cNvPicPr/>
                  </pic:nvPicPr>
                  <pic:blipFill>
                    <a:blip xmlns:r="http://schemas.openxmlformats.org/officeDocument/2006/relationships" r:embed="rId1423659520">
                      <a:extLst>
                        <a:ext uri="{28A0092B-C50C-407E-A947-70E740481C1C}">
                          <a14:useLocalDpi xmlns:a14="http://schemas.microsoft.com/office/drawing/2010/main"/>
                        </a:ext>
                      </a:extLst>
                    </a:blip>
                    <a:stretch>
                      <a:fillRect/>
                    </a:stretch>
                  </pic:blipFill>
                  <pic:spPr>
                    <a:xfrm>
                      <a:off x="0" y="0"/>
                      <a:ext cx="2295525" cy="1771650"/>
                    </a:xfrm>
                    <a:prstGeom prst="rect">
                      <a:avLst/>
                    </a:prstGeom>
                  </pic:spPr>
                </pic:pic>
              </a:graphicData>
            </a:graphic>
          </wp:inline>
        </w:drawing>
      </w:r>
    </w:p>
    <w:p xmlns:wp14="http://schemas.microsoft.com/office/word/2010/wordml" w:rsidP="7ACD7C2B" wp14:paraId="0F595DF2" wp14:textId="5396AC4B">
      <w:pPr>
        <w:pStyle w:val="Normal"/>
        <w:spacing w:before="0" w:beforeAutospacing="off" w:after="0" w:afterAutospacing="off" w:line="360" w:lineRule="auto"/>
        <w:jc w:val="center"/>
        <w:rPr>
          <w:rFonts w:ascii="Aptos" w:hAnsi="Aptos" w:eastAsia="Aptos" w:cs="Aptos" w:asciiTheme="minorAscii" w:hAnsiTheme="minorAscii" w:eastAsiaTheme="minorAscii" w:cstheme="minorAscii"/>
          <w:color w:val="000000" w:themeColor="text1" w:themeTint="FF" w:themeShade="FF"/>
          <w:sz w:val="24"/>
          <w:szCs w:val="24"/>
        </w:rPr>
      </w:pPr>
    </w:p>
    <w:p xmlns:wp14="http://schemas.microsoft.com/office/word/2010/wordml" w:rsidP="7ACD7C2B" wp14:paraId="5A1CF540" wp14:textId="19B655AE">
      <w:pPr>
        <w:spacing w:before="0" w:beforeAutospacing="off" w:after="0" w:afterAutospacing="off" w:line="360" w:lineRule="auto"/>
        <w:jc w:val="center"/>
        <w:rPr>
          <w:rFonts w:ascii="Aptos" w:hAnsi="Aptos" w:eastAsia="Aptos" w:cs="Aptos" w:asciiTheme="minorAscii" w:hAnsiTheme="minorAscii" w:eastAsiaTheme="minorAscii" w:cstheme="minorAscii"/>
          <w:color w:val="000000" w:themeColor="text1" w:themeTint="FF" w:themeShade="FF"/>
          <w:sz w:val="24"/>
          <w:szCs w:val="24"/>
        </w:rPr>
      </w:pPr>
      <w:r w:rsidRPr="7ACD7C2B" w:rsidR="4CC206BE">
        <w:rPr>
          <w:rFonts w:ascii="Aptos" w:hAnsi="Aptos" w:eastAsia="Aptos" w:cs="Aptos" w:asciiTheme="minorAscii" w:hAnsiTheme="minorAscii" w:eastAsiaTheme="minorAscii" w:cstheme="minorAscii"/>
          <w:color w:val="000000" w:themeColor="text1" w:themeTint="FF" w:themeShade="FF"/>
          <w:sz w:val="24"/>
          <w:szCs w:val="24"/>
        </w:rPr>
        <w:t>Figure 2: Stateville Penitentiary, Illinois. DuBois and Goldberg (2002), cited in Brook (2010).</w:t>
      </w:r>
    </w:p>
    <w:p xmlns:wp14="http://schemas.microsoft.com/office/word/2010/wordml" w:rsidP="7ACD7C2B" wp14:paraId="53C27969" wp14:textId="6A512C8B">
      <w:pPr>
        <w:pStyle w:val="Normal"/>
        <w:spacing w:before="0" w:beforeAutospacing="off" w:after="0" w:afterAutospacing="off" w:line="360" w:lineRule="auto"/>
        <w:jc w:val="center"/>
        <w:rPr>
          <w:rFonts w:ascii="Aptos" w:hAnsi="Aptos" w:eastAsia="Aptos" w:cs="Aptos" w:asciiTheme="minorAscii" w:hAnsiTheme="minorAscii" w:eastAsiaTheme="minorAscii" w:cstheme="minorAscii"/>
          <w:color w:val="000000" w:themeColor="text1" w:themeTint="FF" w:themeShade="FF"/>
          <w:sz w:val="24"/>
          <w:szCs w:val="24"/>
        </w:rPr>
      </w:pPr>
    </w:p>
    <w:p xmlns:wp14="http://schemas.microsoft.com/office/word/2010/wordml" w:rsidP="7ACD7C2B" wp14:paraId="57564FED" wp14:textId="7515F38E">
      <w:pPr>
        <w:pStyle w:val="Normal"/>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Under the SWV, mechanisms such as the tying of visas to specific employers, restrictions on job mobility, </w:t>
      </w:r>
      <w:r w:rsidRPr="7ACD7C2B" w:rsidR="76F230D1">
        <w:rPr>
          <w:rFonts w:ascii="Aptos" w:hAnsi="Aptos" w:eastAsia="Aptos" w:cs="Aptos" w:asciiTheme="minorAscii" w:hAnsiTheme="minorAscii" w:eastAsiaTheme="minorAscii" w:cstheme="minorAscii"/>
          <w:color w:val="000000" w:themeColor="text1" w:themeTint="FF" w:themeShade="FF"/>
          <w:sz w:val="24"/>
          <w:szCs w:val="24"/>
          <w:u w:val="none"/>
        </w:rPr>
        <w:t>and reliance on employer-controlled accommodation all imply</w:t>
      </w:r>
      <w:r w:rsidRPr="7ACD7C2B" w:rsidR="059AF07E">
        <w:rPr>
          <w:rFonts w:ascii="Aptos" w:hAnsi="Aptos" w:eastAsia="Aptos" w:cs="Aptos" w:asciiTheme="minorAscii" w:hAnsiTheme="minorAscii" w:eastAsiaTheme="minorAscii" w:cstheme="minorAscii"/>
          <w:color w:val="000000" w:themeColor="text1" w:themeTint="FF" w:themeShade="FF"/>
          <w:sz w:val="24"/>
          <w:szCs w:val="24"/>
          <w:u w:val="none"/>
        </w:rPr>
        <w:t xml:space="preserve">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dependence through the relationship with the employer and wider policy structure. These arrangements shape worker behaviour through the possibility of surveillance and sanction, even when direct enforcement is not visible or being directly experienced (Chee, 2025). Foucault theorised that the power of surveillance does not lie in constant observation but in the possibility of being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observed</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which </w:t>
      </w:r>
      <w:r w:rsidRPr="7ACD7C2B" w:rsidR="69AA3E8E">
        <w:rPr>
          <w:rFonts w:ascii="Aptos" w:hAnsi="Aptos" w:eastAsia="Aptos" w:cs="Aptos" w:asciiTheme="minorAscii" w:hAnsiTheme="minorAscii" w:eastAsiaTheme="minorAscii" w:cstheme="minorAscii"/>
          <w:color w:val="000000" w:themeColor="text1" w:themeTint="FF" w:themeShade="FF"/>
          <w:sz w:val="24"/>
          <w:szCs w:val="24"/>
        </w:rPr>
        <w:t xml:space="preserve">in turn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generates self-discipline. </w:t>
      </w:r>
      <w:r w:rsidRPr="7ACD7C2B" w:rsidR="76F230D1">
        <w:rPr>
          <w:rFonts w:ascii="Aptos" w:hAnsi="Aptos" w:eastAsia="Aptos" w:cs="Aptos" w:asciiTheme="minorAscii" w:hAnsiTheme="minorAscii" w:eastAsiaTheme="minorAscii" w:cstheme="minorAscii"/>
          <w:color w:val="000000" w:themeColor="text1" w:themeTint="FF" w:themeShade="FF"/>
          <w:sz w:val="24"/>
          <w:szCs w:val="24"/>
          <w:u w:val="none"/>
        </w:rPr>
        <w:t>Mellino</w:t>
      </w:r>
      <w:r w:rsidRPr="7ACD7C2B" w:rsidR="76F230D1">
        <w:rPr>
          <w:rFonts w:ascii="Aptos" w:hAnsi="Aptos" w:eastAsia="Aptos" w:cs="Aptos" w:asciiTheme="minorAscii" w:hAnsiTheme="minorAscii" w:eastAsiaTheme="minorAscii" w:cstheme="minorAscii"/>
          <w:i w:val="1"/>
          <w:iCs w:val="1"/>
          <w:color w:val="000000" w:themeColor="text1" w:themeTint="FF" w:themeShade="FF"/>
          <w:sz w:val="24"/>
          <w:szCs w:val="24"/>
          <w:u w:val="none"/>
        </w:rPr>
        <w:t xml:space="preserve">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and Chapman (2023) agree with this narrative, suggesting that migrant worker control is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maintained</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by the fear of discipline and punishment, </w:t>
      </w:r>
      <w:r w:rsidRPr="7ACD7C2B" w:rsidR="706BE09B">
        <w:rPr>
          <w:rFonts w:ascii="Aptos" w:hAnsi="Aptos" w:eastAsia="Aptos" w:cs="Aptos" w:asciiTheme="minorAscii" w:hAnsiTheme="minorAscii" w:eastAsiaTheme="minorAscii" w:cstheme="minorAscii"/>
          <w:color w:val="000000" w:themeColor="text1" w:themeTint="FF" w:themeShade="FF"/>
          <w:sz w:val="24"/>
          <w:szCs w:val="24"/>
        </w:rPr>
        <w:t>they name these</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as direct harm, threats of harm or fear of visa </w:t>
      </w:r>
      <w:r w:rsidRPr="7ACD7C2B" w:rsidR="5E84AD31">
        <w:rPr>
          <w:rFonts w:ascii="Aptos" w:hAnsi="Aptos" w:eastAsia="Aptos" w:cs="Aptos" w:asciiTheme="minorAscii" w:hAnsiTheme="minorAscii" w:eastAsiaTheme="minorAscii" w:cstheme="minorAscii"/>
          <w:color w:val="000000" w:themeColor="text1" w:themeTint="FF" w:themeShade="FF"/>
          <w:sz w:val="24"/>
          <w:szCs w:val="24"/>
        </w:rPr>
        <w:t>confiscation by</w:t>
      </w:r>
      <w:r w:rsidRPr="7ACD7C2B" w:rsidR="4D9F30B9">
        <w:rPr>
          <w:rFonts w:ascii="Aptos" w:hAnsi="Aptos" w:eastAsia="Aptos" w:cs="Aptos" w:asciiTheme="minorAscii" w:hAnsiTheme="minorAscii" w:eastAsiaTheme="minorAscii" w:cstheme="minorAscii"/>
          <w:color w:val="000000" w:themeColor="text1" w:themeTint="FF" w:themeShade="FF"/>
          <w:sz w:val="24"/>
          <w:szCs w:val="24"/>
        </w:rPr>
        <w:t xml:space="preserve"> their managers</w:t>
      </w:r>
      <w:r w:rsidRPr="7ACD7C2B" w:rsidR="26DBD245">
        <w:rPr>
          <w:rFonts w:ascii="Aptos" w:hAnsi="Aptos" w:eastAsia="Aptos" w:cs="Aptos" w:asciiTheme="minorAscii" w:hAnsiTheme="minorAscii" w:eastAsiaTheme="minorAscii" w:cstheme="minorAscii"/>
          <w:color w:val="000000" w:themeColor="text1" w:themeTint="FF" w:themeShade="FF"/>
          <w:sz w:val="24"/>
          <w:szCs w:val="24"/>
        </w:rPr>
        <w:t xml:space="preserve"> </w:t>
      </w:r>
      <w:r w:rsidRPr="7ACD7C2B" w:rsidR="1F7BD3F8">
        <w:rPr>
          <w:rFonts w:ascii="Aptos" w:hAnsi="Aptos" w:eastAsia="Aptos" w:cs="Aptos" w:asciiTheme="minorAscii" w:hAnsiTheme="minorAscii" w:eastAsiaTheme="minorAscii" w:cstheme="minorAscii"/>
          <w:color w:val="000000" w:themeColor="text1" w:themeTint="FF" w:themeShade="FF"/>
          <w:sz w:val="24"/>
          <w:szCs w:val="24"/>
        </w:rPr>
        <w:t xml:space="preserve">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Palumbo (2024) suggest</w:t>
      </w:r>
      <w:r w:rsidRPr="7ACD7C2B" w:rsidR="3BF26714">
        <w:rPr>
          <w:rFonts w:ascii="Aptos" w:hAnsi="Aptos" w:eastAsia="Aptos" w:cs="Aptos" w:asciiTheme="minorAscii" w:hAnsiTheme="minorAscii" w:eastAsiaTheme="minorAscii" w:cstheme="minorAscii"/>
          <w:color w:val="000000" w:themeColor="text1" w:themeTint="FF" w:themeShade="FF"/>
          <w:sz w:val="24"/>
          <w:szCs w:val="24"/>
        </w:rPr>
        <w:t>s</w:t>
      </w:r>
      <w:r w:rsidRPr="7ACD7C2B" w:rsidR="76F230D1">
        <w:rPr>
          <w:rFonts w:ascii="Aptos" w:hAnsi="Aptos" w:eastAsia="Aptos" w:cs="Aptos" w:asciiTheme="minorAscii" w:hAnsiTheme="minorAscii" w:eastAsiaTheme="minorAscii" w:cstheme="minorAscii"/>
          <w:i w:val="1"/>
          <w:iCs w:val="1"/>
          <w:color w:val="000000" w:themeColor="text1" w:themeTint="FF" w:themeShade="FF"/>
          <w:sz w:val="24"/>
          <w:szCs w:val="24"/>
        </w:rPr>
        <w:t xml:space="preserve">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that</w:t>
      </w:r>
      <w:r w:rsidRPr="7ACD7C2B" w:rsidR="736D369F">
        <w:rPr>
          <w:rFonts w:ascii="Aptos" w:hAnsi="Aptos" w:eastAsia="Aptos" w:cs="Aptos" w:asciiTheme="minorAscii" w:hAnsiTheme="minorAscii" w:eastAsiaTheme="minorAscii" w:cstheme="minorAscii"/>
          <w:color w:val="000000" w:themeColor="text1" w:themeTint="FF" w:themeShade="FF"/>
          <w:sz w:val="24"/>
          <w:szCs w:val="24"/>
        </w:rPr>
        <w:t xml:space="preserve"> the maintenance of power</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and control is the result of structural inequality </w:t>
      </w:r>
      <w:r w:rsidRPr="7ACD7C2B" w:rsidR="7F821812">
        <w:rPr>
          <w:rFonts w:ascii="Aptos" w:hAnsi="Aptos" w:eastAsia="Aptos" w:cs="Aptos" w:asciiTheme="minorAscii" w:hAnsiTheme="minorAscii" w:eastAsiaTheme="minorAscii" w:cstheme="minorAscii"/>
          <w:color w:val="000000" w:themeColor="text1" w:themeTint="FF" w:themeShade="FF"/>
          <w:sz w:val="24"/>
          <w:szCs w:val="24"/>
        </w:rPr>
        <w:t>fostered</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by an 'us and them' distinction. These </w:t>
      </w:r>
      <w:r w:rsidRPr="7ACD7C2B" w:rsidR="79E39295">
        <w:rPr>
          <w:rFonts w:ascii="Aptos" w:hAnsi="Aptos" w:eastAsia="Aptos" w:cs="Aptos" w:asciiTheme="minorAscii" w:hAnsiTheme="minorAscii" w:eastAsiaTheme="minorAscii" w:cstheme="minorAscii"/>
          <w:color w:val="000000" w:themeColor="text1" w:themeTint="FF" w:themeShade="FF"/>
          <w:sz w:val="24"/>
          <w:szCs w:val="24"/>
        </w:rPr>
        <w:t>oppositional positions</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are reflected in </w:t>
      </w:r>
      <w:r w:rsidRPr="7ACD7C2B" w:rsidR="26DEA53A">
        <w:rPr>
          <w:rFonts w:ascii="Aptos" w:hAnsi="Aptos" w:eastAsia="Aptos" w:cs="Aptos" w:asciiTheme="minorAscii" w:hAnsiTheme="minorAscii" w:eastAsiaTheme="minorAscii" w:cstheme="minorAscii"/>
          <w:color w:val="000000" w:themeColor="text1" w:themeTint="FF" w:themeShade="FF"/>
          <w:sz w:val="24"/>
          <w:szCs w:val="24"/>
        </w:rPr>
        <w:t>maintaining</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wage inequalities and working conditions</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below those ordinarily expected under UK employment law including 'degrading, unsafe and exploitative treatment'</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(Palumbo, 2024, p.242). </w:t>
      </w:r>
    </w:p>
    <w:p xmlns:wp14="http://schemas.microsoft.com/office/word/2010/wordml" w:rsidP="7ACD7C2B" wp14:paraId="24A6E778" wp14:textId="3ECFD213">
      <w:pPr>
        <w:pStyle w:val="Normal"/>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p>
    <w:p xmlns:wp14="http://schemas.microsoft.com/office/word/2010/wordml" w:rsidP="7ACD7C2B" wp14:paraId="1420D3BC" wp14:textId="320174F8">
      <w:pPr>
        <w:pStyle w:val="Normal"/>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Milbourne and Coulson (2021)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observe</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that migrant workers are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rendered</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politically invisible</w:t>
      </w:r>
      <w:r w:rsidRPr="7ACD7C2B" w:rsidR="6060B9FF">
        <w:rPr>
          <w:rFonts w:ascii="Aptos" w:hAnsi="Aptos" w:eastAsia="Aptos" w:cs="Aptos" w:asciiTheme="minorAscii" w:hAnsiTheme="minorAscii" w:eastAsiaTheme="minorAscii" w:cstheme="minorAscii"/>
          <w:color w:val="000000" w:themeColor="text1" w:themeTint="FF" w:themeShade="FF"/>
          <w:sz w:val="24"/>
          <w:szCs w:val="24"/>
        </w:rPr>
        <w:t xml:space="preserve">,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their views, working needs and position in the </w:t>
      </w:r>
      <w:r w:rsidRPr="7ACD7C2B" w:rsidR="0F9D933B">
        <w:rPr>
          <w:rFonts w:ascii="Aptos" w:hAnsi="Aptos" w:eastAsia="Aptos" w:cs="Aptos" w:asciiTheme="minorAscii" w:hAnsiTheme="minorAscii" w:eastAsiaTheme="minorAscii" w:cstheme="minorAscii"/>
          <w:color w:val="000000" w:themeColor="text1" w:themeTint="FF" w:themeShade="FF"/>
          <w:sz w:val="24"/>
          <w:szCs w:val="24"/>
        </w:rPr>
        <w:t>social</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system are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l</w:t>
      </w:r>
      <w:r w:rsidRPr="7ACD7C2B" w:rsidR="36E30F88">
        <w:rPr>
          <w:rFonts w:ascii="Aptos" w:hAnsi="Aptos" w:eastAsia="Aptos" w:cs="Aptos" w:asciiTheme="minorAscii" w:hAnsiTheme="minorAscii" w:eastAsiaTheme="minorAscii" w:cstheme="minorAscii"/>
          <w:color w:val="000000" w:themeColor="text1" w:themeTint="FF" w:themeShade="FF"/>
          <w:sz w:val="24"/>
          <w:szCs w:val="24"/>
        </w:rPr>
        <w:t>argely absent</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Anderson (2021) expands this view and points out that without </w:t>
      </w:r>
      <w:r w:rsidRPr="7ACD7C2B" w:rsidR="462DD831">
        <w:rPr>
          <w:rFonts w:ascii="Aptos" w:hAnsi="Aptos" w:eastAsia="Aptos" w:cs="Aptos" w:asciiTheme="minorAscii" w:hAnsiTheme="minorAscii" w:eastAsiaTheme="minorAscii" w:cstheme="minorAscii"/>
          <w:color w:val="000000" w:themeColor="text1" w:themeTint="FF" w:themeShade="FF"/>
          <w:sz w:val="24"/>
          <w:szCs w:val="24"/>
        </w:rPr>
        <w:t xml:space="preserve">being able to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self-present, workers become 'subjects'. In Foucauldian terms (1980, cited in Chee, 2025) surveillance </w:t>
      </w:r>
      <w:r w:rsidRPr="7ACD7C2B" w:rsidR="76F230D1">
        <w:rPr>
          <w:rFonts w:ascii="Aptos" w:hAnsi="Aptos" w:eastAsia="Aptos" w:cs="Aptos" w:asciiTheme="minorAscii" w:hAnsiTheme="minorAscii" w:eastAsiaTheme="minorAscii" w:cstheme="minorAscii"/>
          <w:color w:val="000000" w:themeColor="text1" w:themeTint="FF" w:themeShade="FF"/>
          <w:sz w:val="24"/>
          <w:szCs w:val="24"/>
          <w:u w:val="none"/>
        </w:rPr>
        <w:t xml:space="preserve">and categorisation </w:t>
      </w:r>
      <w:r w:rsidRPr="7ACD7C2B" w:rsidR="1E1A04E9">
        <w:rPr>
          <w:rFonts w:ascii="Aptos" w:hAnsi="Aptos" w:eastAsia="Aptos" w:cs="Aptos" w:asciiTheme="minorAscii" w:hAnsiTheme="minorAscii" w:eastAsiaTheme="minorAscii" w:cstheme="minorAscii"/>
          <w:color w:val="000000" w:themeColor="text1" w:themeTint="FF" w:themeShade="FF"/>
          <w:sz w:val="24"/>
          <w:szCs w:val="24"/>
          <w:u w:val="none"/>
        </w:rPr>
        <w:t>contribute to</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processes of subjectification</w:t>
      </w:r>
      <w:r w:rsidRPr="7ACD7C2B" w:rsidR="2E34B9BE">
        <w:rPr>
          <w:rFonts w:ascii="Aptos" w:hAnsi="Aptos" w:eastAsia="Aptos" w:cs="Aptos" w:asciiTheme="minorAscii" w:hAnsiTheme="minorAscii" w:eastAsiaTheme="minorAscii" w:cstheme="minorAscii"/>
          <w:color w:val="000000" w:themeColor="text1" w:themeTint="FF" w:themeShade="FF"/>
          <w:sz w:val="24"/>
          <w:szCs w:val="24"/>
        </w:rPr>
        <w:t xml:space="preserve"> -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workers are de-personalised, through state monitoring individuals internalise expectations of obedience and productivity. Compliance becomes self-regulating because the right to remain and work is conditional upon productivity and adherence to employer </w:t>
      </w:r>
      <w:r w:rsidRPr="7ACD7C2B" w:rsidR="5FB0DC97">
        <w:rPr>
          <w:rFonts w:ascii="Aptos" w:hAnsi="Aptos" w:eastAsia="Aptos" w:cs="Aptos" w:asciiTheme="minorAscii" w:hAnsiTheme="minorAscii" w:eastAsiaTheme="minorAscii" w:cstheme="minorAscii"/>
          <w:color w:val="000000" w:themeColor="text1" w:themeTint="FF" w:themeShade="FF"/>
          <w:sz w:val="24"/>
          <w:szCs w:val="24"/>
        </w:rPr>
        <w:t>requirements; worker compliance is thus internalised with the right to remain in work being conditional upon productivity and obedience.</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(Foucault, 1980; Davies, 2018).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Through this lens, the SWP/SWV </w:t>
      </w:r>
      <w:r w:rsidRPr="7ACD7C2B" w:rsidR="07DBC751">
        <w:rPr>
          <w:rFonts w:ascii="Aptos" w:hAnsi="Aptos" w:eastAsia="Aptos" w:cs="Aptos" w:asciiTheme="minorAscii" w:hAnsiTheme="minorAscii" w:eastAsiaTheme="minorAscii" w:cstheme="minorAscii"/>
          <w:color w:val="000000" w:themeColor="text1" w:themeTint="FF" w:themeShade="FF"/>
          <w:sz w:val="24"/>
          <w:szCs w:val="24"/>
        </w:rPr>
        <w:t xml:space="preserve">policies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can be viewed as a form of </w:t>
      </w:r>
      <w:r w:rsidRPr="7ACD7C2B" w:rsidR="2C376B35">
        <w:rPr>
          <w:rFonts w:ascii="Aptos" w:hAnsi="Aptos" w:eastAsia="Aptos" w:cs="Aptos" w:asciiTheme="minorAscii" w:hAnsiTheme="minorAscii" w:eastAsiaTheme="minorAscii" w:cstheme="minorAscii"/>
          <w:color w:val="000000" w:themeColor="text1" w:themeTint="FF" w:themeShade="FF"/>
          <w:sz w:val="24"/>
          <w:szCs w:val="24"/>
        </w:rPr>
        <w:t>administration</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w:t>
      </w:r>
      <w:r w:rsidRPr="7ACD7C2B" w:rsidR="7728C5EE">
        <w:rPr>
          <w:rFonts w:ascii="Aptos" w:hAnsi="Aptos" w:eastAsia="Aptos" w:cs="Aptos" w:asciiTheme="minorAscii" w:hAnsiTheme="minorAscii" w:eastAsiaTheme="minorAscii" w:cstheme="minorAscii"/>
          <w:color w:val="000000" w:themeColor="text1" w:themeTint="FF" w:themeShade="FF"/>
          <w:sz w:val="24"/>
          <w:szCs w:val="24"/>
        </w:rPr>
        <w:t xml:space="preserve"> with</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the management of workers</w:t>
      </w:r>
      <w:r w:rsidRPr="7ACD7C2B" w:rsidR="3FDEFAB2">
        <w:rPr>
          <w:rFonts w:ascii="Aptos" w:hAnsi="Aptos" w:eastAsia="Aptos" w:cs="Aptos" w:asciiTheme="minorAscii" w:hAnsiTheme="minorAscii" w:eastAsiaTheme="minorAscii" w:cstheme="minorAscii"/>
          <w:color w:val="000000" w:themeColor="text1" w:themeTint="FF" w:themeShade="FF"/>
          <w:sz w:val="24"/>
          <w:szCs w:val="24"/>
        </w:rPr>
        <w:t xml:space="preserve"> </w:t>
      </w:r>
      <w:r w:rsidRPr="7ACD7C2B" w:rsidR="3FDEFAB2">
        <w:rPr>
          <w:rFonts w:ascii="Aptos" w:hAnsi="Aptos" w:eastAsia="Aptos" w:cs="Aptos" w:asciiTheme="minorAscii" w:hAnsiTheme="minorAscii" w:eastAsiaTheme="minorAscii" w:cstheme="minorAscii"/>
          <w:color w:val="000000" w:themeColor="text1" w:themeTint="FF" w:themeShade="FF"/>
          <w:sz w:val="24"/>
          <w:szCs w:val="24"/>
        </w:rPr>
        <w:t>maintained</w:t>
      </w:r>
      <w:r w:rsidRPr="7ACD7C2B" w:rsidR="3FDEFAB2">
        <w:rPr>
          <w:rFonts w:ascii="Aptos" w:hAnsi="Aptos" w:eastAsia="Aptos" w:cs="Aptos" w:asciiTheme="minorAscii" w:hAnsiTheme="minorAscii" w:eastAsiaTheme="minorAscii" w:cstheme="minorAscii"/>
          <w:color w:val="000000" w:themeColor="text1" w:themeTint="FF" w:themeShade="FF"/>
          <w:sz w:val="24"/>
          <w:szCs w:val="24"/>
        </w:rPr>
        <w:t xml:space="preserve"> by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legal</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and economic mechanisms that secure labour and discipline rather than </w:t>
      </w:r>
      <w:r w:rsidRPr="7ACD7C2B" w:rsidR="5FF18A4E">
        <w:rPr>
          <w:rFonts w:ascii="Aptos" w:hAnsi="Aptos" w:eastAsia="Aptos" w:cs="Aptos" w:asciiTheme="minorAscii" w:hAnsiTheme="minorAscii" w:eastAsiaTheme="minorAscii" w:cstheme="minorAscii"/>
          <w:color w:val="000000" w:themeColor="text1" w:themeTint="FF" w:themeShade="FF"/>
          <w:sz w:val="24"/>
          <w:szCs w:val="24"/>
        </w:rPr>
        <w:t xml:space="preserve">through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overt coercion and control.</w:t>
      </w:r>
    </w:p>
    <w:p xmlns:wp14="http://schemas.microsoft.com/office/word/2010/wordml" w:rsidP="714B8EC8" wp14:paraId="3737D585" wp14:textId="3A831845">
      <w:pPr>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r w:rsidRPr="714B8EC8"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p>
    <w:p xmlns:wp14="http://schemas.microsoft.com/office/word/2010/wordml" w:rsidP="714B8EC8" wp14:paraId="56B76213" wp14:textId="42860E5C">
      <w:pPr>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r w:rsidRPr="7ACD7C2B" w:rsidR="76F230D1">
        <w:rPr>
          <w:rFonts w:ascii="Aptos" w:hAnsi="Aptos" w:eastAsia="Aptos" w:cs="Aptos" w:asciiTheme="minorAscii" w:hAnsiTheme="minorAscii" w:eastAsiaTheme="minorAscii" w:cstheme="minorAscii"/>
          <w:color w:val="000000" w:themeColor="text1" w:themeTint="FF" w:themeShade="FF"/>
          <w:sz w:val="24"/>
          <w:szCs w:val="24"/>
        </w:rPr>
        <w:t>Drawing on Palumbo's (2024) concept of 'situational vulnerability' mentioned earlier, th</w:t>
      </w:r>
      <w:r w:rsidRPr="7ACD7C2B" w:rsidR="2F34782F">
        <w:rPr>
          <w:rFonts w:ascii="Aptos" w:hAnsi="Aptos" w:eastAsia="Aptos" w:cs="Aptos" w:asciiTheme="minorAscii" w:hAnsiTheme="minorAscii" w:eastAsiaTheme="minorAscii" w:cstheme="minorAscii"/>
          <w:color w:val="000000" w:themeColor="text1" w:themeTint="FF" w:themeShade="FF"/>
          <w:sz w:val="24"/>
          <w:szCs w:val="24"/>
        </w:rPr>
        <w:t>is</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r w:rsidRPr="7ACD7C2B" w:rsidR="049AB3D3">
        <w:rPr>
          <w:rFonts w:ascii="Aptos" w:hAnsi="Aptos" w:eastAsia="Aptos" w:cs="Aptos" w:asciiTheme="minorAscii" w:hAnsiTheme="minorAscii" w:eastAsiaTheme="minorAscii" w:cstheme="minorAscii"/>
          <w:color w:val="000000" w:themeColor="text1" w:themeTint="FF" w:themeShade="FF"/>
          <w:sz w:val="24"/>
          <w:szCs w:val="24"/>
        </w:rPr>
        <w:t>theory</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highlight</w:t>
      </w:r>
      <w:r w:rsidRPr="7ACD7C2B" w:rsidR="1812EE2D">
        <w:rPr>
          <w:rFonts w:ascii="Aptos" w:hAnsi="Aptos" w:eastAsia="Aptos" w:cs="Aptos" w:asciiTheme="minorAscii" w:hAnsiTheme="minorAscii" w:eastAsiaTheme="minorAscii" w:cstheme="minorAscii"/>
          <w:color w:val="000000" w:themeColor="text1" w:themeTint="FF" w:themeShade="FF"/>
          <w:sz w:val="24"/>
          <w:szCs w:val="24"/>
        </w:rPr>
        <w:t xml:space="preserve">s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how neoliberal migration policy produces differential legal subjectivities. Seasonal workers are positioned outside full citizenship,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rendering</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them more susceptible to exploitation. Their vulnerability is not incidental but structurally embedded within the visa itself. Evidence from migrant workers reinforces this point; for example, the FLEX report (2021), documents claims of poor working conditions and identifies areas requiring reform, and further accounts from workers staging strike action reported multiple human rights concerns, including racism, threats relating to wages, and unpaid labour (Mellino and Chapman, 2023). Migrant workers are limited</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r w:rsidRPr="7ACD7C2B" w:rsidR="76F230D1">
        <w:rPr>
          <w:rFonts w:ascii="Aptos" w:hAnsi="Aptos" w:eastAsia="Aptos" w:cs="Aptos" w:asciiTheme="minorAscii" w:hAnsiTheme="minorAscii" w:eastAsiaTheme="minorAscii" w:cstheme="minorAscii"/>
          <w:color w:val="000000" w:themeColor="text1" w:themeTint="FF" w:themeShade="FF"/>
          <w:sz w:val="24"/>
          <w:szCs w:val="24"/>
          <w:u w:val="none"/>
        </w:rPr>
        <w:t>in</w:t>
      </w:r>
      <w:r w:rsidRPr="7ACD7C2B" w:rsidR="76F230D1">
        <w:rPr>
          <w:rFonts w:ascii="Aptos" w:hAnsi="Aptos" w:eastAsia="Aptos" w:cs="Aptos" w:asciiTheme="minorAscii" w:hAnsiTheme="minorAscii" w:eastAsiaTheme="minorAscii" w:cstheme="minorAscii"/>
          <w:i w:val="1"/>
          <w:iCs w:val="1"/>
          <w:color w:val="000000" w:themeColor="text1" w:themeTint="FF" w:themeShade="FF"/>
          <w:sz w:val="24"/>
          <w:szCs w:val="24"/>
          <w:u w:val="none"/>
        </w:rPr>
        <w:t xml:space="preserve">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accessing justice through the usual legal paths such as the Equality Act (2010) and Human Rights Act (1998), aimed to protect vulnerable </w:t>
      </w:r>
      <w:r w:rsidRPr="7ACD7C2B" w:rsidR="744F3C31">
        <w:rPr>
          <w:rFonts w:ascii="Aptos" w:hAnsi="Aptos" w:eastAsia="Aptos" w:cs="Aptos" w:asciiTheme="minorAscii" w:hAnsiTheme="minorAscii" w:eastAsiaTheme="minorAscii" w:cstheme="minorAscii"/>
          <w:color w:val="000000" w:themeColor="text1" w:themeTint="FF" w:themeShade="FF"/>
          <w:sz w:val="24"/>
          <w:szCs w:val="24"/>
        </w:rPr>
        <w:t xml:space="preserve">individuals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and </w:t>
      </w:r>
      <w:r w:rsidRPr="7ACD7C2B" w:rsidR="1DBAC98B">
        <w:rPr>
          <w:rFonts w:ascii="Aptos" w:hAnsi="Aptos" w:eastAsia="Aptos" w:cs="Aptos" w:asciiTheme="minorAscii" w:hAnsiTheme="minorAscii" w:eastAsiaTheme="minorAscii" w:cstheme="minorAscii"/>
          <w:color w:val="000000" w:themeColor="text1" w:themeTint="FF" w:themeShade="FF"/>
          <w:sz w:val="24"/>
          <w:szCs w:val="24"/>
        </w:rPr>
        <w:t xml:space="preserve">worker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exploit</w:t>
      </w:r>
      <w:r w:rsidRPr="7ACD7C2B" w:rsidR="4F70A78B">
        <w:rPr>
          <w:rFonts w:ascii="Aptos" w:hAnsi="Aptos" w:eastAsia="Aptos" w:cs="Aptos" w:asciiTheme="minorAscii" w:hAnsiTheme="minorAscii" w:eastAsiaTheme="minorAscii" w:cstheme="minorAscii"/>
          <w:color w:val="000000" w:themeColor="text1" w:themeTint="FF" w:themeShade="FF"/>
          <w:sz w:val="24"/>
          <w:szCs w:val="24"/>
        </w:rPr>
        <w:t>ation</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Th</w:t>
      </w:r>
      <w:r w:rsidRPr="7ACD7C2B" w:rsidR="4BD96469">
        <w:rPr>
          <w:rFonts w:ascii="Aptos" w:hAnsi="Aptos" w:eastAsia="Aptos" w:cs="Aptos" w:asciiTheme="minorAscii" w:hAnsiTheme="minorAscii" w:eastAsiaTheme="minorAscii" w:cstheme="minorAscii"/>
          <w:color w:val="000000" w:themeColor="text1" w:themeTint="FF" w:themeShade="FF"/>
          <w:sz w:val="24"/>
          <w:szCs w:val="24"/>
        </w:rPr>
        <w:t>e</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blocks</w:t>
      </w:r>
      <w:r w:rsidRPr="7ACD7C2B" w:rsidR="0DD8FC80">
        <w:rPr>
          <w:rFonts w:ascii="Aptos" w:hAnsi="Aptos" w:eastAsia="Aptos" w:cs="Aptos" w:asciiTheme="minorAscii" w:hAnsiTheme="minorAscii" w:eastAsiaTheme="minorAscii" w:cstheme="minorAscii"/>
          <w:color w:val="000000" w:themeColor="text1" w:themeTint="FF" w:themeShade="FF"/>
          <w:sz w:val="24"/>
          <w:szCs w:val="24"/>
        </w:rPr>
        <w:t xml:space="preserve"> to the usual pathways</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r w:rsidRPr="7ACD7C2B" w:rsidR="1D1305F5">
        <w:rPr>
          <w:rFonts w:ascii="Aptos" w:hAnsi="Aptos" w:eastAsia="Aptos" w:cs="Aptos" w:asciiTheme="minorAscii" w:hAnsiTheme="minorAscii" w:eastAsiaTheme="minorAscii" w:cstheme="minorAscii"/>
          <w:color w:val="000000" w:themeColor="text1" w:themeTint="FF" w:themeShade="FF"/>
          <w:sz w:val="24"/>
          <w:szCs w:val="24"/>
        </w:rPr>
        <w:t>are</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linked to their temporary status, dependency on employers for visa security</w:t>
      </w:r>
      <w:r w:rsidRPr="7ACD7C2B" w:rsidR="371D2258">
        <w:rPr>
          <w:rFonts w:ascii="Aptos" w:hAnsi="Aptos" w:eastAsia="Aptos" w:cs="Aptos" w:asciiTheme="minorAscii" w:hAnsiTheme="minorAscii" w:eastAsiaTheme="minorAscii" w:cstheme="minorAscii"/>
          <w:color w:val="000000" w:themeColor="text1" w:themeTint="FF" w:themeShade="FF"/>
          <w:sz w:val="24"/>
          <w:szCs w:val="24"/>
        </w:rPr>
        <w:t xml:space="preserve"> and living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accommodation</w:t>
      </w:r>
      <w:r w:rsidRPr="7ACD7C2B" w:rsidR="7B75B86D">
        <w:rPr>
          <w:rFonts w:ascii="Aptos" w:hAnsi="Aptos" w:eastAsia="Aptos" w:cs="Aptos" w:asciiTheme="minorAscii" w:hAnsiTheme="minorAscii" w:eastAsiaTheme="minorAscii" w:cstheme="minorAscii"/>
          <w:color w:val="000000" w:themeColor="text1" w:themeTint="FF" w:themeShade="FF"/>
          <w:sz w:val="24"/>
          <w:szCs w:val="24"/>
        </w:rPr>
        <w:t xml:space="preserve"> which overall </w:t>
      </w:r>
      <w:r w:rsidRPr="7ACD7C2B" w:rsidR="7B75B86D">
        <w:rPr>
          <w:rFonts w:ascii="Aptos" w:hAnsi="Aptos" w:eastAsia="Aptos" w:cs="Aptos" w:asciiTheme="minorAscii" w:hAnsiTheme="minorAscii" w:eastAsiaTheme="minorAscii" w:cstheme="minorAscii"/>
          <w:color w:val="000000" w:themeColor="text1" w:themeTint="FF" w:themeShade="FF"/>
          <w:sz w:val="24"/>
          <w:szCs w:val="24"/>
        </w:rPr>
        <w:t>represent</w:t>
      </w:r>
      <w:r w:rsidRPr="7ACD7C2B" w:rsidR="7B75B86D">
        <w:rPr>
          <w:rFonts w:ascii="Aptos" w:hAnsi="Aptos" w:eastAsia="Aptos" w:cs="Aptos" w:asciiTheme="minorAscii" w:hAnsiTheme="minorAscii" w:eastAsiaTheme="minorAscii" w:cstheme="minorAscii"/>
          <w:color w:val="000000" w:themeColor="text1" w:themeTint="FF" w:themeShade="FF"/>
          <w:sz w:val="24"/>
          <w:szCs w:val="24"/>
        </w:rPr>
        <w:t xml:space="preserve"> a</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structural power imbalance (Equality and Human Rights Commission, 2019; Mellino and Chapman, 2023).</w:t>
      </w:r>
    </w:p>
    <w:p xmlns:wp14="http://schemas.microsoft.com/office/word/2010/wordml" w:rsidP="714B8EC8" wp14:paraId="7DD318AD" wp14:textId="1091FAAD">
      <w:pPr>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r w:rsidRPr="714B8EC8"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p>
    <w:p xmlns:wp14="http://schemas.microsoft.com/office/word/2010/wordml" w:rsidP="714B8EC8" wp14:paraId="53084D4B" wp14:textId="01BB1555">
      <w:pPr>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r w:rsidRPr="7ACD7C2B" w:rsidR="76F230D1">
        <w:rPr>
          <w:rFonts w:ascii="Aptos" w:hAnsi="Aptos" w:eastAsia="Aptos" w:cs="Aptos" w:asciiTheme="minorAscii" w:hAnsiTheme="minorAscii" w:eastAsiaTheme="minorAscii" w:cstheme="minorAscii"/>
          <w:color w:val="000000" w:themeColor="text1" w:themeTint="FF" w:themeShade="FF"/>
          <w:sz w:val="24"/>
          <w:szCs w:val="24"/>
        </w:rPr>
        <w:t>Ultimately, the</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SWP/SWV illustrates how neoliberal ideology reshapes social policy away from welfare redistribution and towards labour market facilitation. Rather than expanding social inclusion, the policy sustains a dual labour market in which migrant workers perform essential but devalued 'dirty work' under constrained rights (Anderson, 2010; McCabe and Hamilton, 2015; Milbourne and Coulson, 2021). The scheme therefore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operates</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less as a neutral labour solution and more as a mechanism that stabilises cheap food production while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maintaining</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migrant </w:t>
      </w:r>
      <w:r w:rsidRPr="7ACD7C2B" w:rsidR="6EC9B58A">
        <w:rPr>
          <w:rFonts w:ascii="Aptos" w:hAnsi="Aptos" w:eastAsia="Aptos" w:cs="Aptos" w:asciiTheme="minorAscii" w:hAnsiTheme="minorAscii" w:eastAsiaTheme="minorAscii" w:cstheme="minorAscii"/>
          <w:color w:val="000000" w:themeColor="text1" w:themeTint="FF" w:themeShade="FF"/>
          <w:sz w:val="24"/>
          <w:szCs w:val="24"/>
        </w:rPr>
        <w:t xml:space="preserve">worker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precarity.</w:t>
      </w:r>
    </w:p>
    <w:p xmlns:wp14="http://schemas.microsoft.com/office/word/2010/wordml" w:rsidP="714B8EC8" wp14:paraId="4D9835FB" wp14:textId="5FF2993D">
      <w:pPr>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r w:rsidRPr="714B8EC8"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p>
    <w:p xmlns:wp14="http://schemas.microsoft.com/office/word/2010/wordml" w:rsidP="714B8EC8" wp14:paraId="0173BDB1" wp14:textId="0ACB0EF8">
      <w:pPr>
        <w:pStyle w:val="Normal"/>
        <w:rPr>
          <w:rFonts w:ascii="Aptos" w:hAnsi="Aptos" w:eastAsia="Aptos" w:cs="Aptos" w:asciiTheme="minorAscii" w:hAnsiTheme="minorAscii" w:eastAsiaTheme="minorAscii" w:cstheme="minorAscii"/>
          <w:b w:val="0"/>
          <w:bCs w:val="0"/>
          <w:strike w:val="0"/>
          <w:dstrike w:val="0"/>
          <w:color w:val="000000" w:themeColor="text1" w:themeTint="FF" w:themeShade="FF"/>
          <w:sz w:val="24"/>
          <w:szCs w:val="24"/>
          <w:u w:val="single"/>
        </w:rPr>
      </w:pPr>
      <w:r w:rsidRPr="714B8EC8" w:rsidR="76F230D1">
        <w:rPr>
          <w:color w:val="000000" w:themeColor="text1" w:themeTint="FF" w:themeShade="FF"/>
          <w:u w:val="single"/>
        </w:rPr>
        <w:t>Marxist, Anti-globalisation, Food Justice</w:t>
      </w:r>
      <w:r w:rsidRPr="714B8EC8" w:rsidR="5F5F5832">
        <w:rPr>
          <w:color w:val="000000" w:themeColor="text1" w:themeTint="FF" w:themeShade="FF"/>
          <w:u w:val="single"/>
        </w:rPr>
        <w:t xml:space="preserve"> perspectives</w:t>
      </w:r>
    </w:p>
    <w:p xmlns:wp14="http://schemas.microsoft.com/office/word/2010/wordml" w:rsidP="714B8EC8" wp14:paraId="4F265C05" wp14:textId="17D71241">
      <w:pPr>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An alternative ideological framework that challenges neoliberalism is a </w:t>
      </w:r>
      <w:r w:rsidRPr="7ACD7C2B" w:rsidR="63F6DAE3">
        <w:rPr>
          <w:rFonts w:ascii="Aptos" w:hAnsi="Aptos" w:eastAsia="Aptos" w:cs="Aptos" w:asciiTheme="minorAscii" w:hAnsiTheme="minorAscii" w:eastAsiaTheme="minorAscii" w:cstheme="minorAscii"/>
          <w:color w:val="000000" w:themeColor="text1" w:themeTint="FF" w:themeShade="FF"/>
          <w:sz w:val="24"/>
          <w:szCs w:val="24"/>
        </w:rPr>
        <w:t>n</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eo-Marxist</w:t>
      </w:r>
      <w:r w:rsidRPr="7ACD7C2B" w:rsidR="6460AAC6">
        <w:rPr>
          <w:rFonts w:ascii="Aptos" w:hAnsi="Aptos" w:eastAsia="Aptos" w:cs="Aptos" w:asciiTheme="minorAscii" w:hAnsiTheme="minorAscii" w:eastAsiaTheme="minorAscii" w:cstheme="minorAscii"/>
          <w:color w:val="000000" w:themeColor="text1" w:themeTint="FF" w:themeShade="FF"/>
          <w:sz w:val="24"/>
          <w:szCs w:val="24"/>
        </w:rPr>
        <w:t>,</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anti-globalisation perspective. This approach argues that neoliberal policies disproportionately </w:t>
      </w:r>
      <w:r w:rsidRPr="7ACD7C2B" w:rsidR="61C67756">
        <w:rPr>
          <w:rFonts w:ascii="Aptos" w:hAnsi="Aptos" w:eastAsia="Aptos" w:cs="Aptos" w:asciiTheme="minorAscii" w:hAnsiTheme="minorAscii" w:eastAsiaTheme="minorAscii" w:cstheme="minorAscii"/>
          <w:color w:val="000000" w:themeColor="text1" w:themeTint="FF" w:themeShade="FF"/>
          <w:sz w:val="24"/>
          <w:szCs w:val="24"/>
        </w:rPr>
        <w:t>benefit</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large corporations while externalising social and ecological costs onto workers, local communities, and the environment (Gare, 2021). Marx (1867) conceptualised labour-power as a commodity, arguing that workers sell their labour capacity to capitalists in exchange for wages. Workers are paid less than the value they produce, so capitalists extract surplus value, resulting in structural exploitation. Marx argues that profit is prioritised over human need, and the commodification of labour-power becomes central to capitalist accumulation. Surplus value</w:t>
      </w:r>
      <w:r w:rsidRPr="7ACD7C2B" w:rsidR="619AFC0D">
        <w:rPr>
          <w:rFonts w:ascii="Aptos" w:hAnsi="Aptos" w:eastAsia="Aptos" w:cs="Aptos" w:asciiTheme="minorAscii" w:hAnsiTheme="minorAscii" w:eastAsiaTheme="minorAscii" w:cstheme="minorAscii"/>
          <w:color w:val="000000" w:themeColor="text1" w:themeTint="FF" w:themeShade="FF"/>
          <w:sz w:val="24"/>
          <w:szCs w:val="24"/>
        </w:rPr>
        <w:t>,</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r w:rsidRPr="7ACD7C2B" w:rsidR="76F230D1">
        <w:rPr>
          <w:rFonts w:ascii="Aptos" w:hAnsi="Aptos" w:eastAsia="Aptos" w:cs="Aptos" w:asciiTheme="minorAscii" w:hAnsiTheme="minorAscii" w:eastAsiaTheme="minorAscii" w:cstheme="minorAscii"/>
          <w:color w:val="000000" w:themeColor="text1" w:themeTint="FF" w:themeShade="FF"/>
          <w:sz w:val="24"/>
          <w:szCs w:val="24"/>
          <w:u w:val="none"/>
        </w:rPr>
        <w:t>the</w:t>
      </w:r>
      <w:r w:rsidRPr="7ACD7C2B" w:rsidR="76F230D1">
        <w:rPr>
          <w:rFonts w:ascii="Aptos" w:hAnsi="Aptos" w:eastAsia="Aptos" w:cs="Aptos" w:asciiTheme="minorAscii" w:hAnsiTheme="minorAscii" w:eastAsiaTheme="minorAscii" w:cstheme="minorAscii"/>
          <w:i w:val="1"/>
          <w:iCs w:val="1"/>
          <w:color w:val="000000" w:themeColor="text1" w:themeTint="FF" w:themeShade="FF"/>
          <w:sz w:val="24"/>
          <w:szCs w:val="24"/>
        </w:rPr>
        <w:t xml:space="preserve">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difference between the value created by labour and the wage paid</w:t>
      </w:r>
      <w:r w:rsidRPr="7ACD7C2B" w:rsidR="76F230D1">
        <w:rPr>
          <w:rFonts w:ascii="Aptos" w:hAnsi="Aptos" w:eastAsia="Aptos" w:cs="Aptos" w:asciiTheme="minorAscii" w:hAnsiTheme="minorAscii" w:eastAsiaTheme="minorAscii" w:cstheme="minorAscii"/>
          <w:color w:val="000000" w:themeColor="text1" w:themeTint="FF" w:themeShade="FF"/>
          <w:sz w:val="24"/>
          <w:szCs w:val="24"/>
          <w:u w:val="single"/>
        </w:rPr>
        <w:t>,</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is therefore the foundation of capitalist profit (Marx, 1867).</w:t>
      </w:r>
    </w:p>
    <w:p xmlns:wp14="http://schemas.microsoft.com/office/word/2010/wordml" w:rsidP="714B8EC8" wp14:paraId="3C44D471" wp14:textId="2751E2A9">
      <w:pPr>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r w:rsidRPr="714B8EC8"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p>
    <w:p xmlns:wp14="http://schemas.microsoft.com/office/word/2010/wordml" w:rsidP="714B8EC8" wp14:paraId="3FFB7BD3" wp14:textId="5C53669E">
      <w:pPr>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r w:rsidRPr="714B8EC8" w:rsidR="76F230D1">
        <w:rPr>
          <w:rFonts w:ascii="Aptos" w:hAnsi="Aptos" w:eastAsia="Aptos" w:cs="Aptos" w:asciiTheme="minorAscii" w:hAnsiTheme="minorAscii" w:eastAsiaTheme="minorAscii" w:cstheme="minorAscii"/>
          <w:color w:val="000000" w:themeColor="text1" w:themeTint="FF" w:themeShade="FF"/>
          <w:sz w:val="24"/>
          <w:szCs w:val="24"/>
        </w:rPr>
        <w:t>While traditional Marxist theory emphasises exploitation, Marx also argued that capitalist production generates alienation. Under capitalism, workers become estranged from the products they create, from the production process, from one another, and from their own human potential (Marx, 1867). Unlike feudal systems, where labour was tied directly to land and subsistence, industrial capitalism separates workers from ownership and control over production. This separation contributes to a sense of disconnection from land, food systems, and community life</w:t>
      </w:r>
      <w:r w:rsidRPr="714B8EC8" w:rsidR="70780724">
        <w:rPr>
          <w:rFonts w:ascii="Aptos" w:hAnsi="Aptos" w:eastAsia="Aptos" w:cs="Aptos" w:asciiTheme="minorAscii" w:hAnsiTheme="minorAscii" w:eastAsiaTheme="minorAscii" w:cstheme="minorAscii"/>
          <w:color w:val="000000" w:themeColor="text1" w:themeTint="FF" w:themeShade="FF"/>
          <w:sz w:val="24"/>
          <w:szCs w:val="24"/>
        </w:rPr>
        <w:t xml:space="preserve"> (Foster, 1999)</w:t>
      </w:r>
      <w:r w:rsidRPr="714B8EC8" w:rsidR="76F230D1">
        <w:rPr>
          <w:rFonts w:ascii="Aptos" w:hAnsi="Aptos" w:eastAsia="Aptos" w:cs="Aptos" w:asciiTheme="minorAscii" w:hAnsiTheme="minorAscii" w:eastAsiaTheme="minorAscii" w:cstheme="minorAscii"/>
          <w:color w:val="000000" w:themeColor="text1" w:themeTint="FF" w:themeShade="FF"/>
          <w:sz w:val="24"/>
          <w:szCs w:val="24"/>
        </w:rPr>
        <w:t>. Neo-Marxist ideology extends this concept, arguing that globalisation and neoliberal free-market expansion have intensified these processes. The integration of global supply chains and the prioritisation of efficiency and competitiveness have widened the distance between human labour, agricultural production, and ecological systems (Foster, 1999; Gare, 2021a). Moreover, global inequalities mean that labour from the Global South</w:t>
      </w:r>
      <w:r w:rsidRPr="714B8EC8" w:rsidR="76F230D1">
        <w:rPr>
          <w:rFonts w:ascii="Aptos" w:hAnsi="Aptos" w:eastAsia="Aptos" w:cs="Aptos" w:asciiTheme="minorAscii" w:hAnsiTheme="minorAscii" w:eastAsiaTheme="minorAscii" w:cstheme="minorAscii"/>
          <w:color w:val="000000" w:themeColor="text1" w:themeTint="FF" w:themeShade="FF"/>
          <w:sz w:val="24"/>
          <w:szCs w:val="24"/>
        </w:rPr>
        <w:t xml:space="preserve"> is </w:t>
      </w:r>
      <w:r w:rsidRPr="714B8EC8" w:rsidR="76F230D1">
        <w:rPr>
          <w:rFonts w:ascii="Aptos" w:hAnsi="Aptos" w:eastAsia="Aptos" w:cs="Aptos" w:asciiTheme="minorAscii" w:hAnsiTheme="minorAscii" w:eastAsiaTheme="minorAscii" w:cstheme="minorAscii"/>
          <w:color w:val="000000" w:themeColor="text1" w:themeTint="FF" w:themeShade="FF"/>
          <w:sz w:val="24"/>
          <w:szCs w:val="24"/>
        </w:rPr>
        <w:t>freque</w:t>
      </w:r>
      <w:r w:rsidRPr="714B8EC8" w:rsidR="76F230D1">
        <w:rPr>
          <w:rFonts w:ascii="Aptos" w:hAnsi="Aptos" w:eastAsia="Aptos" w:cs="Aptos" w:asciiTheme="minorAscii" w:hAnsiTheme="minorAscii" w:eastAsiaTheme="minorAscii" w:cstheme="minorAscii"/>
          <w:color w:val="000000" w:themeColor="text1" w:themeTint="FF" w:themeShade="FF"/>
          <w:sz w:val="24"/>
          <w:szCs w:val="24"/>
        </w:rPr>
        <w:t>ntly</w:t>
      </w:r>
      <w:r w:rsidRPr="714B8EC8" w:rsidR="76F230D1">
        <w:rPr>
          <w:rFonts w:ascii="Aptos" w:hAnsi="Aptos" w:eastAsia="Aptos" w:cs="Aptos" w:asciiTheme="minorAscii" w:hAnsiTheme="minorAscii" w:eastAsiaTheme="minorAscii" w:cstheme="minorAscii"/>
          <w:color w:val="000000" w:themeColor="text1" w:themeTint="FF" w:themeShade="FF"/>
          <w:sz w:val="24"/>
          <w:szCs w:val="24"/>
        </w:rPr>
        <w:t xml:space="preserve"> valued less than labour in the Global North, reinforcing hierarchies embedded within capitalist world systems</w:t>
      </w:r>
      <w:r w:rsidRPr="714B8EC8" w:rsidR="2E18DB81">
        <w:rPr>
          <w:rFonts w:ascii="Aptos" w:hAnsi="Aptos" w:eastAsia="Aptos" w:cs="Aptos" w:asciiTheme="minorAscii" w:hAnsiTheme="minorAscii" w:eastAsiaTheme="minorAscii" w:cstheme="minorAscii"/>
          <w:color w:val="000000" w:themeColor="text1" w:themeTint="FF" w:themeShade="FF"/>
          <w:sz w:val="24"/>
          <w:szCs w:val="24"/>
        </w:rPr>
        <w:t xml:space="preserve"> (Gare, 2021; Castles, 2004)</w:t>
      </w:r>
      <w:r w:rsidRPr="714B8EC8" w:rsidR="76F230D1">
        <w:rPr>
          <w:rFonts w:ascii="Aptos" w:hAnsi="Aptos" w:eastAsia="Aptos" w:cs="Aptos" w:asciiTheme="minorAscii" w:hAnsiTheme="minorAscii" w:eastAsiaTheme="minorAscii" w:cstheme="minorAscii"/>
          <w:color w:val="000000" w:themeColor="text1" w:themeTint="FF" w:themeShade="FF"/>
          <w:sz w:val="24"/>
          <w:szCs w:val="24"/>
        </w:rPr>
        <w:t>. As markets expand and production becomes increasingly transnational, workers may be further removed from meaningful control over their labour, contributing to social fragmentation and environmental degradation (</w:t>
      </w:r>
      <w:r w:rsidRPr="714B8EC8" w:rsidR="154B35EB">
        <w:rPr>
          <w:rFonts w:ascii="Aptos" w:hAnsi="Aptos" w:eastAsia="Aptos" w:cs="Aptos" w:asciiTheme="minorAscii" w:hAnsiTheme="minorAscii" w:eastAsiaTheme="minorAscii" w:cstheme="minorAscii"/>
          <w:color w:val="000000" w:themeColor="text1" w:themeTint="FF" w:themeShade="FF"/>
          <w:sz w:val="24"/>
          <w:szCs w:val="24"/>
        </w:rPr>
        <w:t>Robinson, 2012</w:t>
      </w:r>
      <w:r w:rsidRPr="714B8EC8" w:rsidR="76F230D1">
        <w:rPr>
          <w:rFonts w:ascii="Aptos" w:hAnsi="Aptos" w:eastAsia="Aptos" w:cs="Aptos" w:asciiTheme="minorAscii" w:hAnsiTheme="minorAscii" w:eastAsiaTheme="minorAscii" w:cstheme="minorAscii"/>
          <w:color w:val="000000" w:themeColor="text1" w:themeTint="FF" w:themeShade="FF"/>
          <w:sz w:val="24"/>
          <w:szCs w:val="24"/>
        </w:rPr>
        <w:t>).</w:t>
      </w:r>
    </w:p>
    <w:p xmlns:wp14="http://schemas.microsoft.com/office/word/2010/wordml" w:rsidP="714B8EC8" wp14:paraId="7EEC1C56" wp14:textId="3417EE03">
      <w:pPr>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r w:rsidRPr="714B8EC8"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p>
    <w:p xmlns:wp14="http://schemas.microsoft.com/office/word/2010/wordml" w:rsidP="714B8EC8" wp14:paraId="5B1A632E" wp14:textId="01342306">
      <w:pPr>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Contemporary Neo-Marxists argue that neoliberal globalisation </w:t>
      </w:r>
      <w:r w:rsidRPr="7ACD7C2B" w:rsidR="18D650D9">
        <w:rPr>
          <w:rFonts w:ascii="Aptos" w:hAnsi="Aptos" w:eastAsia="Aptos" w:cs="Aptos" w:asciiTheme="minorAscii" w:hAnsiTheme="minorAscii" w:eastAsiaTheme="minorAscii" w:cstheme="minorAscii"/>
          <w:color w:val="000000" w:themeColor="text1" w:themeTint="FF" w:themeShade="FF"/>
          <w:sz w:val="24"/>
          <w:szCs w:val="24"/>
        </w:rPr>
        <w:t>has</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deepened these dynamics by expanding the commodification of labour across borders. Policies such as the SWV reflect this logic: migrant workers are recruited to fill labour shortages in ways that prioritise productivity and cost efficiency over long-term social inclusion of workers, their training needs, or career development (Bickerton, 2019). From this perspective, the SWV can be understood as a mechanism that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facilitates</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the mobility of labour for capital accumulation while maintaining precarity through temporary status and limited rights. As Robinson (2012) argues, global capitalism increasingly relies on transnational labour regimes that make labour more mobile yet simultaneously more insecure. In this context, migrant workers risk being treated primarily as 'units of labour' rather than as social and political </w:t>
      </w:r>
      <w:r w:rsidRPr="7ACD7C2B" w:rsidR="47D1B6C0">
        <w:rPr>
          <w:rFonts w:ascii="Aptos" w:hAnsi="Aptos" w:eastAsia="Aptos" w:cs="Aptos" w:asciiTheme="minorAscii" w:hAnsiTheme="minorAscii" w:eastAsiaTheme="minorAscii" w:cstheme="minorAscii"/>
          <w:color w:val="000000" w:themeColor="text1" w:themeTint="FF" w:themeShade="FF"/>
          <w:sz w:val="24"/>
          <w:szCs w:val="24"/>
        </w:rPr>
        <w:t>individuals</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with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future prospects</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community membership, or </w:t>
      </w:r>
      <w:r w:rsidRPr="7ACD7C2B" w:rsidR="0BD202FC">
        <w:rPr>
          <w:rFonts w:ascii="Aptos" w:hAnsi="Aptos" w:eastAsia="Aptos" w:cs="Aptos" w:asciiTheme="minorAscii" w:hAnsiTheme="minorAscii" w:eastAsiaTheme="minorAscii" w:cstheme="minorAscii"/>
          <w:color w:val="000000" w:themeColor="text1" w:themeTint="FF" w:themeShade="FF"/>
          <w:sz w:val="24"/>
          <w:szCs w:val="24"/>
        </w:rPr>
        <w:t xml:space="preserve">owed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meaningful participatory rights (Anderson, 2010).</w:t>
      </w:r>
    </w:p>
    <w:p xmlns:wp14="http://schemas.microsoft.com/office/word/2010/wordml" w:rsidP="714B8EC8" wp14:paraId="141FFCE2" wp14:textId="25A5D06C">
      <w:pPr>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r w:rsidRPr="714B8EC8"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p>
    <w:p xmlns:wp14="http://schemas.microsoft.com/office/word/2010/wordml" w:rsidP="714B8EC8" wp14:paraId="77F408DE" wp14:textId="5F6F681A">
      <w:pPr>
        <w:spacing w:before="0" w:beforeAutospacing="off" w:after="0" w:afterAutospacing="off" w:line="36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7ACD7C2B" w:rsidR="76F230D1">
        <w:rPr>
          <w:rFonts w:ascii="Aptos" w:hAnsi="Aptos" w:eastAsia="Aptos" w:cs="Aptos" w:asciiTheme="minorAscii" w:hAnsiTheme="minorAscii" w:eastAsiaTheme="minorAscii" w:cstheme="minorAscii"/>
          <w:color w:val="000000" w:themeColor="text1" w:themeTint="FF" w:themeShade="FF"/>
          <w:sz w:val="24"/>
          <w:szCs w:val="24"/>
        </w:rPr>
        <w:t>Considering the commodification of seasonal migrant workers, Clutterbuck (2017) suggests that political and consumer prioritisation of cheap food produces a form of cognitive dissonance</w:t>
      </w:r>
      <w:r w:rsidRPr="7ACD7C2B" w:rsidR="4A54859F">
        <w:rPr>
          <w:rFonts w:ascii="Aptos" w:hAnsi="Aptos" w:eastAsia="Aptos" w:cs="Aptos" w:asciiTheme="minorAscii" w:hAnsiTheme="minorAscii" w:eastAsiaTheme="minorAscii" w:cstheme="minorAscii"/>
          <w:color w:val="000000" w:themeColor="text1" w:themeTint="FF" w:themeShade="FF"/>
          <w:sz w:val="24"/>
          <w:szCs w:val="24"/>
        </w:rPr>
        <w:t xml:space="preserve"> (Festinger, cited in Scott, 2014)</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poorly paid workers labour for extensive hours to sustain affordability for the masses, yet the conditions underpinning this system remain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largely unseen</w:t>
      </w:r>
      <w:r w:rsidRPr="7ACD7C2B" w:rsidR="5DF3E466">
        <w:rPr>
          <w:rFonts w:ascii="Aptos" w:hAnsi="Aptos" w:eastAsia="Aptos" w:cs="Aptos" w:asciiTheme="minorAscii" w:hAnsiTheme="minorAscii" w:eastAsiaTheme="minorAscii" w:cstheme="minorAscii"/>
          <w:color w:val="000000" w:themeColor="text1" w:themeTint="FF" w:themeShade="FF"/>
          <w:sz w:val="24"/>
          <w:szCs w:val="24"/>
        </w:rPr>
        <w:t xml:space="preserve"> by </w:t>
      </w:r>
      <w:r w:rsidRPr="7ACD7C2B" w:rsidR="337FC063">
        <w:rPr>
          <w:rFonts w:ascii="Aptos" w:hAnsi="Aptos" w:eastAsia="Aptos" w:cs="Aptos" w:asciiTheme="minorAscii" w:hAnsiTheme="minorAscii" w:eastAsiaTheme="minorAscii" w:cstheme="minorAscii"/>
          <w:color w:val="000000" w:themeColor="text1" w:themeTint="FF" w:themeShade="FF"/>
          <w:sz w:val="24"/>
          <w:szCs w:val="24"/>
        </w:rPr>
        <w:t>society</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Agricultural labour is obscured both socially, through consumer detachment, and spatially, as work often takes place in remote rural locations. Furthermore, the point of purchase in supermarkets is systematically disconnected from the realities of</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farm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labour</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r w:rsidRPr="7ACD7C2B" w:rsidR="5EDBFFD3">
        <w:rPr>
          <w:rFonts w:ascii="Aptos" w:hAnsi="Aptos" w:eastAsia="Aptos" w:cs="Aptos" w:asciiTheme="minorAscii" w:hAnsiTheme="minorAscii" w:eastAsiaTheme="minorAscii" w:cstheme="minorAscii"/>
          <w:color w:val="000000" w:themeColor="text1" w:themeTint="FF" w:themeShade="FF"/>
          <w:sz w:val="24"/>
          <w:szCs w:val="24"/>
        </w:rPr>
        <w:t xml:space="preserve">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Sbicca</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(2018) extends this critique by arguing that the contemporary food system not only devalues labour but also harms ecological systems, creating structural disconnections between community, production, and the environment. He </w:t>
      </w:r>
      <w:r w:rsidRPr="7ACD7C2B" w:rsidR="342A2C47">
        <w:rPr>
          <w:rFonts w:ascii="Aptos" w:hAnsi="Aptos" w:eastAsia="Aptos" w:cs="Aptos" w:asciiTheme="minorAscii" w:hAnsiTheme="minorAscii" w:eastAsiaTheme="minorAscii" w:cstheme="minorAscii"/>
          <w:color w:val="000000" w:themeColor="text1" w:themeTint="FF" w:themeShade="FF"/>
          <w:sz w:val="24"/>
          <w:szCs w:val="24"/>
        </w:rPr>
        <w:t>argues</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that neoliberal food regimes commodify and compromise both human labour and nature, generating social and environmental injustice. Any alternative to neoliberalism, he suggests, must prioritise ecological regeneration, community connection to production and environmental justice</w:t>
      </w:r>
      <w:r w:rsidRPr="7ACD7C2B" w:rsidR="1BA1875B">
        <w:rPr>
          <w:rFonts w:ascii="Aptos" w:hAnsi="Aptos" w:eastAsia="Aptos" w:cs="Aptos" w:asciiTheme="minorAscii" w:hAnsiTheme="minorAscii" w:eastAsiaTheme="minorAscii" w:cstheme="minorAscii"/>
          <w:color w:val="000000" w:themeColor="text1" w:themeTint="FF" w:themeShade="FF"/>
          <w:sz w:val="24"/>
          <w:szCs w:val="24"/>
        </w:rPr>
        <w:t>;</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recognis</w:t>
      </w:r>
      <w:r w:rsidRPr="7ACD7C2B" w:rsidR="21849635">
        <w:rPr>
          <w:rFonts w:ascii="Aptos" w:hAnsi="Aptos" w:eastAsia="Aptos" w:cs="Aptos" w:asciiTheme="minorAscii" w:hAnsiTheme="minorAscii" w:eastAsiaTheme="minorAscii" w:cstheme="minorAscii"/>
          <w:color w:val="000000" w:themeColor="text1" w:themeTint="FF" w:themeShade="FF"/>
          <w:sz w:val="24"/>
          <w:szCs w:val="24"/>
        </w:rPr>
        <w:t>ing</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how structural inequalities shape people's interactions with the env</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ironme</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nt. For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Sbicca</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(2018), food justice requires confronting the capitalist dynamics embedded within food production and addressing the systemic management of food origins that reproduces inequality.</w:t>
      </w:r>
      <w:r w:rsidRPr="7ACD7C2B" w:rsidR="61E2E6F9">
        <w:rPr>
          <w:rFonts w:ascii="Aptos" w:hAnsi="Aptos" w:eastAsia="Aptos" w:cs="Aptos" w:asciiTheme="minorAscii" w:hAnsiTheme="minorAscii" w:eastAsiaTheme="minorAscii" w:cstheme="minorAscii"/>
          <w:color w:val="000000" w:themeColor="text1" w:themeTint="FF" w:themeShade="FF"/>
          <w:sz w:val="24"/>
          <w:szCs w:val="24"/>
        </w:rPr>
        <w:t xml:space="preserve">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Milbourne and Coulson (2021) echo this position by arguing that migrant seasonal workers should be repositioned within food systems in ways that recognise and value the life-sustaining labour they perform. They suggest that reconnecting labour to food production and community life is essential, while also emphasising the need for political activism to address structural injustices and prevent cycles of poverty from being reproduced.</w:t>
      </w:r>
      <w:r w:rsidRPr="7ACD7C2B" w:rsidR="213158DB">
        <w:rPr>
          <w:rFonts w:ascii="Aptos" w:hAnsi="Aptos" w:eastAsia="Aptos" w:cs="Aptos" w:asciiTheme="minorAscii" w:hAnsiTheme="minorAscii" w:eastAsiaTheme="minorAscii" w:cstheme="minorAscii"/>
          <w:color w:val="000000" w:themeColor="text1" w:themeTint="FF" w:themeShade="FF"/>
          <w:sz w:val="24"/>
          <w:szCs w:val="24"/>
        </w:rPr>
        <w:t xml:space="preserve"> </w:t>
      </w:r>
    </w:p>
    <w:p xmlns:wp14="http://schemas.microsoft.com/office/word/2010/wordml" w:rsidP="714B8EC8" wp14:paraId="39F73A7A" wp14:textId="6EBC7320">
      <w:pPr>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p>
    <w:p xmlns:wp14="http://schemas.microsoft.com/office/word/2010/wordml" w:rsidP="714B8EC8" wp14:paraId="1CC1B7FC" wp14:textId="27EDE309">
      <w:pPr>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r w:rsidRPr="714B8EC8" w:rsidR="76F230D1">
        <w:rPr>
          <w:rFonts w:ascii="Aptos" w:hAnsi="Aptos" w:eastAsia="Aptos" w:cs="Aptos" w:asciiTheme="minorAscii" w:hAnsiTheme="minorAscii" w:eastAsiaTheme="minorAscii" w:cstheme="minorAscii"/>
          <w:color w:val="000000" w:themeColor="text1" w:themeTint="FF" w:themeShade="FF"/>
          <w:sz w:val="24"/>
          <w:szCs w:val="24"/>
        </w:rPr>
        <w:t xml:space="preserve">Related research draws upon Marx's concept of the 'metabolic rift', to argue that capitalist agricultural systems generate a structural disconnection between humans and the natural systems upon which they depend (Marx, 1867; Foster, 1999). This narrative </w:t>
      </w:r>
      <w:r w:rsidRPr="714B8EC8" w:rsidR="76F230D1">
        <w:rPr>
          <w:rFonts w:ascii="Aptos" w:hAnsi="Aptos" w:eastAsia="Aptos" w:cs="Aptos" w:asciiTheme="minorAscii" w:hAnsiTheme="minorAscii" w:eastAsiaTheme="minorAscii" w:cstheme="minorAscii"/>
          <w:color w:val="000000" w:themeColor="text1" w:themeTint="FF" w:themeShade="FF"/>
          <w:sz w:val="24"/>
          <w:szCs w:val="24"/>
        </w:rPr>
        <w:t>maintains</w:t>
      </w:r>
      <w:r w:rsidRPr="714B8EC8" w:rsidR="76F230D1">
        <w:rPr>
          <w:rFonts w:ascii="Aptos" w:hAnsi="Aptos" w:eastAsia="Aptos" w:cs="Aptos" w:asciiTheme="minorAscii" w:hAnsiTheme="minorAscii" w:eastAsiaTheme="minorAscii" w:cstheme="minorAscii"/>
          <w:color w:val="000000" w:themeColor="text1" w:themeTint="FF" w:themeShade="FF"/>
          <w:sz w:val="24"/>
          <w:szCs w:val="24"/>
        </w:rPr>
        <w:t xml:space="preserve"> that the detachment from land and ecological processes can only be resolved through systemic transformation rather than market-based reform (Gare, 2021; 2021a; Xue, 2022). From this perspective, neoliberalism's tendency to assign financial value to all aspects of life reduces ecosystems and labour to </w:t>
      </w:r>
      <w:r w:rsidRPr="714B8EC8" w:rsidR="76F230D1">
        <w:rPr>
          <w:rFonts w:ascii="Aptos" w:hAnsi="Aptos" w:eastAsia="Aptos" w:cs="Aptos" w:asciiTheme="minorAscii" w:hAnsiTheme="minorAscii" w:eastAsiaTheme="minorAscii" w:cstheme="minorAscii"/>
          <w:color w:val="000000" w:themeColor="text1" w:themeTint="FF" w:themeShade="FF"/>
          <w:sz w:val="24"/>
          <w:szCs w:val="24"/>
        </w:rPr>
        <w:t>commodities</w:t>
      </w:r>
      <w:r w:rsidRPr="714B8EC8" w:rsidR="76F230D1">
        <w:rPr>
          <w:rFonts w:ascii="Aptos" w:hAnsi="Aptos" w:eastAsia="Aptos" w:cs="Aptos" w:asciiTheme="minorAscii" w:hAnsiTheme="minorAscii" w:eastAsiaTheme="minorAscii" w:cstheme="minorAscii"/>
          <w:color w:val="000000" w:themeColor="text1" w:themeTint="FF" w:themeShade="FF"/>
          <w:sz w:val="24"/>
          <w:szCs w:val="24"/>
        </w:rPr>
        <w:t>. A more ecologically grounded political economy would instead prioritise the regenerative capacity of</w:t>
      </w:r>
      <w:r w:rsidRPr="714B8EC8" w:rsidR="63959FBC">
        <w:rPr>
          <w:rFonts w:ascii="Aptos" w:hAnsi="Aptos" w:eastAsia="Aptos" w:cs="Aptos" w:asciiTheme="minorAscii" w:hAnsiTheme="minorAscii" w:eastAsiaTheme="minorAscii" w:cstheme="minorAscii"/>
          <w:color w:val="000000" w:themeColor="text1" w:themeTint="FF" w:themeShade="FF"/>
          <w:sz w:val="24"/>
          <w:szCs w:val="24"/>
        </w:rPr>
        <w:t xml:space="preserve"> food </w:t>
      </w:r>
      <w:r w:rsidRPr="714B8EC8" w:rsidR="76F230D1">
        <w:rPr>
          <w:rFonts w:ascii="Aptos" w:hAnsi="Aptos" w:eastAsia="Aptos" w:cs="Aptos" w:asciiTheme="minorAscii" w:hAnsiTheme="minorAscii" w:eastAsiaTheme="minorAscii" w:cstheme="minorAscii"/>
          <w:color w:val="000000" w:themeColor="text1" w:themeTint="FF" w:themeShade="FF"/>
          <w:sz w:val="24"/>
          <w:szCs w:val="24"/>
        </w:rPr>
        <w:t>systems, enhancing rather than degrading environmental and social relations. Using</w:t>
      </w:r>
      <w:r w:rsidRPr="714B8EC8"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r w:rsidRPr="714B8EC8" w:rsidR="76F230D1">
        <w:rPr>
          <w:rFonts w:ascii="Aptos" w:hAnsi="Aptos" w:eastAsia="Aptos" w:cs="Aptos" w:asciiTheme="minorAscii" w:hAnsiTheme="minorAscii" w:eastAsiaTheme="minorAscii" w:cstheme="minorAscii"/>
          <w:color w:val="000000" w:themeColor="text1" w:themeTint="FF" w:themeShade="FF"/>
          <w:sz w:val="24"/>
          <w:szCs w:val="24"/>
        </w:rPr>
        <w:t>Sbicca'</w:t>
      </w:r>
      <w:r w:rsidRPr="714B8EC8" w:rsidR="76F230D1">
        <w:rPr>
          <w:rFonts w:ascii="Aptos" w:hAnsi="Aptos" w:eastAsia="Aptos" w:cs="Aptos" w:asciiTheme="minorAscii" w:hAnsiTheme="minorAscii" w:eastAsiaTheme="minorAscii" w:cstheme="minorAscii"/>
          <w:color w:val="000000" w:themeColor="text1" w:themeTint="FF" w:themeShade="FF"/>
          <w:sz w:val="24"/>
          <w:szCs w:val="24"/>
        </w:rPr>
        <w:t>s</w:t>
      </w:r>
      <w:r w:rsidRPr="714B8EC8" w:rsidR="76F230D1">
        <w:rPr>
          <w:rFonts w:ascii="Aptos" w:hAnsi="Aptos" w:eastAsia="Aptos" w:cs="Aptos" w:asciiTheme="minorAscii" w:hAnsiTheme="minorAscii" w:eastAsiaTheme="minorAscii" w:cstheme="minorAscii"/>
          <w:color w:val="000000" w:themeColor="text1" w:themeTint="FF" w:themeShade="FF"/>
          <w:sz w:val="24"/>
          <w:szCs w:val="24"/>
        </w:rPr>
        <w:t xml:space="preserve"> (2018) food justice framework, these arguments suggest that meaningful reform requires not only labour protections but structural change that centres equity, ecological sustainability, and democratic participation within agricultural systems.</w:t>
      </w:r>
    </w:p>
    <w:p xmlns:wp14="http://schemas.microsoft.com/office/word/2010/wordml" w:rsidP="714B8EC8" wp14:paraId="69911534" wp14:textId="4FA91E55">
      <w:pPr>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r w:rsidRPr="714B8EC8"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p>
    <w:p xmlns:wp14="http://schemas.microsoft.com/office/word/2010/wordml" w:rsidP="714B8EC8" wp14:paraId="1BAAFC83" wp14:textId="1B0C65BF">
      <w:pPr>
        <w:pStyle w:val="Normal"/>
        <w:rPr>
          <w:rFonts w:ascii="Aptos" w:hAnsi="Aptos" w:eastAsia="Aptos" w:cs="Aptos" w:asciiTheme="minorAscii" w:hAnsiTheme="minorAscii" w:eastAsiaTheme="minorAscii" w:cstheme="minorAscii"/>
          <w:b w:val="0"/>
          <w:bCs w:val="0"/>
          <w:strike w:val="0"/>
          <w:dstrike w:val="0"/>
          <w:color w:val="000000" w:themeColor="text1" w:themeTint="FF" w:themeShade="FF"/>
          <w:sz w:val="24"/>
          <w:szCs w:val="24"/>
          <w:u w:val="single"/>
        </w:rPr>
      </w:pPr>
      <w:r w:rsidRPr="714B8EC8" w:rsidR="76F230D1">
        <w:rPr>
          <w:u w:val="single"/>
        </w:rPr>
        <w:t>Conclusion</w:t>
      </w:r>
    </w:p>
    <w:p xmlns:wp14="http://schemas.microsoft.com/office/word/2010/wordml" w:rsidP="714B8EC8" wp14:paraId="6BB8FE6C" wp14:textId="22B115AF">
      <w:pPr>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The UK SWP/SWV </w:t>
      </w:r>
      <w:r w:rsidRPr="7ACD7C2B" w:rsidR="34F5D887">
        <w:rPr>
          <w:rFonts w:ascii="Aptos" w:hAnsi="Aptos" w:eastAsia="Aptos" w:cs="Aptos" w:asciiTheme="minorAscii" w:hAnsiTheme="minorAscii" w:eastAsiaTheme="minorAscii" w:cstheme="minorAscii"/>
          <w:color w:val="000000" w:themeColor="text1" w:themeTint="FF" w:themeShade="FF"/>
          <w:sz w:val="24"/>
          <w:szCs w:val="24"/>
        </w:rPr>
        <w:t>systems</w:t>
      </w:r>
      <w:r w:rsidRPr="7ACD7C2B" w:rsidR="699E67BE">
        <w:rPr>
          <w:rFonts w:ascii="Aptos" w:hAnsi="Aptos" w:eastAsia="Aptos" w:cs="Aptos" w:asciiTheme="minorAscii" w:hAnsiTheme="minorAscii" w:eastAsiaTheme="minorAscii" w:cstheme="minorAscii"/>
          <w:color w:val="000000" w:themeColor="text1" w:themeTint="FF" w:themeShade="FF"/>
          <w:sz w:val="24"/>
          <w:szCs w:val="24"/>
        </w:rPr>
        <w:t xml:space="preserve">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ha</w:t>
      </w:r>
      <w:r w:rsidRPr="7ACD7C2B" w:rsidR="1588EDF2">
        <w:rPr>
          <w:rFonts w:ascii="Aptos" w:hAnsi="Aptos" w:eastAsia="Aptos" w:cs="Aptos" w:asciiTheme="minorAscii" w:hAnsiTheme="minorAscii" w:eastAsiaTheme="minorAscii" w:cstheme="minorAscii"/>
          <w:color w:val="000000" w:themeColor="text1" w:themeTint="FF" w:themeShade="FF"/>
          <w:sz w:val="24"/>
          <w:szCs w:val="24"/>
        </w:rPr>
        <w:t>ve</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been examined through the lens of neoliberal ideology (Alcock and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May,</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2014; Ong, 202</w:t>
      </w:r>
      <w:r w:rsidRPr="7ACD7C2B" w:rsidR="392C25AE">
        <w:rPr>
          <w:rFonts w:ascii="Aptos" w:hAnsi="Aptos" w:eastAsia="Aptos" w:cs="Aptos" w:asciiTheme="minorAscii" w:hAnsiTheme="minorAscii" w:eastAsiaTheme="minorAscii" w:cstheme="minorAscii"/>
          <w:color w:val="000000" w:themeColor="text1" w:themeTint="FF" w:themeShade="FF"/>
          <w:sz w:val="24"/>
          <w:szCs w:val="24"/>
        </w:rPr>
        <w:t>2</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Milbourne and Coulson, 2021). The introduction of the </w:t>
      </w:r>
      <w:r w:rsidRPr="7ACD7C2B" w:rsidR="43ED41CB">
        <w:rPr>
          <w:rFonts w:ascii="Aptos" w:hAnsi="Aptos" w:eastAsia="Aptos" w:cs="Aptos" w:asciiTheme="minorAscii" w:hAnsiTheme="minorAscii" w:eastAsiaTheme="minorAscii" w:cstheme="minorAscii"/>
          <w:color w:val="000000" w:themeColor="text1" w:themeTint="FF" w:themeShade="FF"/>
          <w:sz w:val="24"/>
          <w:szCs w:val="24"/>
        </w:rPr>
        <w:t>policy</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was claimed to be a response to labour shortages and food security following Brexit </w:t>
      </w:r>
      <w:r w:rsidRPr="7ACD7C2B" w:rsidR="4B8741B7">
        <w:rPr>
          <w:rFonts w:ascii="Aptos" w:hAnsi="Aptos" w:eastAsia="Aptos" w:cs="Aptos" w:asciiTheme="minorAscii" w:hAnsiTheme="minorAscii" w:eastAsiaTheme="minorAscii" w:cstheme="minorAscii"/>
          <w:color w:val="000000" w:themeColor="text1" w:themeTint="FF" w:themeShade="FF"/>
          <w:sz w:val="24"/>
          <w:szCs w:val="24"/>
        </w:rPr>
        <w:t>followed by</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C</w:t>
      </w:r>
      <w:r w:rsidRPr="7ACD7C2B" w:rsidR="7C2B5D22">
        <w:rPr>
          <w:rFonts w:ascii="Aptos" w:hAnsi="Aptos" w:eastAsia="Aptos" w:cs="Aptos" w:asciiTheme="minorAscii" w:hAnsiTheme="minorAscii" w:eastAsiaTheme="minorAscii" w:cstheme="minorAscii"/>
          <w:color w:val="000000" w:themeColor="text1" w:themeTint="FF" w:themeShade="FF"/>
          <w:sz w:val="24"/>
          <w:szCs w:val="24"/>
        </w:rPr>
        <w:t>OVID</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-19 (Pro-Force, 2021; National Farmers Union, 2025). An alternative narrative has revealed a policy that prioritises labour flexibility and cost, cheap food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production</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and the interests of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agri</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-producers over the rights,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welfare</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and social inclusion of migrant workers (Clutterbuck, 2017; Milbourne and Coulson, 2021;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Mantouvalou</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2023; Mellino and Chapman, 2023). The policy was produced in a highly tense political environmen</w:t>
      </w:r>
      <w:r w:rsidRPr="7ACD7C2B" w:rsidR="6AD8CE53">
        <w:rPr>
          <w:rFonts w:ascii="Aptos" w:hAnsi="Aptos" w:eastAsia="Aptos" w:cs="Aptos" w:asciiTheme="minorAscii" w:hAnsiTheme="minorAscii" w:eastAsiaTheme="minorAscii" w:cstheme="minorAscii"/>
          <w:color w:val="000000" w:themeColor="text1" w:themeTint="FF" w:themeShade="FF"/>
          <w:sz w:val="24"/>
          <w:szCs w:val="24"/>
        </w:rPr>
        <w:t xml:space="preserve">t </w:t>
      </w:r>
      <w:r w:rsidRPr="7ACD7C2B" w:rsidR="6247AE24">
        <w:rPr>
          <w:rFonts w:ascii="Aptos" w:hAnsi="Aptos" w:eastAsia="Aptos" w:cs="Aptos" w:asciiTheme="minorAscii" w:hAnsiTheme="minorAscii" w:eastAsiaTheme="minorAscii" w:cstheme="minorAscii"/>
          <w:color w:val="000000" w:themeColor="text1" w:themeTint="FF" w:themeShade="FF"/>
          <w:sz w:val="24"/>
          <w:szCs w:val="24"/>
        </w:rPr>
        <w:t>and as</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such</w:t>
      </w:r>
      <w:r w:rsidRPr="7ACD7C2B" w:rsidR="216A2064">
        <w:rPr>
          <w:rFonts w:ascii="Aptos" w:hAnsi="Aptos" w:eastAsia="Aptos" w:cs="Aptos" w:asciiTheme="minorAscii" w:hAnsiTheme="minorAscii" w:eastAsiaTheme="minorAscii" w:cstheme="minorAscii"/>
          <w:color w:val="000000" w:themeColor="text1" w:themeTint="FF" w:themeShade="FF"/>
          <w:sz w:val="24"/>
          <w:szCs w:val="24"/>
        </w:rPr>
        <w:t xml:space="preserve">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reflects a controlled and conditional form of labour, which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ultimately structurally</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disadvantages workers (Goodfellow, 201</w:t>
      </w:r>
      <w:r w:rsidRPr="7ACD7C2B" w:rsidR="7149EE23">
        <w:rPr>
          <w:rFonts w:ascii="Aptos" w:hAnsi="Aptos" w:eastAsia="Aptos" w:cs="Aptos" w:asciiTheme="minorAscii" w:hAnsiTheme="minorAscii" w:eastAsiaTheme="minorAscii" w:cstheme="minorAscii"/>
          <w:color w:val="000000" w:themeColor="text1" w:themeTint="FF" w:themeShade="FF"/>
          <w:sz w:val="24"/>
          <w:szCs w:val="24"/>
        </w:rPr>
        <w:t>9</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The system appears designed to secure a compliant and cost-effective solution to</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agri</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-labour</w:t>
      </w:r>
      <w:r w:rsidRPr="7ACD7C2B" w:rsidR="04DC460E">
        <w:rPr>
          <w:rFonts w:ascii="Aptos" w:hAnsi="Aptos" w:eastAsia="Aptos" w:cs="Aptos" w:asciiTheme="minorAscii" w:hAnsiTheme="minorAscii" w:eastAsiaTheme="minorAscii" w:cstheme="minorAscii"/>
          <w:color w:val="000000" w:themeColor="text1" w:themeTint="FF" w:themeShade="FF"/>
          <w:sz w:val="24"/>
          <w:szCs w:val="24"/>
        </w:rPr>
        <w:t xml:space="preserve"> and economic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food</w:t>
      </w:r>
      <w:r w:rsidRPr="7ACD7C2B" w:rsidR="302CFCB9">
        <w:rPr>
          <w:rFonts w:ascii="Aptos" w:hAnsi="Aptos" w:eastAsia="Aptos" w:cs="Aptos" w:asciiTheme="minorAscii" w:hAnsiTheme="minorAscii" w:eastAsiaTheme="minorAscii" w:cstheme="minorAscii"/>
          <w:color w:val="000000" w:themeColor="text1" w:themeTint="FF" w:themeShade="FF"/>
          <w:sz w:val="24"/>
          <w:szCs w:val="24"/>
        </w:rPr>
        <w:t xml:space="preserve"> </w:t>
      </w:r>
      <w:r w:rsidRPr="7ACD7C2B" w:rsidR="302CFCB9">
        <w:rPr>
          <w:rFonts w:ascii="Aptos" w:hAnsi="Aptos" w:eastAsia="Aptos" w:cs="Aptos" w:asciiTheme="minorAscii" w:hAnsiTheme="minorAscii" w:eastAsiaTheme="minorAscii" w:cstheme="minorAscii"/>
          <w:color w:val="000000" w:themeColor="text1" w:themeTint="FF" w:themeShade="FF"/>
          <w:sz w:val="24"/>
          <w:szCs w:val="24"/>
        </w:rPr>
        <w:t>supply</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in the UK.</w:t>
      </w:r>
    </w:p>
    <w:p xmlns:wp14="http://schemas.microsoft.com/office/word/2010/wordml" w:rsidP="714B8EC8" wp14:paraId="7B2AEEF4" wp14:textId="5ECBF6D8">
      <w:pPr>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r w:rsidRPr="714B8EC8"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p>
    <w:p xmlns:wp14="http://schemas.microsoft.com/office/word/2010/wordml" w:rsidP="714B8EC8" wp14:paraId="628DE143" wp14:textId="62B22248">
      <w:pPr>
        <w:spacing w:before="0" w:beforeAutospacing="off" w:after="0" w:afterAutospacing="off" w:line="360" w:lineRule="auto"/>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7ACD7C2B" w:rsidR="76F230D1">
        <w:rPr>
          <w:rFonts w:ascii="Aptos" w:hAnsi="Aptos" w:eastAsia="Aptos" w:cs="Aptos" w:asciiTheme="minorAscii" w:hAnsiTheme="minorAscii" w:eastAsiaTheme="minorAscii" w:cstheme="minorAscii"/>
          <w:color w:val="000000" w:themeColor="text1" w:themeTint="FF" w:themeShade="FF"/>
          <w:sz w:val="24"/>
          <w:szCs w:val="24"/>
        </w:rPr>
        <w:t>Consideration has been given to neo-Marxist and food justice perspectives that highlight</w:t>
      </w:r>
      <w:r w:rsidRPr="7ACD7C2B" w:rsidR="1ED8E1B5">
        <w:rPr>
          <w:rFonts w:ascii="Aptos" w:hAnsi="Aptos" w:eastAsia="Aptos" w:cs="Aptos" w:asciiTheme="minorAscii" w:hAnsiTheme="minorAscii" w:eastAsiaTheme="minorAscii" w:cstheme="minorAscii"/>
          <w:color w:val="000000" w:themeColor="text1" w:themeTint="FF" w:themeShade="FF"/>
          <w:sz w:val="24"/>
          <w:szCs w:val="24"/>
        </w:rPr>
        <w:t>s</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a broader social and ecological approach. These </w:t>
      </w:r>
      <w:r w:rsidRPr="7ACD7C2B" w:rsidR="31629B3E">
        <w:rPr>
          <w:rFonts w:ascii="Aptos" w:hAnsi="Aptos" w:eastAsia="Aptos" w:cs="Aptos" w:asciiTheme="minorAscii" w:hAnsiTheme="minorAscii" w:eastAsiaTheme="minorAscii" w:cstheme="minorAscii"/>
          <w:color w:val="000000" w:themeColor="text1" w:themeTint="FF" w:themeShade="FF"/>
          <w:sz w:val="24"/>
          <w:szCs w:val="24"/>
        </w:rPr>
        <w:t>views</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emphasise how neoliberal food</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r w:rsidRPr="7ACD7C2B" w:rsidR="76F230D1">
        <w:rPr>
          <w:rFonts w:ascii="Aptos" w:hAnsi="Aptos" w:eastAsia="Aptos" w:cs="Aptos" w:asciiTheme="minorAscii" w:hAnsiTheme="minorAscii" w:eastAsiaTheme="minorAscii" w:cstheme="minorAscii"/>
          <w:color w:val="000000" w:themeColor="text1" w:themeTint="FF" w:themeShade="FF"/>
          <w:sz w:val="24"/>
          <w:szCs w:val="24"/>
          <w:u w:val="none"/>
        </w:rPr>
        <w:t>systems</w:t>
      </w:r>
      <w:r w:rsidRPr="7ACD7C2B" w:rsidR="76F230D1">
        <w:rPr>
          <w:rFonts w:ascii="Aptos" w:hAnsi="Aptos" w:eastAsia="Aptos" w:cs="Aptos" w:asciiTheme="minorAscii" w:hAnsiTheme="minorAscii" w:eastAsiaTheme="minorAscii" w:cstheme="minorAscii"/>
          <w:i w:val="1"/>
          <w:iCs w:val="1"/>
          <w:color w:val="000000" w:themeColor="text1" w:themeTint="FF" w:themeShade="FF"/>
          <w:sz w:val="24"/>
          <w:szCs w:val="24"/>
          <w:u w:val="none"/>
        </w:rPr>
        <w:t xml:space="preserve">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dis</w:t>
      </w:r>
      <w:r w:rsidRPr="7ACD7C2B" w:rsidR="10AE0074">
        <w:rPr>
          <w:rFonts w:ascii="Aptos" w:hAnsi="Aptos" w:eastAsia="Aptos" w:cs="Aptos" w:asciiTheme="minorAscii" w:hAnsiTheme="minorAscii" w:eastAsiaTheme="minorAscii" w:cstheme="minorAscii"/>
          <w:color w:val="000000" w:themeColor="text1" w:themeTint="FF" w:themeShade="FF"/>
          <w:sz w:val="24"/>
          <w:szCs w:val="24"/>
        </w:rPr>
        <w:t>advantage</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both labour and ecological sustainability. </w:t>
      </w:r>
      <w:r w:rsidRPr="7ACD7C2B" w:rsidR="059631B8">
        <w:rPr>
          <w:rFonts w:ascii="Aptos" w:hAnsi="Aptos" w:eastAsia="Aptos" w:cs="Aptos" w:asciiTheme="minorAscii" w:hAnsiTheme="minorAscii" w:eastAsiaTheme="minorAscii" w:cstheme="minorAscii"/>
          <w:color w:val="000000" w:themeColor="text1" w:themeTint="FF" w:themeShade="FF"/>
          <w:sz w:val="24"/>
          <w:szCs w:val="24"/>
        </w:rPr>
        <w:t>Li</w:t>
      </w:r>
      <w:r w:rsidRPr="7ACD7C2B" w:rsidR="5314E4BC">
        <w:rPr>
          <w:rFonts w:ascii="Aptos" w:hAnsi="Aptos" w:eastAsia="Aptos" w:cs="Aptos" w:asciiTheme="minorAscii" w:hAnsiTheme="minorAscii" w:eastAsiaTheme="minorAscii" w:cstheme="minorAscii"/>
          <w:color w:val="000000" w:themeColor="text1" w:themeTint="FF" w:themeShade="FF"/>
          <w:sz w:val="24"/>
          <w:szCs w:val="24"/>
        </w:rPr>
        <w:t>fe quality c</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osts to migrant workers are high and their</w:t>
      </w:r>
      <w:r w:rsidRPr="7ACD7C2B" w:rsidR="131E3D5A">
        <w:rPr>
          <w:rFonts w:ascii="Aptos" w:hAnsi="Aptos" w:eastAsia="Aptos" w:cs="Aptos" w:asciiTheme="minorAscii" w:hAnsiTheme="minorAscii" w:eastAsiaTheme="minorAscii" w:cstheme="minorAscii"/>
          <w:color w:val="000000" w:themeColor="text1" w:themeTint="FF" w:themeShade="FF"/>
          <w:sz w:val="24"/>
          <w:szCs w:val="24"/>
        </w:rPr>
        <w:t xml:space="preserve"> low</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w:t>
      </w:r>
      <w:r w:rsidRPr="7ACD7C2B" w:rsidR="76F230D1">
        <w:rPr>
          <w:rFonts w:ascii="Aptos" w:hAnsi="Aptos" w:eastAsia="Aptos" w:cs="Aptos" w:asciiTheme="minorAscii" w:hAnsiTheme="minorAscii" w:eastAsiaTheme="minorAscii" w:cstheme="minorAscii"/>
          <w:color w:val="000000" w:themeColor="text1" w:themeTint="FF" w:themeShade="FF"/>
          <w:sz w:val="24"/>
          <w:szCs w:val="24"/>
          <w:u w:val="none"/>
        </w:rPr>
        <w:t xml:space="preserve">wages </w:t>
      </w:r>
      <w:r w:rsidRPr="7ACD7C2B" w:rsidR="76F230D1">
        <w:rPr>
          <w:rFonts w:ascii="Aptos" w:hAnsi="Aptos" w:eastAsia="Aptos" w:cs="Aptos" w:asciiTheme="minorAscii" w:hAnsiTheme="minorAscii" w:eastAsiaTheme="minorAscii" w:cstheme="minorAscii"/>
          <w:color w:val="000000" w:themeColor="text1" w:themeTint="FF" w:themeShade="FF"/>
          <w:sz w:val="24"/>
          <w:szCs w:val="24"/>
          <w:u w:val="none"/>
        </w:rPr>
        <w:t>fail to</w:t>
      </w:r>
      <w:r w:rsidRPr="7ACD7C2B" w:rsidR="76F230D1">
        <w:rPr>
          <w:rFonts w:ascii="Aptos" w:hAnsi="Aptos" w:eastAsia="Aptos" w:cs="Aptos" w:asciiTheme="minorAscii" w:hAnsiTheme="minorAscii" w:eastAsiaTheme="minorAscii" w:cstheme="minorAscii"/>
          <w:color w:val="000000" w:themeColor="text1" w:themeTint="FF" w:themeShade="FF"/>
          <w:sz w:val="24"/>
          <w:szCs w:val="24"/>
          <w:u w:val="none"/>
        </w:rPr>
        <w:t xml:space="preserve"> reflect these burdens</w:t>
      </w:r>
      <w:r w:rsidRPr="7ACD7C2B" w:rsidR="6E7B0D94">
        <w:rPr>
          <w:rFonts w:ascii="Aptos" w:hAnsi="Aptos" w:eastAsia="Aptos" w:cs="Aptos" w:asciiTheme="minorAscii" w:hAnsiTheme="minorAscii" w:eastAsiaTheme="minorAscii" w:cstheme="minorAscii"/>
          <w:color w:val="000000" w:themeColor="text1" w:themeTint="FF" w:themeShade="FF"/>
          <w:sz w:val="24"/>
          <w:szCs w:val="24"/>
          <w:u w:val="none"/>
        </w:rPr>
        <w:t xml:space="preserve">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Sbicca</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2018; Anderson, 2021; Palumbo, 2024). Working within an ecological framework would imply structural reforms that prioritis</w:t>
      </w:r>
      <w:r w:rsidRPr="7ACD7C2B" w:rsidR="69B53EE4">
        <w:rPr>
          <w:rFonts w:ascii="Aptos" w:hAnsi="Aptos" w:eastAsia="Aptos" w:cs="Aptos" w:asciiTheme="minorAscii" w:hAnsiTheme="minorAscii" w:eastAsiaTheme="minorAscii" w:cstheme="minorAscii"/>
          <w:color w:val="000000" w:themeColor="text1" w:themeTint="FF" w:themeShade="FF"/>
          <w:sz w:val="24"/>
          <w:szCs w:val="24"/>
        </w:rPr>
        <w:t xml:space="preserve">e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nature, social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relations</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and community over financial advantages (Marx, 1867; </w:t>
      </w:r>
      <w:r w:rsidRPr="7ACD7C2B" w:rsidR="17E334E2">
        <w:rPr>
          <w:rFonts w:ascii="Aptos" w:hAnsi="Aptos" w:eastAsia="Aptos" w:cs="Aptos" w:asciiTheme="minorAscii" w:hAnsiTheme="minorAscii" w:eastAsiaTheme="minorAscii" w:cstheme="minorAscii"/>
          <w:color w:val="000000" w:themeColor="text1" w:themeTint="FF" w:themeShade="FF"/>
          <w:sz w:val="24"/>
          <w:szCs w:val="24"/>
        </w:rPr>
        <w:t>Sbicca</w:t>
      </w:r>
      <w:r w:rsidRPr="7ACD7C2B" w:rsidR="17E334E2">
        <w:rPr>
          <w:rFonts w:ascii="Aptos" w:hAnsi="Aptos" w:eastAsia="Aptos" w:cs="Aptos" w:asciiTheme="minorAscii" w:hAnsiTheme="minorAscii" w:eastAsiaTheme="minorAscii" w:cstheme="minorAscii"/>
          <w:color w:val="000000" w:themeColor="text1" w:themeTint="FF" w:themeShade="FF"/>
          <w:sz w:val="24"/>
          <w:szCs w:val="24"/>
        </w:rPr>
        <w:t xml:space="preserve">, 2018;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Gare, 2021; 2021a). </w:t>
      </w:r>
      <w:r w:rsidRPr="7ACD7C2B" w:rsidR="241BB82C">
        <w:rPr>
          <w:rFonts w:ascii="Aptos" w:hAnsi="Aptos" w:eastAsia="Aptos" w:cs="Aptos" w:asciiTheme="minorAscii" w:hAnsiTheme="minorAscii" w:eastAsiaTheme="minorAscii" w:cstheme="minorAscii"/>
          <w:color w:val="000000" w:themeColor="text1" w:themeTint="FF" w:themeShade="FF"/>
          <w:sz w:val="24"/>
          <w:szCs w:val="24"/>
        </w:rPr>
        <w:t xml:space="preserve">A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structural change towards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an equitable</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food system would require removing the focus from market management towards human well-being, </w:t>
      </w:r>
      <w:r w:rsidRPr="7ACD7C2B" w:rsidR="0A453C93">
        <w:rPr>
          <w:rFonts w:ascii="Aptos" w:hAnsi="Aptos" w:eastAsia="Aptos" w:cs="Aptos" w:asciiTheme="minorAscii" w:hAnsiTheme="minorAscii" w:eastAsiaTheme="minorAscii" w:cstheme="minorAscii"/>
          <w:color w:val="000000" w:themeColor="text1" w:themeTint="FF" w:themeShade="FF"/>
          <w:sz w:val="24"/>
          <w:szCs w:val="24"/>
        </w:rPr>
        <w:t xml:space="preserve">ultimately </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prioritising</w:t>
      </w:r>
      <w:r w:rsidRPr="7ACD7C2B" w:rsidR="76F230D1">
        <w:rPr>
          <w:rFonts w:ascii="Aptos" w:hAnsi="Aptos" w:eastAsia="Aptos" w:cs="Aptos" w:asciiTheme="minorAscii" w:hAnsiTheme="minorAscii" w:eastAsiaTheme="minorAscii" w:cstheme="minorAscii"/>
          <w:color w:val="000000" w:themeColor="text1" w:themeTint="FF" w:themeShade="FF"/>
          <w:sz w:val="24"/>
          <w:szCs w:val="24"/>
        </w:rPr>
        <w:t xml:space="preserve"> workers' rights as valuable members of society</w:t>
      </w:r>
      <w:r w:rsidRPr="7ACD7C2B" w:rsidR="16A8F746">
        <w:rPr>
          <w:rFonts w:ascii="Aptos" w:hAnsi="Aptos" w:eastAsia="Aptos" w:cs="Aptos" w:asciiTheme="minorAscii" w:hAnsiTheme="minorAscii" w:eastAsiaTheme="minorAscii" w:cstheme="minorAscii"/>
          <w:color w:val="000000" w:themeColor="text1" w:themeTint="FF" w:themeShade="FF"/>
          <w:sz w:val="24"/>
          <w:szCs w:val="24"/>
        </w:rPr>
        <w:t xml:space="preserve"> and communities </w:t>
      </w:r>
      <w:r w:rsidRPr="7ACD7C2B" w:rsidR="1FACC564">
        <w:rPr>
          <w:rFonts w:ascii="Aptos" w:hAnsi="Aptos" w:eastAsia="Aptos" w:cs="Aptos" w:asciiTheme="minorAscii" w:hAnsiTheme="minorAscii" w:eastAsiaTheme="minorAscii" w:cstheme="minorAscii"/>
          <w:color w:val="000000" w:themeColor="text1" w:themeTint="FF" w:themeShade="FF"/>
          <w:sz w:val="24"/>
          <w:szCs w:val="24"/>
        </w:rPr>
        <w:t>who are</w:t>
      </w:r>
      <w:r w:rsidRPr="7ACD7C2B" w:rsidR="16A8F746">
        <w:rPr>
          <w:rFonts w:ascii="Aptos" w:hAnsi="Aptos" w:eastAsia="Aptos" w:cs="Aptos" w:asciiTheme="minorAscii" w:hAnsiTheme="minorAscii" w:eastAsiaTheme="minorAscii" w:cstheme="minorAscii"/>
          <w:color w:val="000000" w:themeColor="text1" w:themeTint="FF" w:themeShade="FF"/>
          <w:sz w:val="24"/>
          <w:szCs w:val="24"/>
        </w:rPr>
        <w:t xml:space="preserve"> </w:t>
      </w:r>
      <w:r w:rsidRPr="7ACD7C2B" w:rsidR="16A8F746">
        <w:rPr>
          <w:rFonts w:ascii="Aptos" w:hAnsi="Aptos" w:eastAsia="Aptos" w:cs="Aptos" w:asciiTheme="minorAscii" w:hAnsiTheme="minorAscii" w:eastAsiaTheme="minorAscii" w:cstheme="minorAscii"/>
          <w:color w:val="000000" w:themeColor="text1" w:themeTint="FF" w:themeShade="FF"/>
          <w:sz w:val="24"/>
          <w:szCs w:val="24"/>
        </w:rPr>
        <w:t>ecologically connected to a sustainable future.</w:t>
      </w:r>
    </w:p>
    <w:p xmlns:wp14="http://schemas.microsoft.com/office/word/2010/wordml" w:rsidP="714B8EC8" wp14:paraId="7C1015F1" wp14:textId="4F9F5B70">
      <w:pPr>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p>
    <w:p xmlns:wp14="http://schemas.microsoft.com/office/word/2010/wordml" w:rsidP="714B8EC8" wp14:paraId="6E9572B2" wp14:textId="68F6D5BD">
      <w:pPr>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p>
    <w:p xmlns:wp14="http://schemas.microsoft.com/office/word/2010/wordml" w:rsidP="714B8EC8" wp14:paraId="38F5FB6E" wp14:textId="5323C7C8">
      <w:pPr>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p>
    <w:p xmlns:wp14="http://schemas.microsoft.com/office/word/2010/wordml" w:rsidP="714B8EC8" wp14:paraId="41969DEB" wp14:textId="0E591441">
      <w:pPr>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p>
    <w:p xmlns:wp14="http://schemas.microsoft.com/office/word/2010/wordml" w:rsidP="714B8EC8" wp14:paraId="50B2DBCE" wp14:textId="16907AA1">
      <w:pPr>
        <w:pStyle w:val="Normal"/>
        <w:spacing w:before="0" w:beforeAutospacing="off" w:after="0" w:afterAutospacing="off" w:line="360" w:lineRule="auto"/>
        <w:rPr>
          <w:rFonts w:ascii="Aptos" w:hAnsi="Aptos" w:eastAsia="Aptos" w:cs="Aptos" w:asciiTheme="minorAscii" w:hAnsiTheme="minorAscii" w:eastAsiaTheme="minorAscii" w:cstheme="minorAscii"/>
          <w:color w:val="000000" w:themeColor="text1" w:themeTint="FF" w:themeShade="FF"/>
          <w:sz w:val="24"/>
          <w:szCs w:val="24"/>
        </w:rPr>
      </w:pPr>
    </w:p>
    <w:p xmlns:wp14="http://schemas.microsoft.com/office/word/2010/wordml" w:rsidP="714B8EC8" wp14:paraId="143ABCBD" wp14:textId="10B7FD5E">
      <w:pPr>
        <w:spacing w:before="0" w:beforeAutospacing="off" w:after="240" w:afterAutospacing="off"/>
        <w:rPr>
          <w:rFonts w:ascii="Times New Roman" w:hAnsi="Times New Roman" w:eastAsia="Times New Roman" w:cs="Times New Roman"/>
          <w:b w:val="0"/>
          <w:bCs w:val="0"/>
          <w:sz w:val="28"/>
          <w:szCs w:val="28"/>
          <w:u w:val="single"/>
        </w:rPr>
      </w:pPr>
    </w:p>
    <w:p w:rsidR="10E9F3F5" w:rsidP="10E9F3F5" w:rsidRDefault="10E9F3F5" w14:paraId="3D087DBB" w14:textId="3D6761C3">
      <w:pPr>
        <w:spacing w:before="0" w:beforeAutospacing="off" w:after="240" w:afterAutospacing="off"/>
        <w:rPr>
          <w:rFonts w:ascii="Times New Roman" w:hAnsi="Times New Roman" w:eastAsia="Times New Roman" w:cs="Times New Roman"/>
          <w:b w:val="0"/>
          <w:bCs w:val="0"/>
          <w:i w:val="0"/>
          <w:iCs w:val="0"/>
          <w:caps w:val="0"/>
          <w:smallCaps w:val="0"/>
          <w:color w:val="000000" w:themeColor="text1" w:themeTint="FF" w:themeShade="FF"/>
          <w:sz w:val="28"/>
          <w:szCs w:val="28"/>
          <w:u w:val="single"/>
        </w:rPr>
      </w:pPr>
    </w:p>
    <w:p w:rsidR="10E9F3F5" w:rsidP="10E9F3F5" w:rsidRDefault="10E9F3F5" w14:paraId="2F8E9625" w14:textId="76C56A90">
      <w:pPr>
        <w:spacing w:before="0" w:beforeAutospacing="off" w:after="240" w:afterAutospacing="off"/>
        <w:rPr>
          <w:rFonts w:ascii="Times New Roman" w:hAnsi="Times New Roman" w:eastAsia="Times New Roman" w:cs="Times New Roman"/>
          <w:b w:val="0"/>
          <w:bCs w:val="0"/>
          <w:i w:val="0"/>
          <w:iCs w:val="0"/>
          <w:caps w:val="0"/>
          <w:smallCaps w:val="0"/>
          <w:color w:val="000000" w:themeColor="text1" w:themeTint="FF" w:themeShade="FF"/>
          <w:sz w:val="28"/>
          <w:szCs w:val="28"/>
          <w:u w:val="single"/>
        </w:rPr>
      </w:pPr>
    </w:p>
    <w:p w:rsidR="10E9F3F5" w:rsidP="10E9F3F5" w:rsidRDefault="10E9F3F5" w14:paraId="5FB07C19" w14:textId="3FBD8786">
      <w:pPr>
        <w:spacing w:before="0" w:beforeAutospacing="off" w:after="240" w:afterAutospacing="off"/>
        <w:rPr>
          <w:rFonts w:ascii="Times New Roman" w:hAnsi="Times New Roman" w:eastAsia="Times New Roman" w:cs="Times New Roman"/>
          <w:b w:val="0"/>
          <w:bCs w:val="0"/>
          <w:i w:val="0"/>
          <w:iCs w:val="0"/>
          <w:caps w:val="0"/>
          <w:smallCaps w:val="0"/>
          <w:color w:val="000000" w:themeColor="text1" w:themeTint="FF" w:themeShade="FF"/>
          <w:sz w:val="28"/>
          <w:szCs w:val="28"/>
          <w:u w:val="single"/>
        </w:rPr>
      </w:pPr>
    </w:p>
    <w:p w:rsidR="10E9F3F5" w:rsidP="10E9F3F5" w:rsidRDefault="10E9F3F5" w14:paraId="3F2AB9CD" w14:textId="51F6C422">
      <w:pPr>
        <w:spacing w:before="0" w:beforeAutospacing="off" w:after="240" w:afterAutospacing="off"/>
        <w:rPr>
          <w:rFonts w:ascii="Times New Roman" w:hAnsi="Times New Roman" w:eastAsia="Times New Roman" w:cs="Times New Roman"/>
          <w:b w:val="0"/>
          <w:bCs w:val="0"/>
          <w:i w:val="0"/>
          <w:iCs w:val="0"/>
          <w:caps w:val="0"/>
          <w:smallCaps w:val="0"/>
          <w:color w:val="000000" w:themeColor="text1" w:themeTint="FF" w:themeShade="FF"/>
          <w:sz w:val="28"/>
          <w:szCs w:val="28"/>
          <w:u w:val="single"/>
        </w:rPr>
      </w:pPr>
    </w:p>
    <w:p w:rsidR="10E9F3F5" w:rsidP="10E9F3F5" w:rsidRDefault="10E9F3F5" w14:paraId="1476EAA8" w14:textId="73DA05BE">
      <w:pPr>
        <w:spacing w:before="0" w:beforeAutospacing="off" w:after="240" w:afterAutospacing="off"/>
        <w:rPr>
          <w:rFonts w:ascii="Times New Roman" w:hAnsi="Times New Roman" w:eastAsia="Times New Roman" w:cs="Times New Roman"/>
          <w:b w:val="0"/>
          <w:bCs w:val="0"/>
          <w:i w:val="0"/>
          <w:iCs w:val="0"/>
          <w:caps w:val="0"/>
          <w:smallCaps w:val="0"/>
          <w:color w:val="000000" w:themeColor="text1" w:themeTint="FF" w:themeShade="FF"/>
          <w:sz w:val="28"/>
          <w:szCs w:val="28"/>
          <w:u w:val="single"/>
        </w:rPr>
      </w:pPr>
    </w:p>
    <w:p w:rsidR="10E9F3F5" w:rsidP="10E9F3F5" w:rsidRDefault="10E9F3F5" w14:paraId="11132037" w14:textId="212AA82A">
      <w:pPr>
        <w:spacing w:before="0" w:beforeAutospacing="off" w:after="240" w:afterAutospacing="off"/>
        <w:rPr>
          <w:rFonts w:ascii="Times New Roman" w:hAnsi="Times New Roman" w:eastAsia="Times New Roman" w:cs="Times New Roman"/>
          <w:b w:val="0"/>
          <w:bCs w:val="0"/>
          <w:i w:val="0"/>
          <w:iCs w:val="0"/>
          <w:caps w:val="0"/>
          <w:smallCaps w:val="0"/>
          <w:color w:val="000000" w:themeColor="text1" w:themeTint="FF" w:themeShade="FF"/>
          <w:sz w:val="28"/>
          <w:szCs w:val="28"/>
          <w:u w:val="single"/>
        </w:rPr>
      </w:pPr>
    </w:p>
    <w:p w:rsidR="10E9F3F5" w:rsidP="10E9F3F5" w:rsidRDefault="10E9F3F5" w14:paraId="66E53A99" w14:textId="32C92CB1">
      <w:pPr>
        <w:spacing w:before="0" w:beforeAutospacing="off" w:after="240" w:afterAutospacing="off"/>
        <w:rPr>
          <w:rFonts w:ascii="Times New Roman" w:hAnsi="Times New Roman" w:eastAsia="Times New Roman" w:cs="Times New Roman"/>
          <w:b w:val="0"/>
          <w:bCs w:val="0"/>
          <w:i w:val="0"/>
          <w:iCs w:val="0"/>
          <w:caps w:val="0"/>
          <w:smallCaps w:val="0"/>
          <w:color w:val="000000" w:themeColor="text1" w:themeTint="FF" w:themeShade="FF"/>
          <w:sz w:val="28"/>
          <w:szCs w:val="28"/>
          <w:u w:val="single"/>
        </w:rPr>
      </w:pPr>
    </w:p>
    <w:p w:rsidR="10E9F3F5" w:rsidP="10E9F3F5" w:rsidRDefault="10E9F3F5" w14:paraId="1963BBB8" w14:textId="0844D9B3">
      <w:pPr>
        <w:spacing w:before="0" w:beforeAutospacing="off" w:after="240" w:afterAutospacing="off"/>
        <w:rPr>
          <w:rFonts w:ascii="Times New Roman" w:hAnsi="Times New Roman" w:eastAsia="Times New Roman" w:cs="Times New Roman"/>
          <w:b w:val="0"/>
          <w:bCs w:val="0"/>
          <w:i w:val="0"/>
          <w:iCs w:val="0"/>
          <w:caps w:val="0"/>
          <w:smallCaps w:val="0"/>
          <w:color w:val="000000" w:themeColor="text1" w:themeTint="FF" w:themeShade="FF"/>
          <w:sz w:val="28"/>
          <w:szCs w:val="28"/>
          <w:u w:val="single"/>
        </w:rPr>
      </w:pPr>
    </w:p>
    <w:p w:rsidR="10E9F3F5" w:rsidP="10E9F3F5" w:rsidRDefault="10E9F3F5" w14:paraId="5332D736" w14:textId="5D52273F">
      <w:pPr>
        <w:spacing w:before="0" w:beforeAutospacing="off" w:after="240" w:afterAutospacing="off"/>
        <w:rPr>
          <w:rFonts w:ascii="Times New Roman" w:hAnsi="Times New Roman" w:eastAsia="Times New Roman" w:cs="Times New Roman"/>
          <w:b w:val="0"/>
          <w:bCs w:val="0"/>
          <w:i w:val="0"/>
          <w:iCs w:val="0"/>
          <w:caps w:val="0"/>
          <w:smallCaps w:val="0"/>
          <w:color w:val="000000" w:themeColor="text1" w:themeTint="FF" w:themeShade="FF"/>
          <w:sz w:val="28"/>
          <w:szCs w:val="28"/>
          <w:u w:val="single"/>
        </w:rPr>
      </w:pPr>
    </w:p>
    <w:p w:rsidR="10E9F3F5" w:rsidP="10E9F3F5" w:rsidRDefault="10E9F3F5" w14:paraId="7EAB5277" w14:textId="619394D6">
      <w:pPr>
        <w:spacing w:before="0" w:beforeAutospacing="off" w:after="240" w:afterAutospacing="off"/>
        <w:rPr>
          <w:rFonts w:ascii="Times New Roman" w:hAnsi="Times New Roman" w:eastAsia="Times New Roman" w:cs="Times New Roman"/>
          <w:b w:val="0"/>
          <w:bCs w:val="0"/>
          <w:i w:val="0"/>
          <w:iCs w:val="0"/>
          <w:caps w:val="0"/>
          <w:smallCaps w:val="0"/>
          <w:color w:val="000000" w:themeColor="text1" w:themeTint="FF" w:themeShade="FF"/>
          <w:sz w:val="28"/>
          <w:szCs w:val="28"/>
          <w:u w:val="single"/>
        </w:rPr>
      </w:pPr>
    </w:p>
    <w:p w:rsidR="10E9F3F5" w:rsidP="10E9F3F5" w:rsidRDefault="10E9F3F5" w14:paraId="781099C5" w14:textId="413C1338">
      <w:pPr>
        <w:spacing w:before="0" w:beforeAutospacing="off" w:after="240" w:afterAutospacing="off"/>
        <w:rPr>
          <w:rFonts w:ascii="Times New Roman" w:hAnsi="Times New Roman" w:eastAsia="Times New Roman" w:cs="Times New Roman"/>
          <w:b w:val="0"/>
          <w:bCs w:val="0"/>
          <w:i w:val="0"/>
          <w:iCs w:val="0"/>
          <w:caps w:val="0"/>
          <w:smallCaps w:val="0"/>
          <w:color w:val="000000" w:themeColor="text1" w:themeTint="FF" w:themeShade="FF"/>
          <w:sz w:val="28"/>
          <w:szCs w:val="28"/>
          <w:u w:val="single"/>
        </w:rPr>
      </w:pPr>
    </w:p>
    <w:p w:rsidR="10E9F3F5" w:rsidP="10E9F3F5" w:rsidRDefault="10E9F3F5" w14:paraId="44280B0A" w14:textId="780EF9DA">
      <w:pPr>
        <w:spacing w:before="0" w:beforeAutospacing="off" w:after="240" w:afterAutospacing="off"/>
        <w:rPr>
          <w:rFonts w:ascii="Times New Roman" w:hAnsi="Times New Roman" w:eastAsia="Times New Roman" w:cs="Times New Roman"/>
          <w:b w:val="0"/>
          <w:bCs w:val="0"/>
          <w:i w:val="0"/>
          <w:iCs w:val="0"/>
          <w:caps w:val="0"/>
          <w:smallCaps w:val="0"/>
          <w:color w:val="000000" w:themeColor="text1" w:themeTint="FF" w:themeShade="FF"/>
          <w:sz w:val="28"/>
          <w:szCs w:val="28"/>
          <w:u w:val="single"/>
        </w:rPr>
      </w:pPr>
    </w:p>
    <w:p w:rsidR="10E9F3F5" w:rsidP="10E9F3F5" w:rsidRDefault="10E9F3F5" w14:paraId="1AE2D94A" w14:textId="11E7553C">
      <w:pPr>
        <w:spacing w:before="0" w:beforeAutospacing="off" w:after="240" w:afterAutospacing="off"/>
        <w:rPr>
          <w:rFonts w:ascii="Times New Roman" w:hAnsi="Times New Roman" w:eastAsia="Times New Roman" w:cs="Times New Roman"/>
          <w:b w:val="0"/>
          <w:bCs w:val="0"/>
          <w:i w:val="0"/>
          <w:iCs w:val="0"/>
          <w:caps w:val="0"/>
          <w:smallCaps w:val="0"/>
          <w:color w:val="000000" w:themeColor="text1" w:themeTint="FF" w:themeShade="FF"/>
          <w:sz w:val="28"/>
          <w:szCs w:val="28"/>
          <w:u w:val="single"/>
        </w:rPr>
      </w:pPr>
    </w:p>
    <w:p w:rsidR="10E9F3F5" w:rsidP="10E9F3F5" w:rsidRDefault="10E9F3F5" w14:paraId="7BB6F0B3" w14:textId="2714250D">
      <w:pPr>
        <w:spacing w:before="0" w:beforeAutospacing="off" w:after="240" w:afterAutospacing="off"/>
        <w:rPr>
          <w:rFonts w:ascii="Times New Roman" w:hAnsi="Times New Roman" w:eastAsia="Times New Roman" w:cs="Times New Roman"/>
          <w:b w:val="0"/>
          <w:bCs w:val="0"/>
          <w:i w:val="0"/>
          <w:iCs w:val="0"/>
          <w:caps w:val="0"/>
          <w:smallCaps w:val="0"/>
          <w:color w:val="000000" w:themeColor="text1" w:themeTint="FF" w:themeShade="FF"/>
          <w:sz w:val="28"/>
          <w:szCs w:val="28"/>
          <w:u w:val="single"/>
        </w:rPr>
      </w:pPr>
    </w:p>
    <w:p w:rsidR="10E9F3F5" w:rsidP="10E9F3F5" w:rsidRDefault="10E9F3F5" w14:paraId="3BFAED1D" w14:textId="7C952143">
      <w:pPr>
        <w:spacing w:before="0" w:beforeAutospacing="off" w:after="240" w:afterAutospacing="off"/>
        <w:rPr>
          <w:rFonts w:ascii="Times New Roman" w:hAnsi="Times New Roman" w:eastAsia="Times New Roman" w:cs="Times New Roman"/>
          <w:b w:val="0"/>
          <w:bCs w:val="0"/>
          <w:i w:val="0"/>
          <w:iCs w:val="0"/>
          <w:caps w:val="0"/>
          <w:smallCaps w:val="0"/>
          <w:color w:val="000000" w:themeColor="text1" w:themeTint="FF" w:themeShade="FF"/>
          <w:sz w:val="28"/>
          <w:szCs w:val="28"/>
          <w:u w:val="single"/>
        </w:rPr>
      </w:pPr>
    </w:p>
    <w:p xmlns:wp14="http://schemas.microsoft.com/office/word/2010/wordml" w:rsidP="714B8EC8" wp14:paraId="639AE1C4" wp14:textId="73C46EE3">
      <w:pPr>
        <w:spacing w:before="0" w:beforeAutospacing="off" w:after="240" w:afterAutospacing="off"/>
        <w:rPr>
          <w:rFonts w:ascii="Times New Roman" w:hAnsi="Times New Roman" w:eastAsia="Times New Roman" w:cs="Times New Roman"/>
          <w:b w:val="0"/>
          <w:bCs w:val="0"/>
          <w:i w:val="0"/>
          <w:iCs w:val="0"/>
          <w:caps w:val="0"/>
          <w:smallCaps w:val="0"/>
          <w:color w:val="000000" w:themeColor="text1" w:themeTint="FF" w:themeShade="FF"/>
          <w:sz w:val="28"/>
          <w:szCs w:val="28"/>
          <w:u w:val="single"/>
        </w:rPr>
      </w:pPr>
      <w:r w:rsidRPr="714B8EC8" w:rsidR="7AAD5DAB">
        <w:rPr>
          <w:rFonts w:ascii="Times New Roman" w:hAnsi="Times New Roman" w:eastAsia="Times New Roman" w:cs="Times New Roman"/>
          <w:b w:val="0"/>
          <w:bCs w:val="0"/>
          <w:i w:val="0"/>
          <w:iCs w:val="0"/>
          <w:caps w:val="0"/>
          <w:smallCaps w:val="0"/>
          <w:color w:val="000000" w:themeColor="text1" w:themeTint="FF" w:themeShade="FF"/>
          <w:sz w:val="28"/>
          <w:szCs w:val="28"/>
          <w:u w:val="single"/>
        </w:rPr>
        <w:t>References</w:t>
      </w:r>
    </w:p>
    <w:p xmlns:wp14="http://schemas.microsoft.com/office/word/2010/wordml" w:rsidP="714B8EC8" wp14:paraId="7EE82CEF" wp14:textId="19ED5B7F">
      <w:pPr>
        <w:spacing w:before="0" w:beforeAutospacing="off" w:after="200" w:afterAutospacing="off"/>
        <w:ind w:left="720" w:right="0" w:hanging="72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pPr>
      <w:r w:rsidRPr="714B8EC8" w:rsidR="7AAD5DAB">
        <w:rPr>
          <w:rFonts w:ascii="Times New Roman" w:hAnsi="Times New Roman" w:eastAsia="Times New Roman" w:cs="Times New Roman"/>
          <w:b w:val="0"/>
          <w:bCs w:val="0"/>
          <w:i w:val="0"/>
          <w:iCs w:val="0"/>
          <w:caps w:val="0"/>
          <w:smallCaps w:val="0"/>
          <w:color w:val="000000" w:themeColor="text1" w:themeTint="FF" w:themeShade="FF"/>
          <w:sz w:val="24"/>
          <w:szCs w:val="24"/>
        </w:rPr>
        <w:t>Alcock, P. and May, M. (2014)</w:t>
      </w:r>
      <w:r w:rsidRPr="714B8EC8" w:rsidR="7AAD5DAB">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714B8EC8" w:rsidR="7AAD5DAB">
        <w:rPr>
          <w:rFonts w:ascii="Times New Roman" w:hAnsi="Times New Roman" w:eastAsia="Times New Roman" w:cs="Times New Roman"/>
          <w:b w:val="0"/>
          <w:bCs w:val="0"/>
          <w:i w:val="1"/>
          <w:iCs w:val="1"/>
          <w:caps w:val="0"/>
          <w:smallCaps w:val="0"/>
          <w:color w:val="000000" w:themeColor="text1" w:themeTint="FF" w:themeShade="FF"/>
          <w:sz w:val="24"/>
          <w:szCs w:val="24"/>
        </w:rPr>
        <w:t>Social</w:t>
      </w:r>
      <w:r w:rsidRPr="714B8EC8" w:rsidR="7AAD5DAB">
        <w:rPr>
          <w:rFonts w:ascii="Times New Roman" w:hAnsi="Times New Roman" w:eastAsia="Times New Roman" w:cs="Times New Roman"/>
          <w:b w:val="0"/>
          <w:bCs w:val="0"/>
          <w:i w:val="1"/>
          <w:iCs w:val="1"/>
          <w:caps w:val="0"/>
          <w:smallCaps w:val="0"/>
          <w:color w:val="000000" w:themeColor="text1" w:themeTint="FF" w:themeShade="FF"/>
          <w:sz w:val="24"/>
          <w:szCs w:val="24"/>
        </w:rPr>
        <w:t xml:space="preserve"> Policy in Britain</w:t>
      </w:r>
      <w:r w:rsidRPr="714B8EC8" w:rsidR="7AAD5DAB">
        <w:rPr>
          <w:rFonts w:ascii="Times New Roman" w:hAnsi="Times New Roman" w:eastAsia="Times New Roman" w:cs="Times New Roman"/>
          <w:b w:val="0"/>
          <w:bCs w:val="0"/>
          <w:i w:val="0"/>
          <w:iCs w:val="0"/>
          <w:caps w:val="0"/>
          <w:smallCaps w:val="0"/>
          <w:color w:val="000000" w:themeColor="text1" w:themeTint="FF" w:themeShade="FF"/>
          <w:sz w:val="24"/>
          <w:szCs w:val="24"/>
        </w:rPr>
        <w:t>. Fourth edition. Basingstoke: Palgrave Macmillan.</w:t>
      </w:r>
    </w:p>
    <w:p xmlns:wp14="http://schemas.microsoft.com/office/word/2010/wordml" w:rsidP="714B8EC8" wp14:paraId="46FDC981" wp14:textId="006930A4">
      <w:pPr>
        <w:spacing w:before="0" w:beforeAutospacing="off" w:after="200" w:afterAutospacing="off"/>
        <w:ind w:left="720" w:right="0" w:hanging="72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pP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Anderson, B. (2010) 'Migration, immigration controls and the </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fashioning</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of precarious workers', </w:t>
      </w:r>
      <w:r w:rsidRPr="714B8EC8" w:rsidR="7AAD5DA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Work, Employment and Society</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24(2), pp. 300–317. Available at: </w:t>
      </w:r>
      <w:hyperlink r:id="Rf32fb1c4f9c14043">
        <w:r w:rsidRPr="714B8EC8" w:rsidR="7AAD5DAB">
          <w:rPr>
            <w:rStyle w:val="Hyperlink"/>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rPr>
          <w:t>doi.org/10.1177/0950017010362141</w:t>
        </w:r>
      </w:hyperlink>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w:t>
      </w:r>
    </w:p>
    <w:p xmlns:wp14="http://schemas.microsoft.com/office/word/2010/wordml" w:rsidP="714B8EC8" wp14:paraId="07F480DF" wp14:textId="7A85CEAD">
      <w:pPr>
        <w:spacing w:before="0" w:beforeAutospacing="off" w:after="200" w:afterAutospacing="off"/>
        <w:ind w:left="720" w:right="0" w:hanging="72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pP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Anderson, B. (2021) 'The </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banality</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of </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citizenship</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from</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workers to migrants and </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fantasy citizens</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w:t>
      </w:r>
      <w:r w:rsidRPr="714B8EC8" w:rsidR="7AAD5DA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Journal of World-Systems Research</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27(2), pp. 467–497. Available at: </w:t>
      </w:r>
      <w:hyperlink r:id="Rc23cf01fc1b745d7">
        <w:r w:rsidRPr="714B8EC8" w:rsidR="7AAD5DAB">
          <w:rPr>
            <w:rStyle w:val="Hyperlink"/>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rPr>
          <w:t>https://jwsr.pitt.edu/ojs/jwsr/article/view/1074/1529</w:t>
        </w:r>
      </w:hyperlink>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(Accessed 17 February 2026).</w:t>
      </w:r>
    </w:p>
    <w:p xmlns:wp14="http://schemas.microsoft.com/office/word/2010/wordml" w:rsidP="714B8EC8" wp14:paraId="27629760" wp14:textId="5108FE34">
      <w:pPr>
        <w:spacing w:before="0" w:beforeAutospacing="off" w:after="0" w:afterAutospacing="off"/>
        <w:ind w:left="720" w:hanging="72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pP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Bickerton, C.J. (2019) “The limits of differentiation: capitalist diversity and </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labour</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mobility as drivers of Brexit,” </w:t>
      </w:r>
      <w:r w:rsidRPr="714B8EC8" w:rsidR="7AAD5DA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Comparative European politics (</w:t>
      </w:r>
      <w:r w:rsidRPr="714B8EC8" w:rsidR="7AAD5DA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Houndmills</w:t>
      </w:r>
      <w:r w:rsidRPr="714B8EC8" w:rsidR="7AAD5DA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 Basingstoke, England)</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17(2), pp. 231–245. Available at: </w:t>
      </w:r>
      <w:hyperlink r:id="R65165d292665428a">
        <w:r w:rsidRPr="714B8EC8" w:rsidR="7AAD5DAB">
          <w:rPr>
            <w:rStyle w:val="Hyperlink"/>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rPr>
          <w:t>doi.org/10.1057/s41295-019-00160-x</w:t>
        </w:r>
      </w:hyperlink>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w:t>
      </w:r>
    </w:p>
    <w:p xmlns:wp14="http://schemas.microsoft.com/office/word/2010/wordml" w:rsidP="714B8EC8" wp14:paraId="778E3EE7" wp14:textId="3C0428A7">
      <w:pPr>
        <w:spacing w:before="0" w:beforeAutospacing="off" w:after="200" w:afterAutospacing="off"/>
        <w:ind w:left="720" w:right="0" w:hanging="72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pPr>
    </w:p>
    <w:p xmlns:wp14="http://schemas.microsoft.com/office/word/2010/wordml" w:rsidP="714B8EC8" wp14:paraId="1A44C4D0" wp14:textId="57CF735A">
      <w:pPr>
        <w:spacing w:before="0" w:beforeAutospacing="off" w:after="200" w:afterAutospacing="off"/>
        <w:ind w:left="720" w:right="0" w:hanging="72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pP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Brook, P. (2010) </w:t>
      </w:r>
      <w:r w:rsidRPr="714B8EC8" w:rsidR="7AAD5DA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Prison Photography, Stateville Prison, Joliet, IL: Art Object?</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Available at: </w:t>
      </w:r>
      <w:hyperlink r:id="R8c5ce9a5f33b44fd">
        <w:r w:rsidRPr="714B8EC8" w:rsidR="7AAD5DAB">
          <w:rPr>
            <w:rStyle w:val="Hyperlink"/>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rPr>
          <w:t>https://prisonphotography.org/2010/08/21/stateville-prison-joliet-il-art-object/</w:t>
        </w:r>
      </w:hyperlink>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(Accessed 7 March 2025).</w:t>
      </w:r>
    </w:p>
    <w:p xmlns:wp14="http://schemas.microsoft.com/office/word/2010/wordml" w:rsidP="714B8EC8" wp14:paraId="6AE9DE1F" wp14:textId="77A6F5BB">
      <w:pPr>
        <w:spacing w:before="0" w:beforeAutospacing="off" w:after="200" w:afterAutospacing="off"/>
        <w:ind w:left="720" w:right="0" w:hanging="72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pP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Cabinet Office (2016) </w:t>
      </w:r>
      <w:r w:rsidRPr="714B8EC8" w:rsidR="7AAD5DA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EU Referendum</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GOV.UK. Available at: </w:t>
      </w:r>
      <w:hyperlink r:id="R74558d79fc104e41">
        <w:r w:rsidRPr="714B8EC8" w:rsidR="7AAD5DAB">
          <w:rPr>
            <w:rStyle w:val="Hyperlink"/>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rPr>
          <w:t>https://www.gov.uk/government/topical-events/eu-referendum</w:t>
        </w:r>
      </w:hyperlink>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(Accessed 9 February 2026).</w:t>
      </w:r>
    </w:p>
    <w:p xmlns:wp14="http://schemas.microsoft.com/office/word/2010/wordml" w:rsidP="714B8EC8" wp14:paraId="24BE26E2" wp14:textId="631962AC">
      <w:pPr>
        <w:spacing w:before="0" w:beforeAutospacing="off" w:after="200" w:afterAutospacing="off"/>
        <w:ind w:left="720" w:right="0" w:hanging="72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pP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Castles, S. (2004) 'Why migration policies fail', </w:t>
      </w:r>
      <w:r w:rsidRPr="714B8EC8" w:rsidR="7AAD5DA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Ethnic and Racial Studies</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27(2), pp. 205–227. Available at: </w:t>
      </w:r>
      <w:hyperlink r:id="R133e698d0b064b48">
        <w:r w:rsidRPr="714B8EC8" w:rsidR="7AAD5DAB">
          <w:rPr>
            <w:rStyle w:val="Hyperlink"/>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rPr>
          <w:t>doi.org/10.1080/0141987042000177306</w:t>
        </w:r>
      </w:hyperlink>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w:t>
      </w:r>
    </w:p>
    <w:p xmlns:wp14="http://schemas.microsoft.com/office/word/2010/wordml" w:rsidP="714B8EC8" wp14:paraId="0564137F" wp14:textId="46473867">
      <w:pPr>
        <w:spacing w:before="0" w:beforeAutospacing="off" w:after="0" w:afterAutospacing="off"/>
        <w:ind w:left="720" w:hanging="72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pP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Chee, L.L. (2025) “Neoliberal Migration Governance: A Theoretical Framework,” in </w:t>
      </w:r>
      <w:r w:rsidRPr="714B8EC8" w:rsidR="7AAD5DA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 xml:space="preserve">Merchants of Migrant Domestic </w:t>
      </w:r>
      <w:r w:rsidRPr="714B8EC8" w:rsidR="7AAD5DA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Labour</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Switzerland: Springer. </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pp29-52. Available at: </w:t>
      </w:r>
      <w:hyperlink r:id="R6665be9f13be458c">
        <w:r w:rsidRPr="714B8EC8" w:rsidR="7AAD5DAB">
          <w:rPr>
            <w:rStyle w:val="Hyperlink"/>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rPr>
          <w:t>Merchants of Migrant Domestic Labour - EBSCO.</w:t>
        </w:r>
      </w:hyperlink>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(Accessed 8 March 2026).</w:t>
      </w:r>
    </w:p>
    <w:p xmlns:wp14="http://schemas.microsoft.com/office/word/2010/wordml" w:rsidP="714B8EC8" wp14:paraId="6DB544F8" wp14:textId="07468B5D">
      <w:p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pPr>
    </w:p>
    <w:p xmlns:wp14="http://schemas.microsoft.com/office/word/2010/wordml" w:rsidP="714B8EC8" wp14:paraId="2AA8F2B6" wp14:textId="3369848C">
      <w:pPr>
        <w:spacing w:before="0" w:beforeAutospacing="off" w:after="200" w:afterAutospacing="off"/>
        <w:ind w:left="720" w:right="0" w:hanging="72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pP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Clutterbuck, C. (2017)</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w:t>
      </w:r>
      <w:r w:rsidRPr="714B8EC8" w:rsidR="7AAD5DA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Bittersweet</w:t>
      </w:r>
      <w:r w:rsidRPr="714B8EC8" w:rsidR="7AAD5DA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 xml:space="preserve"> Brexit: The Future of Food, Farming, Land and </w:t>
      </w:r>
      <w:r w:rsidRPr="714B8EC8" w:rsidR="7AAD5DA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Labour</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London: Pluto Press. Available at: </w:t>
      </w:r>
      <w:hyperlink r:id="Re7914786b2d34752">
        <w:r w:rsidRPr="714B8EC8" w:rsidR="7AAD5DAB">
          <w:rPr>
            <w:rStyle w:val="Hyperlink"/>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rPr>
          <w:t>https://markwrite.co.uk/wp-content/uploads/2022/05/bittersweet-brexit-the-book27585.pdf</w:t>
        </w:r>
      </w:hyperlink>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(Accessed 5 February 2026).</w:t>
      </w:r>
    </w:p>
    <w:p xmlns:wp14="http://schemas.microsoft.com/office/word/2010/wordml" w:rsidP="714B8EC8" wp14:paraId="29A04438" wp14:textId="319D36D8">
      <w:pPr>
        <w:spacing w:before="0" w:beforeAutospacing="off" w:after="200" w:afterAutospacing="off"/>
        <w:ind w:left="720" w:right="0" w:hanging="72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pP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Davies, J. (2018) 'From severe to routine </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labour</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exploitation: the case of migrant workers in the UK food industry', </w:t>
      </w:r>
      <w:r w:rsidRPr="714B8EC8" w:rsidR="7AAD5DA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Criminology &amp; Criminal Justice</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19(3), pp. 294–310. Available at: </w:t>
      </w:r>
      <w:hyperlink r:id="R83e78499f6f84ac9">
        <w:r w:rsidRPr="714B8EC8" w:rsidR="7AAD5DAB">
          <w:rPr>
            <w:rStyle w:val="Hyperlink"/>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rPr>
          <w:t>doi.org/10.1177/1748895818762264</w:t>
        </w:r>
      </w:hyperlink>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w:t>
      </w:r>
    </w:p>
    <w:p xmlns:wp14="http://schemas.microsoft.com/office/word/2010/wordml" w:rsidP="714B8EC8" wp14:paraId="07D0284E" wp14:textId="02BD2586">
      <w:pPr>
        <w:spacing w:before="0" w:beforeAutospacing="off" w:after="200" w:afterAutospacing="off"/>
        <w:ind w:left="720" w:right="0" w:hanging="72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pP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Dodds, W. (2025) 'Migrant farmworkers to protest outside </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Home</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Office'. Available at: </w:t>
      </w:r>
      <w:hyperlink r:id="Rf01e11fcdc7c438c">
        <w:r w:rsidRPr="714B8EC8" w:rsidR="7AAD5DAB">
          <w:rPr>
            <w:rStyle w:val="Hyperlink"/>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rPr>
          <w:t>https://www.foodmanufacture.co.uk/Article/2025/01/21/migrant-farmworkers-to-protest-outside-home-office/</w:t>
        </w:r>
      </w:hyperlink>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(Accessed 10 February 2026).</w:t>
      </w:r>
    </w:p>
    <w:p xmlns:wp14="http://schemas.microsoft.com/office/word/2010/wordml" w:rsidP="714B8EC8" wp14:paraId="38AFF73D" wp14:textId="19902D9F">
      <w:pPr>
        <w:spacing w:before="0" w:beforeAutospacing="off" w:after="200" w:afterAutospacing="off"/>
        <w:ind w:left="720" w:right="0" w:hanging="72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pP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Equality and Human Rights Commission (2019) </w:t>
      </w:r>
      <w:r w:rsidRPr="714B8EC8" w:rsidR="7AAD5DA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Codes of Practice</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Available at: </w:t>
      </w:r>
      <w:hyperlink r:id="Rfa625e773e994643">
        <w:r w:rsidRPr="714B8EC8" w:rsidR="7AAD5DAB">
          <w:rPr>
            <w:rStyle w:val="Hyperlink"/>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rPr>
          <w:t>https://www.equalityhumanrights.com/equality/equality-act-2010/codes-practice</w:t>
        </w:r>
      </w:hyperlink>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(Accessed 14 February 2026).</w:t>
      </w:r>
    </w:p>
    <w:p xmlns:wp14="http://schemas.microsoft.com/office/word/2010/wordml" w:rsidP="714B8EC8" wp14:paraId="40C03D1F" wp14:textId="52C2EA93">
      <w:pPr>
        <w:spacing w:before="0" w:beforeAutospacing="off" w:after="200" w:afterAutospacing="off"/>
        <w:ind w:left="720" w:right="0" w:hanging="72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pP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Farmers Weekly (2020) 'Pick for Britain campaign launched', 173(5), pp. 7–7. Available at: </w:t>
      </w:r>
      <w:hyperlink r:id="Re7eef2e997f7435b">
        <w:r w:rsidRPr="714B8EC8" w:rsidR="7AAD5DAB">
          <w:rPr>
            <w:rStyle w:val="Hyperlink"/>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rPr>
          <w:t>https://www.fwi.co.uk/news/prince-of-wales-appeals-to-public-to-pick-for-britain</w:t>
        </w:r>
      </w:hyperlink>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(Accessed 12 February 2026).</w:t>
      </w:r>
    </w:p>
    <w:p xmlns:wp14="http://schemas.microsoft.com/office/word/2010/wordml" w:rsidP="714B8EC8" wp14:paraId="50EA681D" wp14:textId="17BDE593">
      <w:pPr>
        <w:spacing w:before="0" w:beforeAutospacing="off" w:after="200" w:afterAutospacing="off"/>
        <w:ind w:left="720" w:right="0" w:hanging="72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pP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FLEX (2021) </w:t>
      </w:r>
      <w:r w:rsidRPr="714B8EC8" w:rsidR="7AAD5DA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 xml:space="preserve">Assessment of the Risks of Human Trafficking for Forced </w:t>
      </w:r>
      <w:r w:rsidRPr="714B8EC8" w:rsidR="7AAD5DA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Labour</w:t>
      </w:r>
      <w:r w:rsidRPr="714B8EC8" w:rsidR="7AAD5DA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 xml:space="preserve"> on the UK Seasonal Workers Pilot</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Available at: </w:t>
      </w:r>
      <w:hyperlink r:id="Re0ece3ce61244587">
        <w:r w:rsidRPr="714B8EC8" w:rsidR="7AAD5DAB">
          <w:rPr>
            <w:rStyle w:val="Hyperlink"/>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rPr>
          <w:t>https://labourexploitation.org/publications/assessment-of-the-risks-of-human-trafficking-for-forced-labour-on-the-uk-seasonal-workers-pilot/</w:t>
        </w:r>
      </w:hyperlink>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(Accessed 14 February 2026).</w:t>
      </w:r>
    </w:p>
    <w:p xmlns:wp14="http://schemas.microsoft.com/office/word/2010/wordml" w:rsidP="714B8EC8" wp14:paraId="313A80E3" wp14:textId="6DB50271">
      <w:pPr>
        <w:spacing w:before="0" w:beforeAutospacing="off" w:after="200" w:afterAutospacing="off"/>
        <w:ind w:left="720" w:right="0" w:hanging="72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pP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Foster, J.B. (1999) 'Marx's theory of metabolic rift: classical foundations for environmental sociology', </w:t>
      </w:r>
      <w:r w:rsidRPr="714B8EC8" w:rsidR="7AAD5DA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American Journal of Sociology</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105(2), pp. 366–405. Available at: </w:t>
      </w:r>
      <w:hyperlink r:id="R662b5e876f3f47e0">
        <w:r w:rsidRPr="714B8EC8" w:rsidR="7AAD5DAB">
          <w:rPr>
            <w:rStyle w:val="Hyperlink"/>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rPr>
          <w:t>doi.org/10.1086/210315</w:t>
        </w:r>
      </w:hyperlink>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w:t>
      </w:r>
    </w:p>
    <w:p xmlns:wp14="http://schemas.microsoft.com/office/word/2010/wordml" w:rsidP="714B8EC8" wp14:paraId="7CC14A16" wp14:textId="3779DF96">
      <w:pPr>
        <w:spacing w:before="0" w:beforeAutospacing="off" w:after="200" w:afterAutospacing="off"/>
        <w:ind w:left="720" w:right="0" w:hanging="72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pP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Gare, A. (2021) 'After neoliberalism: from eco-Marxism to ecological civilization, Part 1', </w:t>
      </w:r>
      <w:r w:rsidRPr="714B8EC8" w:rsidR="7AAD5DA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Capitalism, Nature, Socialism</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32(2), pp. 22–39. Available at: </w:t>
      </w:r>
      <w:hyperlink r:id="Rae9647dc99924474">
        <w:r w:rsidRPr="714B8EC8" w:rsidR="7AAD5DAB">
          <w:rPr>
            <w:rStyle w:val="Hyperlink"/>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rPr>
          <w:t>doi.org/10.1080/10455752.2020.1811363</w:t>
        </w:r>
      </w:hyperlink>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w:t>
      </w:r>
    </w:p>
    <w:p xmlns:wp14="http://schemas.microsoft.com/office/word/2010/wordml" w:rsidP="714B8EC8" wp14:paraId="12D2F068" wp14:textId="549FA7E6">
      <w:pPr>
        <w:spacing w:before="0" w:beforeAutospacing="off" w:after="200" w:afterAutospacing="off"/>
        <w:ind w:left="720" w:right="0" w:hanging="72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pP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Gare, A. (2021a) 'After neoliberalism: from eco-Marxism to ecological civilization, Part 2', </w:t>
      </w:r>
      <w:r w:rsidRPr="714B8EC8" w:rsidR="7AAD5DA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Capitalism, Nature, Socialism</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32(3), pp. 43–60. Available at: </w:t>
      </w:r>
      <w:hyperlink r:id="Rcb2757ae69dc4dd5">
        <w:r w:rsidRPr="714B8EC8" w:rsidR="7AAD5DAB">
          <w:rPr>
            <w:rStyle w:val="Hyperlink"/>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rPr>
          <w:t>doi.org/10.1080/10455752.2020.1811364</w:t>
        </w:r>
      </w:hyperlink>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w:t>
      </w:r>
    </w:p>
    <w:p xmlns:wp14="http://schemas.microsoft.com/office/word/2010/wordml" w:rsidP="714B8EC8" wp14:paraId="6043E35E" wp14:textId="20479306">
      <w:pPr>
        <w:spacing w:before="0" w:beforeAutospacing="off" w:after="200" w:afterAutospacing="off"/>
        <w:ind w:left="720" w:right="0" w:hanging="72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pP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Goodfellow, M. (2019) </w:t>
      </w:r>
      <w:r w:rsidRPr="714B8EC8" w:rsidR="7AAD5DA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Hostile Environment: How Immigrants Became Scapegoats</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London: Verso.</w:t>
      </w:r>
    </w:p>
    <w:p xmlns:wp14="http://schemas.microsoft.com/office/word/2010/wordml" w:rsidP="714B8EC8" wp14:paraId="0CAAEEFA" wp14:textId="3C813C04">
      <w:pPr>
        <w:spacing w:before="0" w:beforeAutospacing="off" w:after="200" w:afterAutospacing="off"/>
        <w:ind w:left="720" w:right="0" w:hanging="72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pP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Harvey, D. (2005)</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w:t>
      </w:r>
      <w:r w:rsidRPr="714B8EC8" w:rsidR="7AAD5DA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A Brief</w:t>
      </w:r>
      <w:r w:rsidRPr="714B8EC8" w:rsidR="7AAD5DA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 xml:space="preserve"> History of Neoliberalism</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Oxford: Oxford University Press.</w:t>
      </w:r>
    </w:p>
    <w:p xmlns:wp14="http://schemas.microsoft.com/office/word/2010/wordml" w:rsidP="714B8EC8" wp14:paraId="4882C9AE" wp14:textId="0F1E8388">
      <w:pPr>
        <w:spacing w:before="0" w:beforeAutospacing="off" w:after="200" w:afterAutospacing="off"/>
        <w:ind w:left="720" w:right="0" w:hanging="72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pP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Heffernan, R. </w:t>
      </w:r>
      <w:r w:rsidRPr="714B8EC8" w:rsidR="7AAD5DA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et al.</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(2016) </w:t>
      </w:r>
      <w:r w:rsidRPr="714B8EC8" w:rsidR="7AAD5DA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Developments in British Politics 10</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10th edition. London: Palgrave.</w:t>
      </w:r>
    </w:p>
    <w:p xmlns:wp14="http://schemas.microsoft.com/office/word/2010/wordml" w:rsidP="714B8EC8" wp14:paraId="5162AE6C" wp14:textId="14B19159">
      <w:pPr>
        <w:spacing w:before="0" w:beforeAutospacing="off" w:after="200" w:afterAutospacing="off"/>
        <w:ind w:left="720" w:right="0" w:hanging="72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pP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HM Revenue &amp; Customs (2026) </w:t>
      </w:r>
      <w:r w:rsidRPr="714B8EC8" w:rsidR="7AAD5DA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National Minimum Wage Manual: NMWM06220</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Updated 26 January 2026. Available at: </w:t>
      </w:r>
      <w:hyperlink r:id="R9405dd02141644f0">
        <w:r w:rsidRPr="714B8EC8" w:rsidR="7AAD5DAB">
          <w:rPr>
            <w:rStyle w:val="Hyperlink"/>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rPr>
          <w:t>https://www.gov.uk/hmrc-internal-manuals/national-minimum-wage-manual/nmwm06220</w:t>
        </w:r>
      </w:hyperlink>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(Accessed 9 February 2026).</w:t>
      </w:r>
    </w:p>
    <w:p xmlns:wp14="http://schemas.microsoft.com/office/word/2010/wordml" w:rsidP="714B8EC8" wp14:paraId="4491F235" wp14:textId="500797AE">
      <w:pPr>
        <w:spacing w:before="0" w:beforeAutospacing="off" w:after="200" w:afterAutospacing="off"/>
        <w:ind w:left="720" w:right="0" w:hanging="72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pPr>
      <w:r w:rsidRPr="714B8EC8" w:rsidR="7AAD5DAB">
        <w:rPr>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rPr>
        <w:t xml:space="preserve">Home Office (2024) </w:t>
      </w:r>
      <w:r w:rsidRPr="714B8EC8" w:rsidR="7AAD5DAB">
        <w:rPr>
          <w:rFonts w:ascii="Aptos" w:hAnsi="Aptos" w:eastAsia="Aptos" w:cs="Aptos" w:asciiTheme="minorAscii" w:hAnsiTheme="minorAscii" w:eastAsiaTheme="minorAscii" w:cstheme="minorAscii"/>
          <w:b w:val="0"/>
          <w:bCs w:val="0"/>
          <w:i w:val="1"/>
          <w:iCs w:val="1"/>
          <w:caps w:val="0"/>
          <w:smallCaps w:val="0"/>
          <w:strike w:val="0"/>
          <w:dstrike w:val="0"/>
          <w:color w:val="000000" w:themeColor="text1" w:themeTint="FF" w:themeShade="FF"/>
          <w:sz w:val="24"/>
          <w:szCs w:val="24"/>
          <w:u w:val="none"/>
        </w:rPr>
        <w:t>Review of the Seasonal Worker Visa</w:t>
      </w:r>
      <w:r w:rsidRPr="714B8EC8" w:rsidR="7AAD5DAB">
        <w:rPr>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rPr>
        <w:t xml:space="preserve">. Available at: </w:t>
      </w:r>
      <w:hyperlink r:id="R093d00e8750e413c">
        <w:r w:rsidRPr="714B8EC8" w:rsidR="7AAD5DAB">
          <w:rPr>
            <w:rStyle w:val="Hyperlink"/>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rPr>
          <w:t>https://www.gov.uk/government/publications/seasonal-worker-visa-review/review-of-the-seasonal-worker-visa-accessible</w:t>
        </w:r>
      </w:hyperlink>
      <w:r w:rsidRPr="714B8EC8" w:rsidR="7AAD5DAB">
        <w:rPr>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rPr>
        <w:t>. (Accessed 9 February 2026).</w:t>
      </w:r>
    </w:p>
    <w:p xmlns:wp14="http://schemas.microsoft.com/office/word/2010/wordml" w:rsidP="714B8EC8" wp14:paraId="0D310D9E" wp14:textId="1CACF0FA">
      <w:pPr>
        <w:spacing w:before="0" w:beforeAutospacing="off" w:after="200" w:afterAutospacing="off"/>
        <w:ind w:left="720" w:right="0" w:hanging="72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pPr>
      <w:r w:rsidRPr="714B8EC8" w:rsidR="7AAD5DAB">
        <w:rPr>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rPr>
        <w:t xml:space="preserve">Home Office (2025) </w:t>
      </w:r>
      <w:r w:rsidRPr="714B8EC8" w:rsidR="7AAD5DAB">
        <w:rPr>
          <w:rFonts w:ascii="Aptos" w:hAnsi="Aptos" w:eastAsia="Aptos" w:cs="Aptos" w:asciiTheme="minorAscii" w:hAnsiTheme="minorAscii" w:eastAsiaTheme="minorAscii" w:cstheme="minorAscii"/>
          <w:b w:val="0"/>
          <w:bCs w:val="0"/>
          <w:i w:val="1"/>
          <w:iCs w:val="1"/>
          <w:caps w:val="0"/>
          <w:smallCaps w:val="0"/>
          <w:strike w:val="0"/>
          <w:dstrike w:val="0"/>
          <w:color w:val="000000" w:themeColor="text1" w:themeTint="FF" w:themeShade="FF"/>
          <w:sz w:val="24"/>
          <w:szCs w:val="24"/>
          <w:u w:val="none"/>
        </w:rPr>
        <w:t>Seasonal Workers Pilot Review 2019</w:t>
      </w:r>
      <w:r w:rsidRPr="714B8EC8" w:rsidR="7AAD5DAB">
        <w:rPr>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rPr>
        <w:t xml:space="preserve">. Available at: </w:t>
      </w:r>
      <w:hyperlink r:id="Rf88a07b03a3e4f21">
        <w:r w:rsidRPr="714B8EC8" w:rsidR="7AAD5DAB">
          <w:rPr>
            <w:rStyle w:val="Hyperlink"/>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rPr>
          <w:t>https://www.gov.uk/government/publications/seasonal-workers-pilot-review/seasonal-workers-pilot-review-2019</w:t>
        </w:r>
      </w:hyperlink>
      <w:r w:rsidRPr="714B8EC8" w:rsidR="7AAD5DAB">
        <w:rPr>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rPr>
        <w:t>. (Accessed 10 February 2026).</w:t>
      </w:r>
    </w:p>
    <w:p xmlns:wp14="http://schemas.microsoft.com/office/word/2010/wordml" w:rsidP="714B8EC8" wp14:paraId="5AD88D2A" wp14:textId="149A410E">
      <w:pPr>
        <w:spacing w:before="0" w:beforeAutospacing="off" w:after="200" w:afterAutospacing="off"/>
        <w:ind w:left="720" w:right="0" w:hanging="72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pP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Home Office (2025a) </w:t>
      </w:r>
      <w:r w:rsidRPr="714B8EC8" w:rsidR="7AAD5DA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Explanatory Memorandum to the Statement of Changes to the Immigration Rules: HC 1333, 14 October 2025</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Available at: </w:t>
      </w:r>
      <w:hyperlink r:id="R51aa20fbd1e74939">
        <w:r w:rsidRPr="714B8EC8" w:rsidR="7AAD5DAB">
          <w:rPr>
            <w:rStyle w:val="Hyperlink"/>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rPr>
          <w:t>https://www.gov.uk/government/publications/statement-of-changes-to-the-immigration-rules-hc-1333-14-october-2025</w:t>
        </w:r>
      </w:hyperlink>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(Accessed 18 February 2026).</w:t>
      </w:r>
    </w:p>
    <w:p xmlns:wp14="http://schemas.microsoft.com/office/word/2010/wordml" w:rsidP="714B8EC8" wp14:paraId="7562C9BC" wp14:textId="41113D60">
      <w:pPr>
        <w:spacing w:before="0" w:beforeAutospacing="off" w:after="200" w:afterAutospacing="off"/>
        <w:ind w:left="720" w:right="0" w:hanging="72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pP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Home Office (2026) </w:t>
      </w:r>
      <w:r w:rsidRPr="714B8EC8" w:rsidR="7AAD5DA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Immigration Rules: Appendix Temporary Work – Seasonal Worker</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Updated 8 January 2026. Available at: </w:t>
      </w:r>
      <w:hyperlink r:id="Rb57681a6ff3c4804">
        <w:r w:rsidRPr="714B8EC8" w:rsidR="7AAD5DAB">
          <w:rPr>
            <w:rStyle w:val="Hyperlink"/>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rPr>
          <w:t>https://www.gov.uk/guidance/immigration-rules/immigration-rules-appendix-temporary-work-seasonal-worker</w:t>
        </w:r>
      </w:hyperlink>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(Accessed 9 February 2026).</w:t>
      </w:r>
    </w:p>
    <w:p xmlns:wp14="http://schemas.microsoft.com/office/word/2010/wordml" w:rsidP="714B8EC8" wp14:paraId="212FCBE7" wp14:textId="76D459B9">
      <w:pPr>
        <w:spacing w:before="0" w:beforeAutospacing="off" w:after="200" w:afterAutospacing="off"/>
        <w:ind w:left="720" w:right="0" w:hanging="72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pP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Home Office (2026</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a)</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w:t>
      </w:r>
      <w:r w:rsidRPr="714B8EC8" w:rsidR="7AAD5DA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Seasonal Worker Visa (Temporary Work)</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GOV.UK. Available at: </w:t>
      </w:r>
      <w:hyperlink r:id="R16ff4d9926a34a4c">
        <w:r w:rsidRPr="714B8EC8" w:rsidR="7AAD5DAB">
          <w:rPr>
            <w:rStyle w:val="Hyperlink"/>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rPr>
          <w:t>https://www.gov.uk/seasonal-worker-visa</w:t>
        </w:r>
      </w:hyperlink>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(Accessed 10 February 2026).</w:t>
      </w:r>
    </w:p>
    <w:p xmlns:wp14="http://schemas.microsoft.com/office/word/2010/wordml" w:rsidP="714B8EC8" wp14:paraId="6D1F0012" wp14:textId="54770A8E">
      <w:pPr>
        <w:spacing w:before="0" w:beforeAutospacing="off" w:after="200" w:afterAutospacing="off"/>
        <w:ind w:left="720" w:right="0" w:hanging="72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pP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IMF (2014) </w:t>
      </w:r>
      <w:r w:rsidRPr="714B8EC8" w:rsidR="7AAD5DA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What Is Keynesian Economics?</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Finance &amp; Development. Available at: </w:t>
      </w:r>
      <w:hyperlink r:id="Rfe1fd1aabb164be6">
        <w:r w:rsidRPr="714B8EC8" w:rsidR="7AAD5DAB">
          <w:rPr>
            <w:rStyle w:val="Hyperlink"/>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rPr>
          <w:t>https://www.imf.org/external/pubs/ft/fandd/2014/09/basics.htm</w:t>
        </w:r>
      </w:hyperlink>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(Accessed 16 February 2026).</w:t>
      </w:r>
    </w:p>
    <w:p xmlns:wp14="http://schemas.microsoft.com/office/word/2010/wordml" w:rsidP="714B8EC8" wp14:paraId="132AEF97" wp14:textId="7610A88D">
      <w:pPr>
        <w:spacing w:before="0" w:beforeAutospacing="off" w:after="200" w:afterAutospacing="off"/>
        <w:ind w:left="720" w:right="0" w:hanging="72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pP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Independent Chief Inspector of Borders and Immigration (2022) </w:t>
      </w:r>
      <w:r w:rsidRPr="714B8EC8" w:rsidR="7AAD5DA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An Inspection of the Immigration System as it Relates to the Agricultural Sector: May–August 2022</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London: HM Government. Available at: </w:t>
      </w:r>
      <w:hyperlink r:id="Rb31de1498e764520">
        <w:r w:rsidRPr="714B8EC8" w:rsidR="7AAD5DAB">
          <w:rPr>
            <w:rStyle w:val="Hyperlink"/>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rPr>
          <w:t>https://assets.publishing.service.gov.uk/government/uploads/system/uploads/attachment_data/file/1125411/An_inspection_of_the_immigration_system_as_it_relates_to_the_agricultural_sector_May_to_August_2022.pdf</w:t>
        </w:r>
      </w:hyperlink>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(Accessed 9 February 2026).</w:t>
      </w:r>
    </w:p>
    <w:p xmlns:wp14="http://schemas.microsoft.com/office/word/2010/wordml" w:rsidP="714B8EC8" wp14:paraId="151E0545" wp14:textId="143F818C">
      <w:pPr>
        <w:spacing w:before="0" w:beforeAutospacing="off" w:after="200" w:afterAutospacing="off"/>
        <w:ind w:left="720" w:right="0" w:hanging="72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pP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Keynes, J.M. (1936)</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w:t>
      </w:r>
      <w:r w:rsidRPr="714B8EC8" w:rsidR="7AAD5DA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The</w:t>
      </w:r>
      <w:r w:rsidRPr="714B8EC8" w:rsidR="7AAD5DA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 xml:space="preserve"> General Theory of Employment, Interest and Money</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London: Macmillan.</w:t>
      </w:r>
    </w:p>
    <w:p xmlns:wp14="http://schemas.microsoft.com/office/word/2010/wordml" w:rsidP="714B8EC8" wp14:paraId="07385008" wp14:textId="26194845">
      <w:pPr>
        <w:ind w:left="720" w:hanging="72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pP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Lever, J. and Milbourne, P. (2016) ‘The structural invisibility of outsiders: The role of migrant labour in the meat-processing industry’, </w:t>
      </w:r>
      <w:r w:rsidRPr="714B8EC8" w:rsidR="7AAD5DA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Sociology</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51(2), pp. 306–322. Available at: </w:t>
      </w:r>
      <w:hyperlink r:id="Re0e5d003ea8b416b">
        <w:r w:rsidRPr="714B8EC8" w:rsidR="7AAD5DAB">
          <w:rPr>
            <w:rStyle w:val="Hyperlink"/>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rPr>
          <w:t>The Structural Invisibility of Outsiders: The Role of Migrant Labour in the Meat-Processing Industry The Role of Migrant Labour in the Meat-Processing Industry on JSTOR</w:t>
        </w:r>
      </w:hyperlink>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 (Accessed 8 March 2026).</w:t>
      </w:r>
    </w:p>
    <w:p xmlns:wp14="http://schemas.microsoft.com/office/word/2010/wordml" w:rsidP="714B8EC8" wp14:paraId="5956025B" wp14:textId="6951E1C3">
      <w:pPr>
        <w:spacing w:before="0" w:beforeAutospacing="off" w:after="200" w:afterAutospacing="off"/>
        <w:ind w:left="720" w:right="0" w:hanging="72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pP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Lindsay, F. (2025) 'Seasonal workers: no halt to exploitation as visa scheme expands'. </w:t>
      </w:r>
      <w:r w:rsidRPr="714B8EC8" w:rsidR="7AAD5DA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openDemocracy</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Available at: </w:t>
      </w:r>
      <w:hyperlink r:id="Rbb6411671e8f4eb1">
        <w:r w:rsidRPr="714B8EC8" w:rsidR="7AAD5DAB">
          <w:rPr>
            <w:rStyle w:val="Hyperlink"/>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rPr>
          <w:t>https://www.opendemocracy.net/en/beyond-trafficking-and-slavery/seasonal-workers-no-halt-to-exploitation-as-visa-scheme-expands-migrants-uk-farms/</w:t>
        </w:r>
      </w:hyperlink>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(Accessed 12 February 2026).</w:t>
      </w:r>
    </w:p>
    <w:p xmlns:wp14="http://schemas.microsoft.com/office/word/2010/wordml" w:rsidP="714B8EC8" wp14:paraId="48086006" wp14:textId="46BBC840">
      <w:pPr>
        <w:spacing w:before="0" w:beforeAutospacing="off" w:after="200" w:afterAutospacing="off"/>
        <w:ind w:left="720" w:right="0" w:hanging="72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pP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Mantouvalou</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V. (2022) 'The UK Seasonal Worker Visa: a case of state-mediated </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labour</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exploitation', </w:t>
      </w:r>
      <w:r w:rsidRPr="714B8EC8" w:rsidR="7AAD5DA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European Law Open</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1(3), pp. 1–22. Available at: </w:t>
      </w:r>
      <w:hyperlink r:id="R8b5ec76232e94c93">
        <w:r w:rsidRPr="714B8EC8" w:rsidR="7AAD5DAB">
          <w:rPr>
            <w:rStyle w:val="Hyperlink"/>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rPr>
          <w:t>https://www.cambridge.org/core/journals/european-law-open/article/uk-seasonal-worker-visa/A35E4076A87007DF97ACEE080B3C438F</w:t>
        </w:r>
      </w:hyperlink>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w:t>
      </w:r>
    </w:p>
    <w:p xmlns:wp14="http://schemas.microsoft.com/office/word/2010/wordml" w:rsidP="714B8EC8" wp14:paraId="0E46399C" wp14:textId="75CB4AE3">
      <w:pPr>
        <w:spacing w:before="0" w:beforeAutospacing="off" w:after="200" w:afterAutospacing="off"/>
        <w:ind w:left="720" w:right="0" w:hanging="72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pP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Mantouvalou</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V. (2023) </w:t>
      </w:r>
      <w:r w:rsidRPr="714B8EC8" w:rsidR="7AAD5DA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Structural Injustice and Workers' Rights</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Oxford: Oxford University Press.</w:t>
      </w:r>
    </w:p>
    <w:p xmlns:wp14="http://schemas.microsoft.com/office/word/2010/wordml" w:rsidP="714B8EC8" wp14:paraId="18032EA7" wp14:textId="03D5C338">
      <w:pPr>
        <w:spacing w:before="0" w:beforeAutospacing="off" w:after="200" w:afterAutospacing="off"/>
        <w:ind w:left="720" w:right="0" w:hanging="72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pP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Marx, K. (1867)</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w:t>
      </w:r>
      <w:r w:rsidRPr="714B8EC8" w:rsidR="7AAD5DA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Capital</w:t>
      </w:r>
      <w:r w:rsidRPr="714B8EC8" w:rsidR="7AAD5DA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 A Critique of Political Economy, Vol. I</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Translated by B. Fowkes. London: Penguin Books, 1990.</w:t>
      </w:r>
    </w:p>
    <w:p xmlns:wp14="http://schemas.microsoft.com/office/word/2010/wordml" w:rsidP="714B8EC8" wp14:paraId="2319DA86" wp14:textId="6105AAF3">
      <w:pPr>
        <w:spacing w:before="0" w:beforeAutospacing="off" w:after="0" w:afterAutospacing="off"/>
        <w:ind w:left="720" w:hanging="72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pP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McCabe, </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D.</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and Hamilton, L. (2015) “The kill </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programme</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an ethnographic study of ‘dirty work’ in a slaughterhouse,” </w:t>
      </w:r>
      <w:r w:rsidRPr="714B8EC8" w:rsidR="7AAD5DA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New technology, work, and employment</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30(2), pp. 95–108. Available at: </w:t>
      </w:r>
      <w:hyperlink r:id="R80e59fc6ee65469a">
        <w:r w:rsidRPr="714B8EC8" w:rsidR="7AAD5DAB">
          <w:rPr>
            <w:rStyle w:val="Hyperlink"/>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rPr>
          <w:t>doi.org/10.1111/ntwe.12046</w:t>
        </w:r>
      </w:hyperlink>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w:t>
      </w:r>
    </w:p>
    <w:p xmlns:wp14="http://schemas.microsoft.com/office/word/2010/wordml" w:rsidP="714B8EC8" wp14:paraId="5A5EDBBE" wp14:textId="65A55652">
      <w:pPr>
        <w:spacing w:before="0" w:beforeAutospacing="off" w:after="0" w:afterAutospacing="off"/>
        <w:ind w:left="720" w:hanging="72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pPr>
    </w:p>
    <w:p xmlns:wp14="http://schemas.microsoft.com/office/word/2010/wordml" w:rsidP="714B8EC8" wp14:paraId="56CE08A4" wp14:textId="198B8264">
      <w:pPr>
        <w:spacing w:before="0" w:beforeAutospacing="off" w:after="200" w:afterAutospacing="off"/>
        <w:ind w:left="720" w:right="0" w:hanging="72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pP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Mellino, </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E.</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and Chapman, M. (2023) ‘All that is missing is a whip’: Home Office ignored migrant worker abuses on farms, </w:t>
      </w:r>
      <w:r w:rsidRPr="714B8EC8" w:rsidR="7AAD5DA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The Bureau of Investigative Journalism</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22 October. Available at: </w:t>
      </w:r>
      <w:hyperlink r:id="R9d322cb25ff04234">
        <w:r w:rsidRPr="714B8EC8" w:rsidR="7AAD5DAB">
          <w:rPr>
            <w:rStyle w:val="Hyperlink"/>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rPr>
          <w:t>https://www.thebureauinvestigates.com/stories/2023-10-22/all-that-is-missing-is-a-whip-home-office-ignored-migrant-worker-abuses-on-farms</w:t>
        </w:r>
      </w:hyperlink>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(Accessed 10 February 2026).</w:t>
      </w:r>
    </w:p>
    <w:p xmlns:wp14="http://schemas.microsoft.com/office/word/2010/wordml" w:rsidP="714B8EC8" wp14:paraId="2F3993C3" wp14:textId="01AF18B3">
      <w:pPr>
        <w:spacing w:before="0" w:beforeAutospacing="off" w:after="200" w:afterAutospacing="off"/>
        <w:ind w:left="720" w:right="0" w:hanging="72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pP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Mellino, E., </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Pangeni</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R. and </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Boutaud</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C. (2023) 'They treat you like an animal: how British farms run on exploitation', </w:t>
      </w:r>
      <w:r w:rsidRPr="714B8EC8" w:rsidR="7AAD5DA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The Bureau of Investigative Journalism</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27 March. Available at: </w:t>
      </w:r>
      <w:hyperlink r:id="R2d626d82e77444cb">
        <w:r w:rsidRPr="714B8EC8" w:rsidR="7AAD5DAB">
          <w:rPr>
            <w:rStyle w:val="Hyperlink"/>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rPr>
          <w:t>https://www.thebureauinvestigates.com/stories/2023-03-27/they-treat-you-like-an-animal-how-british-farms-run-on-exploitation</w:t>
        </w:r>
      </w:hyperlink>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(Accessed 10 February 2026).</w:t>
      </w:r>
    </w:p>
    <w:p xmlns:wp14="http://schemas.microsoft.com/office/word/2010/wordml" w:rsidP="714B8EC8" wp14:paraId="1A5F14E4" wp14:textId="4D411676">
      <w:pPr>
        <w:spacing w:before="0" w:beforeAutospacing="off" w:after="200" w:afterAutospacing="off"/>
        <w:ind w:left="720" w:right="0" w:hanging="72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pP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Milbourne, P. and Coulson, H. (2021) 'Migrant </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labour</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in the UK's post-Brexit agri-food system: ambiguities, contradictions and precarities', </w:t>
      </w:r>
      <w:r w:rsidRPr="714B8EC8" w:rsidR="7AAD5DA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Journal of Rural Studies</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86, pp. 430–439. Available at: </w:t>
      </w:r>
      <w:hyperlink r:id="R8d7ed6d1ca6f48aa">
        <w:r w:rsidRPr="714B8EC8" w:rsidR="7AAD5DAB">
          <w:rPr>
            <w:rStyle w:val="Hyperlink"/>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rPr>
          <w:t>https://www.sciencedirect.com/science/article/pii/S0743016721002060</w:t>
        </w:r>
      </w:hyperlink>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(Accessed 8 March 2026).</w:t>
      </w:r>
    </w:p>
    <w:p xmlns:wp14="http://schemas.microsoft.com/office/word/2010/wordml" w:rsidP="714B8EC8" wp14:paraId="7DFB405F" wp14:textId="488A95BD">
      <w:pPr>
        <w:spacing w:before="0" w:beforeAutospacing="off" w:after="200" w:afterAutospacing="off"/>
        <w:ind w:left="720" w:right="0" w:hanging="72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pP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National Farmers Union (NFU) (2025) 'NFU secures more flexibility for Seasonal Worker Scheme', </w:t>
      </w:r>
      <w:r w:rsidRPr="714B8EC8" w:rsidR="7AAD5DA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NFUonline</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17 October. (Accessed 7 February 2026).</w:t>
      </w:r>
    </w:p>
    <w:p xmlns:wp14="http://schemas.microsoft.com/office/word/2010/wordml" w:rsidP="714B8EC8" wp14:paraId="73BDE165" wp14:textId="56FC6A22">
      <w:pPr>
        <w:spacing w:before="0" w:beforeAutospacing="off" w:after="200" w:afterAutospacing="off"/>
        <w:ind w:left="720" w:right="0" w:hanging="72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pP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Ong, A. (2022) 'Citizenship: flexible, fungible, fragile', </w:t>
      </w:r>
      <w:r w:rsidRPr="714B8EC8" w:rsidR="7AAD5DA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Citizenship Studies</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26(4–5), pp. 599–607. Available at: </w:t>
      </w:r>
      <w:hyperlink r:id="Ra8af2973b2914340">
        <w:r w:rsidRPr="714B8EC8" w:rsidR="7AAD5DAB">
          <w:rPr>
            <w:rStyle w:val="Hyperlink"/>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rPr>
          <w:t>doi.org/10.1080/13621025.2022.2091244</w:t>
        </w:r>
      </w:hyperlink>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w:t>
      </w:r>
    </w:p>
    <w:p xmlns:wp14="http://schemas.microsoft.com/office/word/2010/wordml" w:rsidP="714B8EC8" wp14:paraId="4D08D624" wp14:textId="2615EEC4">
      <w:pPr>
        <w:spacing w:before="0" w:beforeAutospacing="off" w:after="200" w:afterAutospacing="off"/>
        <w:ind w:left="720" w:right="0" w:hanging="72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pP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Palumbo, L. (2024) 'Situational vulnerabilities and </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labour</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exploitation in the UK: the case of agricultural and domestic migrant workers'</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in</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Craig, G., </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Mantouvalou</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V. and Strauss, K. (eds.) </w:t>
      </w:r>
      <w:r w:rsidRPr="714B8EC8" w:rsidR="7AAD5DA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 xml:space="preserve">Migration, </w:t>
      </w:r>
      <w:r w:rsidRPr="714B8EC8" w:rsidR="7AAD5DA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Labour</w:t>
      </w:r>
      <w:r w:rsidRPr="714B8EC8" w:rsidR="7AAD5DA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 xml:space="preserve"> Exploitation and Human Rights</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Cham: Springer Nature, pp. 229–263. Available at: </w:t>
      </w:r>
      <w:hyperlink r:id="Rd0dfbdaa0ca94b01">
        <w:r w:rsidRPr="714B8EC8" w:rsidR="7AAD5DAB">
          <w:rPr>
            <w:rStyle w:val="Hyperlink"/>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rPr>
          <w:t>https://link.springer.com/chapter/10.1007/978-3-031-55424-7_7</w:t>
        </w:r>
      </w:hyperlink>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(Accessed 10 February 2026).</w:t>
      </w:r>
    </w:p>
    <w:p xmlns:wp14="http://schemas.microsoft.com/office/word/2010/wordml" w:rsidP="714B8EC8" wp14:paraId="272EE103" wp14:textId="52B2CF99">
      <w:pPr>
        <w:spacing w:before="0" w:beforeAutospacing="off" w:after="200" w:afterAutospacing="off"/>
        <w:ind w:left="720" w:right="0" w:hanging="72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pP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Peck, J. (2010)</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w:t>
      </w:r>
      <w:r w:rsidRPr="714B8EC8" w:rsidR="7AAD5DA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Constructions</w:t>
      </w:r>
      <w:r w:rsidRPr="714B8EC8" w:rsidR="7AAD5DA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 xml:space="preserve"> of Neoliberal Reason</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Oxford: Oxford University Press.</w:t>
      </w:r>
    </w:p>
    <w:p xmlns:wp14="http://schemas.microsoft.com/office/word/2010/wordml" w:rsidP="714B8EC8" wp14:paraId="47BDF853" wp14:textId="70BC473C">
      <w:pPr>
        <w:spacing w:before="0" w:beforeAutospacing="off" w:after="200" w:afterAutospacing="off"/>
        <w:ind w:left="720" w:right="0" w:hanging="72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pP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Pettinger, T. (2022) 'Trickle down economics'. </w:t>
      </w:r>
      <w:r w:rsidRPr="714B8EC8" w:rsidR="7AAD5DA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Economics</w:t>
      </w:r>
      <w:r w:rsidRPr="714B8EC8" w:rsidR="7AAD5DA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 xml:space="preserve"> Help</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Available at: </w:t>
      </w:r>
      <w:hyperlink r:id="Rd75316cda8e348b5">
        <w:r w:rsidRPr="714B8EC8" w:rsidR="7AAD5DAB">
          <w:rPr>
            <w:rStyle w:val="Hyperlink"/>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rPr>
          <w:t>https://www.economicshelp.org/blog/174/economics/trickle-down-economics/</w:t>
        </w:r>
      </w:hyperlink>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(Accessed 4 March 2026).</w:t>
      </w:r>
    </w:p>
    <w:p xmlns:wp14="http://schemas.microsoft.com/office/word/2010/wordml" w:rsidP="714B8EC8" wp14:paraId="5DB16642" wp14:textId="6C405EA6">
      <w:pPr>
        <w:spacing w:before="0" w:beforeAutospacing="off" w:after="200" w:afterAutospacing="off"/>
        <w:ind w:left="720" w:right="0" w:hanging="72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pP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Potter, </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M.</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and Hamilton, J. (2014) 'Picking on vulnerable migrants: precarity and the mushroom industry in Northern Ireland', </w:t>
      </w:r>
      <w:r w:rsidRPr="714B8EC8" w:rsidR="7AAD5DA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Work, Employment and Society</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28(3), pp. 390–406. Available at: </w:t>
      </w:r>
      <w:hyperlink r:id="R97ef6a2898164123">
        <w:r w:rsidRPr="714B8EC8" w:rsidR="7AAD5DAB">
          <w:rPr>
            <w:rStyle w:val="Hyperlink"/>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rPr>
          <w:t>doi.org/10.1177/0950017013510760</w:t>
        </w:r>
      </w:hyperlink>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w:t>
      </w:r>
    </w:p>
    <w:p xmlns:wp14="http://schemas.microsoft.com/office/word/2010/wordml" w:rsidP="714B8EC8" wp14:paraId="2A192D01" wp14:textId="296E2F96">
      <w:pPr>
        <w:spacing w:before="0" w:beforeAutospacing="off" w:after="200" w:afterAutospacing="off"/>
        <w:ind w:left="720" w:right="0" w:hanging="72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pP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Pro-Force Ltd (2021) 'Written evidence submitted by Pro-Force Ltd (LFS0040)'. Available at: </w:t>
      </w:r>
      <w:hyperlink r:id="Rfaae968f57c24747">
        <w:r w:rsidRPr="714B8EC8" w:rsidR="7AAD5DAB">
          <w:rPr>
            <w:rStyle w:val="Hyperlink"/>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rPr>
          <w:t>https://committees.parliament.uk/writtenevidence/12847/default/</w:t>
        </w:r>
      </w:hyperlink>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(Accessed 9 February 2026).</w:t>
      </w:r>
    </w:p>
    <w:p xmlns:wp14="http://schemas.microsoft.com/office/word/2010/wordml" w:rsidP="714B8EC8" wp14:paraId="0E915370" wp14:textId="712F0CE9">
      <w:pPr>
        <w:spacing w:before="0" w:beforeAutospacing="off" w:after="200" w:afterAutospacing="off"/>
        <w:ind w:left="720" w:right="0" w:hanging="72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pP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Robinson, W.I. (2012) 'Global capitalism theory and the emergence of transnational elites', </w:t>
      </w:r>
      <w:r w:rsidRPr="714B8EC8" w:rsidR="7AAD5DA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Critical Sociology</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38(3), pp. 349–363. Available at: </w:t>
      </w:r>
      <w:hyperlink r:id="R85c928b7b52b4b74">
        <w:r w:rsidRPr="714B8EC8" w:rsidR="7AAD5DAB">
          <w:rPr>
            <w:rStyle w:val="Hyperlink"/>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rPr>
          <w:t>doi.org/10.1177/0896920511411592</w:t>
        </w:r>
      </w:hyperlink>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w:t>
      </w:r>
    </w:p>
    <w:p xmlns:wp14="http://schemas.microsoft.com/office/word/2010/wordml" w:rsidP="714B8EC8" wp14:paraId="45BD2BC4" wp14:textId="38C34673">
      <w:pPr>
        <w:spacing w:before="0" w:beforeAutospacing="off" w:after="200" w:afterAutospacing="off"/>
        <w:ind w:left="720" w:right="0" w:hanging="72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pP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Sandercock, H. (2021) 'Pick for Britain scheme for UK farm workers scrapped', </w:t>
      </w:r>
      <w:r w:rsidRPr="714B8EC8" w:rsidR="7AAD5DA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Grocer</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p. 5. Available at: </w:t>
      </w:r>
      <w:hyperlink r:id="Rf40f98d56dd04174">
        <w:r w:rsidRPr="714B8EC8" w:rsidR="7AAD5DAB">
          <w:rPr>
            <w:rStyle w:val="Hyperlink"/>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rPr>
          <w:t>https://www.proquest.com/trade-journals/pick-britain-scheme-uk-farm-workers-scrapped/docview/2513486224/se-2</w:t>
        </w:r>
      </w:hyperlink>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(Accessed 12 February 2026).</w:t>
      </w:r>
    </w:p>
    <w:p xmlns:wp14="http://schemas.microsoft.com/office/word/2010/wordml" w:rsidP="714B8EC8" wp14:paraId="0F4EC588" wp14:textId="4CEBF172">
      <w:pPr>
        <w:spacing w:before="0" w:beforeAutospacing="off" w:after="200" w:afterAutospacing="off"/>
        <w:ind w:left="720" w:right="0" w:hanging="72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pP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Sbicca</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J. (2018)</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w:t>
      </w:r>
      <w:r w:rsidRPr="714B8EC8" w:rsidR="7AAD5DA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Food</w:t>
      </w:r>
      <w:r w:rsidRPr="714B8EC8" w:rsidR="7AAD5DA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 xml:space="preserve"> Justice </w:t>
      </w:r>
      <w:r w:rsidRPr="714B8EC8" w:rsidR="7AAD5DA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Now!:</w:t>
      </w:r>
      <w:r w:rsidRPr="714B8EC8" w:rsidR="7AAD5DA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 xml:space="preserve"> Deepening the Roots of Social Struggle</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Minneapolis: University of Minnesota Press.</w:t>
      </w:r>
    </w:p>
    <w:p xmlns:wp14="http://schemas.microsoft.com/office/word/2010/wordml" w:rsidP="714B8EC8" wp14:paraId="4A393687" wp14:textId="09E0DF33">
      <w:pPr>
        <w:spacing w:before="0" w:beforeAutospacing="off" w:after="200" w:afterAutospacing="off"/>
        <w:ind w:left="720" w:right="0" w:hanging="72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pP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Scott, S. (2013) 'Migrant-local hiring queues in the UK food industry', </w:t>
      </w:r>
      <w:r w:rsidRPr="714B8EC8" w:rsidR="7AAD5DA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Population, Space and Place</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19(5), pp. 459–471. Available at: </w:t>
      </w:r>
      <w:hyperlink r:id="Rbc3abc2e31974f5a">
        <w:r w:rsidRPr="714B8EC8" w:rsidR="7AAD5DAB">
          <w:rPr>
            <w:rStyle w:val="Hyperlink"/>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rPr>
          <w:t>doi.org/10.1002/psp.1734</w:t>
        </w:r>
      </w:hyperlink>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w:t>
      </w:r>
    </w:p>
    <w:p xmlns:wp14="http://schemas.microsoft.com/office/word/2010/wordml" w:rsidP="714B8EC8" wp14:paraId="34A85067" wp14:textId="4C5C9832">
      <w:pPr>
        <w:spacing w:before="0" w:beforeAutospacing="off" w:after="0" w:afterAutospacing="off"/>
        <w:ind w:left="720" w:hanging="72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pP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Scott, J. (ed.) (2014)</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w:t>
      </w:r>
      <w:r w:rsidRPr="714B8EC8" w:rsidR="7AAD5DA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A dictionary</w:t>
      </w:r>
      <w:r w:rsidRPr="714B8EC8" w:rsidR="7AAD5DA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 xml:space="preserve"> of sociology.</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Fourth edition / edited by John Scott. Oxford: Oxford University Press.</w:t>
      </w:r>
    </w:p>
    <w:p xmlns:wp14="http://schemas.microsoft.com/office/word/2010/wordml" w:rsidP="714B8EC8" wp14:paraId="5F3B90F7" wp14:textId="6035C86D">
      <w:pPr>
        <w:spacing w:before="0" w:beforeAutospacing="off" w:after="0" w:afterAutospacing="off"/>
        <w:ind w:left="720" w:hanging="72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pPr>
    </w:p>
    <w:p xmlns:wp14="http://schemas.microsoft.com/office/word/2010/wordml" w:rsidP="714B8EC8" wp14:paraId="0A793CDB" wp14:textId="4559F654">
      <w:pPr>
        <w:spacing w:before="0" w:beforeAutospacing="off" w:after="200" w:afterAutospacing="off"/>
        <w:ind w:left="720" w:right="0" w:hanging="72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pP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Taylor, C. (1994) 'The </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politics</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of </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recognition</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in Gutmann, A. (ed.) </w:t>
      </w:r>
      <w:r w:rsidRPr="714B8EC8" w:rsidR="7AAD5DA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Multiculturalism: Examining the Politics of Recognition</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Princeton: Princeton University Press, pp. 25–73. Available at: </w:t>
      </w:r>
      <w:hyperlink r:id="R9c0a730397d54044">
        <w:r w:rsidRPr="714B8EC8" w:rsidR="7AAD5DAB">
          <w:rPr>
            <w:rStyle w:val="Hyperlink"/>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rPr>
          <w:t>Taylor%2C%20Politics%20of%20Recognition.pdf.</w:t>
        </w:r>
      </w:hyperlink>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(Accessed 8 March 2026).</w:t>
      </w:r>
    </w:p>
    <w:p xmlns:wp14="http://schemas.microsoft.com/office/word/2010/wordml" w:rsidP="714B8EC8" wp14:paraId="44653CEA" wp14:textId="62394769">
      <w:pPr>
        <w:spacing w:before="0" w:beforeAutospacing="off" w:after="200" w:afterAutospacing="off"/>
        <w:ind w:left="720" w:right="0" w:hanging="72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pP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UK Parliament Committee (2023) </w:t>
      </w:r>
      <w:r w:rsidRPr="714B8EC8" w:rsidR="7AAD5DA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The UK's Agricultural Seasonal Worker Visa – Challenges and Opportunities</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Available at: </w:t>
      </w:r>
      <w:hyperlink r:id="R057630ca8ac44646">
        <w:r w:rsidRPr="714B8EC8" w:rsidR="7AAD5DAB">
          <w:rPr>
            <w:rStyle w:val="Hyperlink"/>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rPr>
          <w:t>https://committees.parliament.uk/writtenevidence/119986/html</w:t>
        </w:r>
      </w:hyperlink>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(Accessed 12 February 2026).</w:t>
      </w:r>
    </w:p>
    <w:p xmlns:wp14="http://schemas.microsoft.com/office/word/2010/wordml" w:rsidP="714B8EC8" wp14:paraId="61C9ECD3" wp14:textId="485BBEA1">
      <w:pPr>
        <w:spacing w:before="0" w:beforeAutospacing="off" w:after="200" w:afterAutospacing="off"/>
        <w:ind w:left="720" w:right="0" w:hanging="72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pP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Xue, </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J.</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and Tong, Z. (2022) 'The implications of the thinking paradigms of British neo-Marxism', </w:t>
      </w:r>
      <w:r w:rsidRPr="714B8EC8" w:rsidR="7AAD5DAB">
        <w:rPr>
          <w:rFonts w:ascii="Aptos" w:hAnsi="Aptos" w:eastAsia="Aptos" w:cs="Aptos" w:asciiTheme="minorAscii" w:hAnsiTheme="minorAscii" w:eastAsiaTheme="minorAscii" w:cstheme="minorAscii"/>
          <w:b w:val="0"/>
          <w:bCs w:val="0"/>
          <w:i w:val="1"/>
          <w:iCs w:val="1"/>
          <w:caps w:val="0"/>
          <w:smallCaps w:val="0"/>
          <w:color w:val="000000" w:themeColor="text1" w:themeTint="FF" w:themeShade="FF"/>
          <w:sz w:val="24"/>
          <w:szCs w:val="24"/>
        </w:rPr>
        <w:t>Educational Philosophy and Theory</w:t>
      </w:r>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 xml:space="preserve">, 54(11), pp. 1796–1802. Available at: </w:t>
      </w:r>
      <w:hyperlink r:id="Rc0b1666641d44332">
        <w:r w:rsidRPr="714B8EC8" w:rsidR="7AAD5DAB">
          <w:rPr>
            <w:rStyle w:val="Hyperlink"/>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rPr>
          <w:t>doi.org/10.1080/00131857.2022.2073217</w:t>
        </w:r>
      </w:hyperlink>
      <w:r w:rsidRPr="714B8EC8" w:rsidR="7AAD5DA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4"/>
          <w:szCs w:val="24"/>
        </w:rPr>
        <w:t>.</w:t>
      </w:r>
    </w:p>
    <w:p xmlns:wp14="http://schemas.microsoft.com/office/word/2010/wordml" w:rsidP="714B8EC8" wp14:paraId="4B05B2B2" wp14:textId="59BB9B4A">
      <w:pPr>
        <w:rPr>
          <w:rFonts w:ascii="Aptos" w:hAnsi="Aptos" w:eastAsia="Aptos" w:cs="Aptos"/>
          <w:b w:val="0"/>
          <w:bCs w:val="0"/>
          <w:i w:val="0"/>
          <w:iCs w:val="0"/>
          <w:caps w:val="0"/>
          <w:smallCaps w:val="0"/>
          <w:color w:val="000000" w:themeColor="text1" w:themeTint="FF" w:themeShade="FF"/>
          <w:sz w:val="24"/>
          <w:szCs w:val="24"/>
        </w:rPr>
      </w:pPr>
    </w:p>
    <w:p xmlns:wp14="http://schemas.microsoft.com/office/word/2010/wordml" w:rsidP="714B8EC8" wp14:paraId="2C078E63" wp14:textId="7531EA88">
      <w:pPr>
        <w:spacing w:line="360" w:lineRule="auto"/>
        <w:rPr>
          <w:rFonts w:ascii="Aptos" w:hAnsi="Aptos" w:eastAsia="Aptos" w:cs="Aptos" w:asciiTheme="minorAscii" w:hAnsiTheme="minorAscii" w:eastAsiaTheme="minorAscii" w:cstheme="minorAscii"/>
          <w:color w:val="000000" w:themeColor="text1" w:themeTint="FF" w:themeShade="FF"/>
          <w:sz w:val="24"/>
          <w:szCs w:val="24"/>
        </w:rPr>
      </w:pPr>
    </w:p>
    <w:sectPr>
      <w:pgSz w:w="12240" w:h="15840" w:orient="portrait"/>
      <w:pgMar w:top="1440" w:right="1440" w:bottom="1440" w:left="1440" w:header="720" w:footer="720" w:gutter="0"/>
      <w:cols w:space="720"/>
      <w:docGrid w:linePitch="360"/>
      <w:headerReference w:type="default" r:id="Rd750858787964de3"/>
      <w:footerReference w:type="default" r:id="Rb454a13d75cd497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714B8EC8" w:rsidTr="714B8EC8" w14:paraId="69ECF40D">
      <w:trPr>
        <w:trHeight w:val="300"/>
      </w:trPr>
      <w:tc>
        <w:tcPr>
          <w:tcW w:w="3120" w:type="dxa"/>
          <w:tcMar/>
        </w:tcPr>
        <w:p w:rsidR="714B8EC8" w:rsidP="714B8EC8" w:rsidRDefault="714B8EC8" w14:paraId="47CA1AF6" w14:textId="6D6D6801">
          <w:pPr>
            <w:pStyle w:val="Header"/>
            <w:bidi w:val="0"/>
            <w:ind w:left="-115"/>
            <w:jc w:val="left"/>
          </w:pPr>
        </w:p>
      </w:tc>
      <w:tc>
        <w:tcPr>
          <w:tcW w:w="3120" w:type="dxa"/>
          <w:tcMar/>
        </w:tcPr>
        <w:p w:rsidR="714B8EC8" w:rsidP="714B8EC8" w:rsidRDefault="714B8EC8" w14:paraId="0C465038" w14:textId="6B79D975">
          <w:pPr>
            <w:pStyle w:val="Header"/>
            <w:bidi w:val="0"/>
            <w:jc w:val="center"/>
          </w:pPr>
        </w:p>
      </w:tc>
      <w:tc>
        <w:tcPr>
          <w:tcW w:w="3120" w:type="dxa"/>
          <w:tcMar/>
        </w:tcPr>
        <w:p w:rsidR="714B8EC8" w:rsidP="714B8EC8" w:rsidRDefault="714B8EC8" w14:paraId="770B5BF8" w14:textId="32AC8981">
          <w:pPr>
            <w:pStyle w:val="Header"/>
            <w:bidi w:val="0"/>
            <w:ind w:right="-115"/>
            <w:jc w:val="right"/>
          </w:pPr>
          <w:r>
            <w:fldChar w:fldCharType="begin"/>
          </w:r>
          <w:r>
            <w:instrText xml:space="preserve">PAGE</w:instrText>
          </w:r>
          <w:r>
            <w:fldChar w:fldCharType="separate"/>
          </w:r>
          <w:r>
            <w:fldChar w:fldCharType="end"/>
          </w:r>
        </w:p>
      </w:tc>
    </w:tr>
  </w:tbl>
  <w:p w:rsidR="714B8EC8" w:rsidP="714B8EC8" w:rsidRDefault="714B8EC8" w14:paraId="2764C3C3" w14:textId="60A8C87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714B8EC8" w:rsidTr="7ACD7C2B" w14:paraId="198BA0B8">
      <w:trPr>
        <w:trHeight w:val="300"/>
      </w:trPr>
      <w:tc>
        <w:tcPr>
          <w:tcW w:w="3120" w:type="dxa"/>
          <w:tcMar/>
        </w:tcPr>
        <w:p w:rsidR="714B8EC8" w:rsidP="714B8EC8" w:rsidRDefault="714B8EC8" w14:paraId="16D3E32A" w14:textId="28433008">
          <w:pPr>
            <w:pStyle w:val="Header"/>
            <w:bidi w:val="0"/>
            <w:ind w:left="-115"/>
            <w:jc w:val="left"/>
          </w:pPr>
          <w:r w:rsidR="714B8EC8">
            <w:rPr/>
            <w:t>2404707</w:t>
          </w:r>
        </w:p>
      </w:tc>
      <w:tc>
        <w:tcPr>
          <w:tcW w:w="3120" w:type="dxa"/>
          <w:tcMar/>
        </w:tcPr>
        <w:p w:rsidR="714B8EC8" w:rsidP="714B8EC8" w:rsidRDefault="714B8EC8" w14:paraId="3326B7B3" w14:textId="1CCAFB8D">
          <w:pPr>
            <w:pStyle w:val="Header"/>
            <w:bidi w:val="0"/>
            <w:jc w:val="center"/>
          </w:pPr>
          <w:r w:rsidR="714B8EC8">
            <w:rPr/>
            <w:t>ECED7007</w:t>
          </w:r>
        </w:p>
      </w:tc>
      <w:tc>
        <w:tcPr>
          <w:tcW w:w="3120" w:type="dxa"/>
          <w:tcMar/>
        </w:tcPr>
        <w:p w:rsidR="714B8EC8" w:rsidP="714B8EC8" w:rsidRDefault="714B8EC8" w14:paraId="3BF52933" w14:textId="2D324EAA">
          <w:pPr>
            <w:pStyle w:val="Header"/>
            <w:bidi w:val="0"/>
            <w:ind w:right="-115"/>
            <w:jc w:val="right"/>
          </w:pPr>
          <w:r w:rsidR="7ACD7C2B">
            <w:rPr/>
            <w:t>Word Count: 4</w:t>
          </w:r>
          <w:r w:rsidR="7ACD7C2B">
            <w:rPr/>
            <w:t>621</w:t>
          </w:r>
        </w:p>
      </w:tc>
    </w:tr>
  </w:tbl>
  <w:p w:rsidR="714B8EC8" w:rsidP="714B8EC8" w:rsidRDefault="714B8EC8" w14:paraId="695E8AAC" w14:textId="3273D9C2">
    <w:pPr>
      <w:pStyle w:val="Header"/>
      <w:bidi w:val="0"/>
    </w:pPr>
  </w:p>
</w:hdr>
</file>

<file path=word/intelligence2.xml><?xml version="1.0" encoding="utf-8"?>
<int2:intelligence xmlns:int2="http://schemas.microsoft.com/office/intelligence/2020/intelligence">
  <int2:observations>
    <int2:textHash int2:hashCode="IsMhR6dUlw4Ha7" int2:id="BoL8aDpV">
      <int2:state int2:type="spell" int2:value="Rejected"/>
    </int2:textHash>
    <int2:textHash int2:hashCode="AAKziOE6gIcTNV" int2:id="83meinzw">
      <int2:state int2:type="spell" int2:value="Rejected"/>
    </int2:textHash>
    <int2:bookmark int2:bookmarkName="_Int_kccQEVew" int2:invalidationBookmarkName="" int2:hashCode="FHt8vmb2GlQ0x8" int2:id="6GRF8Tt0">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4ab341b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c19d5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9C9B08D"/>
    <w:rsid w:val="00527421"/>
    <w:rsid w:val="0074DC32"/>
    <w:rsid w:val="00891738"/>
    <w:rsid w:val="00A13B07"/>
    <w:rsid w:val="00A4AE41"/>
    <w:rsid w:val="00D5CE4F"/>
    <w:rsid w:val="00D97EA6"/>
    <w:rsid w:val="00DEE879"/>
    <w:rsid w:val="00E4E574"/>
    <w:rsid w:val="00FDA356"/>
    <w:rsid w:val="012C069E"/>
    <w:rsid w:val="016CD99A"/>
    <w:rsid w:val="01E08964"/>
    <w:rsid w:val="02812E4B"/>
    <w:rsid w:val="02B6318D"/>
    <w:rsid w:val="02DD8034"/>
    <w:rsid w:val="036DED78"/>
    <w:rsid w:val="039C81C9"/>
    <w:rsid w:val="03CFC1A9"/>
    <w:rsid w:val="03D9E766"/>
    <w:rsid w:val="03DAEA11"/>
    <w:rsid w:val="03E5EFDE"/>
    <w:rsid w:val="03EE15C9"/>
    <w:rsid w:val="04730836"/>
    <w:rsid w:val="049978AA"/>
    <w:rsid w:val="049AB3D3"/>
    <w:rsid w:val="04DC460E"/>
    <w:rsid w:val="0508ACA4"/>
    <w:rsid w:val="050DC85B"/>
    <w:rsid w:val="05601481"/>
    <w:rsid w:val="058710E5"/>
    <w:rsid w:val="058A39A7"/>
    <w:rsid w:val="059631B8"/>
    <w:rsid w:val="059AF07E"/>
    <w:rsid w:val="0624F6C9"/>
    <w:rsid w:val="06556B53"/>
    <w:rsid w:val="06A5B068"/>
    <w:rsid w:val="06B22CDE"/>
    <w:rsid w:val="06FD9E2B"/>
    <w:rsid w:val="0732AAFC"/>
    <w:rsid w:val="07597232"/>
    <w:rsid w:val="077C5298"/>
    <w:rsid w:val="078BCDCC"/>
    <w:rsid w:val="079D4D6C"/>
    <w:rsid w:val="07AA8FBD"/>
    <w:rsid w:val="07B279D1"/>
    <w:rsid w:val="07D4CEC7"/>
    <w:rsid w:val="07DBC751"/>
    <w:rsid w:val="08888375"/>
    <w:rsid w:val="09205647"/>
    <w:rsid w:val="09A6D1AE"/>
    <w:rsid w:val="09BCC422"/>
    <w:rsid w:val="09C90F7F"/>
    <w:rsid w:val="09DFC7F4"/>
    <w:rsid w:val="09EA3B90"/>
    <w:rsid w:val="09EEF5AD"/>
    <w:rsid w:val="0A091495"/>
    <w:rsid w:val="0A26B463"/>
    <w:rsid w:val="0A288FF4"/>
    <w:rsid w:val="0A2EFC68"/>
    <w:rsid w:val="0A453C93"/>
    <w:rsid w:val="0A8ED9D9"/>
    <w:rsid w:val="0A96B931"/>
    <w:rsid w:val="0AECD70C"/>
    <w:rsid w:val="0AED7DB5"/>
    <w:rsid w:val="0AF6508B"/>
    <w:rsid w:val="0AFF844A"/>
    <w:rsid w:val="0B16C51B"/>
    <w:rsid w:val="0BCAFC3C"/>
    <w:rsid w:val="0BD202FC"/>
    <w:rsid w:val="0BFA689D"/>
    <w:rsid w:val="0D04C4B0"/>
    <w:rsid w:val="0D39EE4C"/>
    <w:rsid w:val="0D86B0B7"/>
    <w:rsid w:val="0DA9A460"/>
    <w:rsid w:val="0DB3F091"/>
    <w:rsid w:val="0DD8FC80"/>
    <w:rsid w:val="0DEEE52E"/>
    <w:rsid w:val="0DF7000B"/>
    <w:rsid w:val="0EA82E96"/>
    <w:rsid w:val="0EEFCEEE"/>
    <w:rsid w:val="0F22B1A7"/>
    <w:rsid w:val="0F5B0A83"/>
    <w:rsid w:val="0F7E9308"/>
    <w:rsid w:val="0F9D933B"/>
    <w:rsid w:val="0FBA035E"/>
    <w:rsid w:val="0FE95AFA"/>
    <w:rsid w:val="0FFD974F"/>
    <w:rsid w:val="10433674"/>
    <w:rsid w:val="10740A0C"/>
    <w:rsid w:val="1088F564"/>
    <w:rsid w:val="108F417A"/>
    <w:rsid w:val="1095A945"/>
    <w:rsid w:val="1099D721"/>
    <w:rsid w:val="10AE0074"/>
    <w:rsid w:val="10D8AB10"/>
    <w:rsid w:val="10D9B8D3"/>
    <w:rsid w:val="10E9F3F5"/>
    <w:rsid w:val="11010E71"/>
    <w:rsid w:val="110D22EA"/>
    <w:rsid w:val="119050AA"/>
    <w:rsid w:val="11A06303"/>
    <w:rsid w:val="11AF3358"/>
    <w:rsid w:val="1219FE0E"/>
    <w:rsid w:val="124A87EE"/>
    <w:rsid w:val="12762AF1"/>
    <w:rsid w:val="128B117E"/>
    <w:rsid w:val="12AD1714"/>
    <w:rsid w:val="12E5506C"/>
    <w:rsid w:val="13100978"/>
    <w:rsid w:val="131E3D5A"/>
    <w:rsid w:val="132883A7"/>
    <w:rsid w:val="1375B90B"/>
    <w:rsid w:val="13781F60"/>
    <w:rsid w:val="140405A2"/>
    <w:rsid w:val="1427D432"/>
    <w:rsid w:val="149500D5"/>
    <w:rsid w:val="14D71238"/>
    <w:rsid w:val="152D62D3"/>
    <w:rsid w:val="154B35EB"/>
    <w:rsid w:val="1588EDF2"/>
    <w:rsid w:val="16072FAC"/>
    <w:rsid w:val="161E8B9E"/>
    <w:rsid w:val="1687914B"/>
    <w:rsid w:val="16A8F746"/>
    <w:rsid w:val="16C90C04"/>
    <w:rsid w:val="16D9D8B7"/>
    <w:rsid w:val="17426943"/>
    <w:rsid w:val="17C99835"/>
    <w:rsid w:val="17E334E2"/>
    <w:rsid w:val="1805145E"/>
    <w:rsid w:val="1812EE2D"/>
    <w:rsid w:val="184A45D5"/>
    <w:rsid w:val="18BC7FCF"/>
    <w:rsid w:val="18C8B2F5"/>
    <w:rsid w:val="18D650D9"/>
    <w:rsid w:val="195B8B5A"/>
    <w:rsid w:val="19A0521A"/>
    <w:rsid w:val="1A21F744"/>
    <w:rsid w:val="1A3F9A88"/>
    <w:rsid w:val="1A836634"/>
    <w:rsid w:val="1A97AAD2"/>
    <w:rsid w:val="1A9BEEE0"/>
    <w:rsid w:val="1AF870CF"/>
    <w:rsid w:val="1B00D53E"/>
    <w:rsid w:val="1B6BBB12"/>
    <w:rsid w:val="1BA1875B"/>
    <w:rsid w:val="1BAB1887"/>
    <w:rsid w:val="1BC4E0FD"/>
    <w:rsid w:val="1BF9043A"/>
    <w:rsid w:val="1C615A42"/>
    <w:rsid w:val="1C9A6491"/>
    <w:rsid w:val="1CE739C7"/>
    <w:rsid w:val="1CFCB1B7"/>
    <w:rsid w:val="1D12FFFF"/>
    <w:rsid w:val="1D1305F5"/>
    <w:rsid w:val="1D2DEF70"/>
    <w:rsid w:val="1D97B0D8"/>
    <w:rsid w:val="1DBAC98B"/>
    <w:rsid w:val="1E1A04E9"/>
    <w:rsid w:val="1E1BAE92"/>
    <w:rsid w:val="1E738230"/>
    <w:rsid w:val="1ED8E1B5"/>
    <w:rsid w:val="1F57BC5E"/>
    <w:rsid w:val="1F65D861"/>
    <w:rsid w:val="1F69E11E"/>
    <w:rsid w:val="1F7BD3F8"/>
    <w:rsid w:val="1FACC564"/>
    <w:rsid w:val="1FF766F8"/>
    <w:rsid w:val="205F6D1A"/>
    <w:rsid w:val="20A0D31B"/>
    <w:rsid w:val="20ABF3EA"/>
    <w:rsid w:val="20B1D0B6"/>
    <w:rsid w:val="211A90D5"/>
    <w:rsid w:val="213158DB"/>
    <w:rsid w:val="216A2064"/>
    <w:rsid w:val="21849635"/>
    <w:rsid w:val="21F0AFEF"/>
    <w:rsid w:val="220AD456"/>
    <w:rsid w:val="22322650"/>
    <w:rsid w:val="22DA8065"/>
    <w:rsid w:val="2354AE9E"/>
    <w:rsid w:val="23DABC83"/>
    <w:rsid w:val="23E0FB81"/>
    <w:rsid w:val="23FF7948"/>
    <w:rsid w:val="240C2577"/>
    <w:rsid w:val="241BB82C"/>
    <w:rsid w:val="2497A0E3"/>
    <w:rsid w:val="24D8E81B"/>
    <w:rsid w:val="24EEC329"/>
    <w:rsid w:val="2507B0EE"/>
    <w:rsid w:val="2509235D"/>
    <w:rsid w:val="2551D158"/>
    <w:rsid w:val="2564B4BE"/>
    <w:rsid w:val="2573D960"/>
    <w:rsid w:val="2593342B"/>
    <w:rsid w:val="25999FD0"/>
    <w:rsid w:val="25B21889"/>
    <w:rsid w:val="25D0D1D1"/>
    <w:rsid w:val="25DEC94E"/>
    <w:rsid w:val="263A3D78"/>
    <w:rsid w:val="265053E1"/>
    <w:rsid w:val="267FF799"/>
    <w:rsid w:val="26DBD245"/>
    <w:rsid w:val="26DEA53A"/>
    <w:rsid w:val="26F58364"/>
    <w:rsid w:val="27093AF7"/>
    <w:rsid w:val="27157F5C"/>
    <w:rsid w:val="2717C10D"/>
    <w:rsid w:val="2784A54D"/>
    <w:rsid w:val="27B55031"/>
    <w:rsid w:val="282385AD"/>
    <w:rsid w:val="289A7ED5"/>
    <w:rsid w:val="28CE2C90"/>
    <w:rsid w:val="28DC2C14"/>
    <w:rsid w:val="29C08D10"/>
    <w:rsid w:val="2A078CE8"/>
    <w:rsid w:val="2A762509"/>
    <w:rsid w:val="2A8F3263"/>
    <w:rsid w:val="2ABD3A1B"/>
    <w:rsid w:val="2B2A8F02"/>
    <w:rsid w:val="2B487E55"/>
    <w:rsid w:val="2B94F727"/>
    <w:rsid w:val="2B9784D3"/>
    <w:rsid w:val="2C376B35"/>
    <w:rsid w:val="2C3DF6CA"/>
    <w:rsid w:val="2C45AABB"/>
    <w:rsid w:val="2C4E1EDC"/>
    <w:rsid w:val="2CC8F69C"/>
    <w:rsid w:val="2CDD7F4A"/>
    <w:rsid w:val="2D27C3D3"/>
    <w:rsid w:val="2D717DEA"/>
    <w:rsid w:val="2D798907"/>
    <w:rsid w:val="2E18DB81"/>
    <w:rsid w:val="2E34B9BE"/>
    <w:rsid w:val="2EB54908"/>
    <w:rsid w:val="2EDB111B"/>
    <w:rsid w:val="2F34782F"/>
    <w:rsid w:val="2F467CDC"/>
    <w:rsid w:val="2F4A0249"/>
    <w:rsid w:val="2F779C62"/>
    <w:rsid w:val="2F80AD64"/>
    <w:rsid w:val="2F82DEF3"/>
    <w:rsid w:val="2F88682B"/>
    <w:rsid w:val="2FCA4A2E"/>
    <w:rsid w:val="30062B68"/>
    <w:rsid w:val="302CFCB9"/>
    <w:rsid w:val="309B0CBF"/>
    <w:rsid w:val="30E26420"/>
    <w:rsid w:val="313B713A"/>
    <w:rsid w:val="31629B3E"/>
    <w:rsid w:val="31A1E371"/>
    <w:rsid w:val="31D604DE"/>
    <w:rsid w:val="32826560"/>
    <w:rsid w:val="32AB4A75"/>
    <w:rsid w:val="3307BB94"/>
    <w:rsid w:val="337FC063"/>
    <w:rsid w:val="33811E3D"/>
    <w:rsid w:val="33E8876F"/>
    <w:rsid w:val="33E94237"/>
    <w:rsid w:val="342A2C47"/>
    <w:rsid w:val="3457E46F"/>
    <w:rsid w:val="349942E1"/>
    <w:rsid w:val="34DEC444"/>
    <w:rsid w:val="34F5D887"/>
    <w:rsid w:val="351D2E45"/>
    <w:rsid w:val="357B4E6F"/>
    <w:rsid w:val="35E923C4"/>
    <w:rsid w:val="360564DC"/>
    <w:rsid w:val="3626F649"/>
    <w:rsid w:val="363401B7"/>
    <w:rsid w:val="36538D1C"/>
    <w:rsid w:val="3660CECB"/>
    <w:rsid w:val="366C9A1F"/>
    <w:rsid w:val="36E30F88"/>
    <w:rsid w:val="371D2258"/>
    <w:rsid w:val="3754DF3D"/>
    <w:rsid w:val="37CEAE3C"/>
    <w:rsid w:val="38175098"/>
    <w:rsid w:val="382E75E7"/>
    <w:rsid w:val="392C25AE"/>
    <w:rsid w:val="392EA2A5"/>
    <w:rsid w:val="397EF54A"/>
    <w:rsid w:val="3983656D"/>
    <w:rsid w:val="39AFE588"/>
    <w:rsid w:val="39BEEDB1"/>
    <w:rsid w:val="39FFE995"/>
    <w:rsid w:val="3AA2E29A"/>
    <w:rsid w:val="3ABEC86E"/>
    <w:rsid w:val="3B3A63D7"/>
    <w:rsid w:val="3BF26714"/>
    <w:rsid w:val="3C69C1F6"/>
    <w:rsid w:val="3C71C995"/>
    <w:rsid w:val="3CF1A149"/>
    <w:rsid w:val="3CF9C14D"/>
    <w:rsid w:val="3D68A12A"/>
    <w:rsid w:val="3DE2806B"/>
    <w:rsid w:val="3E026069"/>
    <w:rsid w:val="3E453BF2"/>
    <w:rsid w:val="3E5A0931"/>
    <w:rsid w:val="3E6C9D85"/>
    <w:rsid w:val="3E6E36A9"/>
    <w:rsid w:val="3E9BF117"/>
    <w:rsid w:val="3EDF3D81"/>
    <w:rsid w:val="3EF6C78D"/>
    <w:rsid w:val="3F59F0D7"/>
    <w:rsid w:val="3F8E2291"/>
    <w:rsid w:val="3FC2C98A"/>
    <w:rsid w:val="3FDEFAB2"/>
    <w:rsid w:val="3FEDCF8F"/>
    <w:rsid w:val="4009A5AB"/>
    <w:rsid w:val="408F5CE6"/>
    <w:rsid w:val="40FCC9AB"/>
    <w:rsid w:val="412D7491"/>
    <w:rsid w:val="416FC491"/>
    <w:rsid w:val="4174AB75"/>
    <w:rsid w:val="41807E1D"/>
    <w:rsid w:val="41902286"/>
    <w:rsid w:val="4194B3B7"/>
    <w:rsid w:val="41B4F7D2"/>
    <w:rsid w:val="41E39A2C"/>
    <w:rsid w:val="422C1257"/>
    <w:rsid w:val="4256F131"/>
    <w:rsid w:val="425E5ABD"/>
    <w:rsid w:val="42712272"/>
    <w:rsid w:val="42CBC098"/>
    <w:rsid w:val="42D6DD93"/>
    <w:rsid w:val="42E87631"/>
    <w:rsid w:val="4388EC40"/>
    <w:rsid w:val="43904F5C"/>
    <w:rsid w:val="43B5E8DE"/>
    <w:rsid w:val="43DB2BE3"/>
    <w:rsid w:val="43DF8347"/>
    <w:rsid w:val="43ECC627"/>
    <w:rsid w:val="43ED41CB"/>
    <w:rsid w:val="44325B58"/>
    <w:rsid w:val="443CA956"/>
    <w:rsid w:val="4447C57E"/>
    <w:rsid w:val="444A05C5"/>
    <w:rsid w:val="44BBE183"/>
    <w:rsid w:val="44BF23C5"/>
    <w:rsid w:val="44C21DE2"/>
    <w:rsid w:val="4576782D"/>
    <w:rsid w:val="45CD7254"/>
    <w:rsid w:val="45DDA694"/>
    <w:rsid w:val="462DD831"/>
    <w:rsid w:val="466B0251"/>
    <w:rsid w:val="46C174A5"/>
    <w:rsid w:val="47449D83"/>
    <w:rsid w:val="475133FE"/>
    <w:rsid w:val="47BB944B"/>
    <w:rsid w:val="47D1B6C0"/>
    <w:rsid w:val="481C8203"/>
    <w:rsid w:val="483B9832"/>
    <w:rsid w:val="48DBFEE4"/>
    <w:rsid w:val="48E4717B"/>
    <w:rsid w:val="48E70EE5"/>
    <w:rsid w:val="48FA92C4"/>
    <w:rsid w:val="49F82D25"/>
    <w:rsid w:val="4A17B678"/>
    <w:rsid w:val="4A37F226"/>
    <w:rsid w:val="4A54859F"/>
    <w:rsid w:val="4AF91AC0"/>
    <w:rsid w:val="4AFE12E7"/>
    <w:rsid w:val="4B56542D"/>
    <w:rsid w:val="4B61054B"/>
    <w:rsid w:val="4B72FE4C"/>
    <w:rsid w:val="4B7F6746"/>
    <w:rsid w:val="4B8741B7"/>
    <w:rsid w:val="4B8A6F70"/>
    <w:rsid w:val="4B95AF56"/>
    <w:rsid w:val="4BC9C9F5"/>
    <w:rsid w:val="4BD96469"/>
    <w:rsid w:val="4C15A353"/>
    <w:rsid w:val="4C428659"/>
    <w:rsid w:val="4C61AAC8"/>
    <w:rsid w:val="4C95922E"/>
    <w:rsid w:val="4CC206BE"/>
    <w:rsid w:val="4CF7536D"/>
    <w:rsid w:val="4D271030"/>
    <w:rsid w:val="4D795A5C"/>
    <w:rsid w:val="4D9F30B9"/>
    <w:rsid w:val="4E7054BD"/>
    <w:rsid w:val="4EE4DBAD"/>
    <w:rsid w:val="4EF90C10"/>
    <w:rsid w:val="4F70A78B"/>
    <w:rsid w:val="50544B5F"/>
    <w:rsid w:val="506C4073"/>
    <w:rsid w:val="50779D27"/>
    <w:rsid w:val="50FC1D7F"/>
    <w:rsid w:val="512A5AA2"/>
    <w:rsid w:val="515CA6F5"/>
    <w:rsid w:val="520829A0"/>
    <w:rsid w:val="52401F3A"/>
    <w:rsid w:val="52B62C9E"/>
    <w:rsid w:val="52D558D4"/>
    <w:rsid w:val="52DC0062"/>
    <w:rsid w:val="5306B0E1"/>
    <w:rsid w:val="5314E4BC"/>
    <w:rsid w:val="53B481E8"/>
    <w:rsid w:val="53FFCDEE"/>
    <w:rsid w:val="5447DCE0"/>
    <w:rsid w:val="54FEAA8B"/>
    <w:rsid w:val="5579B277"/>
    <w:rsid w:val="559722DE"/>
    <w:rsid w:val="55AC8B84"/>
    <w:rsid w:val="55C51B62"/>
    <w:rsid w:val="55DE9D3F"/>
    <w:rsid w:val="560438F1"/>
    <w:rsid w:val="5629036C"/>
    <w:rsid w:val="56396B65"/>
    <w:rsid w:val="563ADD85"/>
    <w:rsid w:val="565717D9"/>
    <w:rsid w:val="57046E90"/>
    <w:rsid w:val="57252154"/>
    <w:rsid w:val="576B54D2"/>
    <w:rsid w:val="579C31D4"/>
    <w:rsid w:val="579EC68B"/>
    <w:rsid w:val="57B3485C"/>
    <w:rsid w:val="57D1E185"/>
    <w:rsid w:val="57E6EEAA"/>
    <w:rsid w:val="584D25DB"/>
    <w:rsid w:val="58DD66DD"/>
    <w:rsid w:val="59110D53"/>
    <w:rsid w:val="59C9B08D"/>
    <w:rsid w:val="5A8E5AEE"/>
    <w:rsid w:val="5AEA5CC5"/>
    <w:rsid w:val="5B286441"/>
    <w:rsid w:val="5B4A4127"/>
    <w:rsid w:val="5C0D7B24"/>
    <w:rsid w:val="5C25150D"/>
    <w:rsid w:val="5C28E61F"/>
    <w:rsid w:val="5C6E5018"/>
    <w:rsid w:val="5C86921D"/>
    <w:rsid w:val="5CE8E202"/>
    <w:rsid w:val="5D196BC2"/>
    <w:rsid w:val="5D25C108"/>
    <w:rsid w:val="5D89F549"/>
    <w:rsid w:val="5DA8330B"/>
    <w:rsid w:val="5DF3E466"/>
    <w:rsid w:val="5E0FAC82"/>
    <w:rsid w:val="5E1325A4"/>
    <w:rsid w:val="5E84AD31"/>
    <w:rsid w:val="5EAA07F3"/>
    <w:rsid w:val="5EC94B83"/>
    <w:rsid w:val="5EDBFFD3"/>
    <w:rsid w:val="5F205BCA"/>
    <w:rsid w:val="5F5F5832"/>
    <w:rsid w:val="5F806C29"/>
    <w:rsid w:val="5FB0DC97"/>
    <w:rsid w:val="5FF18A4E"/>
    <w:rsid w:val="600F3694"/>
    <w:rsid w:val="604634BA"/>
    <w:rsid w:val="6060B9FF"/>
    <w:rsid w:val="6079A557"/>
    <w:rsid w:val="619AFC0D"/>
    <w:rsid w:val="61C67756"/>
    <w:rsid w:val="61E2E6F9"/>
    <w:rsid w:val="61E960B0"/>
    <w:rsid w:val="6247AE24"/>
    <w:rsid w:val="624B4EE6"/>
    <w:rsid w:val="628F0860"/>
    <w:rsid w:val="629FD810"/>
    <w:rsid w:val="62A56032"/>
    <w:rsid w:val="6303DBC3"/>
    <w:rsid w:val="63470216"/>
    <w:rsid w:val="636021F3"/>
    <w:rsid w:val="637CE6C6"/>
    <w:rsid w:val="63959FBC"/>
    <w:rsid w:val="639F65A9"/>
    <w:rsid w:val="63AF3FAD"/>
    <w:rsid w:val="63F6DAE3"/>
    <w:rsid w:val="6404BB0A"/>
    <w:rsid w:val="6460AAC6"/>
    <w:rsid w:val="6469779A"/>
    <w:rsid w:val="64A80D2A"/>
    <w:rsid w:val="64B6D6B3"/>
    <w:rsid w:val="64C427D0"/>
    <w:rsid w:val="6561017D"/>
    <w:rsid w:val="65641EC0"/>
    <w:rsid w:val="65803E3C"/>
    <w:rsid w:val="65A1FB25"/>
    <w:rsid w:val="66443CAB"/>
    <w:rsid w:val="6651172D"/>
    <w:rsid w:val="66791224"/>
    <w:rsid w:val="66F2532F"/>
    <w:rsid w:val="67991D06"/>
    <w:rsid w:val="67BC9286"/>
    <w:rsid w:val="6838ADB1"/>
    <w:rsid w:val="68B7DE05"/>
    <w:rsid w:val="68CEDEDF"/>
    <w:rsid w:val="68D7A33B"/>
    <w:rsid w:val="697B8707"/>
    <w:rsid w:val="6982A40D"/>
    <w:rsid w:val="6997B11F"/>
    <w:rsid w:val="699E67BE"/>
    <w:rsid w:val="69AA3E8E"/>
    <w:rsid w:val="69B53EE4"/>
    <w:rsid w:val="69DC0C4D"/>
    <w:rsid w:val="69E6BFDF"/>
    <w:rsid w:val="6A2706C7"/>
    <w:rsid w:val="6A3426B2"/>
    <w:rsid w:val="6A909ED4"/>
    <w:rsid w:val="6AD8CE53"/>
    <w:rsid w:val="6B6CEFCC"/>
    <w:rsid w:val="6BCFE754"/>
    <w:rsid w:val="6C3CF72B"/>
    <w:rsid w:val="6C5140B0"/>
    <w:rsid w:val="6C617945"/>
    <w:rsid w:val="6C9D72E1"/>
    <w:rsid w:val="6CE1C852"/>
    <w:rsid w:val="6D0F74F4"/>
    <w:rsid w:val="6D4448D1"/>
    <w:rsid w:val="6D88354F"/>
    <w:rsid w:val="6D961521"/>
    <w:rsid w:val="6E6C0048"/>
    <w:rsid w:val="6E7B0D94"/>
    <w:rsid w:val="6E9D7F2D"/>
    <w:rsid w:val="6EC9B58A"/>
    <w:rsid w:val="6F3BEF63"/>
    <w:rsid w:val="6F622709"/>
    <w:rsid w:val="6F7996EC"/>
    <w:rsid w:val="6FC2B468"/>
    <w:rsid w:val="6FD5D89C"/>
    <w:rsid w:val="701C2C59"/>
    <w:rsid w:val="7022C998"/>
    <w:rsid w:val="70573502"/>
    <w:rsid w:val="705AB372"/>
    <w:rsid w:val="706BE09B"/>
    <w:rsid w:val="7070E449"/>
    <w:rsid w:val="70780724"/>
    <w:rsid w:val="70790FD8"/>
    <w:rsid w:val="710B25E0"/>
    <w:rsid w:val="7149EE23"/>
    <w:rsid w:val="714B8EC8"/>
    <w:rsid w:val="717266B8"/>
    <w:rsid w:val="71EC317A"/>
    <w:rsid w:val="7218975E"/>
    <w:rsid w:val="7244327E"/>
    <w:rsid w:val="72636F2E"/>
    <w:rsid w:val="72981DE7"/>
    <w:rsid w:val="72D4CF78"/>
    <w:rsid w:val="732935EA"/>
    <w:rsid w:val="733FEA69"/>
    <w:rsid w:val="7363ED98"/>
    <w:rsid w:val="736D369F"/>
    <w:rsid w:val="738BA1D2"/>
    <w:rsid w:val="73B6B4FF"/>
    <w:rsid w:val="7420D9EF"/>
    <w:rsid w:val="744F3C31"/>
    <w:rsid w:val="74A75376"/>
    <w:rsid w:val="74B54AE9"/>
    <w:rsid w:val="74D94BA5"/>
    <w:rsid w:val="7598D39D"/>
    <w:rsid w:val="75B8E686"/>
    <w:rsid w:val="75BD69F0"/>
    <w:rsid w:val="75BF45A3"/>
    <w:rsid w:val="75C12758"/>
    <w:rsid w:val="767974DF"/>
    <w:rsid w:val="7694CA5E"/>
    <w:rsid w:val="76A9ADCA"/>
    <w:rsid w:val="76BFDC53"/>
    <w:rsid w:val="76F230D1"/>
    <w:rsid w:val="76F8178F"/>
    <w:rsid w:val="7728C5EE"/>
    <w:rsid w:val="77B3360D"/>
    <w:rsid w:val="77C3763E"/>
    <w:rsid w:val="77E0BBC2"/>
    <w:rsid w:val="781DFAD0"/>
    <w:rsid w:val="781E46B3"/>
    <w:rsid w:val="787C1233"/>
    <w:rsid w:val="7941EEDC"/>
    <w:rsid w:val="795B04F8"/>
    <w:rsid w:val="7985DBAD"/>
    <w:rsid w:val="79A0C2FC"/>
    <w:rsid w:val="79CDD9BB"/>
    <w:rsid w:val="79DC94D2"/>
    <w:rsid w:val="79E39295"/>
    <w:rsid w:val="7A0D7A25"/>
    <w:rsid w:val="7A2F8D46"/>
    <w:rsid w:val="7A8B7AE6"/>
    <w:rsid w:val="7AA8F80D"/>
    <w:rsid w:val="7AAD5DAB"/>
    <w:rsid w:val="7ACD7C2B"/>
    <w:rsid w:val="7B75B86D"/>
    <w:rsid w:val="7B8D13A1"/>
    <w:rsid w:val="7B980CFC"/>
    <w:rsid w:val="7BEBCF7D"/>
    <w:rsid w:val="7C2B5D22"/>
    <w:rsid w:val="7C38E5A7"/>
    <w:rsid w:val="7C55889F"/>
    <w:rsid w:val="7D0ACE38"/>
    <w:rsid w:val="7D10A080"/>
    <w:rsid w:val="7D570D49"/>
    <w:rsid w:val="7D6EBF06"/>
    <w:rsid w:val="7D946CDA"/>
    <w:rsid w:val="7E554594"/>
    <w:rsid w:val="7EBE4CD1"/>
    <w:rsid w:val="7F0EBD4E"/>
    <w:rsid w:val="7F43F0DB"/>
    <w:rsid w:val="7F4A6A23"/>
    <w:rsid w:val="7F4AD950"/>
    <w:rsid w:val="7F755709"/>
    <w:rsid w:val="7F821812"/>
    <w:rsid w:val="7F8FE9A6"/>
    <w:rsid w:val="7FAAFE01"/>
    <w:rsid w:val="7FB9863B"/>
    <w:rsid w:val="7FEA4EA1"/>
    <w:rsid w:val="7FEBA862"/>
    <w:rsid w:val="7FEE97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C9B08D"/>
  <w15:chartTrackingRefBased/>
  <w15:docId w15:val="{16ED3796-BE77-479C-82F3-01F38EB399A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985DBAD"/>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7985DBA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7985DBA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7985DBAD"/>
    <w:pPr>
      <w:spacing/>
      <w:ind w:left="720"/>
      <w:contextualSpacing/>
    </w:pPr>
  </w:style>
  <w:style w:type="paragraph" w:styleId="Header">
    <w:uiPriority w:val="99"/>
    <w:name w:val="header"/>
    <w:basedOn w:val="Normal"/>
    <w:unhideWhenUsed/>
    <w:rsid w:val="714B8EC8"/>
    <w:pPr>
      <w:tabs>
        <w:tab w:val="center" w:leader="none" w:pos="4680"/>
        <w:tab w:val="right" w:leader="none" w:pos="9360"/>
      </w:tabs>
      <w:spacing w:after="0" w:line="240" w:lineRule="auto"/>
    </w:pPr>
  </w:style>
  <w:style w:type="paragraph" w:styleId="Footer">
    <w:uiPriority w:val="99"/>
    <w:name w:val="footer"/>
    <w:basedOn w:val="Normal"/>
    <w:unhideWhenUsed/>
    <w:rsid w:val="714B8EC8"/>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714B8EC8"/>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876a0d5bdf4a4243" /><Relationship Type="http://schemas.openxmlformats.org/officeDocument/2006/relationships/hyperlink" Target="https://chatgtp.com/" TargetMode="External" Id="R126312f11834481a" /><Relationship Type="http://schemas.openxmlformats.org/officeDocument/2006/relationships/hyperlink" Target="https://claude.ai/chat/d32a71c9-267a-4423-82cc-bc2a6617c506" TargetMode="External" Id="R28165bc8e00a429a" /><Relationship Type="http://schemas.openxmlformats.org/officeDocument/2006/relationships/image" Target="/media/image.png" Id="rId974698800" /><Relationship Type="http://schemas.openxmlformats.org/officeDocument/2006/relationships/image" Target="/media/image2.png" Id="rId1423659520" /><Relationship Type="http://schemas.openxmlformats.org/officeDocument/2006/relationships/hyperlink" Target="https://doi.org/10.1177/0950017010362141" TargetMode="External" Id="Rf32fb1c4f9c14043" /><Relationship Type="http://schemas.openxmlformats.org/officeDocument/2006/relationships/hyperlink" Target="https://jwsr.pitt.edu/ojs/jwsr/article/view/1074/1529" TargetMode="External" Id="Rc23cf01fc1b745d7" /><Relationship Type="http://schemas.openxmlformats.org/officeDocument/2006/relationships/hyperlink" Target="https://doi.org/10.1057/s41295-019-00160-x" TargetMode="External" Id="R65165d292665428a" /><Relationship Type="http://schemas.openxmlformats.org/officeDocument/2006/relationships/hyperlink" Target="https://prisonphotography.org/2010/08/21/stateville-prison-joliet-il-art-object/" TargetMode="External" Id="R8c5ce9a5f33b44fd" /><Relationship Type="http://schemas.openxmlformats.org/officeDocument/2006/relationships/hyperlink" Target="https://www.gov.uk/government/topical-events/eu-referendum" TargetMode="External" Id="R74558d79fc104e41" /><Relationship Type="http://schemas.openxmlformats.org/officeDocument/2006/relationships/hyperlink" Target="https://doi.org/10.1080/0141987042000177306" TargetMode="External" Id="R133e698d0b064b48" /><Relationship Type="http://schemas.openxmlformats.org/officeDocument/2006/relationships/hyperlink" Target="https://research-ebsco-com.uwtsd.idm.oclc.org/c/onvpsy/ebook-viewer/pdf/kfpxz75kf5/page/pp_53?location=https%3A%2F%2Fresearch-ebsco-com.uwtsd.idm.oclc.org%2Fc%2Fonvpsy%2Fsearch%2Fdetails%2Fkfpxz75kf5%3Frequest-context%3Dplink&amp;db=e001mww" TargetMode="External" Id="R6665be9f13be458c" /><Relationship Type="http://schemas.openxmlformats.org/officeDocument/2006/relationships/hyperlink" Target="https://markwrite.co.uk/wp-content/uploads/2022/05/bittersweet-brexit-the-book27585.pdf" TargetMode="External" Id="Re7914786b2d34752" /><Relationship Type="http://schemas.openxmlformats.org/officeDocument/2006/relationships/hyperlink" Target="https://doi.org/10.1177/1748895818762264" TargetMode="External" Id="R83e78499f6f84ac9" /><Relationship Type="http://schemas.openxmlformats.org/officeDocument/2006/relationships/hyperlink" Target="https://www.foodmanufacture.co.uk/Article/2025/01/21/migrant-farmworkers-to-protest-outside-home-office/" TargetMode="External" Id="Rf01e11fcdc7c438c" /><Relationship Type="http://schemas.openxmlformats.org/officeDocument/2006/relationships/hyperlink" Target="https://www.equalityhumanrights.com/equality/equality-act-2010/codes-practice" TargetMode="External" Id="Rfa625e773e994643" /><Relationship Type="http://schemas.openxmlformats.org/officeDocument/2006/relationships/hyperlink" Target="https://www.fwi.co.uk/news/prince-of-wales-appeals-to-public-to-pick-for-britain" TargetMode="External" Id="Re7eef2e997f7435b" /><Relationship Type="http://schemas.openxmlformats.org/officeDocument/2006/relationships/hyperlink" Target="https://labourexploitation.org/publications/assessment-of-the-risks-of-human-trafficking-for-forced-labour-on-the-uk-seasonal-workers-pilot/" TargetMode="External" Id="Re0ece3ce61244587" /><Relationship Type="http://schemas.openxmlformats.org/officeDocument/2006/relationships/hyperlink" Target="https://doi.org/10.1086/210315" TargetMode="External" Id="R662b5e876f3f47e0" /><Relationship Type="http://schemas.openxmlformats.org/officeDocument/2006/relationships/hyperlink" Target="https://doi.org/10.1080/10455752.2020.1811363" TargetMode="External" Id="Rae9647dc99924474" /><Relationship Type="http://schemas.openxmlformats.org/officeDocument/2006/relationships/hyperlink" Target="https://doi.org/10.1080/10455752.2020.1811364" TargetMode="External" Id="Rcb2757ae69dc4dd5" /><Relationship Type="http://schemas.openxmlformats.org/officeDocument/2006/relationships/hyperlink" Target="https://www.gov.uk/hmrc-internal-manuals/national-minimum-wage-manual/nmwm06220" TargetMode="External" Id="R9405dd02141644f0" /><Relationship Type="http://schemas.openxmlformats.org/officeDocument/2006/relationships/hyperlink" Target="https://www.gov.uk/government/publications/seasonal-worker-visa-review/review-of-the-seasonal-worker-visa-accessible" TargetMode="External" Id="R093d00e8750e413c" /><Relationship Type="http://schemas.openxmlformats.org/officeDocument/2006/relationships/hyperlink" Target="https://www.gov.uk/government/publications/seasonal-workers-pilot-review/seasonal-workers-pilot-review-2019" TargetMode="External" Id="Rf88a07b03a3e4f21" /><Relationship Type="http://schemas.openxmlformats.org/officeDocument/2006/relationships/hyperlink" Target="https://www.gov.uk/government/publications/statement-of-changes-to-the-immigration-rules-hc-1333-14-october-2025" TargetMode="External" Id="R51aa20fbd1e74939" /><Relationship Type="http://schemas.openxmlformats.org/officeDocument/2006/relationships/hyperlink" Target="https://www.gov.uk/guidance/immigration-rules/immigration-rules-appendix-temporary-work-seasonal-worker" TargetMode="External" Id="Rb57681a6ff3c4804" /><Relationship Type="http://schemas.openxmlformats.org/officeDocument/2006/relationships/hyperlink" Target="https://www.gov.uk/seasonal-worker-visa" TargetMode="External" Id="R16ff4d9926a34a4c" /><Relationship Type="http://schemas.openxmlformats.org/officeDocument/2006/relationships/hyperlink" Target="https://www.imf.org/external/pubs/ft/fandd/2014/09/basics.htm" TargetMode="External" Id="Rfe1fd1aabb164be6" /><Relationship Type="http://schemas.openxmlformats.org/officeDocument/2006/relationships/hyperlink" Target="https://assets.publishing.service.gov.uk/government/uploads/system/uploads/attachment_data/file/1125411/An_inspection_of_the_immigration_system_as_it_relates_to_the_agricultural_sector_May_to_August_2022.pdf" TargetMode="External" Id="Rb31de1498e764520" /><Relationship Type="http://schemas.openxmlformats.org/officeDocument/2006/relationships/hyperlink" Target="https://www-jstor-org.uwtsd.idm.oclc.org/stable/26558632?sid=primo&amp;seq=1" TargetMode="External" Id="Re0e5d003ea8b416b" /><Relationship Type="http://schemas.openxmlformats.org/officeDocument/2006/relationships/hyperlink" Target="https://www.opendemocracy.net/en/beyond-trafficking-and-slavery/seasonal-workers-no-halt-to-exploitation-as-visa-scheme-expands-migrants-uk-farms/" TargetMode="External" Id="Rbb6411671e8f4eb1" /><Relationship Type="http://schemas.openxmlformats.org/officeDocument/2006/relationships/hyperlink" Target="https://www.cambridge.org/core/journals/european-law-open/article/uk-seasonal-worker-visa/A35E4076A87007DF97ACEE080B3C438F" TargetMode="External" Id="R8b5ec76232e94c93" /><Relationship Type="http://schemas.openxmlformats.org/officeDocument/2006/relationships/hyperlink" Target="https://doi.org/10.1111/ntwe.12046" TargetMode="External" Id="R80e59fc6ee65469a" /><Relationship Type="http://schemas.openxmlformats.org/officeDocument/2006/relationships/hyperlink" Target="https://www.thebureauinvestigates.com/stories/2023-10-22/all-that-is-missing-is-a-whip-home-office-ignored-migrant-worker-abuses-on-farms" TargetMode="External" Id="R9d322cb25ff04234" /><Relationship Type="http://schemas.openxmlformats.org/officeDocument/2006/relationships/hyperlink" Target="https://www.thebureauinvestigates.com/stories/2023-03-27/they-treat-you-like-an-animal-how-british-farms-run-on-exploitation" TargetMode="External" Id="R2d626d82e77444cb" /><Relationship Type="http://schemas.openxmlformats.org/officeDocument/2006/relationships/hyperlink" Target="https://www.sciencedirect.com/science/article/pii/S0743016721002060" TargetMode="External" Id="R8d7ed6d1ca6f48aa" /><Relationship Type="http://schemas.openxmlformats.org/officeDocument/2006/relationships/hyperlink" Target="https://doi.org/10.1080/13621025.2022.2091244" TargetMode="External" Id="Ra8af2973b2914340" /><Relationship Type="http://schemas.openxmlformats.org/officeDocument/2006/relationships/hyperlink" Target="https://link.springer.com/chapter/10.1007/978-3-031-55424-7_7" TargetMode="External" Id="Rd0dfbdaa0ca94b01" /><Relationship Type="http://schemas.openxmlformats.org/officeDocument/2006/relationships/hyperlink" Target="https://www.economicshelp.org/blog/174/economics/trickle-down-economics/" TargetMode="External" Id="Rd75316cda8e348b5" /><Relationship Type="http://schemas.openxmlformats.org/officeDocument/2006/relationships/hyperlink" Target="https://doi.org/10.1177/0950017013510760" TargetMode="External" Id="R97ef6a2898164123" /><Relationship Type="http://schemas.openxmlformats.org/officeDocument/2006/relationships/hyperlink" Target="https://committees.parliament.uk/writtenevidence/12847/default/" TargetMode="External" Id="Rfaae968f57c24747" /><Relationship Type="http://schemas.openxmlformats.org/officeDocument/2006/relationships/hyperlink" Target="https://doi.org/10.1177/0896920511411592" TargetMode="External" Id="R85c928b7b52b4b74" /><Relationship Type="http://schemas.openxmlformats.org/officeDocument/2006/relationships/hyperlink" Target="https://www.proquest.com/trade-journals/pick-britain-scheme-uk-farm-workers-scrapped/docview/2513486224/se-2" TargetMode="External" Id="Rf40f98d56dd04174" /><Relationship Type="http://schemas.openxmlformats.org/officeDocument/2006/relationships/hyperlink" Target="https://doi.org/10.1002/psp.1734" TargetMode="External" Id="Rbc3abc2e31974f5a" /><Relationship Type="http://schemas.openxmlformats.org/officeDocument/2006/relationships/hyperlink" Target="https://www.amherst.edu/system/files/media/1417/Taylor%252C%2520Politics%2520of%2520Recognition.pdf" TargetMode="External" Id="R9c0a730397d54044" /><Relationship Type="http://schemas.openxmlformats.org/officeDocument/2006/relationships/hyperlink" Target="https://committees.parliament.uk/writtenevidence/119986/html" TargetMode="External" Id="R057630ca8ac44646" /><Relationship Type="http://schemas.openxmlformats.org/officeDocument/2006/relationships/hyperlink" Target="https://doi.org/10.1080/00131857.2022.2073217" TargetMode="External" Id="Rc0b1666641d44332" /><Relationship Type="http://schemas.openxmlformats.org/officeDocument/2006/relationships/header" Target="header.xml" Id="Rd750858787964de3" /><Relationship Type="http://schemas.openxmlformats.org/officeDocument/2006/relationships/footer" Target="footer.xml" Id="Rb454a13d75cd4970" /><Relationship Type="http://schemas.microsoft.com/office/2020/10/relationships/intelligence" Target="intelligence2.xml" Id="R4e27665656024b6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2026-03-05T17:24:44.0890795Z</dcterms:created>
  <dcterms:modified xsi:type="dcterms:W3CDTF">2026-03-17T16:47:45.2011490Z</dcterms:modified>
  <dc:creator>Julia Samuels (2404707)</dc:creator>
  <lastModifiedBy>Julia Samuels (2404707)</lastModifiedBy>
</coreProperties>
</file>