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415C9" w14:textId="34EA074F" w:rsidR="00324465" w:rsidRDefault="00805B44" w:rsidP="00034CAE">
      <w:pPr>
        <w:jc w:val="center"/>
        <w:rPr>
          <w:u w:val="single"/>
        </w:rPr>
      </w:pPr>
      <w:r w:rsidRPr="00324465">
        <w:rPr>
          <w:u w:val="single"/>
        </w:rPr>
        <w:t>What is ‘the Gettier Problem’? Outline and assess two proposed solutions to this problem.</w:t>
      </w:r>
    </w:p>
    <w:p w14:paraId="6E639748" w14:textId="77777777" w:rsidR="00034CAE" w:rsidRDefault="00034CAE" w:rsidP="00324465"/>
    <w:p w14:paraId="6FBE355A" w14:textId="32033F63" w:rsidR="00324465" w:rsidRDefault="00573457" w:rsidP="00324465">
      <w:r>
        <w:t xml:space="preserve">The question of what we can know </w:t>
      </w:r>
      <w:r w:rsidR="00D66CE4">
        <w:t xml:space="preserve">and what it is to know has interested a wide range of philosophers for millennia, from Plato to contemporary philosophers, this question </w:t>
      </w:r>
      <w:r w:rsidR="00684E10">
        <w:t>has had many answers, and</w:t>
      </w:r>
      <w:r w:rsidR="00E06CA8">
        <w:t xml:space="preserve"> in 1963 Edmund Gettier released a paper that </w:t>
      </w:r>
      <w:r w:rsidR="009C0DBC">
        <w:t xml:space="preserve">created a new </w:t>
      </w:r>
      <w:r w:rsidR="00E83BF4">
        <w:t xml:space="preserve">problem for the widely accepted answers to it. In this essay I will </w:t>
      </w:r>
      <w:r w:rsidR="00FF719B">
        <w:t>be outlining and discussing this problem, as well as two</w:t>
      </w:r>
      <w:r w:rsidR="0045738B">
        <w:t xml:space="preserve"> possible</w:t>
      </w:r>
      <w:r w:rsidR="00FF719B">
        <w:t xml:space="preserve"> solutions </w:t>
      </w:r>
      <w:r w:rsidR="0045738B">
        <w:t xml:space="preserve">to it, eliminating luck and infallibility. </w:t>
      </w:r>
      <w:r w:rsidR="007F17EE">
        <w:t>I will s</w:t>
      </w:r>
      <w:r w:rsidR="00690895">
        <w:t>how two separate Gettier problems, one from Gettier’s essay</w:t>
      </w:r>
      <w:r w:rsidR="006D1527">
        <w:t xml:space="preserve"> and another from Brian Skyrms</w:t>
      </w:r>
      <w:r w:rsidR="00FB757B">
        <w:t>.</w:t>
      </w:r>
      <w:r w:rsidR="00517C32">
        <w:t xml:space="preserve"> </w:t>
      </w:r>
      <w:r w:rsidR="00FB757B">
        <w:t>B</w:t>
      </w:r>
      <w:r w:rsidR="00517C32">
        <w:t xml:space="preserve">y using these cases and possible solutions </w:t>
      </w:r>
      <w:r w:rsidR="00FB757B">
        <w:t xml:space="preserve">I hope to show that </w:t>
      </w:r>
      <w:r w:rsidR="00F06190">
        <w:t xml:space="preserve">Gettier’s </w:t>
      </w:r>
      <w:r w:rsidR="0059565A">
        <w:t>problem is solvable and that there is a thing that is ‘to know’</w:t>
      </w:r>
      <w:r w:rsidR="005B5A1E">
        <w:t>, but with the caveat that, as humans, it is impossible for us to actually know somethin</w:t>
      </w:r>
      <w:r w:rsidR="008A78FE">
        <w:t>g.</w:t>
      </w:r>
    </w:p>
    <w:p w14:paraId="083D8FD3" w14:textId="070123A7" w:rsidR="00A816E1" w:rsidRPr="00321686" w:rsidRDefault="00967332" w:rsidP="00324465">
      <w:r>
        <w:t xml:space="preserve">I will start this essay by discussing </w:t>
      </w:r>
      <w:r w:rsidR="00850E70">
        <w:t xml:space="preserve">the basis on which the Gettier problem comes about, </w:t>
      </w:r>
      <w:r w:rsidR="00866654">
        <w:t>the</w:t>
      </w:r>
      <w:r w:rsidR="00850E70">
        <w:t xml:space="preserve"> existence of </w:t>
      </w:r>
      <w:r w:rsidR="00E06576">
        <w:t>P</w:t>
      </w:r>
      <w:r w:rsidR="00850E70">
        <w:t>ropositional knowledge</w:t>
      </w:r>
      <w:r w:rsidR="0053794F">
        <w:t>.</w:t>
      </w:r>
      <w:r w:rsidR="003D23A5">
        <w:t xml:space="preserve"> </w:t>
      </w:r>
      <w:r w:rsidR="00E06576">
        <w:t xml:space="preserve">Propositional knowledge is </w:t>
      </w:r>
      <w:r w:rsidR="00C73765">
        <w:t xml:space="preserve">knowledge of a truth/fact, often expressed </w:t>
      </w:r>
      <w:r w:rsidR="003017EF">
        <w:t xml:space="preserve">in the form </w:t>
      </w:r>
      <w:r w:rsidR="00C6168C">
        <w:t>“</w:t>
      </w:r>
      <w:r w:rsidR="00CB3BAA" w:rsidRPr="00C6168C">
        <w:t xml:space="preserve">S knows </w:t>
      </w:r>
      <w:r w:rsidR="00066F23" w:rsidRPr="00C6168C">
        <w:t>P</w:t>
      </w:r>
      <w:r w:rsidR="00C6168C" w:rsidRPr="00C6168C">
        <w:t>”</w:t>
      </w:r>
      <w:sdt>
        <w:sdtPr>
          <w:id w:val="1046871528"/>
          <w:citation/>
        </w:sdtPr>
        <w:sdtContent>
          <w:r w:rsidR="00C6168C">
            <w:fldChar w:fldCharType="begin"/>
          </w:r>
          <w:r w:rsidR="00321686">
            <w:instrText xml:space="preserve">CITATION Get63 \p 121 \l 2057 </w:instrText>
          </w:r>
          <w:r w:rsidR="00C6168C">
            <w:fldChar w:fldCharType="separate"/>
          </w:r>
          <w:r w:rsidR="00321686">
            <w:rPr>
              <w:noProof/>
            </w:rPr>
            <w:t xml:space="preserve"> (Gettier, 1963, p. 121)</w:t>
          </w:r>
          <w:r w:rsidR="00C6168C">
            <w:fldChar w:fldCharType="end"/>
          </w:r>
        </w:sdtContent>
      </w:sdt>
      <w:r w:rsidR="00066F23" w:rsidRPr="00C6168C">
        <w:t>,</w:t>
      </w:r>
      <w:r w:rsidR="00066F23">
        <w:t xml:space="preserve"> with P being the </w:t>
      </w:r>
      <w:r w:rsidR="005A1B00">
        <w:t xml:space="preserve">representation of said truth or fact. The question </w:t>
      </w:r>
      <w:r w:rsidR="00AA3BEE">
        <w:t>then arises how can I know P</w:t>
      </w:r>
      <w:r w:rsidR="00555824">
        <w:t>, w</w:t>
      </w:r>
      <w:r w:rsidR="00AA3BEE">
        <w:t>hat does it actually mean to know something?</w:t>
      </w:r>
      <w:r w:rsidR="00555824">
        <w:t xml:space="preserve"> Many philosophers over the ages have discussed this</w:t>
      </w:r>
      <w:r w:rsidR="002C48EE">
        <w:t>, coming to different conclusions. The most accepted and common answer</w:t>
      </w:r>
      <w:r w:rsidR="0078557F">
        <w:t xml:space="preserve">, as well as the one that Gettier </w:t>
      </w:r>
      <w:r w:rsidR="005B4B0F">
        <w:t>uses,</w:t>
      </w:r>
      <w:r w:rsidR="002C48EE">
        <w:t xml:space="preserve"> is that of tripar</w:t>
      </w:r>
      <w:r w:rsidR="00A816E1">
        <w:t>tite knowledge</w:t>
      </w:r>
      <w:r w:rsidR="007A682C">
        <w:t>, “</w:t>
      </w:r>
      <w:r w:rsidR="003A009D">
        <w:t xml:space="preserve">(i) </w:t>
      </w:r>
      <w:r w:rsidR="007A682C">
        <w:t>S accept</w:t>
      </w:r>
      <w:r w:rsidR="003A009D">
        <w:t xml:space="preserve">s </w:t>
      </w:r>
      <w:r w:rsidR="003A009D" w:rsidRPr="003A009D">
        <w:rPr>
          <w:i/>
          <w:iCs/>
        </w:rPr>
        <w:t>h</w:t>
      </w:r>
      <w:r w:rsidR="003A009D">
        <w:t xml:space="preserve">; (ii) S has adequate evidence for </w:t>
      </w:r>
      <w:r w:rsidR="003A009D" w:rsidRPr="003A009D">
        <w:rPr>
          <w:i/>
          <w:iCs/>
        </w:rPr>
        <w:t>h</w:t>
      </w:r>
      <w:r w:rsidR="003A009D">
        <w:t xml:space="preserve">; and (iii) </w:t>
      </w:r>
      <w:r w:rsidR="003A009D" w:rsidRPr="003A009D">
        <w:rPr>
          <w:i/>
          <w:iCs/>
        </w:rPr>
        <w:t>h</w:t>
      </w:r>
      <w:r w:rsidR="003A009D">
        <w:t xml:space="preserve"> is true</w:t>
      </w:r>
      <w:r w:rsidR="001B6D90">
        <w:t>”</w:t>
      </w:r>
      <w:r w:rsidR="000027C8">
        <w:t xml:space="preserve"> </w:t>
      </w:r>
      <w:sdt>
        <w:sdtPr>
          <w:id w:val="321324901"/>
          <w:citation/>
        </w:sdtPr>
        <w:sdtContent>
          <w:r w:rsidR="005B0A76">
            <w:fldChar w:fldCharType="begin"/>
          </w:r>
          <w:r w:rsidR="005B0A76">
            <w:instrText xml:space="preserve">CITATION Rod57 \p 16 \l 2057 </w:instrText>
          </w:r>
          <w:r w:rsidR="005B0A76">
            <w:fldChar w:fldCharType="separate"/>
          </w:r>
          <w:r w:rsidR="005B0A76">
            <w:rPr>
              <w:noProof/>
            </w:rPr>
            <w:t>(Chisholm, 1957, p. 16)</w:t>
          </w:r>
          <w:r w:rsidR="005B0A76">
            <w:fldChar w:fldCharType="end"/>
          </w:r>
        </w:sdtContent>
      </w:sdt>
      <w:r w:rsidR="0078557F">
        <w:t>. So, under thes</w:t>
      </w:r>
      <w:r w:rsidR="005B4B0F">
        <w:t xml:space="preserve">e rules we can only </w:t>
      </w:r>
      <w:r w:rsidR="000974FD">
        <w:rPr>
          <w:i/>
          <w:iCs/>
        </w:rPr>
        <w:t>know</w:t>
      </w:r>
      <w:r w:rsidR="005B4B0F">
        <w:t xml:space="preserve"> something</w:t>
      </w:r>
      <w:r w:rsidR="000974FD">
        <w:t xml:space="preserve"> if</w:t>
      </w:r>
      <w:r w:rsidR="006657E1">
        <w:t>;</w:t>
      </w:r>
      <w:r w:rsidR="003B44FF">
        <w:t xml:space="preserve"> </w:t>
      </w:r>
      <w:r w:rsidR="006657E1">
        <w:t>the thing itself is true, such as 2 + 2 = 4</w:t>
      </w:r>
      <w:r w:rsidR="0016224E">
        <w:t xml:space="preserve">; we believe it to be true, which excludes of course things that we have not yet come across; </w:t>
      </w:r>
      <w:r w:rsidR="00D30917">
        <w:t xml:space="preserve">and we have </w:t>
      </w:r>
      <w:r w:rsidR="00D46002">
        <w:t>adequate evidence</w:t>
      </w:r>
      <w:r w:rsidR="00D30917">
        <w:t xml:space="preserve"> for believing in it, for example </w:t>
      </w:r>
      <w:r w:rsidR="00227149">
        <w:t xml:space="preserve">the sun has risen every day so far in my experience so therefore </w:t>
      </w:r>
      <w:r w:rsidR="004D31E7">
        <w:t>I have justification that it will rise tomorrow.</w:t>
      </w:r>
      <w:r w:rsidR="00AF3E73">
        <w:t xml:space="preserve"> Gettier’s paper</w:t>
      </w:r>
      <w:r w:rsidR="00CC6BD7">
        <w:t xml:space="preserve"> outlines this idea </w:t>
      </w:r>
      <w:r w:rsidR="007B360D">
        <w:t>and argues against it using two different cases which show examples</w:t>
      </w:r>
      <w:r w:rsidR="006470C4">
        <w:t xml:space="preserve"> that satisfy all the requirements yet</w:t>
      </w:r>
      <w:r w:rsidR="00CE27B0">
        <w:t xml:space="preserve"> still </w:t>
      </w:r>
      <w:r w:rsidR="0094553C">
        <w:t>sh</w:t>
      </w:r>
      <w:r w:rsidR="007532C2">
        <w:t>oul</w:t>
      </w:r>
      <w:r w:rsidR="00CD4055">
        <w:t>d not be considered knowledge.</w:t>
      </w:r>
    </w:p>
    <w:p w14:paraId="50B1B079" w14:textId="750DBF99" w:rsidR="005D1C6D" w:rsidRDefault="007A4311" w:rsidP="00324465">
      <w:r>
        <w:t xml:space="preserve">Gettier’s </w:t>
      </w:r>
      <w:r w:rsidR="00A061C6">
        <w:t>first</w:t>
      </w:r>
      <w:r>
        <w:t xml:space="preserve"> case </w:t>
      </w:r>
      <w:sdt>
        <w:sdtPr>
          <w:id w:val="-2128842768"/>
          <w:citation/>
        </w:sdtPr>
        <w:sdtContent>
          <w:r w:rsidR="00215A61">
            <w:fldChar w:fldCharType="begin"/>
          </w:r>
          <w:r w:rsidR="000D7FE4">
            <w:instrText xml:space="preserve">CITATION Get63 \p 122 \n  \t  \l 2057 </w:instrText>
          </w:r>
          <w:r w:rsidR="00215A61">
            <w:fldChar w:fldCharType="separate"/>
          </w:r>
          <w:r w:rsidR="000D7FE4">
            <w:rPr>
              <w:noProof/>
            </w:rPr>
            <w:t>(1963, p. 122)</w:t>
          </w:r>
          <w:r w:rsidR="00215A61">
            <w:fldChar w:fldCharType="end"/>
          </w:r>
        </w:sdtContent>
      </w:sdt>
      <w:r w:rsidR="00215A61">
        <w:t xml:space="preserve"> </w:t>
      </w:r>
      <w:r w:rsidR="0015138C">
        <w:t xml:space="preserve">has two </w:t>
      </w:r>
      <w:r w:rsidR="00234B99">
        <w:t xml:space="preserve">individuals applying for the same job, </w:t>
      </w:r>
      <w:r w:rsidR="005D1C6D">
        <w:t>Smith and Jones</w:t>
      </w:r>
      <w:r w:rsidR="00C4047A">
        <w:t>. Smith ha</w:t>
      </w:r>
      <w:r w:rsidR="00413343">
        <w:t>s</w:t>
      </w:r>
      <w:r w:rsidR="00C4047A">
        <w:t xml:space="preserve"> evidence that </w:t>
      </w:r>
      <w:r w:rsidR="000D7FE4">
        <w:t xml:space="preserve">that </w:t>
      </w:r>
      <w:r w:rsidR="00763C5F">
        <w:t>Jones</w:t>
      </w:r>
      <w:r w:rsidR="00413343">
        <w:t xml:space="preserve"> wil</w:t>
      </w:r>
      <w:r w:rsidR="00F46F1C">
        <w:t>l</w:t>
      </w:r>
      <w:r w:rsidR="00413343">
        <w:t xml:space="preserve"> get the job</w:t>
      </w:r>
      <w:r w:rsidR="00F46F1C">
        <w:t>, as he has been told this by the CEO,</w:t>
      </w:r>
      <w:r w:rsidR="00413343">
        <w:t xml:space="preserve"> and that he has </w:t>
      </w:r>
      <w:r w:rsidR="00D369CA">
        <w:t xml:space="preserve">ten </w:t>
      </w:r>
      <w:r w:rsidR="00413343">
        <w:t>coins in his pocket</w:t>
      </w:r>
      <w:r w:rsidR="00FE51EF">
        <w:t>, which he has also counted</w:t>
      </w:r>
      <w:r w:rsidR="000C6B33">
        <w:t>, resulting in the proposition “Jones is the man who will get the job, and Jones has ten coins in his pocket”</w:t>
      </w:r>
      <w:sdt>
        <w:sdtPr>
          <w:id w:val="-474153847"/>
          <w:citation/>
        </w:sdtPr>
        <w:sdtContent>
          <w:r w:rsidR="000C6B33">
            <w:fldChar w:fldCharType="begin"/>
          </w:r>
          <w:r w:rsidR="000C6B33">
            <w:instrText xml:space="preserve">CITATION Get63 \p 122 \n  \t  \l 2057 </w:instrText>
          </w:r>
          <w:r w:rsidR="000C6B33">
            <w:fldChar w:fldCharType="separate"/>
          </w:r>
          <w:r w:rsidR="000C6B33">
            <w:rPr>
              <w:noProof/>
            </w:rPr>
            <w:t xml:space="preserve"> (1963, p. 122)</w:t>
          </w:r>
          <w:r w:rsidR="000C6B33">
            <w:fldChar w:fldCharType="end"/>
          </w:r>
        </w:sdtContent>
      </w:sdt>
      <w:r w:rsidR="00431391">
        <w:t xml:space="preserve">. </w:t>
      </w:r>
      <w:r w:rsidR="00FE51EF">
        <w:t>From this Smith</w:t>
      </w:r>
      <w:r w:rsidR="000C6B33">
        <w:t xml:space="preserve"> can</w:t>
      </w:r>
      <w:r w:rsidR="00FE51EF">
        <w:t xml:space="preserve"> make the </w:t>
      </w:r>
      <w:r w:rsidR="00870624">
        <w:t xml:space="preserve">proposition that </w:t>
      </w:r>
      <w:r w:rsidR="007E6E7E">
        <w:t>“The man who will get the job has ten coins in his pocket”</w:t>
      </w:r>
      <w:r w:rsidR="005C530E">
        <w:t xml:space="preserve"> </w:t>
      </w:r>
      <w:sdt>
        <w:sdtPr>
          <w:id w:val="1030224261"/>
          <w:citation/>
        </w:sdtPr>
        <w:sdtContent>
          <w:r w:rsidR="005C530E">
            <w:fldChar w:fldCharType="begin"/>
          </w:r>
          <w:r w:rsidR="005C530E">
            <w:instrText xml:space="preserve">CITATION Get63 \p 122 \n  \t  \l 2057 </w:instrText>
          </w:r>
          <w:r w:rsidR="005C530E">
            <w:fldChar w:fldCharType="separate"/>
          </w:r>
          <w:r w:rsidR="005C530E">
            <w:rPr>
              <w:noProof/>
            </w:rPr>
            <w:t>(1963, p. 122)</w:t>
          </w:r>
          <w:r w:rsidR="005C530E">
            <w:fldChar w:fldCharType="end"/>
          </w:r>
        </w:sdtContent>
      </w:sdt>
      <w:r w:rsidR="0066468F">
        <w:t>.</w:t>
      </w:r>
      <w:r w:rsidR="00D917D1">
        <w:t xml:space="preserve"> </w:t>
      </w:r>
      <w:r w:rsidR="00A27B5E">
        <w:t>This proposition is directly</w:t>
      </w:r>
      <w:r w:rsidR="00CB7F4C">
        <w:t xml:space="preserve"> caused by the first one, and so if the first proposition is true, as must be the second one. However, Gettier then throws in a caveat</w:t>
      </w:r>
      <w:r w:rsidR="00CA1DC1">
        <w:t xml:space="preserve">, </w:t>
      </w:r>
      <w:r w:rsidR="001A45E2">
        <w:t>it turns out that Smith actually ends up getting the job and</w:t>
      </w:r>
      <w:r w:rsidR="00C54D27">
        <w:t>,</w:t>
      </w:r>
      <w:r w:rsidR="001A45E2">
        <w:t xml:space="preserve"> unknown to him</w:t>
      </w:r>
      <w:r w:rsidR="00C54D27">
        <w:t>,</w:t>
      </w:r>
      <w:r w:rsidR="001A45E2">
        <w:t xml:space="preserve"> he has ten coins in his pocket</w:t>
      </w:r>
      <w:r w:rsidR="00904A30">
        <w:t xml:space="preserve">. </w:t>
      </w:r>
      <w:r w:rsidR="008E3576">
        <w:t>So,</w:t>
      </w:r>
      <w:r w:rsidR="00904A30">
        <w:t xml:space="preserve"> then the first proposition is false, </w:t>
      </w:r>
      <w:r w:rsidR="008E3576">
        <w:t>but the second is still true.</w:t>
      </w:r>
      <w:r w:rsidR="004A0424">
        <w:t xml:space="preserve"> He seemingly has true, justified knowledge </w:t>
      </w:r>
      <w:r w:rsidR="00D57DA3">
        <w:t>as</w:t>
      </w:r>
      <w:r w:rsidR="003D3A01">
        <w:t xml:space="preserve"> it fits the requirements for tripartite knowledge; It is true, </w:t>
      </w:r>
      <w:r w:rsidR="001B5B7A">
        <w:t xml:space="preserve">the person with the job in the end does have ten coins; Smith has </w:t>
      </w:r>
      <w:r w:rsidR="006D7E52">
        <w:t xml:space="preserve">strong evidence that it’s true, from the </w:t>
      </w:r>
      <w:r w:rsidR="006D7E52">
        <w:lastRenderedPageBreak/>
        <w:t xml:space="preserve">boss and counting the coins; </w:t>
      </w:r>
      <w:r w:rsidR="008C0915">
        <w:t xml:space="preserve">and he seemingly accepts it as true. </w:t>
      </w:r>
      <w:r w:rsidR="002D1A3C">
        <w:t>But</w:t>
      </w:r>
      <w:r w:rsidR="008C0915">
        <w:t xml:space="preserve"> </w:t>
      </w:r>
      <w:r w:rsidR="001127EF">
        <w:t xml:space="preserve">his belief in its truth is based of incorrect information, </w:t>
      </w:r>
      <w:r w:rsidR="00821B07">
        <w:t xml:space="preserve">that Jones will get the job. </w:t>
      </w:r>
      <w:r w:rsidR="002D1A3C">
        <w:t>Furthermore</w:t>
      </w:r>
      <w:r w:rsidR="00821B07">
        <w:t xml:space="preserve">, he doesn’t know that he has ten coins in his pockets, so how could he possibly </w:t>
      </w:r>
      <w:r w:rsidR="002D1A3C">
        <w:t>know the second proposition is true.</w:t>
      </w:r>
      <w:r w:rsidR="00170078">
        <w:t xml:space="preserve"> This results in </w:t>
      </w:r>
      <w:r w:rsidR="00F866EF">
        <w:t xml:space="preserve">Smith both having the correct propositional knowledge and at the same </w:t>
      </w:r>
      <w:r w:rsidR="00877A82">
        <w:t xml:space="preserve">not being able to know it, creating a </w:t>
      </w:r>
      <w:r w:rsidR="00A53F9A">
        <w:t>paradox</w:t>
      </w:r>
      <w:r w:rsidR="003869B3">
        <w:t>.</w:t>
      </w:r>
      <w:r w:rsidR="009A7C07">
        <w:t xml:space="preserve"> </w:t>
      </w:r>
    </w:p>
    <w:p w14:paraId="7BC88BC5" w14:textId="00B62264" w:rsidR="00573BE1" w:rsidRPr="00022E97" w:rsidRDefault="009E04C4" w:rsidP="00324465">
      <w:r>
        <w:t xml:space="preserve">The second Gettier case I will outline comes from </w:t>
      </w:r>
      <w:r w:rsidR="00E12DAF">
        <w:t xml:space="preserve">Brian Skyrms article, </w:t>
      </w:r>
      <w:r w:rsidR="00E12DAF" w:rsidRPr="00022E97">
        <w:rPr>
          <w:i/>
          <w:iCs/>
        </w:rPr>
        <w:t>The explication of “X knows that P”</w:t>
      </w:r>
      <w:r w:rsidR="00022E97" w:rsidRPr="00022E97">
        <w:rPr>
          <w:i/>
          <w:iCs/>
        </w:rPr>
        <w:t xml:space="preserve"> </w:t>
      </w:r>
      <w:sdt>
        <w:sdtPr>
          <w:rPr>
            <w:i/>
            <w:iCs/>
          </w:rPr>
          <w:id w:val="1502162091"/>
          <w:citation/>
        </w:sdtPr>
        <w:sdtContent>
          <w:r w:rsidR="00022E97">
            <w:rPr>
              <w:i/>
              <w:iCs/>
            </w:rPr>
            <w:fldChar w:fldCharType="begin"/>
          </w:r>
          <w:r w:rsidR="00022E97">
            <w:instrText xml:space="preserve">CITATION Sky67 \p 383 \n  \t  \l 2057 </w:instrText>
          </w:r>
          <w:r w:rsidR="00022E97">
            <w:rPr>
              <w:i/>
              <w:iCs/>
            </w:rPr>
            <w:fldChar w:fldCharType="separate"/>
          </w:r>
          <w:r w:rsidR="00022E97">
            <w:rPr>
              <w:noProof/>
            </w:rPr>
            <w:t>(1967, p. 383)</w:t>
          </w:r>
          <w:r w:rsidR="00022E97">
            <w:rPr>
              <w:i/>
              <w:iCs/>
            </w:rPr>
            <w:fldChar w:fldCharType="end"/>
          </w:r>
        </w:sdtContent>
      </w:sdt>
      <w:r w:rsidR="00022E97">
        <w:t xml:space="preserve">. In this case, a </w:t>
      </w:r>
      <w:r w:rsidR="00BF3A4C">
        <w:t xml:space="preserve">pyromaniac </w:t>
      </w:r>
      <w:r w:rsidR="00040631">
        <w:t>has a box of matches, hoping to set something on fire</w:t>
      </w:r>
      <w:r w:rsidR="00375977">
        <w:t>. As he’s a pyromaniac he’s got some knowledge, experientially, of</w:t>
      </w:r>
      <w:r w:rsidR="001A79F2">
        <w:t xml:space="preserve"> lighting the matches consistently, as long as they aren’t wet. He also </w:t>
      </w:r>
      <w:r w:rsidR="004A7F16">
        <w:t>knows that he would require oxygen for them to light</w:t>
      </w:r>
      <w:r w:rsidR="001F5583">
        <w:t xml:space="preserve"> (as the majority of </w:t>
      </w:r>
      <w:r w:rsidR="00CD1EBE">
        <w:t>combustion based</w:t>
      </w:r>
      <w:r w:rsidR="001F5583">
        <w:t xml:space="preserve"> fires require). He now h</w:t>
      </w:r>
      <w:r w:rsidR="00CD1EBE">
        <w:t xml:space="preserve">as </w:t>
      </w:r>
      <w:r w:rsidR="00301B67">
        <w:t>a</w:t>
      </w:r>
      <w:r w:rsidR="00CD6BF8">
        <w:t xml:space="preserve"> fully</w:t>
      </w:r>
      <w:r w:rsidR="000708E7">
        <w:t xml:space="preserve"> justified belief that when he strikes the match it will light</w:t>
      </w:r>
      <w:r w:rsidR="00301B67">
        <w:t xml:space="preserve">. </w:t>
      </w:r>
      <w:r w:rsidR="00CD6BF8">
        <w:t>However, similar to Gettier’s first case,</w:t>
      </w:r>
      <w:r w:rsidR="00573BE1">
        <w:t xml:space="preserve"> the match </w:t>
      </w:r>
      <w:r w:rsidR="00C933C1">
        <w:t xml:space="preserve">turns out to be a dud and shouldn’t light, but </w:t>
      </w:r>
      <w:r w:rsidR="00D816BB">
        <w:t>luckily</w:t>
      </w:r>
      <w:r w:rsidR="00423587">
        <w:t>, for the pyromaniac,</w:t>
      </w:r>
      <w:r w:rsidR="00D816BB">
        <w:t xml:space="preserve"> there is a burst of Q-radiation</w:t>
      </w:r>
      <w:r w:rsidR="00423587">
        <w:t xml:space="preserve"> at the moment he attempts to light it, </w:t>
      </w:r>
      <w:r w:rsidR="006E5FA0">
        <w:t xml:space="preserve">resulting in the match lighting. Again, similar to the first case, he </w:t>
      </w:r>
      <w:r w:rsidR="00F44A16">
        <w:t xml:space="preserve">fulfils all of the requirements for true justified knowledge; It is true, the match does light; He has strong evidence, </w:t>
      </w:r>
      <w:r w:rsidR="00554E4C">
        <w:t xml:space="preserve">previous experiences and general chemistry knowledge; and he accepts it as true. </w:t>
      </w:r>
      <w:r w:rsidR="00516A97">
        <w:t xml:space="preserve">This then results in yet another </w:t>
      </w:r>
      <w:r w:rsidR="000937B5">
        <w:t xml:space="preserve">paradox, he has true, justified </w:t>
      </w:r>
      <w:r w:rsidR="00C140FB">
        <w:t xml:space="preserve">knowledge but </w:t>
      </w:r>
      <w:r w:rsidR="009A6B32">
        <w:t>how can</w:t>
      </w:r>
      <w:r w:rsidR="00265E36">
        <w:t xml:space="preserve"> he actually have the knowledge </w:t>
      </w:r>
      <w:r w:rsidR="00034CAE">
        <w:t>when it is based on false pretences and luck.</w:t>
      </w:r>
    </w:p>
    <w:p w14:paraId="08D9609B" w14:textId="0B4F2316" w:rsidR="005205AF" w:rsidRDefault="005205AF" w:rsidP="00324465">
      <w:r>
        <w:t>In both of these cases</w:t>
      </w:r>
      <w:r w:rsidR="000806AA">
        <w:t xml:space="preserve"> we have fulfilled the requirements for tripartite propositional knowledge</w:t>
      </w:r>
      <w:r w:rsidR="006B324E">
        <w:t xml:space="preserve">, yet in both cases it seems incorrect to state that they did actually have knowledge </w:t>
      </w:r>
      <w:r w:rsidR="003146E8">
        <w:t xml:space="preserve">that they were correct. This causes a major problem, as if there are exceptions to the tripartite knowledge rules then the theory must be wrong, causing us once again to not be able to </w:t>
      </w:r>
      <w:r w:rsidR="001972E3">
        <w:t>truly say that we have knowledge. There have been many attempts to fix the hole that Gettier left</w:t>
      </w:r>
      <w:r w:rsidR="00296A47">
        <w:t>, a few of which we will now discuss.</w:t>
      </w:r>
    </w:p>
    <w:p w14:paraId="51285B4C" w14:textId="0D007BD1" w:rsidR="00D23742" w:rsidRDefault="00F50DCA" w:rsidP="00324465">
      <w:r>
        <w:t xml:space="preserve">In </w:t>
      </w:r>
      <w:r w:rsidR="00BE2749">
        <w:t>most</w:t>
      </w:r>
      <w:r>
        <w:t xml:space="preserve"> Gettier cases, the </w:t>
      </w:r>
      <w:r w:rsidR="009E25A7">
        <w:t>problem arises</w:t>
      </w:r>
      <w:r w:rsidR="00564EA6">
        <w:t xml:space="preserve"> from</w:t>
      </w:r>
      <w:r w:rsidR="00BE2749">
        <w:t xml:space="preserve"> either</w:t>
      </w:r>
      <w:r w:rsidR="00015CC1">
        <w:t xml:space="preserve"> luck</w:t>
      </w:r>
      <w:r w:rsidR="00C35A5C">
        <w:t xml:space="preserve">; </w:t>
      </w:r>
      <w:r w:rsidR="000646E3">
        <w:t xml:space="preserve">The burst of Q-Radiation that lights the pyromaniacs match </w:t>
      </w:r>
      <w:sdt>
        <w:sdtPr>
          <w:id w:val="-1225908559"/>
          <w:citation/>
        </w:sdtPr>
        <w:sdtContent>
          <w:r w:rsidR="00FD534E">
            <w:fldChar w:fldCharType="begin"/>
          </w:r>
          <w:r w:rsidR="00AA3D45">
            <w:instrText xml:space="preserve">CITATION Sky67 \p 383 \t  \l 2057 </w:instrText>
          </w:r>
          <w:r w:rsidR="00FD534E">
            <w:fldChar w:fldCharType="separate"/>
          </w:r>
          <w:r w:rsidR="00AA3D45">
            <w:rPr>
              <w:noProof/>
            </w:rPr>
            <w:t>(Skyrms, 1967, p. 383)</w:t>
          </w:r>
          <w:r w:rsidR="00FD534E">
            <w:fldChar w:fldCharType="end"/>
          </w:r>
        </w:sdtContent>
      </w:sdt>
      <w:r w:rsidR="00D615DF">
        <w:t>,</w:t>
      </w:r>
      <w:r w:rsidR="00ED7E14">
        <w:t xml:space="preserve"> </w:t>
      </w:r>
      <w:r w:rsidR="00111A57">
        <w:t>or the fallibility of</w:t>
      </w:r>
      <w:r w:rsidR="00C35A5C">
        <w:t xml:space="preserve"> the</w:t>
      </w:r>
      <w:r w:rsidR="00111A57">
        <w:t xml:space="preserve"> information</w:t>
      </w:r>
      <w:r w:rsidR="00BB223A">
        <w:t xml:space="preserve">; </w:t>
      </w:r>
      <w:r w:rsidR="00F453F6">
        <w:t>Smith’s belief that</w:t>
      </w:r>
      <w:r w:rsidR="000E1592">
        <w:t xml:space="preserve"> Jones will get the job</w:t>
      </w:r>
      <w:sdt>
        <w:sdtPr>
          <w:id w:val="1206293481"/>
          <w:citation/>
        </w:sdtPr>
        <w:sdtContent>
          <w:r w:rsidR="001018A4">
            <w:fldChar w:fldCharType="begin"/>
          </w:r>
          <w:r w:rsidR="00AA3D45">
            <w:instrText xml:space="preserve">CITATION Get63 \p 122 \t  \l 2057 </w:instrText>
          </w:r>
          <w:r w:rsidR="001018A4">
            <w:fldChar w:fldCharType="separate"/>
          </w:r>
          <w:r w:rsidR="00AA3D45">
            <w:rPr>
              <w:noProof/>
            </w:rPr>
            <w:t xml:space="preserve"> (Gettier, 1963, p. 122)</w:t>
          </w:r>
          <w:r w:rsidR="001018A4">
            <w:fldChar w:fldCharType="end"/>
          </w:r>
        </w:sdtContent>
      </w:sdt>
      <w:r w:rsidR="00C35A5C">
        <w:t xml:space="preserve">. </w:t>
      </w:r>
      <w:r w:rsidR="006E653E">
        <w:t xml:space="preserve">Let’s first discuss how we can go about removing </w:t>
      </w:r>
      <w:r w:rsidR="0099224F">
        <w:t>cases that rely on luck</w:t>
      </w:r>
      <w:r w:rsidR="00B41D17">
        <w:t xml:space="preserve"> by looking further at </w:t>
      </w:r>
      <w:r w:rsidR="000519B4">
        <w:t xml:space="preserve">Skyrms pyromaniac case </w:t>
      </w:r>
      <w:sdt>
        <w:sdtPr>
          <w:id w:val="1742296410"/>
          <w:citation/>
        </w:sdtPr>
        <w:sdtContent>
          <w:r w:rsidR="000519B4">
            <w:fldChar w:fldCharType="begin"/>
          </w:r>
          <w:r w:rsidR="000519B4">
            <w:instrText xml:space="preserve">CITATION Sky67 \p 383 \n  \t  \l 2057 </w:instrText>
          </w:r>
          <w:r w:rsidR="000519B4">
            <w:fldChar w:fldCharType="separate"/>
          </w:r>
          <w:r w:rsidR="000519B4">
            <w:rPr>
              <w:noProof/>
            </w:rPr>
            <w:t>(1967, p. 383)</w:t>
          </w:r>
          <w:r w:rsidR="000519B4">
            <w:fldChar w:fldCharType="end"/>
          </w:r>
        </w:sdtContent>
      </w:sdt>
      <w:r w:rsidR="00C23E02">
        <w:t>. The pyromaniac in the case</w:t>
      </w:r>
      <w:r w:rsidR="005C4449">
        <w:t xml:space="preserve">, as already discussed, has all the necessary components for the </w:t>
      </w:r>
      <w:r w:rsidR="003A2EF1">
        <w:t xml:space="preserve">original tripartite knowledge; P is true, </w:t>
      </w:r>
      <w:r w:rsidR="00357FFD">
        <w:t xml:space="preserve">they have strong evidence and they accept it. The luck arises when the Q-radiation </w:t>
      </w:r>
      <w:r w:rsidR="00B80366">
        <w:t xml:space="preserve">hits the match, causing the first part of tripartite knowledge to be true. If the radiation hadn’t </w:t>
      </w:r>
      <w:r w:rsidR="007506B8">
        <w:t xml:space="preserve">of </w:t>
      </w:r>
      <w:r w:rsidR="00CC2169">
        <w:t>occur</w:t>
      </w:r>
      <w:r w:rsidR="007506B8">
        <w:t xml:space="preserve">red at that exact point, </w:t>
      </w:r>
      <w:r w:rsidR="00CC2169">
        <w:t>then the match wouldn’t have lit, making the proposition incorrect</w:t>
      </w:r>
      <w:r w:rsidR="002970E1">
        <w:t xml:space="preserve">. </w:t>
      </w:r>
      <w:r w:rsidR="00A721EF">
        <w:t xml:space="preserve">Now again, let’s look at Gettier’s first case </w:t>
      </w:r>
      <w:r w:rsidR="0097220E">
        <w:t xml:space="preserve">to see where luck </w:t>
      </w:r>
      <w:r w:rsidR="007206E2">
        <w:t>affects the proposition</w:t>
      </w:r>
      <w:sdt>
        <w:sdtPr>
          <w:id w:val="1410347375"/>
          <w:citation/>
        </w:sdtPr>
        <w:sdtContent>
          <w:r w:rsidR="007206E2">
            <w:fldChar w:fldCharType="begin"/>
          </w:r>
          <w:r w:rsidR="007206E2">
            <w:instrText xml:space="preserve">CITATION Get63 \p 122 \n  \t  \l 2057 </w:instrText>
          </w:r>
          <w:r w:rsidR="007206E2">
            <w:fldChar w:fldCharType="separate"/>
          </w:r>
          <w:r w:rsidR="007206E2">
            <w:rPr>
              <w:noProof/>
            </w:rPr>
            <w:t xml:space="preserve"> (1963, p. 122)</w:t>
          </w:r>
          <w:r w:rsidR="007206E2">
            <w:fldChar w:fldCharType="end"/>
          </w:r>
        </w:sdtContent>
      </w:sdt>
      <w:r w:rsidR="007206E2">
        <w:t xml:space="preserve">. </w:t>
      </w:r>
      <w:r w:rsidR="00DB6ADB">
        <w:t xml:space="preserve">Luck appears when Smith’s second, following, </w:t>
      </w:r>
      <w:r w:rsidR="00A972E0">
        <w:t xml:space="preserve">proposition </w:t>
      </w:r>
      <w:r w:rsidR="008A1858">
        <w:t xml:space="preserve">turns out to be true, as Smith doesn’t know that he also has ten coins in his pocket, it is then only by luck that it ends up fulfilling the tripartite knowledge, if Smith didn’t have </w:t>
      </w:r>
      <w:r w:rsidR="008A1858">
        <w:lastRenderedPageBreak/>
        <w:t xml:space="preserve">ten coins in his pocket, the same as jones, then </w:t>
      </w:r>
      <w:r w:rsidR="009702A2">
        <w:t>the proposition would, again, be false. One solution to this problem comes from</w:t>
      </w:r>
      <w:r w:rsidR="009456A9">
        <w:t xml:space="preserve"> Peter</w:t>
      </w:r>
      <w:r w:rsidR="009702A2">
        <w:t xml:space="preserve"> Unger</w:t>
      </w:r>
      <w:r w:rsidR="00D23742">
        <w:t>:</w:t>
      </w:r>
    </w:p>
    <w:p w14:paraId="44C85633" w14:textId="77777777" w:rsidR="005D5B17" w:rsidRDefault="009456A9" w:rsidP="005D5B17">
      <w:pPr>
        <w:ind w:left="720"/>
      </w:pPr>
      <w:r>
        <w:t xml:space="preserve">“For any </w:t>
      </w:r>
      <w:r w:rsidR="00DA1D3A">
        <w:t xml:space="preserve">sentential value of </w:t>
      </w:r>
      <w:r w:rsidR="00DA1D3A">
        <w:rPr>
          <w:i/>
          <w:iCs/>
        </w:rPr>
        <w:t>p</w:t>
      </w:r>
      <w:r w:rsidR="0048214B">
        <w:t xml:space="preserve">, a man knows that </w:t>
      </w:r>
      <w:r w:rsidR="003F2C51">
        <w:rPr>
          <w:i/>
          <w:iCs/>
        </w:rPr>
        <w:t>p</w:t>
      </w:r>
      <w:r w:rsidR="003F2C51">
        <w:t xml:space="preserve"> if and only if it is not an accident that the man is right about it being the case that </w:t>
      </w:r>
      <w:r w:rsidR="003F2C51">
        <w:rPr>
          <w:i/>
          <w:iCs/>
        </w:rPr>
        <w:t>p</w:t>
      </w:r>
      <w:r w:rsidR="003F2C51">
        <w:t>”</w:t>
      </w:r>
      <w:r w:rsidR="00D23742">
        <w:t xml:space="preserve"> </w:t>
      </w:r>
      <w:sdt>
        <w:sdtPr>
          <w:id w:val="1453358292"/>
          <w:citation/>
        </w:sdtPr>
        <w:sdtContent>
          <w:r w:rsidR="00D23742">
            <w:fldChar w:fldCharType="begin"/>
          </w:r>
          <w:r w:rsidR="00D23742">
            <w:instrText xml:space="preserve">CITATION Ung68 \p 161 \n  \l 2057 </w:instrText>
          </w:r>
          <w:r w:rsidR="00D23742">
            <w:fldChar w:fldCharType="separate"/>
          </w:r>
          <w:r w:rsidR="00D23742">
            <w:rPr>
              <w:noProof/>
            </w:rPr>
            <w:t>(An Analysis of Factual Knowledge, 1968, p. 161)</w:t>
          </w:r>
          <w:r w:rsidR="00D23742">
            <w:fldChar w:fldCharType="end"/>
          </w:r>
        </w:sdtContent>
      </w:sdt>
    </w:p>
    <w:p w14:paraId="74350626" w14:textId="564F8C5B" w:rsidR="00C360F9" w:rsidRDefault="00563C4F" w:rsidP="005D5B17">
      <w:r>
        <w:t xml:space="preserve">This is an addition to the </w:t>
      </w:r>
      <w:r w:rsidR="0078270B">
        <w:t xml:space="preserve">three </w:t>
      </w:r>
      <w:r w:rsidR="001840CD">
        <w:t>previous requirements for true justified</w:t>
      </w:r>
      <w:r>
        <w:t xml:space="preserve"> </w:t>
      </w:r>
      <w:r w:rsidR="004722B6">
        <w:t>belief</w:t>
      </w:r>
      <w:r>
        <w:t xml:space="preserve">, </w:t>
      </w:r>
      <w:r w:rsidR="00600C11">
        <w:t xml:space="preserve">requiring </w:t>
      </w:r>
      <w:r w:rsidR="00322D7A">
        <w:t xml:space="preserve">the </w:t>
      </w:r>
      <w:r w:rsidR="008E121C">
        <w:t xml:space="preserve">belief not only to be true, </w:t>
      </w:r>
      <w:r w:rsidR="00C14CBD">
        <w:t>have strong evidence and accept it</w:t>
      </w:r>
      <w:r w:rsidR="00C1111C">
        <w:t xml:space="preserve">, but also requires the </w:t>
      </w:r>
      <w:r w:rsidR="008E6A0A">
        <w:t>individual to have not come to the belief from luck for it to be knowledge</w:t>
      </w:r>
      <w:r w:rsidR="0054755B">
        <w:t>. This then excludes the pyromaniac from having knowledge that the</w:t>
      </w:r>
      <w:r w:rsidR="003D3DB0">
        <w:t xml:space="preserve"> proposition is </w:t>
      </w:r>
      <w:r w:rsidR="003854A1">
        <w:t xml:space="preserve">true, </w:t>
      </w:r>
      <w:r w:rsidR="003D3DB0">
        <w:t>as</w:t>
      </w:r>
      <w:r w:rsidR="0054755B">
        <w:t xml:space="preserve"> </w:t>
      </w:r>
      <w:r w:rsidR="003854A1">
        <w:t xml:space="preserve">the </w:t>
      </w:r>
      <w:r w:rsidR="0054755B">
        <w:t>match</w:t>
      </w:r>
      <w:r w:rsidR="003854A1">
        <w:t xml:space="preserve"> only lights due to the radiation, which they are unaware of. Again, </w:t>
      </w:r>
      <w:r w:rsidR="001D0384">
        <w:t xml:space="preserve">this would also exclude Smith from knowing that his second proposition is false as it is only correct due to the </w:t>
      </w:r>
      <w:r w:rsidR="00E26598">
        <w:t>ten coins in his pocket, which he doesn’t know about.</w:t>
      </w:r>
      <w:r w:rsidR="00B6288B">
        <w:t xml:space="preserve"> This is a strong </w:t>
      </w:r>
      <w:r w:rsidR="00867E1E">
        <w:t>argument as it would preclude most Gettier cases from being knowledge.</w:t>
      </w:r>
      <w:r w:rsidR="00A525F8">
        <w:t xml:space="preserve"> However, there are some problems with this approach. Firstly, it’s arguable that </w:t>
      </w:r>
      <w:r w:rsidR="00D85D54">
        <w:t xml:space="preserve">everything that we come to </w:t>
      </w:r>
      <w:r w:rsidR="006074F4">
        <w:t>believe and make propositions about has in some part been due to luck</w:t>
      </w:r>
      <w:r w:rsidR="00687D86">
        <w:t>, which eventually could lead to a form of scepticism</w:t>
      </w:r>
      <w:r w:rsidR="006074F4">
        <w:t>. Secondly</w:t>
      </w:r>
      <w:r w:rsidR="001C5A1F">
        <w:t xml:space="preserve">, even if we allow some luck, that may be unavoidable as humans, </w:t>
      </w:r>
      <w:r w:rsidR="00752487">
        <w:t>how much luck is a</w:t>
      </w:r>
      <w:r w:rsidR="00C360F9">
        <w:t>llowed for it to count as knowledge.</w:t>
      </w:r>
    </w:p>
    <w:p w14:paraId="237419D2" w14:textId="77777777" w:rsidR="00C144D9" w:rsidRDefault="00D603C4" w:rsidP="00324465">
      <w:r>
        <w:t xml:space="preserve">Let’s now examine the first argument against eliminating luck. </w:t>
      </w:r>
      <w:r w:rsidR="005D5B17">
        <w:t xml:space="preserve">From your very conception, </w:t>
      </w:r>
      <w:r w:rsidR="000C625D">
        <w:t>luck seemingly is present, being the spermatozoa that fertilises the egg</w:t>
      </w:r>
      <w:r w:rsidR="00A63CFD">
        <w:t xml:space="preserve"> against massive odds already means </w:t>
      </w:r>
      <w:r w:rsidR="000053AD">
        <w:t xml:space="preserve">that every future action and belief already stems from some form of luck. Furthermore, </w:t>
      </w:r>
      <w:r w:rsidR="00196623">
        <w:t xml:space="preserve">even if we ignore the basic luck of it being you that exists and not someone else, the circumstances that lead to your belief are also in some part controlled by luck. </w:t>
      </w:r>
      <w:r w:rsidR="002E16AE">
        <w:t xml:space="preserve">For now, </w:t>
      </w:r>
      <w:r w:rsidR="00E05F2D">
        <w:t>let’s</w:t>
      </w:r>
      <w:r w:rsidR="002E16AE">
        <w:t xml:space="preserve"> ignore the Gettier cases and look at another example of propositional knowledge</w:t>
      </w:r>
      <w:r w:rsidR="00E05F2D">
        <w:t xml:space="preserve">; I walk </w:t>
      </w:r>
      <w:r w:rsidR="001F0824">
        <w:t xml:space="preserve">into a room and see a vase, I can now, with justified true belief, </w:t>
      </w:r>
      <w:r w:rsidR="005840F4">
        <w:t>make the proposition that there is a vase in that room.</w:t>
      </w:r>
      <w:r w:rsidR="0049431E">
        <w:t xml:space="preserve"> </w:t>
      </w:r>
      <w:r w:rsidR="00ED6034">
        <w:t>But</w:t>
      </w:r>
      <w:r w:rsidR="0049431E">
        <w:t xml:space="preserve"> is it not in some part luck that I walked into that room at that moment when a vase is present</w:t>
      </w:r>
      <w:r w:rsidR="00ED6034">
        <w:t xml:space="preserve">, so if </w:t>
      </w:r>
      <w:r w:rsidR="009449E9">
        <w:t>it is some part an</w:t>
      </w:r>
      <w:r w:rsidR="00B93B97">
        <w:t xml:space="preserve"> accident that I’m correct, if we </w:t>
      </w:r>
      <w:r w:rsidR="002B1628">
        <w:t xml:space="preserve">accept </w:t>
      </w:r>
      <w:r w:rsidR="00B93B97">
        <w:t xml:space="preserve">Unger’s </w:t>
      </w:r>
      <w:sdt>
        <w:sdtPr>
          <w:id w:val="44261049"/>
          <w:citation/>
        </w:sdtPr>
        <w:sdtContent>
          <w:r w:rsidR="00157E4D">
            <w:fldChar w:fldCharType="begin"/>
          </w:r>
          <w:r w:rsidR="00157E4D">
            <w:instrText xml:space="preserve">CITATION Ung68 \n  \t  \l 2057 </w:instrText>
          </w:r>
          <w:r w:rsidR="00157E4D">
            <w:fldChar w:fldCharType="separate"/>
          </w:r>
          <w:r w:rsidR="00157E4D">
            <w:rPr>
              <w:noProof/>
            </w:rPr>
            <w:t>(1968)</w:t>
          </w:r>
          <w:r w:rsidR="00157E4D">
            <w:fldChar w:fldCharType="end"/>
          </w:r>
        </w:sdtContent>
      </w:sdt>
      <w:r w:rsidR="00157E4D">
        <w:t xml:space="preserve"> additional</w:t>
      </w:r>
      <w:r w:rsidR="002B1628">
        <w:t xml:space="preserve"> statement</w:t>
      </w:r>
      <w:r w:rsidR="00FB76CB">
        <w:t xml:space="preserve">, it seems that it’s impossible </w:t>
      </w:r>
      <w:r w:rsidR="007466AA">
        <w:t xml:space="preserve">for humans </w:t>
      </w:r>
      <w:r w:rsidR="00FB76CB">
        <w:t>to have knowledge</w:t>
      </w:r>
      <w:r w:rsidR="007466AA">
        <w:t xml:space="preserve">. So, we must </w:t>
      </w:r>
      <w:r w:rsidR="003B65E4">
        <w:t xml:space="preserve">allow for some luck, which Unger does discuss. He brings in the case of someone </w:t>
      </w:r>
      <w:r w:rsidR="006979C7">
        <w:t>shuffling a deck of one hundred cards</w:t>
      </w:r>
      <w:r w:rsidR="00901664">
        <w:t xml:space="preserve">, ninety nine of which are white and one is black, </w:t>
      </w:r>
      <w:r w:rsidR="00D424CC">
        <w:t>he knows this and then makes the proposition that the top one will be white</w:t>
      </w:r>
      <w:r w:rsidR="000C54EE">
        <w:t xml:space="preserve">, </w:t>
      </w:r>
      <w:r w:rsidR="00870202">
        <w:t xml:space="preserve">he then expands this to a </w:t>
      </w:r>
      <w:r w:rsidR="00BB7BA5">
        <w:t xml:space="preserve">billion white cards and one black </w:t>
      </w:r>
      <w:sdt>
        <w:sdtPr>
          <w:id w:val="-1567020263"/>
          <w:citation/>
        </w:sdtPr>
        <w:sdtContent>
          <w:r w:rsidR="00BB7BA5">
            <w:fldChar w:fldCharType="begin"/>
          </w:r>
          <w:r w:rsidR="00BB7BA5">
            <w:instrText xml:space="preserve">CITATION Ung68 \p 161-162 \n  \t  \l 2057 </w:instrText>
          </w:r>
          <w:r w:rsidR="00BB7BA5">
            <w:fldChar w:fldCharType="separate"/>
          </w:r>
          <w:r w:rsidR="00BB7BA5">
            <w:rPr>
              <w:noProof/>
            </w:rPr>
            <w:t>(1968, pp. 161-162)</w:t>
          </w:r>
          <w:r w:rsidR="00BB7BA5">
            <w:fldChar w:fldCharType="end"/>
          </w:r>
        </w:sdtContent>
      </w:sdt>
      <w:r w:rsidR="00DC44B8">
        <w:t xml:space="preserve">. In the first case, it does seem, on the odds, that if the card does </w:t>
      </w:r>
      <w:r w:rsidR="00AF5BC1">
        <w:t xml:space="preserve">come up white the man could arguably have good enough knowledge </w:t>
      </w:r>
      <w:r w:rsidR="00FC4D70">
        <w:t>that it will come up white, but still it could come up black,</w:t>
      </w:r>
      <w:r w:rsidR="003907FD">
        <w:t xml:space="preserve"> even if the odds are low, so some luck is involved. However, with the second </w:t>
      </w:r>
      <w:r w:rsidR="00460625">
        <w:t>example</w:t>
      </w:r>
      <w:r w:rsidR="004D0701">
        <w:t xml:space="preserve"> it does appear to be less </w:t>
      </w:r>
      <w:r w:rsidR="006424BC">
        <w:t>to do with luck as the chance is so incredibly high</w:t>
      </w:r>
      <w:r w:rsidR="0023464D">
        <w:t>, maybe allowing for us to say that the man has knowledge that it will come up white.</w:t>
      </w:r>
    </w:p>
    <w:p w14:paraId="26FBB34A" w14:textId="580719C2" w:rsidR="00BB6D6A" w:rsidRDefault="00B17506" w:rsidP="00324465">
      <w:r>
        <w:lastRenderedPageBreak/>
        <w:t xml:space="preserve">Now, </w:t>
      </w:r>
      <w:proofErr w:type="spellStart"/>
      <w:r>
        <w:t>lets</w:t>
      </w:r>
      <w:proofErr w:type="spellEnd"/>
      <w:r>
        <w:t xml:space="preserve"> move onto attempting to eliminate fallibility</w:t>
      </w:r>
      <w:r w:rsidR="0037260A">
        <w:t>.</w:t>
      </w:r>
      <w:r w:rsidR="004F17E8">
        <w:t xml:space="preserve"> Fallibility i</w:t>
      </w:r>
      <w:r w:rsidR="00F10F9B">
        <w:t xml:space="preserve">n this </w:t>
      </w:r>
      <w:r w:rsidR="00DC784E">
        <w:t xml:space="preserve">sense is to do with the justification of the propositional knowledge, </w:t>
      </w:r>
      <w:r w:rsidR="00C359E1">
        <w:t xml:space="preserve">if there is a chance </w:t>
      </w:r>
      <w:r w:rsidR="00835236">
        <w:t xml:space="preserve">that the justification could be wrong then </w:t>
      </w:r>
      <w:r w:rsidR="000A7B46">
        <w:t xml:space="preserve">it is fallible. This becomes a problem once again for our Gettier cases. </w:t>
      </w:r>
      <w:r w:rsidR="00E8211F">
        <w:t>Let’s</w:t>
      </w:r>
      <w:r w:rsidR="000A7B46">
        <w:t xml:space="preserve"> look at how fallibility comes up in the two cases </w:t>
      </w:r>
      <w:r w:rsidR="000F5C33">
        <w:t xml:space="preserve">we’ve previously discussed. For the </w:t>
      </w:r>
      <w:r w:rsidR="00E8211F">
        <w:t>pyromaniac’s</w:t>
      </w:r>
      <w:r w:rsidR="000F5C33">
        <w:t xml:space="preserve"> case</w:t>
      </w:r>
      <w:r w:rsidR="005506C0">
        <w:t xml:space="preserve"> </w:t>
      </w:r>
      <w:sdt>
        <w:sdtPr>
          <w:id w:val="-1085456104"/>
          <w:citation/>
        </w:sdtPr>
        <w:sdtContent>
          <w:r w:rsidR="005506C0">
            <w:fldChar w:fldCharType="begin"/>
          </w:r>
          <w:r w:rsidR="005506C0">
            <w:instrText xml:space="preserve">CITATION Sky67 \p 383 \n  \t  \l 2057 </w:instrText>
          </w:r>
          <w:r w:rsidR="005506C0">
            <w:fldChar w:fldCharType="separate"/>
          </w:r>
          <w:r w:rsidR="005506C0">
            <w:rPr>
              <w:noProof/>
            </w:rPr>
            <w:t>(1967, p. 383)</w:t>
          </w:r>
          <w:r w:rsidR="005506C0">
            <w:fldChar w:fldCharType="end"/>
          </w:r>
        </w:sdtContent>
      </w:sdt>
      <w:r w:rsidR="00E8211F">
        <w:t>, we can s</w:t>
      </w:r>
      <w:r w:rsidR="00637C33">
        <w:t xml:space="preserve">ay that the pyromaniacs justification for </w:t>
      </w:r>
      <w:r w:rsidR="00776203">
        <w:t xml:space="preserve">their belief </w:t>
      </w:r>
      <w:r w:rsidR="005506C0">
        <w:t>is their previous experience and</w:t>
      </w:r>
      <w:r w:rsidR="00924356">
        <w:t xml:space="preserve"> basic knowledge of chemistry. </w:t>
      </w:r>
      <w:r w:rsidR="00744F13">
        <w:t>However,</w:t>
      </w:r>
      <w:r w:rsidR="00C46BA6">
        <w:t xml:space="preserve"> the existence of the </w:t>
      </w:r>
      <w:r w:rsidR="001F576F">
        <w:t xml:space="preserve">faulty match shows that this evidence and justification is </w:t>
      </w:r>
      <w:r w:rsidR="00E21DAE">
        <w:t>fallible</w:t>
      </w:r>
      <w:r w:rsidR="00744F13">
        <w:t xml:space="preserve">. In the case of Smith, </w:t>
      </w:r>
      <w:r w:rsidR="00527DFB">
        <w:t xml:space="preserve">his justification and belief </w:t>
      </w:r>
      <w:r w:rsidR="00AC7CAE">
        <w:t xml:space="preserve">in </w:t>
      </w:r>
      <w:r w:rsidR="000459FE">
        <w:t xml:space="preserve">his second proposition is based on his </w:t>
      </w:r>
      <w:r w:rsidR="00A62B80">
        <w:t>acceptance of the first proposition, which we find out is wrong, showing it to be fallible.</w:t>
      </w:r>
      <w:r w:rsidR="00691FF1">
        <w:t xml:space="preserve"> </w:t>
      </w:r>
      <w:r w:rsidR="0005241E">
        <w:t xml:space="preserve">For the </w:t>
      </w:r>
      <w:r w:rsidR="00E47E04">
        <w:t xml:space="preserve">Smith case we can once again turn to Unger for </w:t>
      </w:r>
      <w:r w:rsidR="00ED014E">
        <w:t>a new addition to add to the tripartite knowledge to try and fix the</w:t>
      </w:r>
      <w:r w:rsidR="00EE06ED">
        <w:t xml:space="preserve"> Gettier problem. </w:t>
      </w:r>
    </w:p>
    <w:p w14:paraId="61177A91" w14:textId="3DA11D8D" w:rsidR="00EE06ED" w:rsidRPr="00E110CA" w:rsidRDefault="00EE06ED" w:rsidP="00E110CA">
      <w:pPr>
        <w:ind w:left="720"/>
      </w:pPr>
      <w:r>
        <w:t xml:space="preserve">“For any sentential value of </w:t>
      </w:r>
      <w:r>
        <w:rPr>
          <w:i/>
          <w:iCs/>
        </w:rPr>
        <w:t>p</w:t>
      </w:r>
      <w:r>
        <w:t xml:space="preserve">, </w:t>
      </w:r>
      <w:r w:rsidR="00E110CA">
        <w:t xml:space="preserve">where a man believes that </w:t>
      </w:r>
      <w:r w:rsidR="00E110CA">
        <w:rPr>
          <w:i/>
          <w:iCs/>
        </w:rPr>
        <w:t>p</w:t>
      </w:r>
      <w:r w:rsidR="00E110CA">
        <w:t xml:space="preserve"> on the basis of certain other beliefs that he holds, then that man knows that </w:t>
      </w:r>
      <w:r w:rsidR="00E110CA">
        <w:rPr>
          <w:i/>
          <w:iCs/>
        </w:rPr>
        <w:t>p</w:t>
      </w:r>
      <w:r w:rsidR="00E110CA">
        <w:t xml:space="preserve"> only if some of these grounding beliefs are true” </w:t>
      </w:r>
      <w:sdt>
        <w:sdtPr>
          <w:id w:val="819856724"/>
          <w:citation/>
        </w:sdtPr>
        <w:sdtContent>
          <w:r w:rsidR="00E110CA">
            <w:fldChar w:fldCharType="begin"/>
          </w:r>
          <w:r w:rsidR="008A7731">
            <w:instrText xml:space="preserve">CITATION Ung67 \p 162 \n  \l 2057 </w:instrText>
          </w:r>
          <w:r w:rsidR="00E110CA">
            <w:fldChar w:fldCharType="separate"/>
          </w:r>
          <w:r w:rsidR="008A7731">
            <w:rPr>
              <w:noProof/>
            </w:rPr>
            <w:t>(Experience and Factual Knowledge, 1967, p. 162)</w:t>
          </w:r>
          <w:r w:rsidR="00E110CA">
            <w:fldChar w:fldCharType="end"/>
          </w:r>
        </w:sdtContent>
      </w:sdt>
    </w:p>
    <w:p w14:paraId="7BE829E2" w14:textId="57B2CBB2" w:rsidR="00BB6D6A" w:rsidRDefault="008A7731" w:rsidP="00324465">
      <w:r>
        <w:t>This addition would result in the Smith case</w:t>
      </w:r>
      <w:r w:rsidR="00A40352">
        <w:t>’s second proposition</w:t>
      </w:r>
      <w:r>
        <w:t xml:space="preserve"> </w:t>
      </w:r>
      <w:r w:rsidR="00A40352">
        <w:t xml:space="preserve">being disqualified as knowledge as </w:t>
      </w:r>
      <w:r w:rsidR="00414DA9">
        <w:t xml:space="preserve">it is based on his belief that the first proposition was </w:t>
      </w:r>
      <w:r w:rsidR="00003772">
        <w:t>true, when, as shown, it was false. H</w:t>
      </w:r>
      <w:r w:rsidR="00570A6D">
        <w:t xml:space="preserve">owever, this new definition might still not be completely satisfactory; The Pyromaniacs beliefs that they relied on to </w:t>
      </w:r>
      <w:r w:rsidR="0037502E">
        <w:t xml:space="preserve">make the proposition aren’t necessarily incorrect, even if fallible. Their reliance on previous </w:t>
      </w:r>
      <w:r w:rsidR="005C2A0E">
        <w:t>matches working is correct, as is their knowledge of chemistry</w:t>
      </w:r>
      <w:r w:rsidR="000B4661">
        <w:t>.</w:t>
      </w:r>
      <w:r w:rsidR="00825DC3">
        <w:t xml:space="preserve"> So, instead we can go for a </w:t>
      </w:r>
      <w:r w:rsidR="00802A10">
        <w:t>stricter</w:t>
      </w:r>
      <w:r w:rsidR="00825DC3">
        <w:t xml:space="preserve"> rul</w:t>
      </w:r>
      <w:r w:rsidR="00064212">
        <w:t>e</w:t>
      </w:r>
      <w:r w:rsidR="00E838F8">
        <w:t xml:space="preserve"> that requires certainty (absolute) for knowledge </w:t>
      </w:r>
      <w:sdt>
        <w:sdtPr>
          <w:id w:val="1053361605"/>
          <w:citation/>
        </w:sdtPr>
        <w:sdtContent>
          <w:r w:rsidR="00E838F8">
            <w:fldChar w:fldCharType="begin"/>
          </w:r>
          <w:r w:rsidR="00020148">
            <w:instrText xml:space="preserve">CITATION Ung71 \p 213-216 \l 2057 </w:instrText>
          </w:r>
          <w:r w:rsidR="00E838F8">
            <w:fldChar w:fldCharType="separate"/>
          </w:r>
          <w:r w:rsidR="00020148">
            <w:rPr>
              <w:noProof/>
            </w:rPr>
            <w:t>(Unger, A Defense of Skepticism, 1971, pp. 213-216)</w:t>
          </w:r>
          <w:r w:rsidR="00E838F8">
            <w:fldChar w:fldCharType="end"/>
          </w:r>
        </w:sdtContent>
      </w:sdt>
      <w:r w:rsidR="00073E18">
        <w:t>. If we require one hundred percent accurate, infallible proof for knowledge, then this eliminates both of the G</w:t>
      </w:r>
      <w:r w:rsidR="00427A34">
        <w:t xml:space="preserve">ettier cases we’ve looked at as knowledge, as neither have certainty </w:t>
      </w:r>
      <w:r w:rsidR="00CF0170">
        <w:t xml:space="preserve">in their propositions. This seems satisfying, but just like </w:t>
      </w:r>
      <w:r w:rsidR="007C35F6">
        <w:t>eliminating luck, it can lead to s</w:t>
      </w:r>
      <w:r w:rsidR="00177229">
        <w:t>c</w:t>
      </w:r>
      <w:r w:rsidR="007C35F6">
        <w:t>epticism</w:t>
      </w:r>
      <w:r w:rsidR="00177229">
        <w:t xml:space="preserve">. If we require certainty for knowledge, what can we know? Even something simple such as 2 + 2 = 4 is now </w:t>
      </w:r>
      <w:r w:rsidR="00E1097B">
        <w:t>up for debate as it requires our</w:t>
      </w:r>
      <w:r w:rsidR="006B568E">
        <w:t xml:space="preserve"> language that we use to discuss and describe this equation to be certain to universal standards, which arguably humans can never achieve</w:t>
      </w:r>
      <w:r w:rsidR="005D2B9C">
        <w:t xml:space="preserve">, due to our limited understanding </w:t>
      </w:r>
      <w:r w:rsidR="00626F16">
        <w:t>and existence.</w:t>
      </w:r>
    </w:p>
    <w:p w14:paraId="73FDA5B3" w14:textId="77777777" w:rsidR="00831D59" w:rsidRDefault="00831D59" w:rsidP="00324465"/>
    <w:p w14:paraId="2FD24307" w14:textId="7EA5AAF7" w:rsidR="00034CAE" w:rsidRDefault="00A92803" w:rsidP="00324465">
      <w:r>
        <w:t xml:space="preserve">In </w:t>
      </w:r>
      <w:r w:rsidR="00C144D9">
        <w:t>this essay I have outlined, explained and discussed the Gettier Problem</w:t>
      </w:r>
      <w:r w:rsidR="00D0627F">
        <w:t>, two examples of it and</w:t>
      </w:r>
      <w:r w:rsidR="005A1AE8">
        <w:t xml:space="preserve"> </w:t>
      </w:r>
      <w:r w:rsidR="00D0627F">
        <w:t xml:space="preserve">two of the proposed solutions to it. Gettier’s Problem </w:t>
      </w:r>
      <w:r w:rsidR="00C62D0D">
        <w:t>does prove that</w:t>
      </w:r>
      <w:r w:rsidR="00F1106A">
        <w:t xml:space="preserve"> propositional knowledge </w:t>
      </w:r>
      <w:r w:rsidR="00FA772C">
        <w:t>requires more than only</w:t>
      </w:r>
      <w:r w:rsidR="006A588E">
        <w:t xml:space="preserve"> justified </w:t>
      </w:r>
      <w:r w:rsidR="00DA5C03">
        <w:t>true belief</w:t>
      </w:r>
      <w:r w:rsidR="00FA772C">
        <w:t xml:space="preserve">. His </w:t>
      </w:r>
      <w:r w:rsidR="00713A06">
        <w:t xml:space="preserve">cases, as well as other Gettier cases, </w:t>
      </w:r>
      <w:r w:rsidR="00E95F87">
        <w:t xml:space="preserve">show that there are exceptions to this belief, </w:t>
      </w:r>
      <w:r w:rsidR="005A0355">
        <w:t>they fulfil the requirements of tripartite knowledge yet, the</w:t>
      </w:r>
      <w:r w:rsidR="00283235">
        <w:t xml:space="preserve"> individuals in the cases still can’t know what it appears that they do</w:t>
      </w:r>
      <w:r w:rsidR="007254DE">
        <w:t xml:space="preserve">. </w:t>
      </w:r>
      <w:r w:rsidR="00556445">
        <w:t xml:space="preserve">However, this </w:t>
      </w:r>
      <w:r w:rsidR="00565C93">
        <w:t>doesn’t mean that you can’t know something. The solutions that we have discussed, eliminating luck and infallibility</w:t>
      </w:r>
      <w:r w:rsidR="00BD68F7">
        <w:t>, are additions that we can add to the definition of knowing something. If we say that</w:t>
      </w:r>
      <w:r w:rsidR="00DE3BA4">
        <w:t xml:space="preserve"> </w:t>
      </w:r>
      <w:r w:rsidR="008D4678">
        <w:t xml:space="preserve">any </w:t>
      </w:r>
      <w:r w:rsidR="008D4678">
        <w:lastRenderedPageBreak/>
        <w:t xml:space="preserve">identified truth that comes from luck primarily </w:t>
      </w:r>
      <w:r w:rsidR="000D35C7">
        <w:t xml:space="preserve">can’t count as knowledge, we already eliminate a lot of Gettier cases. If, in addition to eliminating luck, we </w:t>
      </w:r>
      <w:r w:rsidR="00654BD7">
        <w:t xml:space="preserve">require that the proof be certain for knowledge, we again eliminate most if not all Gettier cases as counting for knowledge. However, this does result in </w:t>
      </w:r>
      <w:r w:rsidR="00712B43">
        <w:t xml:space="preserve">some scepticism, it’s doubtful that humans have the capability to </w:t>
      </w:r>
      <w:r w:rsidR="00E94529">
        <w:t xml:space="preserve">have certain proof, due to our limitations (such as not having </w:t>
      </w:r>
      <w:r w:rsidR="00C3209C">
        <w:t>complete atomic knowledge of the universe).</w:t>
      </w:r>
    </w:p>
    <w:sdt>
      <w:sdtPr>
        <w:id w:val="296502589"/>
        <w:docPartObj>
          <w:docPartGallery w:val="Bibliographies"/>
          <w:docPartUnique/>
        </w:docPartObj>
      </w:sdtPr>
      <w:sdtEndPr>
        <w:rPr>
          <w:rFonts w:asciiTheme="minorHAnsi" w:eastAsiaTheme="minorHAnsi" w:hAnsiTheme="minorHAnsi" w:cstheme="minorBidi"/>
          <w:color w:val="auto"/>
          <w:sz w:val="24"/>
          <w:szCs w:val="24"/>
        </w:rPr>
      </w:sdtEndPr>
      <w:sdtContent>
        <w:p w14:paraId="37BA9EE5" w14:textId="51962A01" w:rsidR="00C3209C" w:rsidRDefault="00C3209C">
          <w:pPr>
            <w:pStyle w:val="Heading1"/>
          </w:pPr>
          <w:r>
            <w:t>References</w:t>
          </w:r>
        </w:p>
        <w:sdt>
          <w:sdtPr>
            <w:id w:val="-573587230"/>
            <w:bibliography/>
          </w:sdtPr>
          <w:sdtContent>
            <w:p w14:paraId="1936A6FE" w14:textId="77777777" w:rsidR="00C3209C" w:rsidRDefault="00C3209C" w:rsidP="00C3209C">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Chisholm, R. M. (1957). </w:t>
              </w:r>
              <w:r>
                <w:rPr>
                  <w:i/>
                  <w:iCs/>
                  <w:noProof/>
                </w:rPr>
                <w:t>Percieving: a Philosophical Study.</w:t>
              </w:r>
              <w:r>
                <w:rPr>
                  <w:noProof/>
                </w:rPr>
                <w:t xml:space="preserve"> Ithaca, New York: Cornell University Press.</w:t>
              </w:r>
            </w:p>
            <w:p w14:paraId="60B11AAA" w14:textId="77777777" w:rsidR="00C3209C" w:rsidRDefault="00C3209C" w:rsidP="00C3209C">
              <w:pPr>
                <w:pStyle w:val="Bibliography"/>
                <w:ind w:left="720" w:hanging="720"/>
                <w:rPr>
                  <w:noProof/>
                </w:rPr>
              </w:pPr>
              <w:r>
                <w:rPr>
                  <w:noProof/>
                </w:rPr>
                <w:t xml:space="preserve">Gettier, E. L. (1963, 6 1). Is Justified True Belief Knowledge. </w:t>
              </w:r>
              <w:r>
                <w:rPr>
                  <w:i/>
                  <w:iCs/>
                  <w:noProof/>
                </w:rPr>
                <w:t>Analysis, 23</w:t>
              </w:r>
              <w:r>
                <w:rPr>
                  <w:noProof/>
                </w:rPr>
                <w:t>(6), 121-123.</w:t>
              </w:r>
            </w:p>
            <w:p w14:paraId="0558D509" w14:textId="77777777" w:rsidR="00C3209C" w:rsidRDefault="00C3209C" w:rsidP="00C3209C">
              <w:pPr>
                <w:pStyle w:val="Bibliography"/>
                <w:ind w:left="720" w:hanging="720"/>
                <w:rPr>
                  <w:noProof/>
                </w:rPr>
              </w:pPr>
              <w:r>
                <w:rPr>
                  <w:noProof/>
                </w:rPr>
                <w:t xml:space="preserve">Skyrms, B. (1967, 6 22). The Explication of "X knows that p". </w:t>
              </w:r>
              <w:r>
                <w:rPr>
                  <w:i/>
                  <w:iCs/>
                  <w:noProof/>
                </w:rPr>
                <w:t>The Journal of Philosophy, 64</w:t>
              </w:r>
              <w:r>
                <w:rPr>
                  <w:noProof/>
                </w:rPr>
                <w:t>(12), 373-389. doi:10.2307/2024269</w:t>
              </w:r>
            </w:p>
            <w:p w14:paraId="3BF1759D" w14:textId="77777777" w:rsidR="00C3209C" w:rsidRDefault="00C3209C" w:rsidP="00C3209C">
              <w:pPr>
                <w:pStyle w:val="Bibliography"/>
                <w:ind w:left="720" w:hanging="720"/>
                <w:rPr>
                  <w:noProof/>
                </w:rPr>
              </w:pPr>
              <w:r>
                <w:rPr>
                  <w:noProof/>
                </w:rPr>
                <w:t xml:space="preserve">Unger, P. (1967). Experience and Factual Knowledge. </w:t>
              </w:r>
              <w:r>
                <w:rPr>
                  <w:i/>
                  <w:iCs/>
                  <w:noProof/>
                </w:rPr>
                <w:t>The Journal of Philosophy, 64</w:t>
              </w:r>
              <w:r>
                <w:rPr>
                  <w:noProof/>
                </w:rPr>
                <w:t>(5), 152-173. doi:10.2307/2024408</w:t>
              </w:r>
            </w:p>
            <w:p w14:paraId="3939DC7B" w14:textId="77777777" w:rsidR="00C3209C" w:rsidRDefault="00C3209C" w:rsidP="00C3209C">
              <w:pPr>
                <w:pStyle w:val="Bibliography"/>
                <w:ind w:left="720" w:hanging="720"/>
                <w:rPr>
                  <w:noProof/>
                </w:rPr>
              </w:pPr>
              <w:r>
                <w:rPr>
                  <w:noProof/>
                </w:rPr>
                <w:t xml:space="preserve">Unger, P. (1968). An Analysis of Factual Knowledge. </w:t>
              </w:r>
              <w:r>
                <w:rPr>
                  <w:i/>
                  <w:iCs/>
                  <w:noProof/>
                </w:rPr>
                <w:t>The Journal of Philosophy, 65</w:t>
              </w:r>
              <w:r>
                <w:rPr>
                  <w:noProof/>
                </w:rPr>
                <w:t>(6), 157-170. doi:10.2307/2024203</w:t>
              </w:r>
            </w:p>
            <w:p w14:paraId="7BCC295B" w14:textId="77777777" w:rsidR="00C3209C" w:rsidRDefault="00C3209C" w:rsidP="00C3209C">
              <w:pPr>
                <w:pStyle w:val="Bibliography"/>
                <w:ind w:left="720" w:hanging="720"/>
                <w:rPr>
                  <w:noProof/>
                </w:rPr>
              </w:pPr>
              <w:r>
                <w:rPr>
                  <w:noProof/>
                </w:rPr>
                <w:t xml:space="preserve">Unger, P. (1971). A Defense of Skepticism. </w:t>
              </w:r>
              <w:r>
                <w:rPr>
                  <w:i/>
                  <w:iCs/>
                  <w:noProof/>
                </w:rPr>
                <w:t>The Philosophical Revie, 80</w:t>
              </w:r>
              <w:r>
                <w:rPr>
                  <w:noProof/>
                </w:rPr>
                <w:t>(2), 198-219. doi:10.2307/2184030</w:t>
              </w:r>
            </w:p>
            <w:p w14:paraId="0D6E9408" w14:textId="713D23E0" w:rsidR="00C3209C" w:rsidRDefault="00C3209C" w:rsidP="00C3209C">
              <w:r>
                <w:rPr>
                  <w:b/>
                  <w:bCs/>
                  <w:noProof/>
                </w:rPr>
                <w:fldChar w:fldCharType="end"/>
              </w:r>
            </w:p>
          </w:sdtContent>
        </w:sdt>
      </w:sdtContent>
    </w:sdt>
    <w:p w14:paraId="7A84D89C" w14:textId="77777777" w:rsidR="00C3209C" w:rsidRPr="00324465" w:rsidRDefault="00C3209C" w:rsidP="00324465"/>
    <w:sectPr w:rsidR="00C3209C" w:rsidRPr="00324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B44"/>
    <w:rsid w:val="000027C8"/>
    <w:rsid w:val="00003772"/>
    <w:rsid w:val="000053AD"/>
    <w:rsid w:val="0001308A"/>
    <w:rsid w:val="00015CC1"/>
    <w:rsid w:val="00015FFB"/>
    <w:rsid w:val="00020148"/>
    <w:rsid w:val="00022E97"/>
    <w:rsid w:val="00034CAE"/>
    <w:rsid w:val="00035A7F"/>
    <w:rsid w:val="00040631"/>
    <w:rsid w:val="000459FE"/>
    <w:rsid w:val="000519B4"/>
    <w:rsid w:val="00051DBC"/>
    <w:rsid w:val="0005241E"/>
    <w:rsid w:val="00064212"/>
    <w:rsid w:val="000646E3"/>
    <w:rsid w:val="00066F23"/>
    <w:rsid w:val="000708E7"/>
    <w:rsid w:val="00073E18"/>
    <w:rsid w:val="000806AA"/>
    <w:rsid w:val="000937B5"/>
    <w:rsid w:val="000974FD"/>
    <w:rsid w:val="000A6E7D"/>
    <w:rsid w:val="000A7B46"/>
    <w:rsid w:val="000B4661"/>
    <w:rsid w:val="000C54EE"/>
    <w:rsid w:val="000C625D"/>
    <w:rsid w:val="000C6B33"/>
    <w:rsid w:val="000D35C7"/>
    <w:rsid w:val="000D7FE4"/>
    <w:rsid w:val="000E1592"/>
    <w:rsid w:val="000F5C33"/>
    <w:rsid w:val="001018A4"/>
    <w:rsid w:val="001048F1"/>
    <w:rsid w:val="00111A57"/>
    <w:rsid w:val="001127EF"/>
    <w:rsid w:val="0013727A"/>
    <w:rsid w:val="0015138C"/>
    <w:rsid w:val="00157E4D"/>
    <w:rsid w:val="00160A8E"/>
    <w:rsid w:val="0016224E"/>
    <w:rsid w:val="00162601"/>
    <w:rsid w:val="00170078"/>
    <w:rsid w:val="00177229"/>
    <w:rsid w:val="001840CD"/>
    <w:rsid w:val="001874B2"/>
    <w:rsid w:val="00196623"/>
    <w:rsid w:val="001972E3"/>
    <w:rsid w:val="001A210B"/>
    <w:rsid w:val="001A45E2"/>
    <w:rsid w:val="001A79F2"/>
    <w:rsid w:val="001B5B7A"/>
    <w:rsid w:val="001B6D90"/>
    <w:rsid w:val="001C5A1F"/>
    <w:rsid w:val="001D0384"/>
    <w:rsid w:val="001F0824"/>
    <w:rsid w:val="001F5583"/>
    <w:rsid w:val="001F576F"/>
    <w:rsid w:val="00215A61"/>
    <w:rsid w:val="002172BA"/>
    <w:rsid w:val="00227149"/>
    <w:rsid w:val="0023464D"/>
    <w:rsid w:val="00234B99"/>
    <w:rsid w:val="00240A24"/>
    <w:rsid w:val="00265E36"/>
    <w:rsid w:val="00283235"/>
    <w:rsid w:val="00296A47"/>
    <w:rsid w:val="002970E1"/>
    <w:rsid w:val="002A78C6"/>
    <w:rsid w:val="002B1628"/>
    <w:rsid w:val="002C48EE"/>
    <w:rsid w:val="002D1A3C"/>
    <w:rsid w:val="002D5C09"/>
    <w:rsid w:val="002E16AE"/>
    <w:rsid w:val="003017EF"/>
    <w:rsid w:val="00301B67"/>
    <w:rsid w:val="003146E8"/>
    <w:rsid w:val="003160CB"/>
    <w:rsid w:val="00321686"/>
    <w:rsid w:val="00322D7A"/>
    <w:rsid w:val="00324465"/>
    <w:rsid w:val="003466E1"/>
    <w:rsid w:val="00354A7B"/>
    <w:rsid w:val="00357FFD"/>
    <w:rsid w:val="0037260A"/>
    <w:rsid w:val="0037502E"/>
    <w:rsid w:val="00375977"/>
    <w:rsid w:val="003854A1"/>
    <w:rsid w:val="003869B3"/>
    <w:rsid w:val="003907FD"/>
    <w:rsid w:val="003953F1"/>
    <w:rsid w:val="003A009D"/>
    <w:rsid w:val="003A2EF1"/>
    <w:rsid w:val="003B1709"/>
    <w:rsid w:val="003B44FF"/>
    <w:rsid w:val="003B65E4"/>
    <w:rsid w:val="003D23A5"/>
    <w:rsid w:val="003D3A01"/>
    <w:rsid w:val="003D3DB0"/>
    <w:rsid w:val="003F2C51"/>
    <w:rsid w:val="00413343"/>
    <w:rsid w:val="00413F55"/>
    <w:rsid w:val="00414DA9"/>
    <w:rsid w:val="00420875"/>
    <w:rsid w:val="00423587"/>
    <w:rsid w:val="00427A34"/>
    <w:rsid w:val="00431391"/>
    <w:rsid w:val="0045738B"/>
    <w:rsid w:val="00460625"/>
    <w:rsid w:val="004722B6"/>
    <w:rsid w:val="0048214B"/>
    <w:rsid w:val="0049431E"/>
    <w:rsid w:val="00494C23"/>
    <w:rsid w:val="004A0424"/>
    <w:rsid w:val="004A7F16"/>
    <w:rsid w:val="004D0701"/>
    <w:rsid w:val="004D31E7"/>
    <w:rsid w:val="004E15C7"/>
    <w:rsid w:val="004F17E8"/>
    <w:rsid w:val="004F4D1C"/>
    <w:rsid w:val="00514979"/>
    <w:rsid w:val="00516A97"/>
    <w:rsid w:val="00517C32"/>
    <w:rsid w:val="005205AF"/>
    <w:rsid w:val="00527DFB"/>
    <w:rsid w:val="005355BE"/>
    <w:rsid w:val="00536F88"/>
    <w:rsid w:val="0053794F"/>
    <w:rsid w:val="005438D8"/>
    <w:rsid w:val="0054755B"/>
    <w:rsid w:val="005506C0"/>
    <w:rsid w:val="0055298C"/>
    <w:rsid w:val="00554E4C"/>
    <w:rsid w:val="00555824"/>
    <w:rsid w:val="00556445"/>
    <w:rsid w:val="00557B0C"/>
    <w:rsid w:val="00563C4F"/>
    <w:rsid w:val="00564EA6"/>
    <w:rsid w:val="00565C93"/>
    <w:rsid w:val="005665B0"/>
    <w:rsid w:val="00570A6D"/>
    <w:rsid w:val="0057129B"/>
    <w:rsid w:val="00573457"/>
    <w:rsid w:val="00573BE1"/>
    <w:rsid w:val="005840F4"/>
    <w:rsid w:val="0059565A"/>
    <w:rsid w:val="005A0355"/>
    <w:rsid w:val="005A1AE8"/>
    <w:rsid w:val="005A1B00"/>
    <w:rsid w:val="005B0806"/>
    <w:rsid w:val="005B0A76"/>
    <w:rsid w:val="005B4B0F"/>
    <w:rsid w:val="005B5A1E"/>
    <w:rsid w:val="005C2A0E"/>
    <w:rsid w:val="005C4449"/>
    <w:rsid w:val="005C530E"/>
    <w:rsid w:val="005D1C6D"/>
    <w:rsid w:val="005D2B9C"/>
    <w:rsid w:val="005D5B17"/>
    <w:rsid w:val="00600C11"/>
    <w:rsid w:val="006022A6"/>
    <w:rsid w:val="006074F4"/>
    <w:rsid w:val="00626F16"/>
    <w:rsid w:val="0063331F"/>
    <w:rsid w:val="00637C33"/>
    <w:rsid w:val="006424BC"/>
    <w:rsid w:val="006470C4"/>
    <w:rsid w:val="00654BD7"/>
    <w:rsid w:val="0066468F"/>
    <w:rsid w:val="006657E1"/>
    <w:rsid w:val="00684E10"/>
    <w:rsid w:val="00685376"/>
    <w:rsid w:val="00686FEE"/>
    <w:rsid w:val="00687D86"/>
    <w:rsid w:val="00690895"/>
    <w:rsid w:val="00691FF1"/>
    <w:rsid w:val="00692EDC"/>
    <w:rsid w:val="006979C7"/>
    <w:rsid w:val="006A588E"/>
    <w:rsid w:val="006B2CA9"/>
    <w:rsid w:val="006B324E"/>
    <w:rsid w:val="006B568E"/>
    <w:rsid w:val="006C5450"/>
    <w:rsid w:val="006D1527"/>
    <w:rsid w:val="006D7E52"/>
    <w:rsid w:val="006E5FA0"/>
    <w:rsid w:val="006E653E"/>
    <w:rsid w:val="00700F7B"/>
    <w:rsid w:val="007066B4"/>
    <w:rsid w:val="00712B43"/>
    <w:rsid w:val="00713A06"/>
    <w:rsid w:val="007206E2"/>
    <w:rsid w:val="007254DE"/>
    <w:rsid w:val="007309F6"/>
    <w:rsid w:val="007420B8"/>
    <w:rsid w:val="00744F13"/>
    <w:rsid w:val="007466AA"/>
    <w:rsid w:val="007506B8"/>
    <w:rsid w:val="00752487"/>
    <w:rsid w:val="007532C2"/>
    <w:rsid w:val="00763C5F"/>
    <w:rsid w:val="00776203"/>
    <w:rsid w:val="0078270B"/>
    <w:rsid w:val="0078557F"/>
    <w:rsid w:val="00793B07"/>
    <w:rsid w:val="007A4311"/>
    <w:rsid w:val="007A682C"/>
    <w:rsid w:val="007B360D"/>
    <w:rsid w:val="007C35F6"/>
    <w:rsid w:val="007D46CC"/>
    <w:rsid w:val="007E6E7E"/>
    <w:rsid w:val="007F17EE"/>
    <w:rsid w:val="00802A10"/>
    <w:rsid w:val="00803AF4"/>
    <w:rsid w:val="00805B44"/>
    <w:rsid w:val="00813B97"/>
    <w:rsid w:val="008161FF"/>
    <w:rsid w:val="00821B07"/>
    <w:rsid w:val="00825DC3"/>
    <w:rsid w:val="00826D9F"/>
    <w:rsid w:val="00831D59"/>
    <w:rsid w:val="00835236"/>
    <w:rsid w:val="00844ACB"/>
    <w:rsid w:val="00850E70"/>
    <w:rsid w:val="00866654"/>
    <w:rsid w:val="00866CD5"/>
    <w:rsid w:val="00867E1E"/>
    <w:rsid w:val="00870202"/>
    <w:rsid w:val="00870624"/>
    <w:rsid w:val="00877A82"/>
    <w:rsid w:val="008A1858"/>
    <w:rsid w:val="008A7731"/>
    <w:rsid w:val="008A78FE"/>
    <w:rsid w:val="008B0F66"/>
    <w:rsid w:val="008C0915"/>
    <w:rsid w:val="008D4678"/>
    <w:rsid w:val="008E121C"/>
    <w:rsid w:val="008E3576"/>
    <w:rsid w:val="008E6A0A"/>
    <w:rsid w:val="00901664"/>
    <w:rsid w:val="00904A30"/>
    <w:rsid w:val="009111A1"/>
    <w:rsid w:val="00924356"/>
    <w:rsid w:val="009449E9"/>
    <w:rsid w:val="0094553C"/>
    <w:rsid w:val="009456A9"/>
    <w:rsid w:val="0095647D"/>
    <w:rsid w:val="00967332"/>
    <w:rsid w:val="009702A2"/>
    <w:rsid w:val="0097220E"/>
    <w:rsid w:val="0099224F"/>
    <w:rsid w:val="00994C6C"/>
    <w:rsid w:val="009A5CAC"/>
    <w:rsid w:val="009A6B32"/>
    <w:rsid w:val="009A7C07"/>
    <w:rsid w:val="009C0DBC"/>
    <w:rsid w:val="009D3EE0"/>
    <w:rsid w:val="009E04C4"/>
    <w:rsid w:val="009E25A7"/>
    <w:rsid w:val="00A061C6"/>
    <w:rsid w:val="00A27B5E"/>
    <w:rsid w:val="00A40352"/>
    <w:rsid w:val="00A4494B"/>
    <w:rsid w:val="00A525F8"/>
    <w:rsid w:val="00A53F9A"/>
    <w:rsid w:val="00A62B80"/>
    <w:rsid w:val="00A63CFD"/>
    <w:rsid w:val="00A64134"/>
    <w:rsid w:val="00A721EF"/>
    <w:rsid w:val="00A816E1"/>
    <w:rsid w:val="00A92803"/>
    <w:rsid w:val="00A9523A"/>
    <w:rsid w:val="00A972E0"/>
    <w:rsid w:val="00AA3BEE"/>
    <w:rsid w:val="00AA3D45"/>
    <w:rsid w:val="00AA5A54"/>
    <w:rsid w:val="00AC7CAE"/>
    <w:rsid w:val="00AD65BE"/>
    <w:rsid w:val="00AF3E73"/>
    <w:rsid w:val="00AF5BC1"/>
    <w:rsid w:val="00B1728C"/>
    <w:rsid w:val="00B17506"/>
    <w:rsid w:val="00B37EE6"/>
    <w:rsid w:val="00B41D17"/>
    <w:rsid w:val="00B6288B"/>
    <w:rsid w:val="00B6674F"/>
    <w:rsid w:val="00B757A5"/>
    <w:rsid w:val="00B75E15"/>
    <w:rsid w:val="00B75EAD"/>
    <w:rsid w:val="00B80366"/>
    <w:rsid w:val="00B93B97"/>
    <w:rsid w:val="00BB223A"/>
    <w:rsid w:val="00BB6D6A"/>
    <w:rsid w:val="00BB7BA5"/>
    <w:rsid w:val="00BC07CF"/>
    <w:rsid w:val="00BD68F7"/>
    <w:rsid w:val="00BD77B4"/>
    <w:rsid w:val="00BE2749"/>
    <w:rsid w:val="00BF3A4C"/>
    <w:rsid w:val="00BF6FBF"/>
    <w:rsid w:val="00C07AB2"/>
    <w:rsid w:val="00C1111C"/>
    <w:rsid w:val="00C12266"/>
    <w:rsid w:val="00C140FB"/>
    <w:rsid w:val="00C144D9"/>
    <w:rsid w:val="00C14CBD"/>
    <w:rsid w:val="00C15151"/>
    <w:rsid w:val="00C23E02"/>
    <w:rsid w:val="00C3209C"/>
    <w:rsid w:val="00C359E1"/>
    <w:rsid w:val="00C35A5C"/>
    <w:rsid w:val="00C360F9"/>
    <w:rsid w:val="00C4047A"/>
    <w:rsid w:val="00C46BA6"/>
    <w:rsid w:val="00C53F67"/>
    <w:rsid w:val="00C54D27"/>
    <w:rsid w:val="00C6168C"/>
    <w:rsid w:val="00C62D0D"/>
    <w:rsid w:val="00C669AB"/>
    <w:rsid w:val="00C722E0"/>
    <w:rsid w:val="00C73765"/>
    <w:rsid w:val="00C933C1"/>
    <w:rsid w:val="00CA1DC1"/>
    <w:rsid w:val="00CB3BAA"/>
    <w:rsid w:val="00CB7F4C"/>
    <w:rsid w:val="00CC2169"/>
    <w:rsid w:val="00CC6BD7"/>
    <w:rsid w:val="00CD1EBE"/>
    <w:rsid w:val="00CD3EDD"/>
    <w:rsid w:val="00CD4055"/>
    <w:rsid w:val="00CD6BF8"/>
    <w:rsid w:val="00CE27B0"/>
    <w:rsid w:val="00CF0170"/>
    <w:rsid w:val="00D0627F"/>
    <w:rsid w:val="00D14152"/>
    <w:rsid w:val="00D16304"/>
    <w:rsid w:val="00D23742"/>
    <w:rsid w:val="00D262AE"/>
    <w:rsid w:val="00D30917"/>
    <w:rsid w:val="00D369CA"/>
    <w:rsid w:val="00D424CC"/>
    <w:rsid w:val="00D46002"/>
    <w:rsid w:val="00D57DA3"/>
    <w:rsid w:val="00D603C4"/>
    <w:rsid w:val="00D615DF"/>
    <w:rsid w:val="00D66CE4"/>
    <w:rsid w:val="00D67BC4"/>
    <w:rsid w:val="00D803CB"/>
    <w:rsid w:val="00D816BB"/>
    <w:rsid w:val="00D85D54"/>
    <w:rsid w:val="00D86C6E"/>
    <w:rsid w:val="00D917D1"/>
    <w:rsid w:val="00D94FB4"/>
    <w:rsid w:val="00DA1D3A"/>
    <w:rsid w:val="00DA4CF4"/>
    <w:rsid w:val="00DA5C03"/>
    <w:rsid w:val="00DB6ADB"/>
    <w:rsid w:val="00DC44B8"/>
    <w:rsid w:val="00DC784E"/>
    <w:rsid w:val="00DE3BA4"/>
    <w:rsid w:val="00E05977"/>
    <w:rsid w:val="00E05F2D"/>
    <w:rsid w:val="00E06576"/>
    <w:rsid w:val="00E06CA8"/>
    <w:rsid w:val="00E1097B"/>
    <w:rsid w:val="00E110CA"/>
    <w:rsid w:val="00E12DAF"/>
    <w:rsid w:val="00E21DAE"/>
    <w:rsid w:val="00E26598"/>
    <w:rsid w:val="00E47E04"/>
    <w:rsid w:val="00E724E1"/>
    <w:rsid w:val="00E8211F"/>
    <w:rsid w:val="00E838F8"/>
    <w:rsid w:val="00E83BF4"/>
    <w:rsid w:val="00E94529"/>
    <w:rsid w:val="00E95F87"/>
    <w:rsid w:val="00EA3B54"/>
    <w:rsid w:val="00EC0730"/>
    <w:rsid w:val="00EC7631"/>
    <w:rsid w:val="00ED014E"/>
    <w:rsid w:val="00ED2DAC"/>
    <w:rsid w:val="00ED6034"/>
    <w:rsid w:val="00ED7E14"/>
    <w:rsid w:val="00EE06ED"/>
    <w:rsid w:val="00EF0C46"/>
    <w:rsid w:val="00F06190"/>
    <w:rsid w:val="00F10F9B"/>
    <w:rsid w:val="00F1106A"/>
    <w:rsid w:val="00F20239"/>
    <w:rsid w:val="00F23A48"/>
    <w:rsid w:val="00F44A16"/>
    <w:rsid w:val="00F453F6"/>
    <w:rsid w:val="00F46F1C"/>
    <w:rsid w:val="00F50649"/>
    <w:rsid w:val="00F50DCA"/>
    <w:rsid w:val="00F735F6"/>
    <w:rsid w:val="00F866EF"/>
    <w:rsid w:val="00F95D53"/>
    <w:rsid w:val="00FA772C"/>
    <w:rsid w:val="00FB757B"/>
    <w:rsid w:val="00FB76CB"/>
    <w:rsid w:val="00FC4D70"/>
    <w:rsid w:val="00FD534E"/>
    <w:rsid w:val="00FE175B"/>
    <w:rsid w:val="00FE51EF"/>
    <w:rsid w:val="00FF7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791D"/>
  <w15:chartTrackingRefBased/>
  <w15:docId w15:val="{1C244549-D059-4DB5-9F7D-6D33698B3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B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B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B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B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B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B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B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B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B44"/>
    <w:rPr>
      <w:rFonts w:eastAsiaTheme="majorEastAsia" w:cstheme="majorBidi"/>
      <w:color w:val="272727" w:themeColor="text1" w:themeTint="D8"/>
    </w:rPr>
  </w:style>
  <w:style w:type="paragraph" w:styleId="Title">
    <w:name w:val="Title"/>
    <w:basedOn w:val="Normal"/>
    <w:next w:val="Normal"/>
    <w:link w:val="TitleChar"/>
    <w:uiPriority w:val="10"/>
    <w:qFormat/>
    <w:rsid w:val="00805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B44"/>
    <w:pPr>
      <w:spacing w:before="160"/>
      <w:jc w:val="center"/>
    </w:pPr>
    <w:rPr>
      <w:i/>
      <w:iCs/>
      <w:color w:val="404040" w:themeColor="text1" w:themeTint="BF"/>
    </w:rPr>
  </w:style>
  <w:style w:type="character" w:customStyle="1" w:styleId="QuoteChar">
    <w:name w:val="Quote Char"/>
    <w:basedOn w:val="DefaultParagraphFont"/>
    <w:link w:val="Quote"/>
    <w:uiPriority w:val="29"/>
    <w:rsid w:val="00805B44"/>
    <w:rPr>
      <w:i/>
      <w:iCs/>
      <w:color w:val="404040" w:themeColor="text1" w:themeTint="BF"/>
    </w:rPr>
  </w:style>
  <w:style w:type="paragraph" w:styleId="ListParagraph">
    <w:name w:val="List Paragraph"/>
    <w:basedOn w:val="Normal"/>
    <w:uiPriority w:val="34"/>
    <w:qFormat/>
    <w:rsid w:val="00805B44"/>
    <w:pPr>
      <w:ind w:left="720"/>
      <w:contextualSpacing/>
    </w:pPr>
  </w:style>
  <w:style w:type="character" w:styleId="IntenseEmphasis">
    <w:name w:val="Intense Emphasis"/>
    <w:basedOn w:val="DefaultParagraphFont"/>
    <w:uiPriority w:val="21"/>
    <w:qFormat/>
    <w:rsid w:val="00805B44"/>
    <w:rPr>
      <w:i/>
      <w:iCs/>
      <w:color w:val="0F4761" w:themeColor="accent1" w:themeShade="BF"/>
    </w:rPr>
  </w:style>
  <w:style w:type="paragraph" w:styleId="IntenseQuote">
    <w:name w:val="Intense Quote"/>
    <w:basedOn w:val="Normal"/>
    <w:next w:val="Normal"/>
    <w:link w:val="IntenseQuoteChar"/>
    <w:uiPriority w:val="30"/>
    <w:qFormat/>
    <w:rsid w:val="00805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B44"/>
    <w:rPr>
      <w:i/>
      <w:iCs/>
      <w:color w:val="0F4761" w:themeColor="accent1" w:themeShade="BF"/>
    </w:rPr>
  </w:style>
  <w:style w:type="character" w:styleId="IntenseReference">
    <w:name w:val="Intense Reference"/>
    <w:basedOn w:val="DefaultParagraphFont"/>
    <w:uiPriority w:val="32"/>
    <w:qFormat/>
    <w:rsid w:val="00805B44"/>
    <w:rPr>
      <w:b/>
      <w:bCs/>
      <w:smallCaps/>
      <w:color w:val="0F4761" w:themeColor="accent1" w:themeShade="BF"/>
      <w:spacing w:val="5"/>
    </w:rPr>
  </w:style>
  <w:style w:type="paragraph" w:styleId="Bibliography">
    <w:name w:val="Bibliography"/>
    <w:basedOn w:val="Normal"/>
    <w:next w:val="Normal"/>
    <w:uiPriority w:val="37"/>
    <w:unhideWhenUsed/>
    <w:rsid w:val="00C32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165">
      <w:bodyDiv w:val="1"/>
      <w:marLeft w:val="0"/>
      <w:marRight w:val="0"/>
      <w:marTop w:val="0"/>
      <w:marBottom w:val="0"/>
      <w:divBdr>
        <w:top w:val="none" w:sz="0" w:space="0" w:color="auto"/>
        <w:left w:val="none" w:sz="0" w:space="0" w:color="auto"/>
        <w:bottom w:val="none" w:sz="0" w:space="0" w:color="auto"/>
        <w:right w:val="none" w:sz="0" w:space="0" w:color="auto"/>
      </w:divBdr>
    </w:div>
    <w:div w:id="50813441">
      <w:bodyDiv w:val="1"/>
      <w:marLeft w:val="0"/>
      <w:marRight w:val="0"/>
      <w:marTop w:val="0"/>
      <w:marBottom w:val="0"/>
      <w:divBdr>
        <w:top w:val="none" w:sz="0" w:space="0" w:color="auto"/>
        <w:left w:val="none" w:sz="0" w:space="0" w:color="auto"/>
        <w:bottom w:val="none" w:sz="0" w:space="0" w:color="auto"/>
        <w:right w:val="none" w:sz="0" w:space="0" w:color="auto"/>
      </w:divBdr>
    </w:div>
    <w:div w:id="57482294">
      <w:bodyDiv w:val="1"/>
      <w:marLeft w:val="0"/>
      <w:marRight w:val="0"/>
      <w:marTop w:val="0"/>
      <w:marBottom w:val="0"/>
      <w:divBdr>
        <w:top w:val="none" w:sz="0" w:space="0" w:color="auto"/>
        <w:left w:val="none" w:sz="0" w:space="0" w:color="auto"/>
        <w:bottom w:val="none" w:sz="0" w:space="0" w:color="auto"/>
        <w:right w:val="none" w:sz="0" w:space="0" w:color="auto"/>
      </w:divBdr>
    </w:div>
    <w:div w:id="69234319">
      <w:bodyDiv w:val="1"/>
      <w:marLeft w:val="0"/>
      <w:marRight w:val="0"/>
      <w:marTop w:val="0"/>
      <w:marBottom w:val="0"/>
      <w:divBdr>
        <w:top w:val="none" w:sz="0" w:space="0" w:color="auto"/>
        <w:left w:val="none" w:sz="0" w:space="0" w:color="auto"/>
        <w:bottom w:val="none" w:sz="0" w:space="0" w:color="auto"/>
        <w:right w:val="none" w:sz="0" w:space="0" w:color="auto"/>
      </w:divBdr>
    </w:div>
    <w:div w:id="115830136">
      <w:bodyDiv w:val="1"/>
      <w:marLeft w:val="0"/>
      <w:marRight w:val="0"/>
      <w:marTop w:val="0"/>
      <w:marBottom w:val="0"/>
      <w:divBdr>
        <w:top w:val="none" w:sz="0" w:space="0" w:color="auto"/>
        <w:left w:val="none" w:sz="0" w:space="0" w:color="auto"/>
        <w:bottom w:val="none" w:sz="0" w:space="0" w:color="auto"/>
        <w:right w:val="none" w:sz="0" w:space="0" w:color="auto"/>
      </w:divBdr>
    </w:div>
    <w:div w:id="141898566">
      <w:bodyDiv w:val="1"/>
      <w:marLeft w:val="0"/>
      <w:marRight w:val="0"/>
      <w:marTop w:val="0"/>
      <w:marBottom w:val="0"/>
      <w:divBdr>
        <w:top w:val="none" w:sz="0" w:space="0" w:color="auto"/>
        <w:left w:val="none" w:sz="0" w:space="0" w:color="auto"/>
        <w:bottom w:val="none" w:sz="0" w:space="0" w:color="auto"/>
        <w:right w:val="none" w:sz="0" w:space="0" w:color="auto"/>
      </w:divBdr>
    </w:div>
    <w:div w:id="168646941">
      <w:bodyDiv w:val="1"/>
      <w:marLeft w:val="0"/>
      <w:marRight w:val="0"/>
      <w:marTop w:val="0"/>
      <w:marBottom w:val="0"/>
      <w:divBdr>
        <w:top w:val="none" w:sz="0" w:space="0" w:color="auto"/>
        <w:left w:val="none" w:sz="0" w:space="0" w:color="auto"/>
        <w:bottom w:val="none" w:sz="0" w:space="0" w:color="auto"/>
        <w:right w:val="none" w:sz="0" w:space="0" w:color="auto"/>
      </w:divBdr>
    </w:div>
    <w:div w:id="199242438">
      <w:bodyDiv w:val="1"/>
      <w:marLeft w:val="0"/>
      <w:marRight w:val="0"/>
      <w:marTop w:val="0"/>
      <w:marBottom w:val="0"/>
      <w:divBdr>
        <w:top w:val="none" w:sz="0" w:space="0" w:color="auto"/>
        <w:left w:val="none" w:sz="0" w:space="0" w:color="auto"/>
        <w:bottom w:val="none" w:sz="0" w:space="0" w:color="auto"/>
        <w:right w:val="none" w:sz="0" w:space="0" w:color="auto"/>
      </w:divBdr>
    </w:div>
    <w:div w:id="218782398">
      <w:bodyDiv w:val="1"/>
      <w:marLeft w:val="0"/>
      <w:marRight w:val="0"/>
      <w:marTop w:val="0"/>
      <w:marBottom w:val="0"/>
      <w:divBdr>
        <w:top w:val="none" w:sz="0" w:space="0" w:color="auto"/>
        <w:left w:val="none" w:sz="0" w:space="0" w:color="auto"/>
        <w:bottom w:val="none" w:sz="0" w:space="0" w:color="auto"/>
        <w:right w:val="none" w:sz="0" w:space="0" w:color="auto"/>
      </w:divBdr>
    </w:div>
    <w:div w:id="263853193">
      <w:bodyDiv w:val="1"/>
      <w:marLeft w:val="0"/>
      <w:marRight w:val="0"/>
      <w:marTop w:val="0"/>
      <w:marBottom w:val="0"/>
      <w:divBdr>
        <w:top w:val="none" w:sz="0" w:space="0" w:color="auto"/>
        <w:left w:val="none" w:sz="0" w:space="0" w:color="auto"/>
        <w:bottom w:val="none" w:sz="0" w:space="0" w:color="auto"/>
        <w:right w:val="none" w:sz="0" w:space="0" w:color="auto"/>
      </w:divBdr>
    </w:div>
    <w:div w:id="276370765">
      <w:bodyDiv w:val="1"/>
      <w:marLeft w:val="0"/>
      <w:marRight w:val="0"/>
      <w:marTop w:val="0"/>
      <w:marBottom w:val="0"/>
      <w:divBdr>
        <w:top w:val="none" w:sz="0" w:space="0" w:color="auto"/>
        <w:left w:val="none" w:sz="0" w:space="0" w:color="auto"/>
        <w:bottom w:val="none" w:sz="0" w:space="0" w:color="auto"/>
        <w:right w:val="none" w:sz="0" w:space="0" w:color="auto"/>
      </w:divBdr>
    </w:div>
    <w:div w:id="321662816">
      <w:bodyDiv w:val="1"/>
      <w:marLeft w:val="0"/>
      <w:marRight w:val="0"/>
      <w:marTop w:val="0"/>
      <w:marBottom w:val="0"/>
      <w:divBdr>
        <w:top w:val="none" w:sz="0" w:space="0" w:color="auto"/>
        <w:left w:val="none" w:sz="0" w:space="0" w:color="auto"/>
        <w:bottom w:val="none" w:sz="0" w:space="0" w:color="auto"/>
        <w:right w:val="none" w:sz="0" w:space="0" w:color="auto"/>
      </w:divBdr>
    </w:div>
    <w:div w:id="362485921">
      <w:bodyDiv w:val="1"/>
      <w:marLeft w:val="0"/>
      <w:marRight w:val="0"/>
      <w:marTop w:val="0"/>
      <w:marBottom w:val="0"/>
      <w:divBdr>
        <w:top w:val="none" w:sz="0" w:space="0" w:color="auto"/>
        <w:left w:val="none" w:sz="0" w:space="0" w:color="auto"/>
        <w:bottom w:val="none" w:sz="0" w:space="0" w:color="auto"/>
        <w:right w:val="none" w:sz="0" w:space="0" w:color="auto"/>
      </w:divBdr>
    </w:div>
    <w:div w:id="395981631">
      <w:bodyDiv w:val="1"/>
      <w:marLeft w:val="0"/>
      <w:marRight w:val="0"/>
      <w:marTop w:val="0"/>
      <w:marBottom w:val="0"/>
      <w:divBdr>
        <w:top w:val="none" w:sz="0" w:space="0" w:color="auto"/>
        <w:left w:val="none" w:sz="0" w:space="0" w:color="auto"/>
        <w:bottom w:val="none" w:sz="0" w:space="0" w:color="auto"/>
        <w:right w:val="none" w:sz="0" w:space="0" w:color="auto"/>
      </w:divBdr>
    </w:div>
    <w:div w:id="409154737">
      <w:bodyDiv w:val="1"/>
      <w:marLeft w:val="0"/>
      <w:marRight w:val="0"/>
      <w:marTop w:val="0"/>
      <w:marBottom w:val="0"/>
      <w:divBdr>
        <w:top w:val="none" w:sz="0" w:space="0" w:color="auto"/>
        <w:left w:val="none" w:sz="0" w:space="0" w:color="auto"/>
        <w:bottom w:val="none" w:sz="0" w:space="0" w:color="auto"/>
        <w:right w:val="none" w:sz="0" w:space="0" w:color="auto"/>
      </w:divBdr>
    </w:div>
    <w:div w:id="516889953">
      <w:bodyDiv w:val="1"/>
      <w:marLeft w:val="0"/>
      <w:marRight w:val="0"/>
      <w:marTop w:val="0"/>
      <w:marBottom w:val="0"/>
      <w:divBdr>
        <w:top w:val="none" w:sz="0" w:space="0" w:color="auto"/>
        <w:left w:val="none" w:sz="0" w:space="0" w:color="auto"/>
        <w:bottom w:val="none" w:sz="0" w:space="0" w:color="auto"/>
        <w:right w:val="none" w:sz="0" w:space="0" w:color="auto"/>
      </w:divBdr>
    </w:div>
    <w:div w:id="525140286">
      <w:bodyDiv w:val="1"/>
      <w:marLeft w:val="0"/>
      <w:marRight w:val="0"/>
      <w:marTop w:val="0"/>
      <w:marBottom w:val="0"/>
      <w:divBdr>
        <w:top w:val="none" w:sz="0" w:space="0" w:color="auto"/>
        <w:left w:val="none" w:sz="0" w:space="0" w:color="auto"/>
        <w:bottom w:val="none" w:sz="0" w:space="0" w:color="auto"/>
        <w:right w:val="none" w:sz="0" w:space="0" w:color="auto"/>
      </w:divBdr>
    </w:div>
    <w:div w:id="600337114">
      <w:bodyDiv w:val="1"/>
      <w:marLeft w:val="0"/>
      <w:marRight w:val="0"/>
      <w:marTop w:val="0"/>
      <w:marBottom w:val="0"/>
      <w:divBdr>
        <w:top w:val="none" w:sz="0" w:space="0" w:color="auto"/>
        <w:left w:val="none" w:sz="0" w:space="0" w:color="auto"/>
        <w:bottom w:val="none" w:sz="0" w:space="0" w:color="auto"/>
        <w:right w:val="none" w:sz="0" w:space="0" w:color="auto"/>
      </w:divBdr>
    </w:div>
    <w:div w:id="604385180">
      <w:bodyDiv w:val="1"/>
      <w:marLeft w:val="0"/>
      <w:marRight w:val="0"/>
      <w:marTop w:val="0"/>
      <w:marBottom w:val="0"/>
      <w:divBdr>
        <w:top w:val="none" w:sz="0" w:space="0" w:color="auto"/>
        <w:left w:val="none" w:sz="0" w:space="0" w:color="auto"/>
        <w:bottom w:val="none" w:sz="0" w:space="0" w:color="auto"/>
        <w:right w:val="none" w:sz="0" w:space="0" w:color="auto"/>
      </w:divBdr>
    </w:div>
    <w:div w:id="625819125">
      <w:bodyDiv w:val="1"/>
      <w:marLeft w:val="0"/>
      <w:marRight w:val="0"/>
      <w:marTop w:val="0"/>
      <w:marBottom w:val="0"/>
      <w:divBdr>
        <w:top w:val="none" w:sz="0" w:space="0" w:color="auto"/>
        <w:left w:val="none" w:sz="0" w:space="0" w:color="auto"/>
        <w:bottom w:val="none" w:sz="0" w:space="0" w:color="auto"/>
        <w:right w:val="none" w:sz="0" w:space="0" w:color="auto"/>
      </w:divBdr>
    </w:div>
    <w:div w:id="650250734">
      <w:bodyDiv w:val="1"/>
      <w:marLeft w:val="0"/>
      <w:marRight w:val="0"/>
      <w:marTop w:val="0"/>
      <w:marBottom w:val="0"/>
      <w:divBdr>
        <w:top w:val="none" w:sz="0" w:space="0" w:color="auto"/>
        <w:left w:val="none" w:sz="0" w:space="0" w:color="auto"/>
        <w:bottom w:val="none" w:sz="0" w:space="0" w:color="auto"/>
        <w:right w:val="none" w:sz="0" w:space="0" w:color="auto"/>
      </w:divBdr>
    </w:div>
    <w:div w:id="665936071">
      <w:bodyDiv w:val="1"/>
      <w:marLeft w:val="0"/>
      <w:marRight w:val="0"/>
      <w:marTop w:val="0"/>
      <w:marBottom w:val="0"/>
      <w:divBdr>
        <w:top w:val="none" w:sz="0" w:space="0" w:color="auto"/>
        <w:left w:val="none" w:sz="0" w:space="0" w:color="auto"/>
        <w:bottom w:val="none" w:sz="0" w:space="0" w:color="auto"/>
        <w:right w:val="none" w:sz="0" w:space="0" w:color="auto"/>
      </w:divBdr>
    </w:div>
    <w:div w:id="672152284">
      <w:bodyDiv w:val="1"/>
      <w:marLeft w:val="0"/>
      <w:marRight w:val="0"/>
      <w:marTop w:val="0"/>
      <w:marBottom w:val="0"/>
      <w:divBdr>
        <w:top w:val="none" w:sz="0" w:space="0" w:color="auto"/>
        <w:left w:val="none" w:sz="0" w:space="0" w:color="auto"/>
        <w:bottom w:val="none" w:sz="0" w:space="0" w:color="auto"/>
        <w:right w:val="none" w:sz="0" w:space="0" w:color="auto"/>
      </w:divBdr>
    </w:div>
    <w:div w:id="691036740">
      <w:bodyDiv w:val="1"/>
      <w:marLeft w:val="0"/>
      <w:marRight w:val="0"/>
      <w:marTop w:val="0"/>
      <w:marBottom w:val="0"/>
      <w:divBdr>
        <w:top w:val="none" w:sz="0" w:space="0" w:color="auto"/>
        <w:left w:val="none" w:sz="0" w:space="0" w:color="auto"/>
        <w:bottom w:val="none" w:sz="0" w:space="0" w:color="auto"/>
        <w:right w:val="none" w:sz="0" w:space="0" w:color="auto"/>
      </w:divBdr>
    </w:div>
    <w:div w:id="693189195">
      <w:bodyDiv w:val="1"/>
      <w:marLeft w:val="0"/>
      <w:marRight w:val="0"/>
      <w:marTop w:val="0"/>
      <w:marBottom w:val="0"/>
      <w:divBdr>
        <w:top w:val="none" w:sz="0" w:space="0" w:color="auto"/>
        <w:left w:val="none" w:sz="0" w:space="0" w:color="auto"/>
        <w:bottom w:val="none" w:sz="0" w:space="0" w:color="auto"/>
        <w:right w:val="none" w:sz="0" w:space="0" w:color="auto"/>
      </w:divBdr>
    </w:div>
    <w:div w:id="723530208">
      <w:bodyDiv w:val="1"/>
      <w:marLeft w:val="0"/>
      <w:marRight w:val="0"/>
      <w:marTop w:val="0"/>
      <w:marBottom w:val="0"/>
      <w:divBdr>
        <w:top w:val="none" w:sz="0" w:space="0" w:color="auto"/>
        <w:left w:val="none" w:sz="0" w:space="0" w:color="auto"/>
        <w:bottom w:val="none" w:sz="0" w:space="0" w:color="auto"/>
        <w:right w:val="none" w:sz="0" w:space="0" w:color="auto"/>
      </w:divBdr>
    </w:div>
    <w:div w:id="728846878">
      <w:bodyDiv w:val="1"/>
      <w:marLeft w:val="0"/>
      <w:marRight w:val="0"/>
      <w:marTop w:val="0"/>
      <w:marBottom w:val="0"/>
      <w:divBdr>
        <w:top w:val="none" w:sz="0" w:space="0" w:color="auto"/>
        <w:left w:val="none" w:sz="0" w:space="0" w:color="auto"/>
        <w:bottom w:val="none" w:sz="0" w:space="0" w:color="auto"/>
        <w:right w:val="none" w:sz="0" w:space="0" w:color="auto"/>
      </w:divBdr>
    </w:div>
    <w:div w:id="757868689">
      <w:bodyDiv w:val="1"/>
      <w:marLeft w:val="0"/>
      <w:marRight w:val="0"/>
      <w:marTop w:val="0"/>
      <w:marBottom w:val="0"/>
      <w:divBdr>
        <w:top w:val="none" w:sz="0" w:space="0" w:color="auto"/>
        <w:left w:val="none" w:sz="0" w:space="0" w:color="auto"/>
        <w:bottom w:val="none" w:sz="0" w:space="0" w:color="auto"/>
        <w:right w:val="none" w:sz="0" w:space="0" w:color="auto"/>
      </w:divBdr>
    </w:div>
    <w:div w:id="807286706">
      <w:bodyDiv w:val="1"/>
      <w:marLeft w:val="0"/>
      <w:marRight w:val="0"/>
      <w:marTop w:val="0"/>
      <w:marBottom w:val="0"/>
      <w:divBdr>
        <w:top w:val="none" w:sz="0" w:space="0" w:color="auto"/>
        <w:left w:val="none" w:sz="0" w:space="0" w:color="auto"/>
        <w:bottom w:val="none" w:sz="0" w:space="0" w:color="auto"/>
        <w:right w:val="none" w:sz="0" w:space="0" w:color="auto"/>
      </w:divBdr>
    </w:div>
    <w:div w:id="827789763">
      <w:bodyDiv w:val="1"/>
      <w:marLeft w:val="0"/>
      <w:marRight w:val="0"/>
      <w:marTop w:val="0"/>
      <w:marBottom w:val="0"/>
      <w:divBdr>
        <w:top w:val="none" w:sz="0" w:space="0" w:color="auto"/>
        <w:left w:val="none" w:sz="0" w:space="0" w:color="auto"/>
        <w:bottom w:val="none" w:sz="0" w:space="0" w:color="auto"/>
        <w:right w:val="none" w:sz="0" w:space="0" w:color="auto"/>
      </w:divBdr>
    </w:div>
    <w:div w:id="850604877">
      <w:bodyDiv w:val="1"/>
      <w:marLeft w:val="0"/>
      <w:marRight w:val="0"/>
      <w:marTop w:val="0"/>
      <w:marBottom w:val="0"/>
      <w:divBdr>
        <w:top w:val="none" w:sz="0" w:space="0" w:color="auto"/>
        <w:left w:val="none" w:sz="0" w:space="0" w:color="auto"/>
        <w:bottom w:val="none" w:sz="0" w:space="0" w:color="auto"/>
        <w:right w:val="none" w:sz="0" w:space="0" w:color="auto"/>
      </w:divBdr>
    </w:div>
    <w:div w:id="855775388">
      <w:bodyDiv w:val="1"/>
      <w:marLeft w:val="0"/>
      <w:marRight w:val="0"/>
      <w:marTop w:val="0"/>
      <w:marBottom w:val="0"/>
      <w:divBdr>
        <w:top w:val="none" w:sz="0" w:space="0" w:color="auto"/>
        <w:left w:val="none" w:sz="0" w:space="0" w:color="auto"/>
        <w:bottom w:val="none" w:sz="0" w:space="0" w:color="auto"/>
        <w:right w:val="none" w:sz="0" w:space="0" w:color="auto"/>
      </w:divBdr>
    </w:div>
    <w:div w:id="894127119">
      <w:bodyDiv w:val="1"/>
      <w:marLeft w:val="0"/>
      <w:marRight w:val="0"/>
      <w:marTop w:val="0"/>
      <w:marBottom w:val="0"/>
      <w:divBdr>
        <w:top w:val="none" w:sz="0" w:space="0" w:color="auto"/>
        <w:left w:val="none" w:sz="0" w:space="0" w:color="auto"/>
        <w:bottom w:val="none" w:sz="0" w:space="0" w:color="auto"/>
        <w:right w:val="none" w:sz="0" w:space="0" w:color="auto"/>
      </w:divBdr>
    </w:div>
    <w:div w:id="918708488">
      <w:bodyDiv w:val="1"/>
      <w:marLeft w:val="0"/>
      <w:marRight w:val="0"/>
      <w:marTop w:val="0"/>
      <w:marBottom w:val="0"/>
      <w:divBdr>
        <w:top w:val="none" w:sz="0" w:space="0" w:color="auto"/>
        <w:left w:val="none" w:sz="0" w:space="0" w:color="auto"/>
        <w:bottom w:val="none" w:sz="0" w:space="0" w:color="auto"/>
        <w:right w:val="none" w:sz="0" w:space="0" w:color="auto"/>
      </w:divBdr>
    </w:div>
    <w:div w:id="984238182">
      <w:bodyDiv w:val="1"/>
      <w:marLeft w:val="0"/>
      <w:marRight w:val="0"/>
      <w:marTop w:val="0"/>
      <w:marBottom w:val="0"/>
      <w:divBdr>
        <w:top w:val="none" w:sz="0" w:space="0" w:color="auto"/>
        <w:left w:val="none" w:sz="0" w:space="0" w:color="auto"/>
        <w:bottom w:val="none" w:sz="0" w:space="0" w:color="auto"/>
        <w:right w:val="none" w:sz="0" w:space="0" w:color="auto"/>
      </w:divBdr>
    </w:div>
    <w:div w:id="1022898716">
      <w:bodyDiv w:val="1"/>
      <w:marLeft w:val="0"/>
      <w:marRight w:val="0"/>
      <w:marTop w:val="0"/>
      <w:marBottom w:val="0"/>
      <w:divBdr>
        <w:top w:val="none" w:sz="0" w:space="0" w:color="auto"/>
        <w:left w:val="none" w:sz="0" w:space="0" w:color="auto"/>
        <w:bottom w:val="none" w:sz="0" w:space="0" w:color="auto"/>
        <w:right w:val="none" w:sz="0" w:space="0" w:color="auto"/>
      </w:divBdr>
    </w:div>
    <w:div w:id="1030764834">
      <w:bodyDiv w:val="1"/>
      <w:marLeft w:val="0"/>
      <w:marRight w:val="0"/>
      <w:marTop w:val="0"/>
      <w:marBottom w:val="0"/>
      <w:divBdr>
        <w:top w:val="none" w:sz="0" w:space="0" w:color="auto"/>
        <w:left w:val="none" w:sz="0" w:space="0" w:color="auto"/>
        <w:bottom w:val="none" w:sz="0" w:space="0" w:color="auto"/>
        <w:right w:val="none" w:sz="0" w:space="0" w:color="auto"/>
      </w:divBdr>
    </w:div>
    <w:div w:id="1050806574">
      <w:bodyDiv w:val="1"/>
      <w:marLeft w:val="0"/>
      <w:marRight w:val="0"/>
      <w:marTop w:val="0"/>
      <w:marBottom w:val="0"/>
      <w:divBdr>
        <w:top w:val="none" w:sz="0" w:space="0" w:color="auto"/>
        <w:left w:val="none" w:sz="0" w:space="0" w:color="auto"/>
        <w:bottom w:val="none" w:sz="0" w:space="0" w:color="auto"/>
        <w:right w:val="none" w:sz="0" w:space="0" w:color="auto"/>
      </w:divBdr>
    </w:div>
    <w:div w:id="1051731946">
      <w:bodyDiv w:val="1"/>
      <w:marLeft w:val="0"/>
      <w:marRight w:val="0"/>
      <w:marTop w:val="0"/>
      <w:marBottom w:val="0"/>
      <w:divBdr>
        <w:top w:val="none" w:sz="0" w:space="0" w:color="auto"/>
        <w:left w:val="none" w:sz="0" w:space="0" w:color="auto"/>
        <w:bottom w:val="none" w:sz="0" w:space="0" w:color="auto"/>
        <w:right w:val="none" w:sz="0" w:space="0" w:color="auto"/>
      </w:divBdr>
    </w:div>
    <w:div w:id="1078988854">
      <w:bodyDiv w:val="1"/>
      <w:marLeft w:val="0"/>
      <w:marRight w:val="0"/>
      <w:marTop w:val="0"/>
      <w:marBottom w:val="0"/>
      <w:divBdr>
        <w:top w:val="none" w:sz="0" w:space="0" w:color="auto"/>
        <w:left w:val="none" w:sz="0" w:space="0" w:color="auto"/>
        <w:bottom w:val="none" w:sz="0" w:space="0" w:color="auto"/>
        <w:right w:val="none" w:sz="0" w:space="0" w:color="auto"/>
      </w:divBdr>
    </w:div>
    <w:div w:id="1165972836">
      <w:bodyDiv w:val="1"/>
      <w:marLeft w:val="0"/>
      <w:marRight w:val="0"/>
      <w:marTop w:val="0"/>
      <w:marBottom w:val="0"/>
      <w:divBdr>
        <w:top w:val="none" w:sz="0" w:space="0" w:color="auto"/>
        <w:left w:val="none" w:sz="0" w:space="0" w:color="auto"/>
        <w:bottom w:val="none" w:sz="0" w:space="0" w:color="auto"/>
        <w:right w:val="none" w:sz="0" w:space="0" w:color="auto"/>
      </w:divBdr>
    </w:div>
    <w:div w:id="1184368873">
      <w:bodyDiv w:val="1"/>
      <w:marLeft w:val="0"/>
      <w:marRight w:val="0"/>
      <w:marTop w:val="0"/>
      <w:marBottom w:val="0"/>
      <w:divBdr>
        <w:top w:val="none" w:sz="0" w:space="0" w:color="auto"/>
        <w:left w:val="none" w:sz="0" w:space="0" w:color="auto"/>
        <w:bottom w:val="none" w:sz="0" w:space="0" w:color="auto"/>
        <w:right w:val="none" w:sz="0" w:space="0" w:color="auto"/>
      </w:divBdr>
    </w:div>
    <w:div w:id="1248810811">
      <w:bodyDiv w:val="1"/>
      <w:marLeft w:val="0"/>
      <w:marRight w:val="0"/>
      <w:marTop w:val="0"/>
      <w:marBottom w:val="0"/>
      <w:divBdr>
        <w:top w:val="none" w:sz="0" w:space="0" w:color="auto"/>
        <w:left w:val="none" w:sz="0" w:space="0" w:color="auto"/>
        <w:bottom w:val="none" w:sz="0" w:space="0" w:color="auto"/>
        <w:right w:val="none" w:sz="0" w:space="0" w:color="auto"/>
      </w:divBdr>
    </w:div>
    <w:div w:id="1257130078">
      <w:bodyDiv w:val="1"/>
      <w:marLeft w:val="0"/>
      <w:marRight w:val="0"/>
      <w:marTop w:val="0"/>
      <w:marBottom w:val="0"/>
      <w:divBdr>
        <w:top w:val="none" w:sz="0" w:space="0" w:color="auto"/>
        <w:left w:val="none" w:sz="0" w:space="0" w:color="auto"/>
        <w:bottom w:val="none" w:sz="0" w:space="0" w:color="auto"/>
        <w:right w:val="none" w:sz="0" w:space="0" w:color="auto"/>
      </w:divBdr>
    </w:div>
    <w:div w:id="1277953181">
      <w:bodyDiv w:val="1"/>
      <w:marLeft w:val="0"/>
      <w:marRight w:val="0"/>
      <w:marTop w:val="0"/>
      <w:marBottom w:val="0"/>
      <w:divBdr>
        <w:top w:val="none" w:sz="0" w:space="0" w:color="auto"/>
        <w:left w:val="none" w:sz="0" w:space="0" w:color="auto"/>
        <w:bottom w:val="none" w:sz="0" w:space="0" w:color="auto"/>
        <w:right w:val="none" w:sz="0" w:space="0" w:color="auto"/>
      </w:divBdr>
    </w:div>
    <w:div w:id="1350982098">
      <w:bodyDiv w:val="1"/>
      <w:marLeft w:val="0"/>
      <w:marRight w:val="0"/>
      <w:marTop w:val="0"/>
      <w:marBottom w:val="0"/>
      <w:divBdr>
        <w:top w:val="none" w:sz="0" w:space="0" w:color="auto"/>
        <w:left w:val="none" w:sz="0" w:space="0" w:color="auto"/>
        <w:bottom w:val="none" w:sz="0" w:space="0" w:color="auto"/>
        <w:right w:val="none" w:sz="0" w:space="0" w:color="auto"/>
      </w:divBdr>
    </w:div>
    <w:div w:id="1401245216">
      <w:bodyDiv w:val="1"/>
      <w:marLeft w:val="0"/>
      <w:marRight w:val="0"/>
      <w:marTop w:val="0"/>
      <w:marBottom w:val="0"/>
      <w:divBdr>
        <w:top w:val="none" w:sz="0" w:space="0" w:color="auto"/>
        <w:left w:val="none" w:sz="0" w:space="0" w:color="auto"/>
        <w:bottom w:val="none" w:sz="0" w:space="0" w:color="auto"/>
        <w:right w:val="none" w:sz="0" w:space="0" w:color="auto"/>
      </w:divBdr>
    </w:div>
    <w:div w:id="1404596835">
      <w:bodyDiv w:val="1"/>
      <w:marLeft w:val="0"/>
      <w:marRight w:val="0"/>
      <w:marTop w:val="0"/>
      <w:marBottom w:val="0"/>
      <w:divBdr>
        <w:top w:val="none" w:sz="0" w:space="0" w:color="auto"/>
        <w:left w:val="none" w:sz="0" w:space="0" w:color="auto"/>
        <w:bottom w:val="none" w:sz="0" w:space="0" w:color="auto"/>
        <w:right w:val="none" w:sz="0" w:space="0" w:color="auto"/>
      </w:divBdr>
    </w:div>
    <w:div w:id="1413160032">
      <w:bodyDiv w:val="1"/>
      <w:marLeft w:val="0"/>
      <w:marRight w:val="0"/>
      <w:marTop w:val="0"/>
      <w:marBottom w:val="0"/>
      <w:divBdr>
        <w:top w:val="none" w:sz="0" w:space="0" w:color="auto"/>
        <w:left w:val="none" w:sz="0" w:space="0" w:color="auto"/>
        <w:bottom w:val="none" w:sz="0" w:space="0" w:color="auto"/>
        <w:right w:val="none" w:sz="0" w:space="0" w:color="auto"/>
      </w:divBdr>
    </w:div>
    <w:div w:id="1533953585">
      <w:bodyDiv w:val="1"/>
      <w:marLeft w:val="0"/>
      <w:marRight w:val="0"/>
      <w:marTop w:val="0"/>
      <w:marBottom w:val="0"/>
      <w:divBdr>
        <w:top w:val="none" w:sz="0" w:space="0" w:color="auto"/>
        <w:left w:val="none" w:sz="0" w:space="0" w:color="auto"/>
        <w:bottom w:val="none" w:sz="0" w:space="0" w:color="auto"/>
        <w:right w:val="none" w:sz="0" w:space="0" w:color="auto"/>
      </w:divBdr>
    </w:div>
    <w:div w:id="1537161840">
      <w:bodyDiv w:val="1"/>
      <w:marLeft w:val="0"/>
      <w:marRight w:val="0"/>
      <w:marTop w:val="0"/>
      <w:marBottom w:val="0"/>
      <w:divBdr>
        <w:top w:val="none" w:sz="0" w:space="0" w:color="auto"/>
        <w:left w:val="none" w:sz="0" w:space="0" w:color="auto"/>
        <w:bottom w:val="none" w:sz="0" w:space="0" w:color="auto"/>
        <w:right w:val="none" w:sz="0" w:space="0" w:color="auto"/>
      </w:divBdr>
    </w:div>
    <w:div w:id="1690065578">
      <w:bodyDiv w:val="1"/>
      <w:marLeft w:val="0"/>
      <w:marRight w:val="0"/>
      <w:marTop w:val="0"/>
      <w:marBottom w:val="0"/>
      <w:divBdr>
        <w:top w:val="none" w:sz="0" w:space="0" w:color="auto"/>
        <w:left w:val="none" w:sz="0" w:space="0" w:color="auto"/>
        <w:bottom w:val="none" w:sz="0" w:space="0" w:color="auto"/>
        <w:right w:val="none" w:sz="0" w:space="0" w:color="auto"/>
      </w:divBdr>
    </w:div>
    <w:div w:id="1718698012">
      <w:bodyDiv w:val="1"/>
      <w:marLeft w:val="0"/>
      <w:marRight w:val="0"/>
      <w:marTop w:val="0"/>
      <w:marBottom w:val="0"/>
      <w:divBdr>
        <w:top w:val="none" w:sz="0" w:space="0" w:color="auto"/>
        <w:left w:val="none" w:sz="0" w:space="0" w:color="auto"/>
        <w:bottom w:val="none" w:sz="0" w:space="0" w:color="auto"/>
        <w:right w:val="none" w:sz="0" w:space="0" w:color="auto"/>
      </w:divBdr>
    </w:div>
    <w:div w:id="1744373013">
      <w:bodyDiv w:val="1"/>
      <w:marLeft w:val="0"/>
      <w:marRight w:val="0"/>
      <w:marTop w:val="0"/>
      <w:marBottom w:val="0"/>
      <w:divBdr>
        <w:top w:val="none" w:sz="0" w:space="0" w:color="auto"/>
        <w:left w:val="none" w:sz="0" w:space="0" w:color="auto"/>
        <w:bottom w:val="none" w:sz="0" w:space="0" w:color="auto"/>
        <w:right w:val="none" w:sz="0" w:space="0" w:color="auto"/>
      </w:divBdr>
    </w:div>
    <w:div w:id="1789085148">
      <w:bodyDiv w:val="1"/>
      <w:marLeft w:val="0"/>
      <w:marRight w:val="0"/>
      <w:marTop w:val="0"/>
      <w:marBottom w:val="0"/>
      <w:divBdr>
        <w:top w:val="none" w:sz="0" w:space="0" w:color="auto"/>
        <w:left w:val="none" w:sz="0" w:space="0" w:color="auto"/>
        <w:bottom w:val="none" w:sz="0" w:space="0" w:color="auto"/>
        <w:right w:val="none" w:sz="0" w:space="0" w:color="auto"/>
      </w:divBdr>
    </w:div>
    <w:div w:id="1817189050">
      <w:bodyDiv w:val="1"/>
      <w:marLeft w:val="0"/>
      <w:marRight w:val="0"/>
      <w:marTop w:val="0"/>
      <w:marBottom w:val="0"/>
      <w:divBdr>
        <w:top w:val="none" w:sz="0" w:space="0" w:color="auto"/>
        <w:left w:val="none" w:sz="0" w:space="0" w:color="auto"/>
        <w:bottom w:val="none" w:sz="0" w:space="0" w:color="auto"/>
        <w:right w:val="none" w:sz="0" w:space="0" w:color="auto"/>
      </w:divBdr>
    </w:div>
    <w:div w:id="1906137511">
      <w:bodyDiv w:val="1"/>
      <w:marLeft w:val="0"/>
      <w:marRight w:val="0"/>
      <w:marTop w:val="0"/>
      <w:marBottom w:val="0"/>
      <w:divBdr>
        <w:top w:val="none" w:sz="0" w:space="0" w:color="auto"/>
        <w:left w:val="none" w:sz="0" w:space="0" w:color="auto"/>
        <w:bottom w:val="none" w:sz="0" w:space="0" w:color="auto"/>
        <w:right w:val="none" w:sz="0" w:space="0" w:color="auto"/>
      </w:divBdr>
    </w:div>
    <w:div w:id="1945258781">
      <w:bodyDiv w:val="1"/>
      <w:marLeft w:val="0"/>
      <w:marRight w:val="0"/>
      <w:marTop w:val="0"/>
      <w:marBottom w:val="0"/>
      <w:divBdr>
        <w:top w:val="none" w:sz="0" w:space="0" w:color="auto"/>
        <w:left w:val="none" w:sz="0" w:space="0" w:color="auto"/>
        <w:bottom w:val="none" w:sz="0" w:space="0" w:color="auto"/>
        <w:right w:val="none" w:sz="0" w:space="0" w:color="auto"/>
      </w:divBdr>
    </w:div>
    <w:div w:id="1981306846">
      <w:bodyDiv w:val="1"/>
      <w:marLeft w:val="0"/>
      <w:marRight w:val="0"/>
      <w:marTop w:val="0"/>
      <w:marBottom w:val="0"/>
      <w:divBdr>
        <w:top w:val="none" w:sz="0" w:space="0" w:color="auto"/>
        <w:left w:val="none" w:sz="0" w:space="0" w:color="auto"/>
        <w:bottom w:val="none" w:sz="0" w:space="0" w:color="auto"/>
        <w:right w:val="none" w:sz="0" w:space="0" w:color="auto"/>
      </w:divBdr>
    </w:div>
    <w:div w:id="2017228136">
      <w:bodyDiv w:val="1"/>
      <w:marLeft w:val="0"/>
      <w:marRight w:val="0"/>
      <w:marTop w:val="0"/>
      <w:marBottom w:val="0"/>
      <w:divBdr>
        <w:top w:val="none" w:sz="0" w:space="0" w:color="auto"/>
        <w:left w:val="none" w:sz="0" w:space="0" w:color="auto"/>
        <w:bottom w:val="none" w:sz="0" w:space="0" w:color="auto"/>
        <w:right w:val="none" w:sz="0" w:space="0" w:color="auto"/>
      </w:divBdr>
    </w:div>
    <w:div w:id="214180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09a1f023805c5153fb1bb1487979aae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49e2ae2453924609c75937afec9cfd1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Rod57</b:Tag>
    <b:SourceType>Book</b:SourceType>
    <b:Guid>{1751176C-DBE6-45BE-8A8B-964786C4DAA5}</b:Guid>
    <b:Author>
      <b:Author>
        <b:NameList>
          <b:Person>
            <b:Last>Chisholm</b:Last>
            <b:First>Roderick</b:First>
            <b:Middle>M</b:Middle>
          </b:Person>
        </b:NameList>
      </b:Author>
    </b:Author>
    <b:Title>Percieving: a Philosophical Study</b:Title>
    <b:Year>1957</b:Year>
    <b:City>Ithaca, New York</b:City>
    <b:Publisher>Cornell University Press</b:Publisher>
    <b:RefOrder>2</b:RefOrder>
  </b:Source>
  <b:Source>
    <b:Tag>Get63</b:Tag>
    <b:SourceType>JournalArticle</b:SourceType>
    <b:Guid>{F97316EC-2C9C-47CA-B57B-24E6E62088FB}</b:Guid>
    <b:Title>Is Justified True Belief Knowledge</b:Title>
    <b:Year>1963</b:Year>
    <b:Author>
      <b:Author>
        <b:NameList>
          <b:Person>
            <b:Last>Gettier</b:Last>
            <b:First>Edmund</b:First>
            <b:Middle>L.</b:Middle>
          </b:Person>
        </b:NameList>
      </b:Author>
    </b:Author>
    <b:JournalName>Analysis</b:JournalName>
    <b:Pages>121-123</b:Pages>
    <b:Month>6</b:Month>
    <b:Day>1</b:Day>
    <b:Volume>23</b:Volume>
    <b:Issue>6</b:Issue>
    <b:RefOrder>1</b:RefOrder>
  </b:Source>
  <b:Source>
    <b:Tag>Sky67</b:Tag>
    <b:SourceType>JournalArticle</b:SourceType>
    <b:Guid>{9DF8746E-C39E-445B-8695-C3C8DEEF3B24}</b:Guid>
    <b:Author>
      <b:Author>
        <b:NameList>
          <b:Person>
            <b:Last>Skyrms</b:Last>
            <b:First>Brian</b:First>
          </b:Person>
        </b:NameList>
      </b:Author>
    </b:Author>
    <b:Title>The Explication of "X knows that p"</b:Title>
    <b:JournalName>The Journal of Philosophy</b:JournalName>
    <b:Year>1967</b:Year>
    <b:Pages>373-389</b:Pages>
    <b:Month>6</b:Month>
    <b:Day>22</b:Day>
    <b:Volume>64</b:Volume>
    <b:Issue>12</b:Issue>
    <b:YearAccessed>2026</b:YearAccessed>
    <b:MonthAccessed>3</b:MonthAccessed>
    <b:DayAccessed>24</b:DayAccessed>
    <b:URL>https://www.jstor.org/stable/2024269?seq=11</b:URL>
    <b:DOI>10.2307/2024269</b:DOI>
    <b:RefOrder>3</b:RefOrder>
  </b:Source>
  <b:Source>
    <b:Tag>Ung68</b:Tag>
    <b:SourceType>JournalArticle</b:SourceType>
    <b:Guid>{F28005AD-BF85-42A7-8AC5-496537FE4246}</b:Guid>
    <b:Author>
      <b:Author>
        <b:NameList>
          <b:Person>
            <b:Last>Unger</b:Last>
            <b:First>Peter</b:First>
          </b:Person>
        </b:NameList>
      </b:Author>
    </b:Author>
    <b:Title>An Analysis of Factual Knowledge</b:Title>
    <b:JournalName>The Journal of Philosophy</b:JournalName>
    <b:Year>1968</b:Year>
    <b:Pages>157-170</b:Pages>
    <b:Volume>65</b:Volume>
    <b:Issue>6</b:Issue>
    <b:YearAccessed>2026</b:YearAccessed>
    <b:MonthAccessed>3</b:MonthAccessed>
    <b:DayAccessed>24</b:DayAccessed>
    <b:URL>https://www.jstor.org/stable/2024203?seq=2</b:URL>
    <b:DOI>10.2307/2024203</b:DOI>
    <b:RefOrder>4</b:RefOrder>
  </b:Source>
  <b:Source>
    <b:Tag>Ung67</b:Tag>
    <b:SourceType>JournalArticle</b:SourceType>
    <b:Guid>{A8B554B8-05A3-45F2-A068-92C288601BB4}</b:Guid>
    <b:Author>
      <b:Author>
        <b:NameList>
          <b:Person>
            <b:Last>Unger</b:Last>
            <b:First>Peter</b:First>
          </b:Person>
        </b:NameList>
      </b:Author>
    </b:Author>
    <b:Title>Experience and Factual Knowledge</b:Title>
    <b:JournalName>The Journal of Philosophy</b:JournalName>
    <b:Year>1967</b:Year>
    <b:Pages>152-173</b:Pages>
    <b:Volume>64</b:Volume>
    <b:Issue>5</b:Issue>
    <b:URL>https://www.jstor.org/stable/2024408</b:URL>
    <b:DOI>10.2307/2024408</b:DOI>
    <b:RefOrder>5</b:RefOrder>
  </b:Source>
  <b:Source>
    <b:Tag>Ung71</b:Tag>
    <b:SourceType>JournalArticle</b:SourceType>
    <b:Guid>{3C9515D7-D660-490D-B051-1E1BB5513497}</b:Guid>
    <b:Author>
      <b:Author>
        <b:NameList>
          <b:Person>
            <b:Last>Unger</b:Last>
            <b:First>Peter</b:First>
          </b:Person>
        </b:NameList>
      </b:Author>
    </b:Author>
    <b:Title>A Defense of Skepticism</b:Title>
    <b:JournalName>The Philosophical Revie</b:JournalName>
    <b:Year>1971</b:Year>
    <b:Pages>198-219</b:Pages>
    <b:Volume>80</b:Volume>
    <b:Issue>2</b:Issue>
    <b:URL>https://www.jstor.org/stable/2184030</b:URL>
    <b:DOI>10.2307/2184030</b:DOI>
    <b:RefOrder>6</b:RefOrder>
  </b:Source>
</b:Sources>
</file>

<file path=customXml/itemProps1.xml><?xml version="1.0" encoding="utf-8"?>
<ds:datastoreItem xmlns:ds="http://schemas.openxmlformats.org/officeDocument/2006/customXml" ds:itemID="{CE60DB67-0D42-45FE-AAA2-CD118DC76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83B0B2-D982-4893-860C-FDFBE3FD5F91}">
  <ds:schemaRefs>
    <ds:schemaRef ds:uri="http://schemas.microsoft.com/sharepoint/v3/contenttype/forms"/>
  </ds:schemaRefs>
</ds:datastoreItem>
</file>

<file path=customXml/itemProps3.xml><?xml version="1.0" encoding="utf-8"?>
<ds:datastoreItem xmlns:ds="http://schemas.openxmlformats.org/officeDocument/2006/customXml" ds:itemID="{6BA22F2F-11B2-448A-8873-34258A88AECA}">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0A4642EB-F8EA-410A-A0B2-7C8DD9E92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2725</TotalTime>
  <Pages>5</Pages>
  <Words>2278</Words>
  <Characters>12145</Characters>
  <Application>Microsoft Office Word</Application>
  <DocSecurity>0</DocSecurity>
  <Lines>759</Lines>
  <Paragraphs>848</Paragraphs>
  <ScaleCrop>false</ScaleCrop>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Knowles (2304020)</dc:creator>
  <cp:keywords/>
  <dc:description/>
  <cp:lastModifiedBy>Finley Knowles (2304020)</cp:lastModifiedBy>
  <cp:revision>406</cp:revision>
  <dcterms:created xsi:type="dcterms:W3CDTF">2026-03-24T15:43:00Z</dcterms:created>
  <dcterms:modified xsi:type="dcterms:W3CDTF">2026-03-27T18:22:00Z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