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1640E" w14:textId="77777777" w:rsidR="00B120A5" w:rsidRDefault="00B120A5" w:rsidP="00A67A42">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A07B671" w14:textId="77777777" w:rsidR="00C645F6" w:rsidRPr="00C645F6" w:rsidRDefault="00C645F6">
      <w:pPr>
        <w:rPr>
          <w:rFonts w:ascii="Times New Roman" w:eastAsia="Times New Roman" w:hAnsi="Times New Roman" w:cs="Times New Roman"/>
          <w:b/>
          <w:bCs/>
          <w:kern w:val="0"/>
          <w:sz w:val="44"/>
          <w:szCs w:val="44"/>
          <w:lang w:eastAsia="en-GB"/>
          <w14:ligatures w14:val="none"/>
        </w:rPr>
      </w:pPr>
      <w:r w:rsidRPr="00C645F6">
        <w:rPr>
          <w:rFonts w:ascii="Times New Roman" w:eastAsia="Times New Roman" w:hAnsi="Times New Roman" w:cs="Times New Roman"/>
          <w:b/>
          <w:bCs/>
          <w:kern w:val="0"/>
          <w:sz w:val="44"/>
          <w:szCs w:val="44"/>
          <w:lang w:eastAsia="en-GB"/>
          <w14:ligatures w14:val="none"/>
        </w:rPr>
        <w:t>BSc (Hons) Health and Social Care</w:t>
      </w:r>
    </w:p>
    <w:p w14:paraId="009E2B48" w14:textId="77777777" w:rsidR="00C645F6" w:rsidRPr="00C645F6" w:rsidRDefault="00C645F6">
      <w:pPr>
        <w:rPr>
          <w:rFonts w:ascii="Times New Roman" w:eastAsia="Times New Roman" w:hAnsi="Times New Roman" w:cs="Times New Roman"/>
          <w:b/>
          <w:bCs/>
          <w:kern w:val="0"/>
          <w:sz w:val="44"/>
          <w:szCs w:val="44"/>
          <w:lang w:eastAsia="en-GB"/>
          <w14:ligatures w14:val="none"/>
        </w:rPr>
      </w:pPr>
      <w:r w:rsidRPr="00C645F6">
        <w:rPr>
          <w:rFonts w:ascii="Times New Roman" w:eastAsia="Times New Roman" w:hAnsi="Times New Roman" w:cs="Times New Roman"/>
          <w:b/>
          <w:bCs/>
          <w:kern w:val="0"/>
          <w:sz w:val="44"/>
          <w:szCs w:val="44"/>
          <w:lang w:eastAsia="en-GB"/>
          <w14:ligatures w14:val="none"/>
        </w:rPr>
        <w:t>Digital Transformation in the Health and Social Care Professions</w:t>
      </w:r>
    </w:p>
    <w:p w14:paraId="3399F1D1" w14:textId="77777777" w:rsidR="00C645F6" w:rsidRPr="00C645F6" w:rsidRDefault="00C645F6">
      <w:pPr>
        <w:rPr>
          <w:rFonts w:ascii="Times New Roman" w:eastAsia="Times New Roman" w:hAnsi="Times New Roman" w:cs="Times New Roman"/>
          <w:b/>
          <w:bCs/>
          <w:kern w:val="0"/>
          <w:sz w:val="44"/>
          <w:szCs w:val="44"/>
          <w:lang w:eastAsia="en-GB"/>
          <w14:ligatures w14:val="none"/>
        </w:rPr>
      </w:pPr>
      <w:r w:rsidRPr="00C645F6">
        <w:rPr>
          <w:rFonts w:ascii="Times New Roman" w:eastAsia="Times New Roman" w:hAnsi="Times New Roman" w:cs="Times New Roman"/>
          <w:b/>
          <w:bCs/>
          <w:kern w:val="0"/>
          <w:sz w:val="44"/>
          <w:szCs w:val="44"/>
          <w:lang w:eastAsia="en-GB"/>
          <w14:ligatures w14:val="none"/>
        </w:rPr>
        <w:t>BMHP6026</w:t>
      </w:r>
    </w:p>
    <w:p w14:paraId="1F06B433" w14:textId="2F81BED5" w:rsidR="00C645F6" w:rsidRPr="00C645F6" w:rsidRDefault="00C645F6">
      <w:pPr>
        <w:rPr>
          <w:rFonts w:ascii="Times New Roman" w:eastAsia="Times New Roman" w:hAnsi="Times New Roman" w:cs="Times New Roman"/>
          <w:b/>
          <w:bCs/>
          <w:kern w:val="0"/>
          <w:sz w:val="44"/>
          <w:szCs w:val="44"/>
          <w:lang w:eastAsia="en-GB"/>
          <w14:ligatures w14:val="none"/>
        </w:rPr>
      </w:pPr>
      <w:r w:rsidRPr="00C645F6">
        <w:rPr>
          <w:rFonts w:ascii="Times New Roman" w:eastAsia="Times New Roman" w:hAnsi="Times New Roman" w:cs="Times New Roman"/>
          <w:b/>
          <w:bCs/>
          <w:kern w:val="0"/>
          <w:sz w:val="44"/>
          <w:szCs w:val="44"/>
          <w:lang w:eastAsia="en-GB"/>
          <w14:ligatures w14:val="none"/>
        </w:rPr>
        <w:t>Component 1: Written Report</w:t>
      </w:r>
    </w:p>
    <w:p w14:paraId="4D921B54" w14:textId="29AC2F23" w:rsidR="00C645F6" w:rsidRPr="00C645F6" w:rsidRDefault="00C645F6">
      <w:pPr>
        <w:rPr>
          <w:rFonts w:ascii="Times New Roman" w:eastAsia="Times New Roman" w:hAnsi="Times New Roman" w:cs="Times New Roman"/>
          <w:b/>
          <w:bCs/>
          <w:kern w:val="0"/>
          <w:sz w:val="44"/>
          <w:szCs w:val="44"/>
          <w:lang w:eastAsia="en-GB"/>
          <w14:ligatures w14:val="none"/>
        </w:rPr>
      </w:pPr>
      <w:r w:rsidRPr="00C645F6">
        <w:rPr>
          <w:rFonts w:ascii="Times New Roman" w:eastAsia="Times New Roman" w:hAnsi="Times New Roman" w:cs="Times New Roman"/>
          <w:b/>
          <w:bCs/>
          <w:kern w:val="0"/>
          <w:sz w:val="44"/>
          <w:szCs w:val="44"/>
          <w:lang w:eastAsia="en-GB"/>
          <w14:ligatures w14:val="none"/>
        </w:rPr>
        <w:t>Martin Svejda</w:t>
      </w:r>
    </w:p>
    <w:p w14:paraId="40C3CF0A" w14:textId="50C9E889" w:rsidR="00C645F6" w:rsidRPr="00C645F6" w:rsidRDefault="00C645F6">
      <w:pPr>
        <w:rPr>
          <w:rFonts w:ascii="Times New Roman" w:eastAsia="Times New Roman" w:hAnsi="Times New Roman" w:cs="Times New Roman"/>
          <w:b/>
          <w:bCs/>
          <w:kern w:val="0"/>
          <w:sz w:val="44"/>
          <w:szCs w:val="44"/>
          <w:lang w:eastAsia="en-GB"/>
          <w14:ligatures w14:val="none"/>
        </w:rPr>
      </w:pPr>
      <w:r w:rsidRPr="00C645F6">
        <w:rPr>
          <w:rFonts w:ascii="Times New Roman" w:eastAsia="Times New Roman" w:hAnsi="Times New Roman" w:cs="Times New Roman"/>
          <w:b/>
          <w:bCs/>
          <w:kern w:val="0"/>
          <w:sz w:val="44"/>
          <w:szCs w:val="44"/>
          <w:lang w:eastAsia="en-GB"/>
          <w14:ligatures w14:val="none"/>
        </w:rPr>
        <w:t>Tina Carpenter</w:t>
      </w:r>
    </w:p>
    <w:p w14:paraId="0BF2E5CE" w14:textId="4D990A96" w:rsidR="00B120A5" w:rsidRPr="00C645F6" w:rsidRDefault="00B24653">
      <w:pPr>
        <w:rPr>
          <w:rFonts w:ascii="Times New Roman" w:eastAsia="Times New Roman" w:hAnsi="Times New Roman" w:cs="Times New Roman"/>
          <w:b/>
          <w:bCs/>
          <w:kern w:val="0"/>
          <w:sz w:val="44"/>
          <w:szCs w:val="44"/>
          <w:lang w:eastAsia="en-GB"/>
          <w14:ligatures w14:val="none"/>
        </w:rPr>
      </w:pPr>
      <w:r>
        <w:rPr>
          <w:rFonts w:ascii="Times New Roman" w:eastAsia="Times New Roman" w:hAnsi="Times New Roman" w:cs="Times New Roman"/>
          <w:b/>
          <w:bCs/>
          <w:noProof/>
          <w:kern w:val="0"/>
          <w:sz w:val="44"/>
          <w:szCs w:val="44"/>
          <w:lang w:eastAsia="en-GB"/>
        </w:rPr>
        <w:drawing>
          <wp:anchor distT="0" distB="0" distL="114300" distR="114300" simplePos="0" relativeHeight="251658752" behindDoc="1" locked="0" layoutInCell="1" allowOverlap="1" wp14:anchorId="724DE3B7" wp14:editId="2F6CE787">
            <wp:simplePos x="0" y="0"/>
            <wp:positionH relativeFrom="column">
              <wp:posOffset>-129540</wp:posOffset>
            </wp:positionH>
            <wp:positionV relativeFrom="page">
              <wp:posOffset>5242560</wp:posOffset>
            </wp:positionV>
            <wp:extent cx="3573145" cy="1318260"/>
            <wp:effectExtent l="0" t="0" r="0" b="0"/>
            <wp:wrapTight wrapText="bothSides">
              <wp:wrapPolygon edited="0">
                <wp:start x="0" y="0"/>
                <wp:lineTo x="0" y="21225"/>
                <wp:lineTo x="21535" y="21225"/>
                <wp:lineTo x="21535" y="0"/>
                <wp:lineTo x="0" y="0"/>
              </wp:wrapPolygon>
            </wp:wrapTight>
            <wp:docPr id="1715083587" name="Picture 1"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83587" name="Picture 1" descr="A white sign with black text&#10;&#10;AI-generated content may be incorrect."/>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573145" cy="1318260"/>
                    </a:xfrm>
                    <a:prstGeom prst="rect">
                      <a:avLst/>
                    </a:prstGeom>
                  </pic:spPr>
                </pic:pic>
              </a:graphicData>
            </a:graphic>
            <wp14:sizeRelH relativeFrom="margin">
              <wp14:pctWidth>0</wp14:pctWidth>
            </wp14:sizeRelH>
            <wp14:sizeRelV relativeFrom="margin">
              <wp14:pctHeight>0</wp14:pctHeight>
            </wp14:sizeRelV>
          </wp:anchor>
        </w:drawing>
      </w:r>
      <w:r w:rsidR="00C645F6" w:rsidRPr="00C645F6">
        <w:rPr>
          <w:rFonts w:ascii="Times New Roman" w:eastAsia="Times New Roman" w:hAnsi="Times New Roman" w:cs="Times New Roman"/>
          <w:b/>
          <w:bCs/>
          <w:kern w:val="0"/>
          <w:sz w:val="44"/>
          <w:szCs w:val="44"/>
          <w:lang w:eastAsia="en-GB"/>
          <w14:ligatures w14:val="none"/>
        </w:rPr>
        <w:t>2309622</w:t>
      </w:r>
      <w:r w:rsidR="00B120A5" w:rsidRPr="00C645F6">
        <w:rPr>
          <w:rFonts w:ascii="Times New Roman" w:eastAsia="Times New Roman" w:hAnsi="Times New Roman" w:cs="Times New Roman"/>
          <w:b/>
          <w:bCs/>
          <w:kern w:val="0"/>
          <w:sz w:val="44"/>
          <w:szCs w:val="44"/>
          <w:lang w:eastAsia="en-GB"/>
          <w14:ligatures w14:val="none"/>
        </w:rPr>
        <w:br w:type="page"/>
      </w:r>
    </w:p>
    <w:p w14:paraId="5FD45699" w14:textId="2D680E21" w:rsidR="00A67A42" w:rsidRPr="00A67A42" w:rsidRDefault="00A67A42" w:rsidP="00A67A4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7A42">
        <w:rPr>
          <w:rFonts w:ascii="Times New Roman" w:eastAsia="Times New Roman" w:hAnsi="Times New Roman" w:cs="Times New Roman"/>
          <w:b/>
          <w:bCs/>
          <w:kern w:val="0"/>
          <w:sz w:val="24"/>
          <w:szCs w:val="24"/>
          <w:lang w:eastAsia="en-GB"/>
          <w14:ligatures w14:val="none"/>
        </w:rPr>
        <w:lastRenderedPageBreak/>
        <w:t>“The Impact of the NHS App on Patient Experience, Service Delivery, and the Healthcare Workforce in the UK.”</w:t>
      </w:r>
    </w:p>
    <w:p w14:paraId="700B25B6" w14:textId="1733418F" w:rsidR="00A67A42" w:rsidRPr="00A67A42" w:rsidRDefault="00A67A42" w:rsidP="00A67A4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7A42">
        <w:rPr>
          <w:rFonts w:ascii="Times New Roman" w:eastAsia="Times New Roman" w:hAnsi="Times New Roman" w:cs="Times New Roman"/>
          <w:kern w:val="0"/>
          <w:sz w:val="24"/>
          <w:szCs w:val="24"/>
          <w:lang w:eastAsia="en-GB"/>
          <w14:ligatures w14:val="none"/>
        </w:rPr>
        <w:t>.</w:t>
      </w:r>
    </w:p>
    <w:p w14:paraId="76B2BA2A" w14:textId="2466BB48" w:rsidR="00A67A42" w:rsidRPr="00A67A42" w:rsidRDefault="00A67A42" w:rsidP="00A67A42">
      <w:pPr>
        <w:spacing w:after="0" w:line="240" w:lineRule="auto"/>
        <w:rPr>
          <w:rFonts w:ascii="Times New Roman" w:eastAsia="Times New Roman" w:hAnsi="Times New Roman" w:cs="Times New Roman"/>
          <w:kern w:val="0"/>
          <w:sz w:val="24"/>
          <w:szCs w:val="24"/>
          <w:lang w:eastAsia="en-GB"/>
          <w14:ligatures w14:val="none"/>
        </w:rPr>
      </w:pPr>
    </w:p>
    <w:p w14:paraId="38229E0C" w14:textId="142B72B4" w:rsidR="00A67A42" w:rsidRPr="00A67A42" w:rsidRDefault="00A67A42" w:rsidP="00A67A4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67A42">
        <w:rPr>
          <w:rFonts w:ascii="Times New Roman" w:eastAsia="Times New Roman" w:hAnsi="Times New Roman" w:cs="Times New Roman"/>
          <w:b/>
          <w:bCs/>
          <w:kern w:val="0"/>
          <w:sz w:val="27"/>
          <w:szCs w:val="27"/>
          <w:lang w:eastAsia="en-GB"/>
          <w14:ligatures w14:val="none"/>
        </w:rPr>
        <w:t xml:space="preserve">1. Introduction </w:t>
      </w:r>
    </w:p>
    <w:p w14:paraId="231611AC"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Over the past decade, the integration of digital technology into health and social care in the United Kingdom has transformed the delivery and accessibility of services. One of the most significant digital innovations introduced in the last ten years is the </w:t>
      </w:r>
      <w:r w:rsidRPr="00A67A42">
        <w:rPr>
          <w:rFonts w:ascii="Arial" w:eastAsia="Times New Roman" w:hAnsi="Arial" w:cs="Arial"/>
          <w:b/>
          <w:bCs/>
          <w:kern w:val="0"/>
          <w:lang w:eastAsia="en-GB"/>
          <w14:ligatures w14:val="none"/>
        </w:rPr>
        <w:t>NHS App</w:t>
      </w:r>
      <w:r w:rsidRPr="00A67A42">
        <w:rPr>
          <w:rFonts w:ascii="Arial" w:eastAsia="Times New Roman" w:hAnsi="Arial" w:cs="Arial"/>
          <w:kern w:val="0"/>
          <w:lang w:eastAsia="en-GB"/>
          <w14:ligatures w14:val="none"/>
        </w:rPr>
        <w:t xml:space="preserve">, launched in 2018 by NHS Digital. The app enables patients to manage their healthcare conveniently by booking GP appointments, ordering repeat prescriptions, accessing medical records, and viewing COVID-19 vaccination status. The NHS App aligns with the UK government’s </w:t>
      </w:r>
      <w:r w:rsidRPr="00A67A42">
        <w:rPr>
          <w:rFonts w:ascii="Arial" w:eastAsia="Times New Roman" w:hAnsi="Arial" w:cs="Arial"/>
          <w:b/>
          <w:bCs/>
          <w:kern w:val="0"/>
          <w:lang w:eastAsia="en-GB"/>
          <w14:ligatures w14:val="none"/>
        </w:rPr>
        <w:t>Digital Health and Care Strategy (2022)</w:t>
      </w:r>
      <w:r w:rsidRPr="00A67A42">
        <w:rPr>
          <w:rFonts w:ascii="Arial" w:eastAsia="Times New Roman" w:hAnsi="Arial" w:cs="Arial"/>
          <w:kern w:val="0"/>
          <w:lang w:eastAsia="en-GB"/>
          <w14:ligatures w14:val="none"/>
        </w:rPr>
        <w:t>, which promotes accessible, data-driven, and patient-centred healthcare services.</w:t>
      </w:r>
    </w:p>
    <w:p w14:paraId="20B0A8C3"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This report critically examines the impact of the NHS App across three key areas: patient/service user experience, service delivery, and the healthcare workforce. It evaluates both the benefits and challenges of its implementation, drawing on evidence from academic studies, government publications, and policy reports. The analysis explores how the app has enhanced accessibility and efficiency, while also identifying issues around digital exclusion, data privacy, and staff adaptation. The report concludes with key recommendations for improving digital health inclusion, staff training, and sustainable integration across NHS services.</w:t>
      </w:r>
    </w:p>
    <w:p w14:paraId="3446F9F0" w14:textId="61DC2A0C" w:rsidR="00A67A42" w:rsidRPr="00A67A42" w:rsidRDefault="00A67A42" w:rsidP="00A67A42">
      <w:pPr>
        <w:spacing w:after="0" w:line="240" w:lineRule="auto"/>
        <w:rPr>
          <w:rFonts w:ascii="Times New Roman" w:eastAsia="Times New Roman" w:hAnsi="Times New Roman" w:cs="Times New Roman"/>
          <w:kern w:val="0"/>
          <w:sz w:val="24"/>
          <w:szCs w:val="24"/>
          <w:lang w:eastAsia="en-GB"/>
          <w14:ligatures w14:val="none"/>
        </w:rPr>
      </w:pPr>
    </w:p>
    <w:p w14:paraId="21EF2F66" w14:textId="5645F336" w:rsidR="00A67A42" w:rsidRPr="00A67A42" w:rsidRDefault="00A67A42" w:rsidP="00A67A4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67A42">
        <w:rPr>
          <w:rFonts w:ascii="Times New Roman" w:eastAsia="Times New Roman" w:hAnsi="Times New Roman" w:cs="Times New Roman"/>
          <w:b/>
          <w:bCs/>
          <w:kern w:val="0"/>
          <w:sz w:val="27"/>
          <w:szCs w:val="27"/>
          <w:lang w:eastAsia="en-GB"/>
          <w14:ligatures w14:val="none"/>
        </w:rPr>
        <w:t xml:space="preserve">2. Chosen Areas </w:t>
      </w:r>
    </w:p>
    <w:p w14:paraId="6FFA3345" w14:textId="77777777" w:rsidR="00A67A42" w:rsidRPr="00A67A42" w:rsidRDefault="00A67A42" w:rsidP="00A67A42">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A67A42">
        <w:rPr>
          <w:rFonts w:ascii="Times New Roman" w:eastAsia="Times New Roman" w:hAnsi="Times New Roman" w:cs="Times New Roman"/>
          <w:b/>
          <w:bCs/>
          <w:kern w:val="0"/>
          <w:sz w:val="24"/>
          <w:szCs w:val="24"/>
          <w:lang w:eastAsia="en-GB"/>
          <w14:ligatures w14:val="none"/>
        </w:rPr>
        <w:t>2.1 Patient / Service User</w:t>
      </w:r>
    </w:p>
    <w:p w14:paraId="6C8DC863"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The NHS App has significantly reshaped patient experiences by increasing autonomy and accessibility within the healthcare system. Research shows that the app empowers users to take a more active role in managing their health, consistent with the NHS Long Term Plan’s goal to promote patient self-management (NHS England, 2019). Through functionalities such as online booking, prescription requests, and health record access, patients experience greater convenience and reduced administrative barriers (Watson et al., 2022).</w:t>
      </w:r>
    </w:p>
    <w:p w14:paraId="164D7494"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Benefits include improved accessibility and reduced waiting times. The app allows users to bypass traditional communication bottlenecks such as long phone queues or in-person visits, thereby streamlining access to services (King’s Fund, 2021). A 2023 NHS Digital report indicated that over 33 million people have registered for the app, reflecting high national engagement (NHS Digital, 2023). Moreover, digital reminders and secure messaging promote medication adherence and follow-up compliance, enhancing patient safety and satisfaction.</w:t>
      </w:r>
    </w:p>
    <w:p w14:paraId="347E19EC"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However</w:t>
      </w:r>
      <w:r w:rsidRPr="00A67A42">
        <w:rPr>
          <w:rFonts w:ascii="Arial" w:eastAsia="Times New Roman" w:hAnsi="Arial" w:cs="Arial"/>
          <w:b/>
          <w:bCs/>
          <w:kern w:val="0"/>
          <w:lang w:eastAsia="en-GB"/>
          <w14:ligatures w14:val="none"/>
        </w:rPr>
        <w:t xml:space="preserve">, </w:t>
      </w:r>
      <w:r w:rsidRPr="00A67A42">
        <w:rPr>
          <w:rFonts w:ascii="Arial" w:eastAsia="Times New Roman" w:hAnsi="Arial" w:cs="Arial"/>
          <w:kern w:val="0"/>
          <w:lang w:eastAsia="en-GB"/>
          <w14:ligatures w14:val="none"/>
        </w:rPr>
        <w:t>challenges persist, particularly regarding digital exclusion and privacy concerns. Older adults, those from low-income backgrounds, and individuals with limited digital literacy often struggle to use the app effectively (Majeed et al., 2021). This digital divide risks exacerbating existing health inequalities, especially in rural or underserved</w:t>
      </w:r>
      <w:r w:rsidRPr="00A67A42">
        <w:rPr>
          <w:rFonts w:ascii="Times New Roman" w:eastAsia="Times New Roman" w:hAnsi="Times New Roman" w:cs="Times New Roman"/>
          <w:kern w:val="0"/>
          <w:sz w:val="24"/>
          <w:szCs w:val="24"/>
          <w:lang w:eastAsia="en-GB"/>
          <w14:ligatures w14:val="none"/>
        </w:rPr>
        <w:t xml:space="preserve"> </w:t>
      </w:r>
      <w:r w:rsidRPr="00A67A42">
        <w:rPr>
          <w:rFonts w:ascii="Arial" w:eastAsia="Times New Roman" w:hAnsi="Arial" w:cs="Arial"/>
          <w:kern w:val="0"/>
          <w:lang w:eastAsia="en-GB"/>
          <w14:ligatures w14:val="none"/>
        </w:rPr>
        <w:t>communities.</w:t>
      </w:r>
      <w:r w:rsidRPr="00A67A42">
        <w:rPr>
          <w:rFonts w:ascii="Times New Roman" w:eastAsia="Times New Roman" w:hAnsi="Times New Roman" w:cs="Times New Roman"/>
          <w:kern w:val="0"/>
          <w:sz w:val="24"/>
          <w:szCs w:val="24"/>
          <w:lang w:eastAsia="en-GB"/>
          <w14:ligatures w14:val="none"/>
        </w:rPr>
        <w:t xml:space="preserve"> </w:t>
      </w:r>
      <w:r w:rsidRPr="00A67A42">
        <w:rPr>
          <w:rFonts w:ascii="Arial" w:eastAsia="Times New Roman" w:hAnsi="Arial" w:cs="Arial"/>
          <w:kern w:val="0"/>
          <w:lang w:eastAsia="en-GB"/>
          <w14:ligatures w14:val="none"/>
        </w:rPr>
        <w:lastRenderedPageBreak/>
        <w:t>Furthermore, concerns about data privacy and the security of personal health records remain significant barriers to full public trust (House of Commons Health Committee, 2022).</w:t>
      </w:r>
    </w:p>
    <w:p w14:paraId="64B54980"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Critically, while the app supports empowerment, it also risks shifting responsibility onto patients without ensuring equal access or support mechanisms (Greenhalgh et al., 2020). To fully realise its potential, ongoing investment in digital literacy training and inclusive design is essential to prevent exclusion and ensure equitable care outcomes.</w:t>
      </w:r>
    </w:p>
    <w:p w14:paraId="19D19A61" w14:textId="54904B30" w:rsidR="00A67A42" w:rsidRPr="00A67A42" w:rsidRDefault="00A67A42" w:rsidP="00A67A42">
      <w:pPr>
        <w:spacing w:after="0" w:line="240" w:lineRule="auto"/>
        <w:rPr>
          <w:rFonts w:ascii="Arial" w:eastAsia="Times New Roman" w:hAnsi="Arial" w:cs="Arial"/>
          <w:kern w:val="0"/>
          <w:lang w:eastAsia="en-GB"/>
          <w14:ligatures w14:val="none"/>
        </w:rPr>
      </w:pPr>
    </w:p>
    <w:p w14:paraId="191C3DC7" w14:textId="77777777" w:rsidR="00A67A42" w:rsidRPr="00A67A42" w:rsidRDefault="00A67A42" w:rsidP="00A67A42">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A67A42">
        <w:rPr>
          <w:rFonts w:ascii="Times New Roman" w:eastAsia="Times New Roman" w:hAnsi="Times New Roman" w:cs="Times New Roman"/>
          <w:b/>
          <w:bCs/>
          <w:kern w:val="0"/>
          <w:sz w:val="24"/>
          <w:szCs w:val="24"/>
          <w:lang w:eastAsia="en-GB"/>
          <w14:ligatures w14:val="none"/>
        </w:rPr>
        <w:t>2.2 Service Delivery</w:t>
      </w:r>
    </w:p>
    <w:p w14:paraId="6B7ABA28"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The NHS App has contributed to major improvements in the efficiency and coordination of healthcare services. By digitalising routine administrative tasks, such as appointment management and prescription ordering, the app has reduced GP workloads and freed up time for direct patient care (NHS Confederation, 2021). Integration with other NHS digital systems, such as the Electronic Prescription Service (EPS) and NHS login, has streamlined service delivery across primary and secondary care.</w:t>
      </w:r>
    </w:p>
    <w:p w14:paraId="5E447994"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Benefits for service delivery include enhanced communication between patients and providers, better data sharing, and reduced duplication of records. The COVID-19 pandemic demonstrated the app’s scalability, with millions using it for vaccination certification and remote health access (Public Health England, 2022). These developments highlight its role as a critical digital infrastructure supporting continuity of care during emergencies.</w:t>
      </w:r>
    </w:p>
    <w:p w14:paraId="03F91616"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However, service delivery also faces operational challenges. Many GP practices have struggled with inconsistent technical integration and variable levels of staff support (BMA, 2022). Rural or smaller practices often lack sufficient resources to maintain seamless digital systems, resulting in service disparities. Additionally, the initial cost of implementation, cybersecurity measures, and maintenance presents ongoing financial challenges for the NHS, particularly amid budget pressures (Nuffield Trust, 2023).</w:t>
      </w:r>
    </w:p>
    <w:p w14:paraId="05D0EC03"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From a critical standpoint, while the app increases efficiency, it may unintentionally prioritise digital access over personalised care. Excessive reliance on digital systems risks marginalising those preferring traditional face-to-face interactions. Therefore, the success of digital transformation should be measured not only by efficiency but by inclusivity and patient satisfaction outcomes. Continuous evaluation of service quality is essential to ensure the NHS App complements, rather than replaces, holistic patient care.</w:t>
      </w:r>
    </w:p>
    <w:p w14:paraId="3AFAF466" w14:textId="34258382" w:rsidR="00A67A42" w:rsidRPr="00A67A42" w:rsidRDefault="00A67A42" w:rsidP="00A67A42">
      <w:pPr>
        <w:spacing w:after="0" w:line="240" w:lineRule="auto"/>
        <w:rPr>
          <w:rFonts w:ascii="Arial" w:eastAsia="Times New Roman" w:hAnsi="Arial" w:cs="Arial"/>
          <w:kern w:val="0"/>
          <w:lang w:eastAsia="en-GB"/>
          <w14:ligatures w14:val="none"/>
        </w:rPr>
      </w:pPr>
    </w:p>
    <w:p w14:paraId="487EC791" w14:textId="77777777" w:rsidR="00A67A42" w:rsidRPr="00A67A42" w:rsidRDefault="00A67A42" w:rsidP="00A67A42">
      <w:pPr>
        <w:spacing w:before="100" w:beforeAutospacing="1" w:after="100" w:afterAutospacing="1" w:line="240" w:lineRule="auto"/>
        <w:outlineLvl w:val="3"/>
        <w:rPr>
          <w:rFonts w:ascii="Times New Roman" w:eastAsia="Times New Roman" w:hAnsi="Times New Roman" w:cs="Times New Roman"/>
          <w:b/>
          <w:bCs/>
          <w:kern w:val="0"/>
          <w:sz w:val="24"/>
          <w:szCs w:val="24"/>
          <w:lang w:eastAsia="en-GB"/>
          <w14:ligatures w14:val="none"/>
        </w:rPr>
      </w:pPr>
      <w:r w:rsidRPr="00A67A42">
        <w:rPr>
          <w:rFonts w:ascii="Times New Roman" w:eastAsia="Times New Roman" w:hAnsi="Times New Roman" w:cs="Times New Roman"/>
          <w:b/>
          <w:bCs/>
          <w:kern w:val="0"/>
          <w:sz w:val="24"/>
          <w:szCs w:val="24"/>
          <w:lang w:eastAsia="en-GB"/>
          <w14:ligatures w14:val="none"/>
        </w:rPr>
        <w:t>2.3 Workforce</w:t>
      </w:r>
    </w:p>
    <w:p w14:paraId="42BAEFB3"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The introduction of the NHS App has brought both opportunities and challenges for the healthcare workforce. It has changed professional roles, increased the demand for digital competence, and influenced workload distribution across NHS services. According to NHS England (2022), digital innovations like the app can enhance job efficiency by automating administrative tasks, allowing clinicians to focus more on patient care.</w:t>
      </w:r>
    </w:p>
    <w:p w14:paraId="188A80B1"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Benefits include reduced administrative burden and improved communication. For example, reception staff spend less time managing appointments manually, and clinicians have quicker access to accurate patient information. This supports the NHS Workforce Plan (2023), which emphasises technology as a means of addressing staff shortages and </w:t>
      </w:r>
      <w:r w:rsidRPr="00A67A42">
        <w:rPr>
          <w:rFonts w:ascii="Arial" w:eastAsia="Times New Roman" w:hAnsi="Arial" w:cs="Arial"/>
          <w:kern w:val="0"/>
          <w:lang w:eastAsia="en-GB"/>
          <w14:ligatures w14:val="none"/>
        </w:rPr>
        <w:lastRenderedPageBreak/>
        <w:t>burnout. Additionally, the app provides opportunities for new digital roles and training programmes focused on health informatics, data security, and patient engagement (Health Education England, 2021).</w:t>
      </w:r>
    </w:p>
    <w:p w14:paraId="1477D7E7"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Nevertheless, workforce adaptation has not been without challenges. Resistance to change, insufficient digital training, and increased workload during system transitions are recurring issues (BMA, 2022). Some healthcare </w:t>
      </w:r>
      <w:proofErr w:type="gramStart"/>
      <w:r w:rsidRPr="00A67A42">
        <w:rPr>
          <w:rFonts w:ascii="Arial" w:eastAsia="Times New Roman" w:hAnsi="Arial" w:cs="Arial"/>
          <w:kern w:val="0"/>
          <w:lang w:eastAsia="en-GB"/>
          <w14:ligatures w14:val="none"/>
        </w:rPr>
        <w:t>professionals</w:t>
      </w:r>
      <w:proofErr w:type="gramEnd"/>
      <w:r w:rsidRPr="00A67A42">
        <w:rPr>
          <w:rFonts w:ascii="Arial" w:eastAsia="Times New Roman" w:hAnsi="Arial" w:cs="Arial"/>
          <w:kern w:val="0"/>
          <w:lang w:eastAsia="en-GB"/>
          <w14:ligatures w14:val="none"/>
        </w:rPr>
        <w:t xml:space="preserve"> express concerns about patient over-reliance on digital tools and the additional responsibility of managing digital queries (Royal College of GPs, 2022). Furthermore, digital systems can contribute to “technostress,” where staff experience anxiety or fatigue from constant technological engagement (Tarafdar et al., 2020).</w:t>
      </w:r>
    </w:p>
    <w:p w14:paraId="54A264FA"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A critical evaluation shows that while technology offers efficiency, it must be balanced with adequate training, support, and communication. Successful integration of the NHS App relies on workforce empowerment through continuous professional development and shared decision-making. Embedding digital health into staff education and maintaining a human-centred approach are vital to sustaining workforce motivation and confidence.</w:t>
      </w:r>
    </w:p>
    <w:p w14:paraId="75089D2A" w14:textId="2B32A863" w:rsidR="00A67A42" w:rsidRPr="00A67A42" w:rsidRDefault="00A67A42" w:rsidP="00A67A42">
      <w:pPr>
        <w:spacing w:after="0" w:line="240" w:lineRule="auto"/>
        <w:rPr>
          <w:rFonts w:ascii="Times New Roman" w:eastAsia="Times New Roman" w:hAnsi="Times New Roman" w:cs="Times New Roman"/>
          <w:kern w:val="0"/>
          <w:sz w:val="24"/>
          <w:szCs w:val="24"/>
          <w:lang w:eastAsia="en-GB"/>
          <w14:ligatures w14:val="none"/>
        </w:rPr>
      </w:pPr>
    </w:p>
    <w:p w14:paraId="668245FF" w14:textId="5172975C" w:rsidR="00A67A42" w:rsidRPr="00A67A42" w:rsidRDefault="00A67A42" w:rsidP="00A67A4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67A42">
        <w:rPr>
          <w:rFonts w:ascii="Times New Roman" w:eastAsia="Times New Roman" w:hAnsi="Times New Roman" w:cs="Times New Roman"/>
          <w:b/>
          <w:bCs/>
          <w:kern w:val="0"/>
          <w:sz w:val="27"/>
          <w:szCs w:val="27"/>
          <w:lang w:eastAsia="en-GB"/>
          <w14:ligatures w14:val="none"/>
        </w:rPr>
        <w:t xml:space="preserve">3. Conclusion and Recommendations </w:t>
      </w:r>
    </w:p>
    <w:p w14:paraId="2EC43DA6"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The NHS App represents a transformative digital innovation that has significantly influenced patient engagement, service delivery, and workforce dynamics within UK healthcare. It has improved access to services, reduced administrative inefficiencies, and supported greater patient autonomy. However, challenges remain regarding digital exclusion, data security, and workforce readiness. While the app aligns with NHS digital transformation goals, its long-term success depends on inclusive implementation and continuous evaluation of its social impact.</w:t>
      </w:r>
    </w:p>
    <w:p w14:paraId="397DE65E" w14:textId="77777777" w:rsidR="00A67A42" w:rsidRPr="00A67A42" w:rsidRDefault="00A67A42" w:rsidP="00A67A4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7A42">
        <w:rPr>
          <w:rFonts w:ascii="Times New Roman" w:eastAsia="Times New Roman" w:hAnsi="Times New Roman" w:cs="Times New Roman"/>
          <w:b/>
          <w:bCs/>
          <w:kern w:val="0"/>
          <w:sz w:val="24"/>
          <w:szCs w:val="24"/>
          <w:lang w:eastAsia="en-GB"/>
          <w14:ligatures w14:val="none"/>
        </w:rPr>
        <w:t>Key recommendations</w:t>
      </w:r>
      <w:r w:rsidRPr="00A67A42">
        <w:rPr>
          <w:rFonts w:ascii="Times New Roman" w:eastAsia="Times New Roman" w:hAnsi="Times New Roman" w:cs="Times New Roman"/>
          <w:kern w:val="0"/>
          <w:sz w:val="24"/>
          <w:szCs w:val="24"/>
          <w:lang w:eastAsia="en-GB"/>
          <w14:ligatures w14:val="none"/>
        </w:rPr>
        <w:t xml:space="preserve"> include:</w:t>
      </w:r>
    </w:p>
    <w:p w14:paraId="2DFB6E8E" w14:textId="77777777" w:rsidR="00A67A42" w:rsidRPr="00A67A42" w:rsidRDefault="00A67A42" w:rsidP="00A67A4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b/>
          <w:bCs/>
          <w:kern w:val="0"/>
          <w:lang w:eastAsia="en-GB"/>
          <w14:ligatures w14:val="none"/>
        </w:rPr>
        <w:t>Improving digital inclusion</w:t>
      </w:r>
      <w:r w:rsidRPr="00A67A42">
        <w:rPr>
          <w:rFonts w:ascii="Arial" w:eastAsia="Times New Roman" w:hAnsi="Arial" w:cs="Arial"/>
          <w:kern w:val="0"/>
          <w:lang w:eastAsia="en-GB"/>
          <w14:ligatures w14:val="none"/>
        </w:rPr>
        <w:t xml:space="preserve"> through targeted education, outreach, and simplified user design for disadvantaged populations.</w:t>
      </w:r>
    </w:p>
    <w:p w14:paraId="21CCFF3A" w14:textId="77777777" w:rsidR="00A67A42" w:rsidRPr="00A67A42" w:rsidRDefault="00A67A42" w:rsidP="00A67A4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b/>
          <w:bCs/>
          <w:kern w:val="0"/>
          <w:lang w:eastAsia="en-GB"/>
          <w14:ligatures w14:val="none"/>
        </w:rPr>
        <w:t>Investing in workforce training</w:t>
      </w:r>
      <w:r w:rsidRPr="00A67A42">
        <w:rPr>
          <w:rFonts w:ascii="Arial" w:eastAsia="Times New Roman" w:hAnsi="Arial" w:cs="Arial"/>
          <w:kern w:val="0"/>
          <w:lang w:eastAsia="en-GB"/>
          <w14:ligatures w14:val="none"/>
        </w:rPr>
        <w:t xml:space="preserve"> to strengthen digital competence and reduce technostress among NHS staff.</w:t>
      </w:r>
    </w:p>
    <w:p w14:paraId="50680C0B" w14:textId="77777777" w:rsidR="00A67A42" w:rsidRPr="00A67A42" w:rsidRDefault="00A67A42" w:rsidP="00A67A4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b/>
          <w:bCs/>
          <w:kern w:val="0"/>
          <w:lang w:eastAsia="en-GB"/>
          <w14:ligatures w14:val="none"/>
        </w:rPr>
        <w:t>Ensuring equitable service delivery</w:t>
      </w:r>
      <w:r w:rsidRPr="00A67A42">
        <w:rPr>
          <w:rFonts w:ascii="Arial" w:eastAsia="Times New Roman" w:hAnsi="Arial" w:cs="Arial"/>
          <w:kern w:val="0"/>
          <w:lang w:eastAsia="en-GB"/>
          <w14:ligatures w14:val="none"/>
        </w:rPr>
        <w:t xml:space="preserve"> by maintaining hybrid models of care (digital and in-person).</w:t>
      </w:r>
    </w:p>
    <w:p w14:paraId="42A2CFC6" w14:textId="77777777" w:rsidR="00A67A42" w:rsidRPr="00A67A42" w:rsidRDefault="00A67A42" w:rsidP="00A67A4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b/>
          <w:bCs/>
          <w:kern w:val="0"/>
          <w:lang w:eastAsia="en-GB"/>
          <w14:ligatures w14:val="none"/>
        </w:rPr>
        <w:t>Enhancing governance and cybersecurity</w:t>
      </w:r>
      <w:r w:rsidRPr="00A67A42">
        <w:rPr>
          <w:rFonts w:ascii="Arial" w:eastAsia="Times New Roman" w:hAnsi="Arial" w:cs="Arial"/>
          <w:kern w:val="0"/>
          <w:lang w:eastAsia="en-GB"/>
          <w14:ligatures w14:val="none"/>
        </w:rPr>
        <w:t xml:space="preserve"> to build public confidence in digital health systems.</w:t>
      </w:r>
    </w:p>
    <w:p w14:paraId="7B09A73B" w14:textId="77777777" w:rsidR="00A67A42" w:rsidRPr="00A67A42" w:rsidRDefault="00A67A42" w:rsidP="00A67A4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b/>
          <w:bCs/>
          <w:kern w:val="0"/>
          <w:lang w:eastAsia="en-GB"/>
          <w14:ligatures w14:val="none"/>
        </w:rPr>
        <w:t>Ongoing research and evaluation</w:t>
      </w:r>
      <w:r w:rsidRPr="00A67A42">
        <w:rPr>
          <w:rFonts w:ascii="Arial" w:eastAsia="Times New Roman" w:hAnsi="Arial" w:cs="Arial"/>
          <w:kern w:val="0"/>
          <w:lang w:eastAsia="en-GB"/>
          <w14:ligatures w14:val="none"/>
        </w:rPr>
        <w:t xml:space="preserve"> to monitor how digital health tools affect care quality and patient outcomes.</w:t>
      </w:r>
    </w:p>
    <w:p w14:paraId="3C618D80"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In conclusion, the NHS App exemplifies the potential of digital innovation to modernise healthcare, but its effectiveness relies on equitable access, staff support, and sustained policy commitment.</w:t>
      </w:r>
    </w:p>
    <w:p w14:paraId="057E4623" w14:textId="1E32D8F6" w:rsidR="00A67A42" w:rsidRPr="00A67A42" w:rsidRDefault="00A67A42" w:rsidP="00A67A42">
      <w:pPr>
        <w:spacing w:after="0" w:line="240" w:lineRule="auto"/>
        <w:rPr>
          <w:rFonts w:ascii="Times New Roman" w:eastAsia="Times New Roman" w:hAnsi="Times New Roman" w:cs="Times New Roman"/>
          <w:kern w:val="0"/>
          <w:lang w:eastAsia="en-GB"/>
          <w14:ligatures w14:val="none"/>
        </w:rPr>
      </w:pPr>
    </w:p>
    <w:p w14:paraId="58557000" w14:textId="00DED407" w:rsidR="00A67A42" w:rsidRPr="00A67A42" w:rsidRDefault="00A67A42" w:rsidP="00A67A4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67A42">
        <w:rPr>
          <w:rFonts w:ascii="Times New Roman" w:eastAsia="Times New Roman" w:hAnsi="Times New Roman" w:cs="Times New Roman"/>
          <w:b/>
          <w:bCs/>
          <w:kern w:val="0"/>
          <w:sz w:val="27"/>
          <w:szCs w:val="27"/>
          <w:lang w:eastAsia="en-GB"/>
          <w14:ligatures w14:val="none"/>
        </w:rPr>
        <w:t xml:space="preserve">4. Reference List </w:t>
      </w:r>
    </w:p>
    <w:p w14:paraId="60B68E2F"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BMA (2022) </w:t>
      </w:r>
      <w:r w:rsidRPr="00A67A42">
        <w:rPr>
          <w:rFonts w:ascii="Arial" w:eastAsia="Times New Roman" w:hAnsi="Arial" w:cs="Arial"/>
          <w:i/>
          <w:iCs/>
          <w:kern w:val="0"/>
          <w:lang w:eastAsia="en-GB"/>
          <w14:ligatures w14:val="none"/>
        </w:rPr>
        <w:t>Digital technology and the NHS: Workforce implications.</w:t>
      </w:r>
      <w:r w:rsidRPr="00A67A42">
        <w:rPr>
          <w:rFonts w:ascii="Arial" w:eastAsia="Times New Roman" w:hAnsi="Arial" w:cs="Arial"/>
          <w:kern w:val="0"/>
          <w:lang w:eastAsia="en-GB"/>
          <w14:ligatures w14:val="none"/>
        </w:rPr>
        <w:t xml:space="preserve"> London: British Medical Association.</w:t>
      </w:r>
    </w:p>
    <w:p w14:paraId="56798746"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lastRenderedPageBreak/>
        <w:t xml:space="preserve">Greenhalgh, T., </w:t>
      </w:r>
      <w:proofErr w:type="spellStart"/>
      <w:r w:rsidRPr="00A67A42">
        <w:rPr>
          <w:rFonts w:ascii="Arial" w:eastAsia="Times New Roman" w:hAnsi="Arial" w:cs="Arial"/>
          <w:kern w:val="0"/>
          <w:lang w:eastAsia="en-GB"/>
          <w14:ligatures w14:val="none"/>
        </w:rPr>
        <w:t>Wherton</w:t>
      </w:r>
      <w:proofErr w:type="spellEnd"/>
      <w:r w:rsidRPr="00A67A42">
        <w:rPr>
          <w:rFonts w:ascii="Arial" w:eastAsia="Times New Roman" w:hAnsi="Arial" w:cs="Arial"/>
          <w:kern w:val="0"/>
          <w:lang w:eastAsia="en-GB"/>
          <w14:ligatures w14:val="none"/>
        </w:rPr>
        <w:t xml:space="preserve">, J., Papoutsi, C. and Shaw, S. (2020) ‘Beyond Adoption: A New Framework for Theorizing and Evaluating </w:t>
      </w:r>
      <w:proofErr w:type="spellStart"/>
      <w:r w:rsidRPr="00A67A42">
        <w:rPr>
          <w:rFonts w:ascii="Arial" w:eastAsia="Times New Roman" w:hAnsi="Arial" w:cs="Arial"/>
          <w:kern w:val="0"/>
          <w:lang w:eastAsia="en-GB"/>
          <w14:ligatures w14:val="none"/>
        </w:rPr>
        <w:t>Nonadoption</w:t>
      </w:r>
      <w:proofErr w:type="spellEnd"/>
      <w:r w:rsidRPr="00A67A42">
        <w:rPr>
          <w:rFonts w:ascii="Arial" w:eastAsia="Times New Roman" w:hAnsi="Arial" w:cs="Arial"/>
          <w:kern w:val="0"/>
          <w:lang w:eastAsia="en-GB"/>
          <w14:ligatures w14:val="none"/>
        </w:rPr>
        <w:t xml:space="preserve">, Abandonment, and Challenges to the Scale-Up of Health and Care Technologies’, </w:t>
      </w:r>
      <w:r w:rsidRPr="00A67A42">
        <w:rPr>
          <w:rFonts w:ascii="Arial" w:eastAsia="Times New Roman" w:hAnsi="Arial" w:cs="Arial"/>
          <w:i/>
          <w:iCs/>
          <w:kern w:val="0"/>
          <w:lang w:eastAsia="en-GB"/>
          <w14:ligatures w14:val="none"/>
        </w:rPr>
        <w:t>Journal of Medical Internet Research,</w:t>
      </w:r>
      <w:r w:rsidRPr="00A67A42">
        <w:rPr>
          <w:rFonts w:ascii="Arial" w:eastAsia="Times New Roman" w:hAnsi="Arial" w:cs="Arial"/>
          <w:kern w:val="0"/>
          <w:lang w:eastAsia="en-GB"/>
          <w14:ligatures w14:val="none"/>
        </w:rPr>
        <w:t xml:space="preserve"> 22(11), pp. 1–12.</w:t>
      </w:r>
    </w:p>
    <w:p w14:paraId="0F477F58"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Health Education England (2021) </w:t>
      </w:r>
      <w:r w:rsidRPr="00A67A42">
        <w:rPr>
          <w:rFonts w:ascii="Arial" w:eastAsia="Times New Roman" w:hAnsi="Arial" w:cs="Arial"/>
          <w:i/>
          <w:iCs/>
          <w:kern w:val="0"/>
          <w:lang w:eastAsia="en-GB"/>
          <w14:ligatures w14:val="none"/>
        </w:rPr>
        <w:t>Digital readiness programme: Building a digitally capable workforce.</w:t>
      </w:r>
      <w:r w:rsidRPr="00A67A42">
        <w:rPr>
          <w:rFonts w:ascii="Arial" w:eastAsia="Times New Roman" w:hAnsi="Arial" w:cs="Arial"/>
          <w:kern w:val="0"/>
          <w:lang w:eastAsia="en-GB"/>
          <w14:ligatures w14:val="none"/>
        </w:rPr>
        <w:t xml:space="preserve"> London: HEE.</w:t>
      </w:r>
    </w:p>
    <w:p w14:paraId="44ED108F"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House of Commons Health Committee (2022) </w:t>
      </w:r>
      <w:r w:rsidRPr="00A67A42">
        <w:rPr>
          <w:rFonts w:ascii="Arial" w:eastAsia="Times New Roman" w:hAnsi="Arial" w:cs="Arial"/>
          <w:i/>
          <w:iCs/>
          <w:kern w:val="0"/>
          <w:lang w:eastAsia="en-GB"/>
          <w14:ligatures w14:val="none"/>
        </w:rPr>
        <w:t>Digital transformation in the NHS.</w:t>
      </w:r>
      <w:r w:rsidRPr="00A67A42">
        <w:rPr>
          <w:rFonts w:ascii="Arial" w:eastAsia="Times New Roman" w:hAnsi="Arial" w:cs="Arial"/>
          <w:kern w:val="0"/>
          <w:lang w:eastAsia="en-GB"/>
          <w14:ligatures w14:val="none"/>
        </w:rPr>
        <w:t xml:space="preserve"> London: UK Parliament.</w:t>
      </w:r>
    </w:p>
    <w:p w14:paraId="55A123A0"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King’s Fund (2021) </w:t>
      </w:r>
      <w:r w:rsidRPr="00A67A42">
        <w:rPr>
          <w:rFonts w:ascii="Arial" w:eastAsia="Times New Roman" w:hAnsi="Arial" w:cs="Arial"/>
          <w:i/>
          <w:iCs/>
          <w:kern w:val="0"/>
          <w:lang w:eastAsia="en-GB"/>
          <w14:ligatures w14:val="none"/>
        </w:rPr>
        <w:t>The digital future of primary care.</w:t>
      </w:r>
      <w:r w:rsidRPr="00A67A42">
        <w:rPr>
          <w:rFonts w:ascii="Arial" w:eastAsia="Times New Roman" w:hAnsi="Arial" w:cs="Arial"/>
          <w:kern w:val="0"/>
          <w:lang w:eastAsia="en-GB"/>
          <w14:ligatures w14:val="none"/>
        </w:rPr>
        <w:t xml:space="preserve"> London: The King’s Fund.</w:t>
      </w:r>
    </w:p>
    <w:p w14:paraId="21E09DA0"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Majeed, A., Maile, E.J. and </w:t>
      </w:r>
      <w:proofErr w:type="spellStart"/>
      <w:r w:rsidRPr="00A67A42">
        <w:rPr>
          <w:rFonts w:ascii="Arial" w:eastAsia="Times New Roman" w:hAnsi="Arial" w:cs="Arial"/>
          <w:kern w:val="0"/>
          <w:lang w:eastAsia="en-GB"/>
          <w14:ligatures w14:val="none"/>
        </w:rPr>
        <w:t>Coronini</w:t>
      </w:r>
      <w:proofErr w:type="spellEnd"/>
      <w:r w:rsidRPr="00A67A42">
        <w:rPr>
          <w:rFonts w:ascii="Arial" w:eastAsia="Times New Roman" w:hAnsi="Arial" w:cs="Arial"/>
          <w:kern w:val="0"/>
          <w:lang w:eastAsia="en-GB"/>
          <w14:ligatures w14:val="none"/>
        </w:rPr>
        <w:t xml:space="preserve">-Cronberg, S. (2021) ‘Digital inequality and the digital divide in healthcare’, </w:t>
      </w:r>
      <w:r w:rsidRPr="00A67A42">
        <w:rPr>
          <w:rFonts w:ascii="Arial" w:eastAsia="Times New Roman" w:hAnsi="Arial" w:cs="Arial"/>
          <w:i/>
          <w:iCs/>
          <w:kern w:val="0"/>
          <w:lang w:eastAsia="en-GB"/>
          <w14:ligatures w14:val="none"/>
        </w:rPr>
        <w:t>BMJ,</w:t>
      </w:r>
      <w:r w:rsidRPr="00A67A42">
        <w:rPr>
          <w:rFonts w:ascii="Arial" w:eastAsia="Times New Roman" w:hAnsi="Arial" w:cs="Arial"/>
          <w:kern w:val="0"/>
          <w:lang w:eastAsia="en-GB"/>
          <w14:ligatures w14:val="none"/>
        </w:rPr>
        <w:t xml:space="preserve"> 372(365), pp. 1–3.</w:t>
      </w:r>
    </w:p>
    <w:p w14:paraId="410BB733"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NHS Confederation (2021) </w:t>
      </w:r>
      <w:r w:rsidRPr="00A67A42">
        <w:rPr>
          <w:rFonts w:ascii="Arial" w:eastAsia="Times New Roman" w:hAnsi="Arial" w:cs="Arial"/>
          <w:i/>
          <w:iCs/>
          <w:kern w:val="0"/>
          <w:lang w:eastAsia="en-GB"/>
          <w14:ligatures w14:val="none"/>
        </w:rPr>
        <w:t>The role of digital technology in health service transformation.</w:t>
      </w:r>
      <w:r w:rsidRPr="00A67A42">
        <w:rPr>
          <w:rFonts w:ascii="Arial" w:eastAsia="Times New Roman" w:hAnsi="Arial" w:cs="Arial"/>
          <w:kern w:val="0"/>
          <w:lang w:eastAsia="en-GB"/>
          <w14:ligatures w14:val="none"/>
        </w:rPr>
        <w:t xml:space="preserve"> London: NHS Confederation.</w:t>
      </w:r>
    </w:p>
    <w:p w14:paraId="79800294"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NHS Digital (2023) </w:t>
      </w:r>
      <w:r w:rsidRPr="00A67A42">
        <w:rPr>
          <w:rFonts w:ascii="Arial" w:eastAsia="Times New Roman" w:hAnsi="Arial" w:cs="Arial"/>
          <w:i/>
          <w:iCs/>
          <w:kern w:val="0"/>
          <w:lang w:eastAsia="en-GB"/>
          <w14:ligatures w14:val="none"/>
        </w:rPr>
        <w:t>NHS App Statistics, 2023 update.</w:t>
      </w:r>
      <w:r w:rsidRPr="00A67A42">
        <w:rPr>
          <w:rFonts w:ascii="Arial" w:eastAsia="Times New Roman" w:hAnsi="Arial" w:cs="Arial"/>
          <w:kern w:val="0"/>
          <w:lang w:eastAsia="en-GB"/>
          <w14:ligatures w14:val="none"/>
        </w:rPr>
        <w:t xml:space="preserve"> London: NHS Digital.</w:t>
      </w:r>
    </w:p>
    <w:p w14:paraId="3EEFECEA"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NHS England (2019) </w:t>
      </w:r>
      <w:r w:rsidRPr="00A67A42">
        <w:rPr>
          <w:rFonts w:ascii="Arial" w:eastAsia="Times New Roman" w:hAnsi="Arial" w:cs="Arial"/>
          <w:i/>
          <w:iCs/>
          <w:kern w:val="0"/>
          <w:lang w:eastAsia="en-GB"/>
          <w14:ligatures w14:val="none"/>
        </w:rPr>
        <w:t>The NHS Long Term Plan.</w:t>
      </w:r>
      <w:r w:rsidRPr="00A67A42">
        <w:rPr>
          <w:rFonts w:ascii="Arial" w:eastAsia="Times New Roman" w:hAnsi="Arial" w:cs="Arial"/>
          <w:kern w:val="0"/>
          <w:lang w:eastAsia="en-GB"/>
          <w14:ligatures w14:val="none"/>
        </w:rPr>
        <w:t xml:space="preserve"> London: Department of Health and Social Care.</w:t>
      </w:r>
    </w:p>
    <w:p w14:paraId="15609E4F"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NHS England (2022) </w:t>
      </w:r>
      <w:r w:rsidRPr="00A67A42">
        <w:rPr>
          <w:rFonts w:ascii="Arial" w:eastAsia="Times New Roman" w:hAnsi="Arial" w:cs="Arial"/>
          <w:i/>
          <w:iCs/>
          <w:kern w:val="0"/>
          <w:lang w:eastAsia="en-GB"/>
          <w14:ligatures w14:val="none"/>
        </w:rPr>
        <w:t>Digital transformation in health and care: What good looks like.</w:t>
      </w:r>
      <w:r w:rsidRPr="00A67A42">
        <w:rPr>
          <w:rFonts w:ascii="Arial" w:eastAsia="Times New Roman" w:hAnsi="Arial" w:cs="Arial"/>
          <w:kern w:val="0"/>
          <w:lang w:eastAsia="en-GB"/>
          <w14:ligatures w14:val="none"/>
        </w:rPr>
        <w:t xml:space="preserve"> London: NHS England.</w:t>
      </w:r>
    </w:p>
    <w:p w14:paraId="36A5F33F"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Nuffield Trust (2023) </w:t>
      </w:r>
      <w:r w:rsidRPr="00A67A42">
        <w:rPr>
          <w:rFonts w:ascii="Arial" w:eastAsia="Times New Roman" w:hAnsi="Arial" w:cs="Arial"/>
          <w:i/>
          <w:iCs/>
          <w:kern w:val="0"/>
          <w:lang w:eastAsia="en-GB"/>
          <w14:ligatures w14:val="none"/>
        </w:rPr>
        <w:t>The cost and sustainability of NHS digital transformation.</w:t>
      </w:r>
      <w:r w:rsidRPr="00A67A42">
        <w:rPr>
          <w:rFonts w:ascii="Arial" w:eastAsia="Times New Roman" w:hAnsi="Arial" w:cs="Arial"/>
          <w:kern w:val="0"/>
          <w:lang w:eastAsia="en-GB"/>
          <w14:ligatures w14:val="none"/>
        </w:rPr>
        <w:t xml:space="preserve"> London: Nuffield Trust.</w:t>
      </w:r>
    </w:p>
    <w:p w14:paraId="17719AB8"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Public Health England (2022) </w:t>
      </w:r>
      <w:r w:rsidRPr="00A67A42">
        <w:rPr>
          <w:rFonts w:ascii="Arial" w:eastAsia="Times New Roman" w:hAnsi="Arial" w:cs="Arial"/>
          <w:i/>
          <w:iCs/>
          <w:kern w:val="0"/>
          <w:lang w:eastAsia="en-GB"/>
          <w14:ligatures w14:val="none"/>
        </w:rPr>
        <w:t>COVID-19 digital response and lessons learned.</w:t>
      </w:r>
      <w:r w:rsidRPr="00A67A42">
        <w:rPr>
          <w:rFonts w:ascii="Arial" w:eastAsia="Times New Roman" w:hAnsi="Arial" w:cs="Arial"/>
          <w:kern w:val="0"/>
          <w:lang w:eastAsia="en-GB"/>
          <w14:ligatures w14:val="none"/>
        </w:rPr>
        <w:t xml:space="preserve"> London: PHE.</w:t>
      </w:r>
    </w:p>
    <w:p w14:paraId="7C494EB8"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Tarafdar, M., Cooper, C.L. and Stich, J. (2020) ‘The technostress trifecta’, </w:t>
      </w:r>
      <w:r w:rsidRPr="00A67A42">
        <w:rPr>
          <w:rFonts w:ascii="Arial" w:eastAsia="Times New Roman" w:hAnsi="Arial" w:cs="Arial"/>
          <w:i/>
          <w:iCs/>
          <w:kern w:val="0"/>
          <w:lang w:eastAsia="en-GB"/>
          <w14:ligatures w14:val="none"/>
        </w:rPr>
        <w:t>Organizational Dynamics,</w:t>
      </w:r>
      <w:r w:rsidRPr="00A67A42">
        <w:rPr>
          <w:rFonts w:ascii="Arial" w:eastAsia="Times New Roman" w:hAnsi="Arial" w:cs="Arial"/>
          <w:kern w:val="0"/>
          <w:lang w:eastAsia="en-GB"/>
          <w14:ligatures w14:val="none"/>
        </w:rPr>
        <w:t xml:space="preserve"> 49(1), pp. 1–10.</w:t>
      </w:r>
    </w:p>
    <w:p w14:paraId="235DECCB" w14:textId="77777777" w:rsidR="00A67A42" w:rsidRPr="00A67A42" w:rsidRDefault="00A67A42" w:rsidP="00A67A42">
      <w:pPr>
        <w:spacing w:before="100" w:beforeAutospacing="1" w:after="100" w:afterAutospacing="1" w:line="240" w:lineRule="auto"/>
        <w:rPr>
          <w:rFonts w:ascii="Arial" w:eastAsia="Times New Roman" w:hAnsi="Arial" w:cs="Arial"/>
          <w:kern w:val="0"/>
          <w:lang w:eastAsia="en-GB"/>
          <w14:ligatures w14:val="none"/>
        </w:rPr>
      </w:pPr>
      <w:r w:rsidRPr="00A67A42">
        <w:rPr>
          <w:rFonts w:ascii="Arial" w:eastAsia="Times New Roman" w:hAnsi="Arial" w:cs="Arial"/>
          <w:kern w:val="0"/>
          <w:lang w:eastAsia="en-GB"/>
          <w14:ligatures w14:val="none"/>
        </w:rPr>
        <w:t xml:space="preserve">Watson, R., Williams, L. and Harper, K. (2022) ‘Evaluating patient satisfaction with the NHS App’, </w:t>
      </w:r>
      <w:r w:rsidRPr="00A67A42">
        <w:rPr>
          <w:rFonts w:ascii="Arial" w:eastAsia="Times New Roman" w:hAnsi="Arial" w:cs="Arial"/>
          <w:i/>
          <w:iCs/>
          <w:kern w:val="0"/>
          <w:lang w:eastAsia="en-GB"/>
          <w14:ligatures w14:val="none"/>
        </w:rPr>
        <w:t>British Journal of Healthcare Management,</w:t>
      </w:r>
      <w:r w:rsidRPr="00A67A42">
        <w:rPr>
          <w:rFonts w:ascii="Arial" w:eastAsia="Times New Roman" w:hAnsi="Arial" w:cs="Arial"/>
          <w:kern w:val="0"/>
          <w:lang w:eastAsia="en-GB"/>
          <w14:ligatures w14:val="none"/>
        </w:rPr>
        <w:t xml:space="preserve"> 28(6), pp. 1–8.</w:t>
      </w:r>
    </w:p>
    <w:p w14:paraId="6551FCA3" w14:textId="68BDE73D" w:rsidR="00A67A42" w:rsidRPr="00A67A42" w:rsidRDefault="00A67A42" w:rsidP="00A67A42">
      <w:pPr>
        <w:spacing w:after="0" w:line="240" w:lineRule="auto"/>
        <w:rPr>
          <w:rFonts w:ascii="Times New Roman" w:eastAsia="Times New Roman" w:hAnsi="Times New Roman" w:cs="Times New Roman"/>
          <w:kern w:val="0"/>
          <w:lang w:eastAsia="en-GB"/>
          <w14:ligatures w14:val="none"/>
        </w:rPr>
      </w:pPr>
    </w:p>
    <w:sectPr w:rsidR="00A67A42" w:rsidRPr="00A67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673352"/>
    <w:multiLevelType w:val="multilevel"/>
    <w:tmpl w:val="1BB67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235A29"/>
    <w:multiLevelType w:val="multilevel"/>
    <w:tmpl w:val="3AB6A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9581540">
    <w:abstractNumId w:val="1"/>
  </w:num>
  <w:num w:numId="2" w16cid:durableId="753742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67A42"/>
    <w:rsid w:val="002F0625"/>
    <w:rsid w:val="007A6FA0"/>
    <w:rsid w:val="00815CAB"/>
    <w:rsid w:val="00A607A8"/>
    <w:rsid w:val="00A67A42"/>
    <w:rsid w:val="00B120A5"/>
    <w:rsid w:val="00B24653"/>
    <w:rsid w:val="00B50374"/>
    <w:rsid w:val="00BC24FA"/>
    <w:rsid w:val="00C645F6"/>
    <w:rsid w:val="00FE0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03A8D"/>
  <w15:chartTrackingRefBased/>
  <w15:docId w15:val="{4A9D0E52-444D-4A51-82FA-29E959601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A4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67A4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7A4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7A4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7A4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7A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A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A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A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A4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67A4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7A4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7A4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7A4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7A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A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A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A42"/>
    <w:rPr>
      <w:rFonts w:eastAsiaTheme="majorEastAsia" w:cstheme="majorBidi"/>
      <w:color w:val="272727" w:themeColor="text1" w:themeTint="D8"/>
    </w:rPr>
  </w:style>
  <w:style w:type="paragraph" w:styleId="Title">
    <w:name w:val="Title"/>
    <w:basedOn w:val="Normal"/>
    <w:next w:val="Normal"/>
    <w:link w:val="TitleChar"/>
    <w:uiPriority w:val="10"/>
    <w:qFormat/>
    <w:rsid w:val="00A67A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A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A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A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A42"/>
    <w:pPr>
      <w:spacing w:before="160"/>
      <w:jc w:val="center"/>
    </w:pPr>
    <w:rPr>
      <w:i/>
      <w:iCs/>
      <w:color w:val="404040" w:themeColor="text1" w:themeTint="BF"/>
    </w:rPr>
  </w:style>
  <w:style w:type="character" w:customStyle="1" w:styleId="QuoteChar">
    <w:name w:val="Quote Char"/>
    <w:basedOn w:val="DefaultParagraphFont"/>
    <w:link w:val="Quote"/>
    <w:uiPriority w:val="29"/>
    <w:rsid w:val="00A67A42"/>
    <w:rPr>
      <w:i/>
      <w:iCs/>
      <w:color w:val="404040" w:themeColor="text1" w:themeTint="BF"/>
    </w:rPr>
  </w:style>
  <w:style w:type="paragraph" w:styleId="ListParagraph">
    <w:name w:val="List Paragraph"/>
    <w:basedOn w:val="Normal"/>
    <w:uiPriority w:val="34"/>
    <w:qFormat/>
    <w:rsid w:val="00A67A42"/>
    <w:pPr>
      <w:ind w:left="720"/>
      <w:contextualSpacing/>
    </w:pPr>
  </w:style>
  <w:style w:type="character" w:styleId="IntenseEmphasis">
    <w:name w:val="Intense Emphasis"/>
    <w:basedOn w:val="DefaultParagraphFont"/>
    <w:uiPriority w:val="21"/>
    <w:qFormat/>
    <w:rsid w:val="00A67A42"/>
    <w:rPr>
      <w:i/>
      <w:iCs/>
      <w:color w:val="2F5496" w:themeColor="accent1" w:themeShade="BF"/>
    </w:rPr>
  </w:style>
  <w:style w:type="paragraph" w:styleId="IntenseQuote">
    <w:name w:val="Intense Quote"/>
    <w:basedOn w:val="Normal"/>
    <w:next w:val="Normal"/>
    <w:link w:val="IntenseQuoteChar"/>
    <w:uiPriority w:val="30"/>
    <w:qFormat/>
    <w:rsid w:val="00A67A4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7A42"/>
    <w:rPr>
      <w:i/>
      <w:iCs/>
      <w:color w:val="2F5496" w:themeColor="accent1" w:themeShade="BF"/>
    </w:rPr>
  </w:style>
  <w:style w:type="character" w:styleId="IntenseReference">
    <w:name w:val="Intense Reference"/>
    <w:basedOn w:val="DefaultParagraphFont"/>
    <w:uiPriority w:val="32"/>
    <w:qFormat/>
    <w:rsid w:val="00A67A4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anorama.solutions/zh-hans/organisation/university-wales-trinity-saint-david"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5</Pages>
  <Words>1583</Words>
  <Characters>9029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Carpenter</dc:creator>
  <cp:keywords/>
  <dc:description/>
  <cp:lastModifiedBy>Tina Carpenter</cp:lastModifiedBy>
  <cp:revision>1</cp:revision>
  <dcterms:created xsi:type="dcterms:W3CDTF">2025-10-25T15:52:00Z</dcterms:created>
  <dcterms:modified xsi:type="dcterms:W3CDTF">2025-10-25T16:36:00Z</dcterms:modified>
</cp:coreProperties>
</file>