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3B729" w14:textId="77777777" w:rsidR="004C6C03" w:rsidRDefault="004C6C03" w:rsidP="004C6C03">
      <w:pPr>
        <w:rPr>
          <w:lang w:eastAsia="en-GB"/>
        </w:rPr>
      </w:pPr>
      <w:r>
        <w:rPr>
          <w:lang w:eastAsia="en-GB"/>
        </w:rPr>
        <w:t xml:space="preserve">1.1 </w:t>
      </w:r>
    </w:p>
    <w:p w14:paraId="473696F5" w14:textId="77777777" w:rsidR="00055AE5" w:rsidRDefault="00055AE5" w:rsidP="004C6C03">
      <w:pPr>
        <w:rPr>
          <w:lang w:eastAsia="en-GB"/>
        </w:rPr>
      </w:pPr>
      <w:r w:rsidRPr="00055AE5">
        <w:rPr>
          <w:lang w:eastAsia="en-GB"/>
        </w:rPr>
        <w:t>The term “evidence-based practice” was first used within the field of medicine in the 1990s, but has since been translated to many other fields including HR management, to refer to the approach of using robust and credible evidence to justify views and decisions within the field. When combined with logical reasoning and the application of critical thinking (see 1.3), evidence-based practice is believed to be of moral significance to high quality HR management</w:t>
      </w:r>
      <w:r w:rsidR="001B071D">
        <w:rPr>
          <w:lang w:eastAsia="en-GB"/>
        </w:rPr>
        <w:t xml:space="preserve"> </w:t>
      </w:r>
      <w:r w:rsidRPr="00055AE5">
        <w:rPr>
          <w:lang w:eastAsia="en-GB"/>
        </w:rPr>
        <w:t>as making managerial decisions based on poorly sourced evidence, or none at all, can sometimes lead to disappointing or undesirable outcomes that determine the success of business and the livelihoods of those affected (Barends</w:t>
      </w:r>
      <w:r>
        <w:rPr>
          <w:lang w:eastAsia="en-GB"/>
        </w:rPr>
        <w:t xml:space="preserve"> et al.</w:t>
      </w:r>
      <w:r w:rsidRPr="00055AE5">
        <w:rPr>
          <w:lang w:eastAsia="en-GB"/>
        </w:rPr>
        <w:t>, 2014). Taking the best available evidence into consideration is a principle that can be used to support decision-making and heighten the quality of work, however it is not always implemented across</w:t>
      </w:r>
      <w:r>
        <w:rPr>
          <w:lang w:eastAsia="en-GB"/>
        </w:rPr>
        <w:t xml:space="preserve"> the board by HR practitioners, a concept sometimes referred to as the “research-practice gap”.</w:t>
      </w:r>
      <w:r>
        <w:rPr>
          <w:rFonts w:ascii="Times New Roman" w:hAnsi="Times New Roman" w:cs="Times New Roman"/>
          <w:sz w:val="24"/>
          <w:szCs w:val="24"/>
          <w:lang w:eastAsia="en-GB"/>
        </w:rPr>
        <w:t xml:space="preserve"> </w:t>
      </w:r>
      <w:r>
        <w:t>In a 2017</w:t>
      </w:r>
      <w:r w:rsidR="001B071D">
        <w:t xml:space="preserve"> study,</w:t>
      </w:r>
      <w:r>
        <w:t xml:space="preserve"> it was found that despite having positive attitudes towards evidence based practice, managers were far more likely to use the most readily available information such as personal experience, intuition and knowledge acquired through formal education than they were to use scientific research and peer reviewed academic journals (Barends et al., 2017). Furthermore, the “knowing-doing gap” </w:t>
      </w:r>
      <w:r w:rsidR="00FA4CFF">
        <w:t xml:space="preserve">describes </w:t>
      </w:r>
      <w:r>
        <w:t xml:space="preserve">the gap between intention and action when managers fail to implement successful performance strategies despite having attained the relevant information </w:t>
      </w:r>
      <w:r w:rsidRPr="00055AE5">
        <w:rPr>
          <w:lang w:eastAsia="en-GB"/>
        </w:rPr>
        <w:t>(Pfeffer and Sutton, 1999)</w:t>
      </w:r>
      <w:r>
        <w:rPr>
          <w:lang w:eastAsia="en-GB"/>
        </w:rPr>
        <w:t>.</w:t>
      </w:r>
    </w:p>
    <w:p w14:paraId="144A009C" w14:textId="77777777" w:rsidR="004C6C03" w:rsidRPr="004C6C03" w:rsidRDefault="001B071D" w:rsidP="004C6C03">
      <w:r>
        <w:t>T</w:t>
      </w:r>
      <w:r w:rsidR="00055AE5">
        <w:t>here are frameworks that outline how and where to begin</w:t>
      </w:r>
      <w:r>
        <w:t xml:space="preserve"> conducting evidence-based practice</w:t>
      </w:r>
      <w:r w:rsidR="00055AE5">
        <w:t xml:space="preserve">. The “Six Steps” breaks down evidence-based practice into six </w:t>
      </w:r>
      <w:proofErr w:type="gramStart"/>
      <w:r w:rsidR="00055AE5">
        <w:t>steps;</w:t>
      </w:r>
      <w:proofErr w:type="gramEnd"/>
      <w:r w:rsidR="00055AE5">
        <w:t xml:space="preserve"> Asking, Acquiring, Appraising, Aggregating, Applying and Assessing. Firstly, the issue at hand must be converted into a question, then information and evidence must be gathered, and critically appraised and pulled together before being incorporated into the decision-making process. Finally, the outcome of the decision must be evaluated after the fact and the lessons drawn should highlight what worked and what didn’t. The lesson learned will leave managers better equipped for the next problem they face (Barends et al., 2014).</w:t>
      </w:r>
    </w:p>
    <w:p w14:paraId="76061EB6" w14:textId="77777777" w:rsidR="004C6C03" w:rsidRPr="004C6C03" w:rsidRDefault="004C6C03" w:rsidP="004C6C03">
      <w:pPr>
        <w:rPr>
          <w:rFonts w:ascii="Times New Roman" w:hAnsi="Times New Roman" w:cs="Times New Roman"/>
          <w:sz w:val="24"/>
          <w:szCs w:val="24"/>
          <w:lang w:eastAsia="en-GB"/>
        </w:rPr>
      </w:pPr>
      <w:r w:rsidRPr="004C6C03">
        <w:rPr>
          <w:lang w:eastAsia="en-GB"/>
        </w:rPr>
        <w:t>There are four categories of evidence that should be considered by a practitioner in a</w:t>
      </w:r>
      <w:r w:rsidR="00A45240">
        <w:rPr>
          <w:lang w:eastAsia="en-GB"/>
        </w:rPr>
        <w:t xml:space="preserve">n evidence-based </w:t>
      </w:r>
      <w:r w:rsidRPr="004C6C03">
        <w:rPr>
          <w:lang w:eastAsia="en-GB"/>
        </w:rPr>
        <w:t xml:space="preserve">approach, known as the “four sources”. The first is “scientific evidence”, which refers to the findings of scientific research published in academic journals. Academic literature is an excellent source as it is anonymously scrutinised by specialists in the field and extensively redrafted before publication. There are reports and studies that have been conducted on many relevant topics from employee recruitment, retention and incentivisation to effective communication to name a few, that can help inform decisions (Barends, 2014). Topic areas outside of management that people practitioners may find relevant include neuroscience, occupational psychology, sociology of work, behavioural and labour market economics, employment law, business ethics, business history and human geography (Taylor and Woodhams, 2016). </w:t>
      </w:r>
      <w:r w:rsidR="005D0B41">
        <w:rPr>
          <w:lang w:eastAsia="en-GB"/>
        </w:rPr>
        <w:t xml:space="preserve">It’s </w:t>
      </w:r>
      <w:r w:rsidRPr="004C6C03">
        <w:rPr>
          <w:lang w:eastAsia="en-GB"/>
        </w:rPr>
        <w:t>important to bear in mind that new research is constantly being produced therefore it’s imperative to verify that the sources used are credible and up-to-date. </w:t>
      </w:r>
    </w:p>
    <w:p w14:paraId="63D5153D" w14:textId="77777777" w:rsidR="004C6C03" w:rsidRPr="004C6C03" w:rsidRDefault="004C6C03" w:rsidP="004C6C03">
      <w:pPr>
        <w:rPr>
          <w:rFonts w:ascii="Times New Roman" w:hAnsi="Times New Roman" w:cs="Times New Roman"/>
          <w:sz w:val="24"/>
          <w:szCs w:val="24"/>
          <w:lang w:eastAsia="en-GB"/>
        </w:rPr>
      </w:pPr>
      <w:r w:rsidRPr="004C6C03">
        <w:rPr>
          <w:lang w:eastAsia="en-GB"/>
        </w:rPr>
        <w:t xml:space="preserve">The second type of evidence is “organisational evidence” which includes quantitative and qualitative research gathered internally, whether it is financial statistics from the database or the results of customer and employee surveys. This evidence is easy to access and is key to identifying the issues within the organisation that </w:t>
      </w:r>
      <w:proofErr w:type="gramStart"/>
      <w:r w:rsidRPr="004C6C03">
        <w:rPr>
          <w:lang w:eastAsia="en-GB"/>
        </w:rPr>
        <w:t>are in need of</w:t>
      </w:r>
      <w:proofErr w:type="gramEnd"/>
      <w:r w:rsidRPr="004C6C03">
        <w:rPr>
          <w:lang w:eastAsia="en-GB"/>
        </w:rPr>
        <w:t xml:space="preserve"> attention (Barends, 2014).</w:t>
      </w:r>
    </w:p>
    <w:p w14:paraId="009CBF5F" w14:textId="77777777" w:rsidR="004C6C03" w:rsidRPr="004C6C03" w:rsidRDefault="004C6C03" w:rsidP="004C6C03">
      <w:pPr>
        <w:rPr>
          <w:rFonts w:ascii="Times New Roman" w:hAnsi="Times New Roman" w:cs="Times New Roman"/>
          <w:sz w:val="24"/>
          <w:szCs w:val="24"/>
          <w:lang w:eastAsia="en-GB"/>
        </w:rPr>
      </w:pPr>
      <w:r w:rsidRPr="004C6C03">
        <w:rPr>
          <w:lang w:eastAsia="en-GB"/>
        </w:rPr>
        <w:lastRenderedPageBreak/>
        <w:t>Thirdly, there is “experiential evidence” which is the specialised experience and judgements of other professionals within the field. This can be applied effectively when looking at the actions taken and the critical reflections made by other HR managers and practitioners in similar situations to the current issue (Barends, 2014). </w:t>
      </w:r>
    </w:p>
    <w:p w14:paraId="18665CCE" w14:textId="77777777" w:rsidR="009D41F4" w:rsidRDefault="004C6C03" w:rsidP="009D41F4">
      <w:pPr>
        <w:rPr>
          <w:lang w:eastAsia="en-GB"/>
        </w:rPr>
      </w:pPr>
      <w:r w:rsidRPr="004C6C03">
        <w:rPr>
          <w:lang w:eastAsia="en-GB"/>
        </w:rPr>
        <w:t>Finally, “stakeholder evidence” refers to the values and concerns of stakeholders; those who a</w:t>
      </w:r>
      <w:r w:rsidR="00FA4CFF">
        <w:rPr>
          <w:lang w:eastAsia="en-GB"/>
        </w:rPr>
        <w:t>re impacted by the decisions, w</w:t>
      </w:r>
      <w:r w:rsidRPr="004C6C03">
        <w:rPr>
          <w:lang w:eastAsia="en-GB"/>
        </w:rPr>
        <w:t>hich can include internal stakeholders such as employees, managers and board members, or external stakeholders such as customers, suppliers, shareholders, the government and the general public. This type of evidence is pertinent to gauging the reaction and reception of HR decisions</w:t>
      </w:r>
      <w:r w:rsidR="0053195E">
        <w:rPr>
          <w:lang w:eastAsia="en-GB"/>
        </w:rPr>
        <w:t xml:space="preserve">, and ensuring that they are ethical </w:t>
      </w:r>
      <w:r w:rsidRPr="004C6C03">
        <w:rPr>
          <w:lang w:eastAsia="en-GB"/>
        </w:rPr>
        <w:t>(Barends, 2014).</w:t>
      </w:r>
    </w:p>
    <w:p w14:paraId="2A0314A5" w14:textId="77777777" w:rsidR="009D41F4" w:rsidRDefault="000F11F6" w:rsidP="009D41F4">
      <w:pPr>
        <w:rPr>
          <w:lang w:eastAsia="en-GB"/>
        </w:rPr>
      </w:pPr>
      <w:r>
        <w:rPr>
          <w:lang w:eastAsia="en-GB"/>
        </w:rPr>
        <w:t>In order to achieve the most desirable outcome, research should include a balance of all four sources.</w:t>
      </w:r>
    </w:p>
    <w:p w14:paraId="533BB9B2" w14:textId="77777777" w:rsidR="009D41F4" w:rsidRDefault="00AD1F4A" w:rsidP="009D41F4">
      <w:pPr>
        <w:rPr>
          <w:lang w:eastAsia="en-GB"/>
        </w:rPr>
      </w:pPr>
      <w:r>
        <w:rPr>
          <w:lang w:eastAsia="en-GB"/>
        </w:rPr>
        <w:t>1.2</w:t>
      </w:r>
    </w:p>
    <w:p w14:paraId="354FC941" w14:textId="77777777" w:rsidR="00AD1F4A" w:rsidRPr="00AD1F4A" w:rsidRDefault="00AD1F4A" w:rsidP="00AD1F4A">
      <w:pPr>
        <w:rPr>
          <w:rFonts w:ascii="Times New Roman" w:hAnsi="Times New Roman" w:cs="Times New Roman"/>
          <w:sz w:val="24"/>
          <w:szCs w:val="24"/>
          <w:lang w:eastAsia="en-GB"/>
        </w:rPr>
      </w:pPr>
      <w:r w:rsidRPr="00AD1F4A">
        <w:rPr>
          <w:lang w:eastAsia="en-GB"/>
        </w:rPr>
        <w:t xml:space="preserve">PESTLE is an acronym that stands for Political, Economic, Social, Technological, Legal and Environmental, and it is an environmental scanning tool that is used when framing a problem. The aim is to encourage managers to think about the organisation within the context of the 6 macroeconomic </w:t>
      </w:r>
      <w:proofErr w:type="gramStart"/>
      <w:r w:rsidRPr="00AD1F4A">
        <w:rPr>
          <w:lang w:eastAsia="en-GB"/>
        </w:rPr>
        <w:t xml:space="preserve">variables, </w:t>
      </w:r>
      <w:r w:rsidR="005D0B41">
        <w:rPr>
          <w:lang w:eastAsia="en-GB"/>
        </w:rPr>
        <w:t xml:space="preserve"> identifying</w:t>
      </w:r>
      <w:proofErr w:type="gramEnd"/>
      <w:r w:rsidR="005D0B41">
        <w:rPr>
          <w:lang w:eastAsia="en-GB"/>
        </w:rPr>
        <w:t xml:space="preserve"> </w:t>
      </w:r>
      <w:r w:rsidRPr="00AD1F4A">
        <w:rPr>
          <w:lang w:eastAsia="en-GB"/>
        </w:rPr>
        <w:t>the</w:t>
      </w:r>
      <w:r w:rsidR="005D0B41">
        <w:rPr>
          <w:lang w:eastAsia="en-GB"/>
        </w:rPr>
        <w:t>ir</w:t>
      </w:r>
      <w:r w:rsidRPr="00AD1F4A">
        <w:rPr>
          <w:lang w:eastAsia="en-GB"/>
        </w:rPr>
        <w:t xml:space="preserve"> impacts on the evolution of the company. When applied effectively, it can help identify where preventative measures need to be taken in anticipation of future obstacles, and can even be key to spotting what aspects of the organisation could be improved to gain advantage over competitors (Marmol et al., 2015). </w:t>
      </w:r>
    </w:p>
    <w:p w14:paraId="50E88DD7" w14:textId="77777777" w:rsidR="00AD1F4A" w:rsidRPr="00AD1F4A" w:rsidRDefault="00AD1F4A" w:rsidP="00AD1F4A">
      <w:pPr>
        <w:rPr>
          <w:rFonts w:ascii="Times New Roman" w:hAnsi="Times New Roman" w:cs="Times New Roman"/>
          <w:sz w:val="24"/>
          <w:szCs w:val="24"/>
          <w:lang w:eastAsia="en-GB"/>
        </w:rPr>
      </w:pPr>
      <w:r w:rsidRPr="00AD1F4A">
        <w:rPr>
          <w:lang w:eastAsia="en-GB"/>
        </w:rPr>
        <w:t xml:space="preserve">There are endless potential variables, which could lead to analysis paralysis </w:t>
      </w:r>
      <w:proofErr w:type="spellStart"/>
      <w:r w:rsidRPr="00AD1F4A">
        <w:rPr>
          <w:lang w:eastAsia="en-GB"/>
        </w:rPr>
        <w:t>i.e</w:t>
      </w:r>
      <w:proofErr w:type="spellEnd"/>
      <w:r w:rsidRPr="00AD1F4A">
        <w:rPr>
          <w:lang w:eastAsia="en-GB"/>
        </w:rPr>
        <w:t xml:space="preserve"> too much to focus on, therefore it’s important to consider the “pivot variables” only, </w:t>
      </w:r>
      <w:proofErr w:type="spellStart"/>
      <w:r w:rsidRPr="00AD1F4A">
        <w:rPr>
          <w:lang w:eastAsia="en-GB"/>
        </w:rPr>
        <w:t>i.e</w:t>
      </w:r>
      <w:proofErr w:type="spellEnd"/>
      <w:r w:rsidRPr="00AD1F4A">
        <w:rPr>
          <w:lang w:eastAsia="en-GB"/>
        </w:rPr>
        <w:t xml:space="preserve"> the variables that will have the most impact on the structure of the industry or market, as these are where issues and opportunities arise. When using PESTLE it may be found that particular external factors have overlap and may fall under two or more categories (see figure 2.). </w:t>
      </w:r>
    </w:p>
    <w:p w14:paraId="04965909" w14:textId="77777777" w:rsidR="00AD1F4A" w:rsidRPr="004C6C03" w:rsidRDefault="00AD1F4A" w:rsidP="009D41F4">
      <w:pPr>
        <w:rPr>
          <w:lang w:eastAsia="en-GB"/>
        </w:rPr>
      </w:pPr>
    </w:p>
    <w:p w14:paraId="16E25F47" w14:textId="77777777" w:rsidR="003E0BC2" w:rsidRDefault="00AD1F4A" w:rsidP="004C6C03">
      <w:pPr>
        <w:rPr>
          <w:rFonts w:ascii="Arial" w:hAnsi="Arial" w:cs="Arial"/>
          <w:lang w:eastAsia="en-GB"/>
        </w:rPr>
      </w:pPr>
      <w:r>
        <w:rPr>
          <w:rFonts w:ascii="Arial" w:hAnsi="Arial" w:cs="Arial"/>
          <w:noProof/>
          <w:color w:val="000000"/>
          <w:bdr w:val="none" w:sz="0" w:space="0" w:color="auto" w:frame="1"/>
          <w:shd w:val="clear" w:color="auto" w:fill="D9EAD3"/>
          <w:lang w:eastAsia="en-GB"/>
        </w:rPr>
        <w:lastRenderedPageBreak/>
        <w:drawing>
          <wp:inline distT="0" distB="0" distL="0" distR="0" wp14:anchorId="62D366D7" wp14:editId="631D2603">
            <wp:extent cx="5435600" cy="3416300"/>
            <wp:effectExtent l="0" t="0" r="0" b="0"/>
            <wp:docPr id="3" name="Picture 3" descr="https://lh7-rt.googleusercontent.com/docsz/AD_4nXfJd_AmoqO-BBCJJrtu9fWWz4QKR3HENfxICwbhRCSSgtKFONVQnrZHERhWUrkh2pFQ2btDqbvF6AxI5dg_BvntIaYCeQKFOGR7ECQj5G9sKbP8QMCbyH_1zVtYAAWmP9V_Q9_Xrw?key=2LUXuwr25xjOys5UMZtRy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Jd_AmoqO-BBCJJrtu9fWWz4QKR3HENfxICwbhRCSSgtKFONVQnrZHERhWUrkh2pFQ2btDqbvF6AxI5dg_BvntIaYCeQKFOGR7ECQj5G9sKbP8QMCbyH_1zVtYAAWmP9V_Q9_Xrw?key=2LUXuwr25xjOys5UMZtRytRe"/>
                    <pic:cNvPicPr>
                      <a:picLocks noChangeAspect="1" noChangeArrowheads="1"/>
                    </pic:cNvPicPr>
                  </pic:nvPicPr>
                  <pic:blipFill rotWithShape="1">
                    <a:blip r:embed="rId5">
                      <a:extLst>
                        <a:ext uri="{28A0092B-C50C-407E-A947-70E740481C1C}">
                          <a14:useLocalDpi xmlns:a14="http://schemas.microsoft.com/office/drawing/2010/main" val="0"/>
                        </a:ext>
                      </a:extLst>
                    </a:blip>
                    <a:srcRect r="5147"/>
                    <a:stretch/>
                  </pic:blipFill>
                  <pic:spPr bwMode="auto">
                    <a:xfrm>
                      <a:off x="0" y="0"/>
                      <a:ext cx="5436494" cy="3416862"/>
                    </a:xfrm>
                    <a:prstGeom prst="rect">
                      <a:avLst/>
                    </a:prstGeom>
                    <a:noFill/>
                    <a:ln>
                      <a:noFill/>
                    </a:ln>
                    <a:extLst>
                      <a:ext uri="{53640926-AAD7-44D8-BBD7-CCE9431645EC}">
                        <a14:shadowObscured xmlns:a14="http://schemas.microsoft.com/office/drawing/2010/main"/>
                      </a:ext>
                    </a:extLst>
                  </pic:spPr>
                </pic:pic>
              </a:graphicData>
            </a:graphic>
          </wp:inline>
        </w:drawing>
      </w:r>
    </w:p>
    <w:p w14:paraId="056DD255" w14:textId="77777777" w:rsidR="00AD1F4A" w:rsidRDefault="00AD1F4A" w:rsidP="00AD1F4A">
      <w:pPr>
        <w:rPr>
          <w:lang w:eastAsia="en-GB"/>
        </w:rPr>
      </w:pPr>
      <w:r>
        <w:rPr>
          <w:lang w:eastAsia="en-GB"/>
        </w:rPr>
        <w:t>Figure 2</w:t>
      </w:r>
    </w:p>
    <w:p w14:paraId="612AA872" w14:textId="77777777" w:rsidR="00AD1F4A" w:rsidRPr="00AD1F4A" w:rsidRDefault="00AD1F4A" w:rsidP="00AD1F4A">
      <w:pPr>
        <w:spacing w:after="0" w:line="240" w:lineRule="auto"/>
        <w:rPr>
          <w:rFonts w:ascii="Times New Roman" w:eastAsia="Times New Roman" w:hAnsi="Times New Roman" w:cs="Times New Roman"/>
          <w:sz w:val="24"/>
          <w:szCs w:val="24"/>
          <w:lang w:eastAsia="en-GB"/>
        </w:rPr>
      </w:pPr>
    </w:p>
    <w:p w14:paraId="3C8D05A4" w14:textId="77777777" w:rsidR="00AD1F4A" w:rsidRPr="00AD1F4A" w:rsidRDefault="00AD1F4A" w:rsidP="00AD1F4A">
      <w:pPr>
        <w:rPr>
          <w:rFonts w:ascii="Times New Roman" w:hAnsi="Times New Roman" w:cs="Times New Roman"/>
          <w:sz w:val="24"/>
          <w:szCs w:val="24"/>
          <w:lang w:eastAsia="en-GB"/>
        </w:rPr>
      </w:pPr>
      <w:r w:rsidRPr="00AD1F4A">
        <w:rPr>
          <w:lang w:eastAsia="en-GB"/>
        </w:rPr>
        <w:t>The PESTLE tool prompts a look at the political, economic and socio-cultural trends of the state that the organisation operates within, the technological advancements that could advance the business, and the applicable legal and environmental regulations that the business must comply with. Due to the limitations it is recommended to use PESTLE alongside other analysis tools such as SWOT analysis, Porter’s five forces etc (Marmol et al., 2015).</w:t>
      </w:r>
    </w:p>
    <w:p w14:paraId="091E3175" w14:textId="77777777" w:rsidR="00AD1F4A" w:rsidRPr="00AD1F4A" w:rsidRDefault="00AD1F4A" w:rsidP="00AD1F4A">
      <w:pPr>
        <w:rPr>
          <w:rFonts w:ascii="Times New Roman" w:hAnsi="Times New Roman" w:cs="Times New Roman"/>
          <w:sz w:val="24"/>
          <w:szCs w:val="24"/>
          <w:lang w:eastAsia="en-GB"/>
        </w:rPr>
      </w:pPr>
      <w:r w:rsidRPr="00AD1F4A">
        <w:rPr>
          <w:lang w:eastAsia="en-GB"/>
        </w:rPr>
        <w:t xml:space="preserve">Surveys are a method of diagnosing problems and issues internally. Surveys give employees a voice to express their views on the company anonymously and reflect what is going on in the company including issues that need to be addressed that managers may have been unaware of. Surveys can be ‘open’, allowing respondents to write their own response, or ‘closed’ with multiple choice or ‘yes/no’ questions. They are cost-effective, and can be implemented quickly as respondents can complete them in their </w:t>
      </w:r>
      <w:r w:rsidR="001B071D">
        <w:rPr>
          <w:lang w:eastAsia="en-GB"/>
        </w:rPr>
        <w:t xml:space="preserve">own time, rather than having </w:t>
      </w:r>
      <w:r w:rsidRPr="00AD1F4A">
        <w:rPr>
          <w:lang w:eastAsia="en-GB"/>
        </w:rPr>
        <w:t>allocate</w:t>
      </w:r>
      <w:r w:rsidR="001B071D">
        <w:rPr>
          <w:lang w:eastAsia="en-GB"/>
        </w:rPr>
        <w:t>d</w:t>
      </w:r>
      <w:r w:rsidRPr="00AD1F4A">
        <w:rPr>
          <w:lang w:eastAsia="en-GB"/>
        </w:rPr>
        <w:t xml:space="preserve"> time slots as </w:t>
      </w:r>
      <w:r w:rsidR="001B071D">
        <w:rPr>
          <w:lang w:eastAsia="en-GB"/>
        </w:rPr>
        <w:t xml:space="preserve">needed for </w:t>
      </w:r>
      <w:r w:rsidRPr="00AD1F4A">
        <w:rPr>
          <w:lang w:eastAsia="en-GB"/>
        </w:rPr>
        <w:t xml:space="preserve">interviews. However, surveys </w:t>
      </w:r>
      <w:r w:rsidR="001B071D">
        <w:rPr>
          <w:lang w:eastAsia="en-GB"/>
        </w:rPr>
        <w:t xml:space="preserve">lack </w:t>
      </w:r>
      <w:r w:rsidRPr="00AD1F4A">
        <w:rPr>
          <w:lang w:eastAsia="en-GB"/>
        </w:rPr>
        <w:t xml:space="preserve">the benefit of enabling managers to prompt respondents for more information and it is difficult to ask complex questions. Too many </w:t>
      </w:r>
      <w:r w:rsidR="001B071D">
        <w:rPr>
          <w:lang w:eastAsia="en-GB"/>
        </w:rPr>
        <w:t xml:space="preserve">surveys </w:t>
      </w:r>
      <w:r w:rsidRPr="00AD1F4A">
        <w:rPr>
          <w:lang w:eastAsia="en-GB"/>
        </w:rPr>
        <w:t xml:space="preserve">or poorly designed </w:t>
      </w:r>
      <w:r w:rsidR="001B071D">
        <w:rPr>
          <w:lang w:eastAsia="en-GB"/>
        </w:rPr>
        <w:t xml:space="preserve">questions </w:t>
      </w:r>
      <w:r w:rsidRPr="00AD1F4A">
        <w:rPr>
          <w:lang w:eastAsia="en-GB"/>
        </w:rPr>
        <w:t>can lead to ‘survey fatigue’, leading to fewer respondents overall. Despite its limitations, the anonymous nature of the survey allows employees the freedom to express their views and so long as the right questions are being asked, surveys can cast light on issues, problems and opportunities within the organisation (Taylor and Woodhams, 2016; CIPD, 2023)</w:t>
      </w:r>
    </w:p>
    <w:p w14:paraId="665C16EA" w14:textId="77777777" w:rsidR="00AD1F4A" w:rsidRDefault="00AD1F4A" w:rsidP="00AD1F4A">
      <w:pPr>
        <w:rPr>
          <w:lang w:eastAsia="en-GB"/>
        </w:rPr>
      </w:pPr>
    </w:p>
    <w:p w14:paraId="75E7FECC" w14:textId="77777777" w:rsidR="00AD1F4A" w:rsidRDefault="00AD1F4A" w:rsidP="00AD1F4A">
      <w:pPr>
        <w:rPr>
          <w:lang w:eastAsia="en-GB"/>
        </w:rPr>
      </w:pPr>
      <w:r>
        <w:rPr>
          <w:lang w:eastAsia="en-GB"/>
        </w:rPr>
        <w:t xml:space="preserve">1.3 </w:t>
      </w:r>
    </w:p>
    <w:p w14:paraId="6026D89C" w14:textId="77777777" w:rsidR="00BA5E90" w:rsidRPr="004A3116" w:rsidRDefault="0053195E" w:rsidP="00BA5E90">
      <w:pPr>
        <w:rPr>
          <w:lang w:eastAsia="en-GB"/>
        </w:rPr>
      </w:pPr>
      <w:r>
        <w:rPr>
          <w:lang w:eastAsia="en-GB"/>
        </w:rPr>
        <w:t xml:space="preserve">Critical thinking (CT) </w:t>
      </w:r>
      <w:r w:rsidR="004A3116">
        <w:rPr>
          <w:lang w:eastAsia="en-GB"/>
        </w:rPr>
        <w:t xml:space="preserve">is a skill that is becoming </w:t>
      </w:r>
      <w:r w:rsidR="000F11F6">
        <w:rPr>
          <w:lang w:eastAsia="en-GB"/>
        </w:rPr>
        <w:t xml:space="preserve">an essential </w:t>
      </w:r>
      <w:r w:rsidR="004A3116">
        <w:rPr>
          <w:lang w:eastAsia="en-GB"/>
        </w:rPr>
        <w:t xml:space="preserve">today’s job economy and across many fields in academia (Shaw et al., 2019; Lai, 2011) and </w:t>
      </w:r>
      <w:r w:rsidR="00BA5E90">
        <w:rPr>
          <w:lang w:eastAsia="en-GB"/>
        </w:rPr>
        <w:t xml:space="preserve">can be defined as “actively exploring alternatives, seeking understanding and testing out assumptions” (Rosseau and Barends, 2011). At </w:t>
      </w:r>
      <w:r w:rsidR="00BA5E90">
        <w:rPr>
          <w:lang w:eastAsia="en-GB"/>
        </w:rPr>
        <w:lastRenderedPageBreak/>
        <w:t xml:space="preserve">its core, it is the questioning mind-set that drives a thorough and well-reasoned argument. </w:t>
      </w:r>
      <w:r>
        <w:rPr>
          <w:lang w:eastAsia="en-GB"/>
        </w:rPr>
        <w:t xml:space="preserve">CT </w:t>
      </w:r>
      <w:r w:rsidR="00D204D8">
        <w:rPr>
          <w:lang w:eastAsia="en-GB"/>
        </w:rPr>
        <w:t xml:space="preserve">is comprised of an assortment of skills and competencies, including </w:t>
      </w:r>
      <w:r w:rsidR="00BA5E90">
        <w:rPr>
          <w:lang w:eastAsia="en-GB"/>
        </w:rPr>
        <w:t xml:space="preserve">but not limited to </w:t>
      </w:r>
      <w:r w:rsidR="00D204D8">
        <w:rPr>
          <w:lang w:eastAsia="en-GB"/>
        </w:rPr>
        <w:t>analysis, reasoning, judgement, evaluation, interpretation and decision making</w:t>
      </w:r>
      <w:r w:rsidR="00BA5E90">
        <w:rPr>
          <w:lang w:eastAsia="en-GB"/>
        </w:rPr>
        <w:t xml:space="preserve"> coming together to produce an objective and rational exploration of a subject (Lai, 2011; Shaw et al., 2019).</w:t>
      </w:r>
    </w:p>
    <w:p w14:paraId="4D50C64B" w14:textId="77777777" w:rsidR="00082F48" w:rsidRDefault="00BA5E90" w:rsidP="00AD1F4A">
      <w:pPr>
        <w:rPr>
          <w:lang w:eastAsia="en-GB"/>
        </w:rPr>
      </w:pPr>
      <w:r>
        <w:rPr>
          <w:lang w:eastAsia="en-GB"/>
        </w:rPr>
        <w:t xml:space="preserve">In order to </w:t>
      </w:r>
      <w:r w:rsidR="00803261">
        <w:rPr>
          <w:lang w:eastAsia="en-GB"/>
        </w:rPr>
        <w:t xml:space="preserve">apply </w:t>
      </w:r>
      <w:r w:rsidR="0053195E">
        <w:rPr>
          <w:lang w:eastAsia="en-GB"/>
        </w:rPr>
        <w:t xml:space="preserve">CT </w:t>
      </w:r>
      <w:r w:rsidR="001B071D">
        <w:rPr>
          <w:lang w:eastAsia="en-GB"/>
        </w:rPr>
        <w:t>to research</w:t>
      </w:r>
      <w:r w:rsidR="00803261">
        <w:rPr>
          <w:lang w:eastAsia="en-GB"/>
        </w:rPr>
        <w:t xml:space="preserve">, </w:t>
      </w:r>
      <w:r>
        <w:rPr>
          <w:lang w:eastAsia="en-GB"/>
        </w:rPr>
        <w:t>it</w:t>
      </w:r>
      <w:r w:rsidR="00844053">
        <w:rPr>
          <w:lang w:eastAsia="en-GB"/>
        </w:rPr>
        <w:t xml:space="preserve"> i</w:t>
      </w:r>
      <w:r>
        <w:rPr>
          <w:lang w:eastAsia="en-GB"/>
        </w:rPr>
        <w:t>s important to apply the questioning mind-set by analysing arguments</w:t>
      </w:r>
      <w:r w:rsidR="00844053">
        <w:rPr>
          <w:lang w:eastAsia="en-GB"/>
        </w:rPr>
        <w:t xml:space="preserve">, </w:t>
      </w:r>
      <w:r w:rsidR="00803261">
        <w:rPr>
          <w:lang w:eastAsia="en-GB"/>
        </w:rPr>
        <w:t>and actively searching for claims that contradict this in order to get a full scope of the varying viewpoints and evidence avai</w:t>
      </w:r>
      <w:r w:rsidR="00082F48">
        <w:rPr>
          <w:lang w:eastAsia="en-GB"/>
        </w:rPr>
        <w:t xml:space="preserve">lable and avoid cognitive bias. This is also useful for identifying gaps in research. Critical thinkers must be able to identify what is an assumption or an opinion, what is uncertain and what is a proven fact. Thus, </w:t>
      </w:r>
      <w:r w:rsidR="0053195E">
        <w:rPr>
          <w:lang w:eastAsia="en-GB"/>
        </w:rPr>
        <w:t xml:space="preserve">CT </w:t>
      </w:r>
      <w:r w:rsidR="00082F48">
        <w:rPr>
          <w:lang w:eastAsia="en-GB"/>
        </w:rPr>
        <w:t>involves an ability to digest information and understand terminology (Lai, 2011).</w:t>
      </w:r>
    </w:p>
    <w:p w14:paraId="2ED3FB1F" w14:textId="77777777" w:rsidR="00BA5E90" w:rsidRDefault="00844053" w:rsidP="00AD1F4A">
      <w:pPr>
        <w:rPr>
          <w:lang w:eastAsia="en-GB"/>
        </w:rPr>
      </w:pPr>
      <w:r>
        <w:rPr>
          <w:lang w:eastAsia="en-GB"/>
        </w:rPr>
        <w:t>Additionally, t</w:t>
      </w:r>
      <w:r w:rsidR="00803261">
        <w:rPr>
          <w:lang w:eastAsia="en-GB"/>
        </w:rPr>
        <w:t>he validity of the source of evidence must be brought into question</w:t>
      </w:r>
      <w:r w:rsidR="00082F48">
        <w:rPr>
          <w:lang w:eastAsia="en-GB"/>
        </w:rPr>
        <w:t>. Sources that are biased, agenda driven, or “fake news” will not provide a credible base of information. T</w:t>
      </w:r>
      <w:r w:rsidR="00803261">
        <w:rPr>
          <w:lang w:eastAsia="en-GB"/>
        </w:rPr>
        <w:t>ools such as the RURU framework (is it Reliable? Is it Up-to-date? Is it Relevant? Is it Useful?) may be useful in</w:t>
      </w:r>
      <w:r w:rsidR="00082F48">
        <w:rPr>
          <w:lang w:eastAsia="en-GB"/>
        </w:rPr>
        <w:t xml:space="preserve"> critically</w:t>
      </w:r>
      <w:r w:rsidR="00803261">
        <w:rPr>
          <w:lang w:eastAsia="en-GB"/>
        </w:rPr>
        <w:t xml:space="preserve"> </w:t>
      </w:r>
      <w:r w:rsidR="00082F48">
        <w:rPr>
          <w:lang w:eastAsia="en-GB"/>
        </w:rPr>
        <w:t xml:space="preserve">identifying what sources are applicable to your </w:t>
      </w:r>
      <w:proofErr w:type="gramStart"/>
      <w:r w:rsidR="00082F48">
        <w:rPr>
          <w:lang w:eastAsia="en-GB"/>
        </w:rPr>
        <w:t>research, and</w:t>
      </w:r>
      <w:proofErr w:type="gramEnd"/>
      <w:r w:rsidR="00082F48">
        <w:rPr>
          <w:lang w:eastAsia="en-GB"/>
        </w:rPr>
        <w:t xml:space="preserve"> gauging how trustworthy they are </w:t>
      </w:r>
      <w:r w:rsidR="00803261">
        <w:rPr>
          <w:lang w:eastAsia="en-GB"/>
        </w:rPr>
        <w:t>(BBC</w:t>
      </w:r>
      <w:r w:rsidR="004A3116">
        <w:rPr>
          <w:lang w:eastAsia="en-GB"/>
        </w:rPr>
        <w:t>; Lai, 2011</w:t>
      </w:r>
      <w:r w:rsidR="00803261">
        <w:rPr>
          <w:lang w:eastAsia="en-GB"/>
        </w:rPr>
        <w:t>).</w:t>
      </w:r>
      <w:r w:rsidR="00082F48">
        <w:rPr>
          <w:lang w:eastAsia="en-GB"/>
        </w:rPr>
        <w:t xml:space="preserve"> </w:t>
      </w:r>
    </w:p>
    <w:p w14:paraId="15559FDE" w14:textId="77777777" w:rsidR="00082F48" w:rsidRDefault="00082F48" w:rsidP="00AD1F4A">
      <w:pPr>
        <w:rPr>
          <w:lang w:eastAsia="en-GB"/>
        </w:rPr>
      </w:pPr>
      <w:r>
        <w:rPr>
          <w:lang w:eastAsia="en-GB"/>
        </w:rPr>
        <w:t>In order to think critically, it’s essential to have an open</w:t>
      </w:r>
      <w:r w:rsidR="004A3116">
        <w:rPr>
          <w:lang w:eastAsia="en-GB"/>
        </w:rPr>
        <w:t xml:space="preserve"> and inquisitive mind, and a desire to be well informed. </w:t>
      </w:r>
      <w:r w:rsidR="0053195E">
        <w:rPr>
          <w:lang w:eastAsia="en-GB"/>
        </w:rPr>
        <w:t xml:space="preserve">CT </w:t>
      </w:r>
      <w:r w:rsidR="004A3116">
        <w:rPr>
          <w:lang w:eastAsia="en-GB"/>
        </w:rPr>
        <w:t xml:space="preserve">is not about confirming </w:t>
      </w:r>
      <w:r w:rsidR="00844053">
        <w:rPr>
          <w:lang w:eastAsia="en-GB"/>
        </w:rPr>
        <w:t xml:space="preserve">personal </w:t>
      </w:r>
      <w:r w:rsidR="004A3116">
        <w:rPr>
          <w:lang w:eastAsia="en-GB"/>
        </w:rPr>
        <w:t>beliefs and bias, but rather taking on board a range of viewpoints and perspectives and forming a fair and unbiased evaluation (Lai, 2011).</w:t>
      </w:r>
    </w:p>
    <w:p w14:paraId="10E2C5B1" w14:textId="77777777" w:rsidR="00AD1F4A" w:rsidRDefault="00AD1F4A" w:rsidP="00AD1F4A">
      <w:pPr>
        <w:rPr>
          <w:lang w:eastAsia="en-GB"/>
        </w:rPr>
      </w:pPr>
      <w:r>
        <w:rPr>
          <w:lang w:eastAsia="en-GB"/>
        </w:rPr>
        <w:t>1.4</w:t>
      </w:r>
    </w:p>
    <w:p w14:paraId="66C6DA0F" w14:textId="77777777" w:rsidR="00AD1F4A" w:rsidRDefault="00AD1F4A" w:rsidP="00AD1F4A">
      <w:pPr>
        <w:rPr>
          <w:rFonts w:ascii="Times New Roman" w:hAnsi="Times New Roman" w:cs="Times New Roman"/>
          <w:sz w:val="24"/>
          <w:szCs w:val="24"/>
          <w:lang w:eastAsia="en-GB"/>
        </w:rPr>
      </w:pPr>
      <w:r w:rsidRPr="00AD1F4A">
        <w:rPr>
          <w:lang w:eastAsia="en-GB"/>
        </w:rPr>
        <w:t xml:space="preserve">Decision making processes assist people practitioners executing effective decisions. The “Six Thinking Hats” coined by Edward </w:t>
      </w:r>
      <w:proofErr w:type="spellStart"/>
      <w:r w:rsidRPr="00AD1F4A">
        <w:rPr>
          <w:lang w:eastAsia="en-GB"/>
        </w:rPr>
        <w:t>DeBono</w:t>
      </w:r>
      <w:proofErr w:type="spellEnd"/>
      <w:r w:rsidRPr="00AD1F4A">
        <w:rPr>
          <w:lang w:eastAsia="en-GB"/>
        </w:rPr>
        <w:t xml:space="preserve"> represents six different approaches to guide thinking and discussion when faced with a problem. Each hat can be used singly when a specific type of thinking is required, or in sequence to explore a subject or solve a problem, and could be an effective framework for structuring a meeting or group discussion within a business (</w:t>
      </w:r>
      <w:proofErr w:type="spellStart"/>
      <w:r w:rsidRPr="00AD1F4A">
        <w:rPr>
          <w:lang w:eastAsia="en-GB"/>
        </w:rPr>
        <w:t>DeBono</w:t>
      </w:r>
      <w:proofErr w:type="spellEnd"/>
      <w:r w:rsidRPr="00AD1F4A">
        <w:rPr>
          <w:lang w:eastAsia="en-GB"/>
        </w:rPr>
        <w:t xml:space="preserve">, 1985; </w:t>
      </w:r>
      <w:proofErr w:type="spellStart"/>
      <w:r w:rsidRPr="00AD1F4A">
        <w:rPr>
          <w:lang w:eastAsia="en-GB"/>
        </w:rPr>
        <w:t>Kivunja</w:t>
      </w:r>
      <w:proofErr w:type="spellEnd"/>
      <w:r w:rsidRPr="00AD1F4A">
        <w:rPr>
          <w:lang w:eastAsia="en-GB"/>
        </w:rPr>
        <w:t>, 2015).</w:t>
      </w:r>
    </w:p>
    <w:p w14:paraId="75A86B94" w14:textId="77777777" w:rsidR="00AD1F4A" w:rsidRPr="00AD1F4A" w:rsidRDefault="00AD1F4A" w:rsidP="00AD1F4A">
      <w:pPr>
        <w:rPr>
          <w:rFonts w:ascii="Times New Roman" w:hAnsi="Times New Roman" w:cs="Times New Roman"/>
          <w:sz w:val="24"/>
          <w:szCs w:val="24"/>
          <w:lang w:eastAsia="en-GB"/>
        </w:rPr>
      </w:pPr>
      <w:r w:rsidRPr="00AD1F4A">
        <w:rPr>
          <w:lang w:eastAsia="en-GB"/>
        </w:rPr>
        <w:t>The white hat represents information; hard facts and figures as well as the opinions and feelings of others. It is used to collect information and highlight the information that is missing.</w:t>
      </w:r>
      <w:r w:rsidR="00844053">
        <w:rPr>
          <w:lang w:eastAsia="en-GB"/>
        </w:rPr>
        <w:t xml:space="preserve"> </w:t>
      </w:r>
      <w:r w:rsidRPr="00AD1F4A">
        <w:rPr>
          <w:lang w:eastAsia="en-GB"/>
        </w:rPr>
        <w:t>The red hat allows space to express emotions, feelings and intuition. Emotionality can be seen as the opposite of rationality, and intuition is not always right, but under the red hat there is space to express and explore the feelings of those involved.</w:t>
      </w:r>
      <w:r w:rsidR="00844053">
        <w:rPr>
          <w:lang w:eastAsia="en-GB"/>
        </w:rPr>
        <w:t xml:space="preserve"> </w:t>
      </w:r>
      <w:r w:rsidRPr="00AD1F4A">
        <w:rPr>
          <w:lang w:eastAsia="en-GB"/>
        </w:rPr>
        <w:t>The black hat is where risks, difficulties and problems that may come up are identified; it is used to think critically and point out any potential obstacles in the proposed courses of action.</w:t>
      </w:r>
      <w:r w:rsidR="00844053">
        <w:rPr>
          <w:lang w:eastAsia="en-GB"/>
        </w:rPr>
        <w:t xml:space="preserve"> </w:t>
      </w:r>
      <w:r w:rsidRPr="00AD1F4A">
        <w:rPr>
          <w:lang w:eastAsia="en-GB"/>
        </w:rPr>
        <w:t xml:space="preserve">The yellow hat </w:t>
      </w:r>
      <w:r w:rsidR="005D0B41">
        <w:rPr>
          <w:lang w:eastAsia="en-GB"/>
        </w:rPr>
        <w:t xml:space="preserve">signifies </w:t>
      </w:r>
      <w:r w:rsidRPr="00AD1F4A">
        <w:rPr>
          <w:lang w:eastAsia="en-GB"/>
        </w:rPr>
        <w:t>optimism, opportunity and</w:t>
      </w:r>
      <w:r w:rsidR="005D0B41">
        <w:rPr>
          <w:lang w:eastAsia="en-GB"/>
        </w:rPr>
        <w:t xml:space="preserve"> value-seeking</w:t>
      </w:r>
      <w:r w:rsidRPr="00AD1F4A">
        <w:rPr>
          <w:lang w:eastAsia="en-GB"/>
        </w:rPr>
        <w:t>. It is used to explore benefits and positive speculation, but should be justified and logical to avoid being unrealistic.</w:t>
      </w:r>
      <w:r w:rsidR="00844053">
        <w:rPr>
          <w:lang w:eastAsia="en-GB"/>
        </w:rPr>
        <w:t xml:space="preserve"> </w:t>
      </w:r>
      <w:r w:rsidRPr="00AD1F4A">
        <w:rPr>
          <w:lang w:eastAsia="en-GB"/>
        </w:rPr>
        <w:t xml:space="preserve">The green hat </w:t>
      </w:r>
      <w:r w:rsidR="005D0B41">
        <w:rPr>
          <w:lang w:eastAsia="en-GB"/>
        </w:rPr>
        <w:t xml:space="preserve">represents </w:t>
      </w:r>
      <w:r w:rsidRPr="00AD1F4A">
        <w:rPr>
          <w:lang w:eastAsia="en-GB"/>
        </w:rPr>
        <w:t>new ideas and creativity, used to put forward possibilities and can be used to generate solutions for any problems outlined under the black hat. Finally, the blue hat represents metacognition or “thinking about thinking” and the management of the thinking process. It is used to set an agenda and ensures that the decision-making procedure is disciplined and strategic. It monitor</w:t>
      </w:r>
      <w:r w:rsidR="005D0B41">
        <w:rPr>
          <w:lang w:eastAsia="en-GB"/>
        </w:rPr>
        <w:t>s</w:t>
      </w:r>
      <w:r w:rsidRPr="00AD1F4A">
        <w:rPr>
          <w:lang w:eastAsia="en-GB"/>
        </w:rPr>
        <w:t xml:space="preserve"> the </w:t>
      </w:r>
      <w:r w:rsidR="005D0B41">
        <w:rPr>
          <w:lang w:eastAsia="en-GB"/>
        </w:rPr>
        <w:t xml:space="preserve">remaining </w:t>
      </w:r>
      <w:r w:rsidRPr="00AD1F4A">
        <w:rPr>
          <w:lang w:eastAsia="en-GB"/>
        </w:rPr>
        <w:t>hats to ensure that their use is b</w:t>
      </w:r>
      <w:r w:rsidR="005D0B41">
        <w:rPr>
          <w:lang w:eastAsia="en-GB"/>
        </w:rPr>
        <w:t>alanced and proportionate, and points out</w:t>
      </w:r>
      <w:r w:rsidRPr="00AD1F4A">
        <w:rPr>
          <w:lang w:eastAsia="en-GB"/>
        </w:rPr>
        <w:t xml:space="preserve"> which areas require more thinking (</w:t>
      </w:r>
      <w:proofErr w:type="spellStart"/>
      <w:r w:rsidRPr="00AD1F4A">
        <w:rPr>
          <w:lang w:eastAsia="en-GB"/>
        </w:rPr>
        <w:t>DeBono</w:t>
      </w:r>
      <w:proofErr w:type="spellEnd"/>
      <w:r w:rsidRPr="00AD1F4A">
        <w:rPr>
          <w:lang w:eastAsia="en-GB"/>
        </w:rPr>
        <w:t xml:space="preserve">, 1985; </w:t>
      </w:r>
      <w:proofErr w:type="spellStart"/>
      <w:r w:rsidRPr="00AD1F4A">
        <w:rPr>
          <w:lang w:eastAsia="en-GB"/>
        </w:rPr>
        <w:t>Kivunja</w:t>
      </w:r>
      <w:proofErr w:type="spellEnd"/>
      <w:r w:rsidRPr="00AD1F4A">
        <w:rPr>
          <w:lang w:eastAsia="en-GB"/>
        </w:rPr>
        <w:t>, 2015).</w:t>
      </w:r>
    </w:p>
    <w:p w14:paraId="59340FD0" w14:textId="77777777" w:rsidR="00AD1F4A" w:rsidRDefault="00AD1F4A" w:rsidP="00AD1F4A">
      <w:pPr>
        <w:rPr>
          <w:rFonts w:ascii="Times New Roman" w:hAnsi="Times New Roman" w:cs="Times New Roman"/>
          <w:sz w:val="24"/>
          <w:szCs w:val="24"/>
          <w:lang w:eastAsia="en-GB"/>
        </w:rPr>
      </w:pPr>
      <w:r w:rsidRPr="00AD1F4A">
        <w:rPr>
          <w:lang w:eastAsia="en-GB"/>
        </w:rPr>
        <w:lastRenderedPageBreak/>
        <w:t>The hats are useful in decision-making as they simplify the process of assessing the full scope of a problem by breaking it down into six manageable areas of thinking, allowing thinkers to tackle one thing at a time. It also ensured that discussions aren’t dominated by one</w:t>
      </w:r>
      <w:r w:rsidR="00844053">
        <w:rPr>
          <w:lang w:eastAsia="en-GB"/>
        </w:rPr>
        <w:t xml:space="preserve"> form of thinking, and prompts</w:t>
      </w:r>
      <w:r w:rsidRPr="00AD1F4A">
        <w:rPr>
          <w:lang w:eastAsia="en-GB"/>
        </w:rPr>
        <w:t xml:space="preserve"> switches in approach (</w:t>
      </w:r>
      <w:proofErr w:type="spellStart"/>
      <w:r w:rsidRPr="00AD1F4A">
        <w:rPr>
          <w:lang w:eastAsia="en-GB"/>
        </w:rPr>
        <w:t>DeBono</w:t>
      </w:r>
      <w:proofErr w:type="spellEnd"/>
      <w:r w:rsidRPr="00AD1F4A">
        <w:rPr>
          <w:lang w:eastAsia="en-GB"/>
        </w:rPr>
        <w:t xml:space="preserve">, 1985; </w:t>
      </w:r>
      <w:proofErr w:type="spellStart"/>
      <w:r w:rsidRPr="00AD1F4A">
        <w:rPr>
          <w:lang w:eastAsia="en-GB"/>
        </w:rPr>
        <w:t>Kivunja</w:t>
      </w:r>
      <w:proofErr w:type="spellEnd"/>
      <w:r w:rsidRPr="00AD1F4A">
        <w:rPr>
          <w:lang w:eastAsia="en-GB"/>
        </w:rPr>
        <w:t>, 2015). </w:t>
      </w:r>
    </w:p>
    <w:p w14:paraId="3D4F92ED" w14:textId="77777777" w:rsidR="00AD1F4A" w:rsidRPr="00AD1F4A" w:rsidRDefault="00AD1F4A" w:rsidP="00AD1F4A">
      <w:pPr>
        <w:rPr>
          <w:rFonts w:ascii="Times New Roman" w:hAnsi="Times New Roman" w:cs="Times New Roman"/>
          <w:sz w:val="24"/>
          <w:szCs w:val="24"/>
          <w:lang w:eastAsia="en-GB"/>
        </w:rPr>
      </w:pPr>
      <w:r w:rsidRPr="00AD1F4A">
        <w:rPr>
          <w:lang w:eastAsia="en-GB"/>
        </w:rPr>
        <w:t>In Adair's 2016 book “Decision Making and Problem Solving”, he defines decision-making as “deciding which action to take”, usually involving a choice between two options. He outlines a 5 step decision making model that he describes as a “fairly natural sequence of thought” that one might subconsciously follow even in the absence of the formal framework. Those steps are as follows:</w:t>
      </w:r>
    </w:p>
    <w:p w14:paraId="30C46B4F" w14:textId="77777777" w:rsidR="00AD1F4A" w:rsidRPr="00AD1F4A" w:rsidRDefault="00AD1F4A" w:rsidP="00AD1F4A">
      <w:pPr>
        <w:rPr>
          <w:rFonts w:ascii="Times New Roman" w:hAnsi="Times New Roman" w:cs="Times New Roman"/>
          <w:sz w:val="24"/>
          <w:szCs w:val="24"/>
          <w:lang w:eastAsia="en-GB"/>
        </w:rPr>
      </w:pPr>
      <w:r w:rsidRPr="00AD1F4A">
        <w:rPr>
          <w:lang w:eastAsia="en-GB"/>
        </w:rPr>
        <w:t> “1. Define the objective</w:t>
      </w:r>
    </w:p>
    <w:p w14:paraId="7A558E09" w14:textId="77777777" w:rsidR="00AD1F4A" w:rsidRPr="00AD1F4A" w:rsidRDefault="00AD1F4A" w:rsidP="00AD1F4A">
      <w:pPr>
        <w:rPr>
          <w:rFonts w:ascii="Times New Roman" w:hAnsi="Times New Roman" w:cs="Times New Roman"/>
          <w:sz w:val="24"/>
          <w:szCs w:val="24"/>
          <w:lang w:eastAsia="en-GB"/>
        </w:rPr>
      </w:pPr>
      <w:r w:rsidRPr="00AD1F4A">
        <w:rPr>
          <w:lang w:eastAsia="en-GB"/>
        </w:rPr>
        <w:t>2. Collect relevant information</w:t>
      </w:r>
    </w:p>
    <w:p w14:paraId="3F36F564" w14:textId="77777777" w:rsidR="00AD1F4A" w:rsidRPr="00AD1F4A" w:rsidRDefault="00AD1F4A" w:rsidP="00AD1F4A">
      <w:pPr>
        <w:rPr>
          <w:rFonts w:ascii="Times New Roman" w:hAnsi="Times New Roman" w:cs="Times New Roman"/>
          <w:sz w:val="24"/>
          <w:szCs w:val="24"/>
          <w:lang w:eastAsia="en-GB"/>
        </w:rPr>
      </w:pPr>
      <w:r w:rsidRPr="00AD1F4A">
        <w:rPr>
          <w:lang w:eastAsia="en-GB"/>
        </w:rPr>
        <w:t>3. Generate feasible options</w:t>
      </w:r>
    </w:p>
    <w:p w14:paraId="3A70DC90" w14:textId="77777777" w:rsidR="00AD1F4A" w:rsidRPr="00AD1F4A" w:rsidRDefault="00AD1F4A" w:rsidP="00AD1F4A">
      <w:pPr>
        <w:rPr>
          <w:rFonts w:ascii="Times New Roman" w:hAnsi="Times New Roman" w:cs="Times New Roman"/>
          <w:sz w:val="24"/>
          <w:szCs w:val="24"/>
          <w:lang w:eastAsia="en-GB"/>
        </w:rPr>
      </w:pPr>
      <w:r w:rsidRPr="00AD1F4A">
        <w:rPr>
          <w:lang w:eastAsia="en-GB"/>
        </w:rPr>
        <w:t>4. Make the decision</w:t>
      </w:r>
    </w:p>
    <w:p w14:paraId="16CA54FC" w14:textId="77777777" w:rsidR="00AD1F4A" w:rsidRPr="00AD1F4A" w:rsidRDefault="00AD1F4A" w:rsidP="00AD1F4A">
      <w:pPr>
        <w:rPr>
          <w:rFonts w:ascii="Times New Roman" w:hAnsi="Times New Roman" w:cs="Times New Roman"/>
          <w:sz w:val="24"/>
          <w:szCs w:val="24"/>
          <w:lang w:eastAsia="en-GB"/>
        </w:rPr>
      </w:pPr>
      <w:r w:rsidRPr="00AD1F4A">
        <w:rPr>
          <w:lang w:eastAsia="en-GB"/>
        </w:rPr>
        <w:t>5. Implement and evaluate”</w:t>
      </w:r>
    </w:p>
    <w:p w14:paraId="6B2B04C3" w14:textId="77777777" w:rsidR="00AD1F4A" w:rsidRPr="00AD1F4A" w:rsidRDefault="00AD1F4A" w:rsidP="00AD1F4A">
      <w:pPr>
        <w:rPr>
          <w:rFonts w:ascii="Times New Roman" w:hAnsi="Times New Roman" w:cs="Times New Roman"/>
          <w:sz w:val="24"/>
          <w:szCs w:val="24"/>
          <w:lang w:eastAsia="en-GB"/>
        </w:rPr>
      </w:pPr>
      <w:r w:rsidRPr="00AD1F4A">
        <w:rPr>
          <w:lang w:eastAsia="en-GB"/>
        </w:rPr>
        <w:t>To assist with step 3, the lobster pot theory illustrates how a few feasible options are ruled out to two alternatives and eventua</w:t>
      </w:r>
      <w:r w:rsidR="00844053">
        <w:rPr>
          <w:lang w:eastAsia="en-GB"/>
        </w:rPr>
        <w:t xml:space="preserve">lly a chosen course of action; </w:t>
      </w:r>
      <w:r w:rsidRPr="00AD1F4A">
        <w:rPr>
          <w:lang w:eastAsia="en-GB"/>
        </w:rPr>
        <w:t>this is done by weighing up the relevant information or th</w:t>
      </w:r>
      <w:r w:rsidR="0009515B">
        <w:rPr>
          <w:lang w:eastAsia="en-GB"/>
        </w:rPr>
        <w:t>e evidence collected in step 2 (see figure 3)</w:t>
      </w:r>
      <w:r w:rsidR="00844053">
        <w:rPr>
          <w:lang w:eastAsia="en-GB"/>
        </w:rPr>
        <w:t>.</w:t>
      </w:r>
    </w:p>
    <w:p w14:paraId="6C629609" w14:textId="77777777" w:rsidR="00AD1F4A" w:rsidRPr="00AD1F4A" w:rsidRDefault="00AD1F4A" w:rsidP="00AD1F4A">
      <w:pPr>
        <w:rPr>
          <w:rFonts w:ascii="Times New Roman" w:hAnsi="Times New Roman" w:cs="Times New Roman"/>
          <w:sz w:val="24"/>
          <w:szCs w:val="24"/>
          <w:lang w:eastAsia="en-GB"/>
        </w:rPr>
      </w:pPr>
    </w:p>
    <w:p w14:paraId="1D22D860" w14:textId="77777777" w:rsidR="00AD1F4A" w:rsidRPr="00AD1F4A" w:rsidRDefault="00AD1F4A" w:rsidP="00AD1F4A">
      <w:pPr>
        <w:rPr>
          <w:rFonts w:ascii="Times New Roman" w:hAnsi="Times New Roman" w:cs="Times New Roman"/>
          <w:sz w:val="24"/>
          <w:szCs w:val="24"/>
          <w:lang w:eastAsia="en-GB"/>
        </w:rPr>
      </w:pPr>
      <w:r>
        <w:rPr>
          <w:noProof/>
          <w:bdr w:val="none" w:sz="0" w:space="0" w:color="auto" w:frame="1"/>
          <w:lang w:eastAsia="en-GB"/>
        </w:rPr>
        <w:drawing>
          <wp:inline distT="0" distB="0" distL="0" distR="0" wp14:anchorId="70482E1C" wp14:editId="1C1DCD07">
            <wp:extent cx="3911600" cy="2438400"/>
            <wp:effectExtent l="0" t="0" r="0" b="0"/>
            <wp:docPr id="4" name="Picture 4" descr="https://lh7-rt.googleusercontent.com/docsz/AD_4nXdflfqeB5zdVE4LsdBtLaSxOpoILDr0DuKdAkGRtFQFeYcAeRPw3y3HQxQxPvJWh9VJWElEbTlplf3W81lErCxrqG6wm8drrIxL7LnGcDmLzWJGBeFI859UCbLwe93oiQMwxnWZFA?key=2LUXuwr25xjOys5UMZtRy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flfqeB5zdVE4LsdBtLaSxOpoILDr0DuKdAkGRtFQFeYcAeRPw3y3HQxQxPvJWh9VJWElEbTlplf3W81lErCxrqG6wm8drrIxL7LnGcDmLzWJGBeFI859UCbLwe93oiQMwxnWZFA?key=2LUXuwr25xjOys5UMZtRyt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1600" cy="2438400"/>
                    </a:xfrm>
                    <a:prstGeom prst="rect">
                      <a:avLst/>
                    </a:prstGeom>
                    <a:noFill/>
                    <a:ln>
                      <a:noFill/>
                    </a:ln>
                  </pic:spPr>
                </pic:pic>
              </a:graphicData>
            </a:graphic>
          </wp:inline>
        </w:drawing>
      </w:r>
    </w:p>
    <w:p w14:paraId="5CD38D27" w14:textId="77777777" w:rsidR="0009515B" w:rsidRDefault="0009515B" w:rsidP="00AD1F4A">
      <w:pPr>
        <w:rPr>
          <w:lang w:eastAsia="en-GB"/>
        </w:rPr>
      </w:pPr>
      <w:r>
        <w:rPr>
          <w:lang w:eastAsia="en-GB"/>
        </w:rPr>
        <w:t>Figure 3</w:t>
      </w:r>
    </w:p>
    <w:p w14:paraId="3ADAE670" w14:textId="77777777" w:rsidR="00AD1F4A" w:rsidRPr="00AD1F4A" w:rsidRDefault="00AD1F4A" w:rsidP="00AD1F4A">
      <w:pPr>
        <w:rPr>
          <w:rFonts w:ascii="Times New Roman" w:hAnsi="Times New Roman" w:cs="Times New Roman"/>
          <w:sz w:val="24"/>
          <w:szCs w:val="24"/>
          <w:lang w:eastAsia="en-GB"/>
        </w:rPr>
      </w:pPr>
      <w:r w:rsidRPr="00AD1F4A">
        <w:rPr>
          <w:lang w:eastAsia="en-GB"/>
        </w:rPr>
        <w:t>When making the decision, Adair recommends establishing a selection criteria and grouping them into categories based on the level of priority, or “must”, “should” and “might”. “Must” represents the non-negotiables, and a course of action should not be taken if it does not meet this criteria. “Should” and “might” represent highly desirable and pleasant additions respectively. At this point an organisation might benefit from weighing the pros and cons, consequences, risks and expected gains</w:t>
      </w:r>
      <w:r>
        <w:rPr>
          <w:lang w:eastAsia="en-GB"/>
        </w:rPr>
        <w:t xml:space="preserve"> (Adair, 2016)</w:t>
      </w:r>
      <w:r w:rsidRPr="00AD1F4A">
        <w:rPr>
          <w:lang w:eastAsia="en-GB"/>
        </w:rPr>
        <w:t>. </w:t>
      </w:r>
    </w:p>
    <w:p w14:paraId="7AC72549" w14:textId="77777777" w:rsidR="00AD1F4A" w:rsidRPr="00AD1F4A" w:rsidRDefault="00AD1F4A" w:rsidP="00AD1F4A">
      <w:pPr>
        <w:rPr>
          <w:lang w:eastAsia="en-GB"/>
        </w:rPr>
      </w:pPr>
      <w:r w:rsidRPr="00AD1F4A">
        <w:rPr>
          <w:lang w:eastAsia="en-GB"/>
        </w:rPr>
        <w:lastRenderedPageBreak/>
        <w:t>Finally, the implementation and evaluation stage mirrors the six steps and many other models by incorporating reflection as part of the process. This is where lessons can be identified, refin</w:t>
      </w:r>
      <w:r>
        <w:rPr>
          <w:lang w:eastAsia="en-GB"/>
        </w:rPr>
        <w:t>ing the process for future use (Adair, 2016)</w:t>
      </w:r>
    </w:p>
    <w:p w14:paraId="44EE501D" w14:textId="77777777" w:rsidR="00AD1F4A" w:rsidRPr="00AD1F4A" w:rsidRDefault="00AD1F4A" w:rsidP="00AD1F4A">
      <w:r>
        <w:rPr>
          <w:lang w:eastAsia="en-GB"/>
        </w:rPr>
        <w:t xml:space="preserve">1.5 </w:t>
      </w:r>
      <w:r>
        <w:rPr>
          <w:lang w:eastAsia="en-GB"/>
        </w:rPr>
        <w:br/>
      </w:r>
      <w:r w:rsidRPr="00AD1F4A">
        <w:t>As human resource managers</w:t>
      </w:r>
      <w:r w:rsidR="00E34E15">
        <w:t xml:space="preserve"> (HRMs)</w:t>
      </w:r>
      <w:r w:rsidRPr="00AD1F4A">
        <w:t>, understanding ethical perspectives is important as decision-making guidelines based on theoretical foundations and a strict code of ethics are more robust, consistent and ethically sound than guidelines without. Ethical behaviour is important to maintaining good relations with the workforce, and is a part of what determines the reputation of the organisation at large (Taylor and Woodhams, 2016; Waite et al., 2010). This report will focus on utilitarian and deontological ethics. </w:t>
      </w:r>
    </w:p>
    <w:p w14:paraId="05844646" w14:textId="77777777" w:rsidR="00AD1F4A" w:rsidRPr="00AD1F4A" w:rsidRDefault="00AD1F4A" w:rsidP="00AD1F4A">
      <w:pPr>
        <w:rPr>
          <w:rFonts w:eastAsia="Times New Roman"/>
          <w:lang w:eastAsia="en-GB"/>
        </w:rPr>
      </w:pPr>
      <w:r w:rsidRPr="00AD1F4A">
        <w:rPr>
          <w:rFonts w:eastAsia="Times New Roman"/>
          <w:lang w:eastAsia="en-GB"/>
        </w:rPr>
        <w:t>Utilitarian ethics proposes that the main focus should be generating the greatest good for the greatest number of people and maximising well-being and happiness amongst all stakeholders, or as many as possible. The Deontological approach is an ethical theory that uses rules to distinguish right or wrong. The formation of guidelines under the deontological approach determine which actions are moral and which are not regardless of their consequences, however</w:t>
      </w:r>
      <w:r w:rsidR="00844053">
        <w:rPr>
          <w:rFonts w:eastAsia="Times New Roman"/>
          <w:lang w:eastAsia="en-GB"/>
        </w:rPr>
        <w:t>,</w:t>
      </w:r>
      <w:r w:rsidRPr="00AD1F4A">
        <w:rPr>
          <w:rFonts w:eastAsia="Times New Roman"/>
          <w:lang w:eastAsia="en-GB"/>
        </w:rPr>
        <w:t xml:space="preserve"> under a utilitarian approach, it is the outcome itself that is judged for its morality rather than the actions which led to the outcome (Waite et al., 2010; CIPD, 2015; Alder et al., 2007). </w:t>
      </w:r>
    </w:p>
    <w:p w14:paraId="3E88A7D3" w14:textId="77777777" w:rsidR="00AD1F4A" w:rsidRPr="00AD1F4A" w:rsidRDefault="00AD1F4A" w:rsidP="00AD1F4A">
      <w:pPr>
        <w:rPr>
          <w:rFonts w:eastAsia="Times New Roman"/>
          <w:lang w:eastAsia="en-GB"/>
        </w:rPr>
      </w:pPr>
      <w:r w:rsidRPr="00AD1F4A">
        <w:rPr>
          <w:rFonts w:eastAsia="Times New Roman"/>
          <w:lang w:eastAsia="en-GB"/>
        </w:rPr>
        <w:t>Utilitarian ethics may be applied strategically when allocating resources under budget constraints; managers may prioritise funding projects and departments that provide the most profit and long-term growth for the organisation</w:t>
      </w:r>
      <w:r w:rsidR="00844053">
        <w:rPr>
          <w:rFonts w:eastAsia="Times New Roman"/>
          <w:lang w:eastAsia="en-GB"/>
        </w:rPr>
        <w:t>,</w:t>
      </w:r>
      <w:r w:rsidRPr="00AD1F4A">
        <w:rPr>
          <w:rFonts w:eastAsia="Times New Roman"/>
          <w:lang w:eastAsia="en-GB"/>
        </w:rPr>
        <w:t xml:space="preserve"> while cutting costs in other departments in order to maximise the benefits for all stakeholders. This ethical approach can sometimes be unpopular as a small</w:t>
      </w:r>
      <w:r w:rsidR="0033398F">
        <w:rPr>
          <w:rFonts w:eastAsia="Times New Roman"/>
          <w:lang w:eastAsia="en-GB"/>
        </w:rPr>
        <w:t xml:space="preserve"> minority will be unrepresented</w:t>
      </w:r>
      <w:r w:rsidRPr="00AD1F4A">
        <w:rPr>
          <w:rFonts w:eastAsia="Times New Roman"/>
          <w:lang w:eastAsia="en-GB"/>
        </w:rPr>
        <w:t xml:space="preserve"> (Akinyele, 2024)</w:t>
      </w:r>
      <w:r w:rsidR="0033398F">
        <w:rPr>
          <w:rFonts w:eastAsia="Times New Roman"/>
          <w:lang w:eastAsia="en-GB"/>
        </w:rPr>
        <w:t>.</w:t>
      </w:r>
      <w:r w:rsidRPr="00AD1F4A">
        <w:rPr>
          <w:rFonts w:eastAsia="Times New Roman"/>
          <w:lang w:eastAsia="en-GB"/>
        </w:rPr>
        <w:br/>
        <w:t>A deontological approach to decision-making promotes compliance with rules and legal regulations, a focus on the principles of honesty and fairness, and the rights of employees, regardless of whether or not the outcome could be improved by breaking any of these codes of conduct. This can sometimes lead to financial losses or operational inefficiencies, however</w:t>
      </w:r>
      <w:r w:rsidR="0033398F">
        <w:rPr>
          <w:rFonts w:eastAsia="Times New Roman"/>
          <w:lang w:eastAsia="en-GB"/>
        </w:rPr>
        <w:t>,</w:t>
      </w:r>
      <w:r w:rsidRPr="00AD1F4A">
        <w:rPr>
          <w:rFonts w:eastAsia="Times New Roman"/>
          <w:lang w:eastAsia="en-GB"/>
        </w:rPr>
        <w:t xml:space="preserve"> the strict and consistent adherence to this form of morality </w:t>
      </w:r>
      <w:proofErr w:type="spellStart"/>
      <w:r w:rsidRPr="00AD1F4A">
        <w:rPr>
          <w:rFonts w:eastAsia="Times New Roman"/>
          <w:lang w:eastAsia="en-GB"/>
        </w:rPr>
        <w:t>instills</w:t>
      </w:r>
      <w:proofErr w:type="spellEnd"/>
      <w:r w:rsidRPr="00AD1F4A">
        <w:rPr>
          <w:rFonts w:eastAsia="Times New Roman"/>
          <w:lang w:eastAsia="en-GB"/>
        </w:rPr>
        <w:t xml:space="preserve"> a reputation of integrity, trust and credibility within the organisation (Akinyele, 2024; CIPD, 2015)</w:t>
      </w:r>
    </w:p>
    <w:p w14:paraId="1B9B0C91" w14:textId="77777777" w:rsidR="00AD1F4A" w:rsidRPr="00AD1F4A" w:rsidRDefault="00AD1F4A" w:rsidP="00AD1F4A">
      <w:pPr>
        <w:rPr>
          <w:rFonts w:eastAsia="Times New Roman"/>
          <w:lang w:eastAsia="en-GB"/>
        </w:rPr>
      </w:pPr>
      <w:r w:rsidRPr="00AD1F4A">
        <w:rPr>
          <w:rFonts w:eastAsia="Times New Roman"/>
          <w:lang w:eastAsia="en-GB"/>
        </w:rPr>
        <w:t>Each perspective has its own advantages and limitations, therefore a balanced and integrated approach utilising both perspectives is recommended.</w:t>
      </w:r>
    </w:p>
    <w:p w14:paraId="263DD205" w14:textId="77777777" w:rsidR="00AD1F4A" w:rsidRDefault="00AD1F4A" w:rsidP="00AD1F4A">
      <w:pPr>
        <w:rPr>
          <w:lang w:eastAsia="en-GB"/>
        </w:rPr>
      </w:pPr>
      <w:r>
        <w:rPr>
          <w:lang w:eastAsia="en-GB"/>
        </w:rPr>
        <w:t>3.1</w:t>
      </w:r>
    </w:p>
    <w:p w14:paraId="2CAEDE43" w14:textId="77777777" w:rsidR="00AD1F4A" w:rsidRPr="00AD1F4A" w:rsidRDefault="00AD1F4A" w:rsidP="00AD1F4A">
      <w:pPr>
        <w:rPr>
          <w:rFonts w:ascii="Times New Roman" w:hAnsi="Times New Roman" w:cs="Times New Roman"/>
          <w:sz w:val="24"/>
          <w:szCs w:val="24"/>
          <w:lang w:eastAsia="en-GB"/>
        </w:rPr>
      </w:pPr>
      <w:r w:rsidRPr="00AD1F4A">
        <w:rPr>
          <w:lang w:eastAsia="en-GB"/>
        </w:rPr>
        <w:t xml:space="preserve">Financial performance in an organisation can be measured through profit margins. Profit margins are key indicators of performance; a high margin indicates effective management of expenditure and good revenue generation. These margins can be benchmarked with industry peers to assess competitive placement and identify areas for improvement. This report will focus on gross profit margin and net profit margin. Gross Profit Margin identifies the percentage of revenue leftover after taking away the cost of production. This indicates the profitability of the product solely. Net profit on the other hand refers to the revenue leftover after taking away all costs for the business, including production costs, operating expenses, interest and taxes. This gives an </w:t>
      </w:r>
      <w:proofErr w:type="spellStart"/>
      <w:r w:rsidRPr="00AD1F4A">
        <w:rPr>
          <w:lang w:eastAsia="en-GB"/>
        </w:rPr>
        <w:t>all encompassing</w:t>
      </w:r>
      <w:proofErr w:type="spellEnd"/>
      <w:r w:rsidRPr="00AD1F4A">
        <w:rPr>
          <w:lang w:eastAsia="en-GB"/>
        </w:rPr>
        <w:t xml:space="preserve"> indication of the health of the bu</w:t>
      </w:r>
      <w:r w:rsidR="0033398F">
        <w:rPr>
          <w:lang w:eastAsia="en-GB"/>
        </w:rPr>
        <w:t xml:space="preserve">siness as it includes all costs </w:t>
      </w:r>
      <w:r w:rsidRPr="00AD1F4A">
        <w:rPr>
          <w:lang w:eastAsia="en-GB"/>
        </w:rPr>
        <w:t>(Stobierski, 2020; Majka, 2024)</w:t>
      </w:r>
      <w:r w:rsidR="0033398F">
        <w:rPr>
          <w:lang w:eastAsia="en-GB"/>
        </w:rPr>
        <w:t>.</w:t>
      </w:r>
    </w:p>
    <w:p w14:paraId="4B917F04" w14:textId="77777777" w:rsidR="00AD1F4A" w:rsidRPr="00AD1F4A" w:rsidRDefault="00AD1F4A" w:rsidP="00AD1F4A">
      <w:pPr>
        <w:rPr>
          <w:rFonts w:ascii="Times New Roman" w:hAnsi="Times New Roman" w:cs="Times New Roman"/>
          <w:sz w:val="24"/>
          <w:szCs w:val="24"/>
          <w:lang w:eastAsia="en-GB"/>
        </w:rPr>
      </w:pPr>
      <w:r w:rsidRPr="00AD1F4A">
        <w:rPr>
          <w:lang w:eastAsia="en-GB"/>
        </w:rPr>
        <w:lastRenderedPageBreak/>
        <w:t xml:space="preserve">High gross profit indicates a good product and production process, and net profit margin indicates a well-functioning business. High profit margins are what attracts investors, as a stable and successful organisation makes for a better investment. Declining profit margins signal that there is an issue such as operational inefficiencies, or inability to adapt to external factors like rising expenditures. Profit margin is crucial to guiding strategic decisions and diagnosing financial </w:t>
      </w:r>
      <w:r w:rsidR="0033398F">
        <w:rPr>
          <w:lang w:eastAsia="en-GB"/>
        </w:rPr>
        <w:t xml:space="preserve">issues within the organisation </w:t>
      </w:r>
      <w:r w:rsidRPr="00AD1F4A">
        <w:rPr>
          <w:lang w:eastAsia="en-GB"/>
        </w:rPr>
        <w:t>(Majka, 2024)</w:t>
      </w:r>
      <w:r w:rsidR="0033398F">
        <w:rPr>
          <w:lang w:eastAsia="en-GB"/>
        </w:rPr>
        <w:t>.</w:t>
      </w:r>
    </w:p>
    <w:p w14:paraId="27C28BA7" w14:textId="77777777" w:rsidR="00AD1F4A" w:rsidRPr="00AD1F4A" w:rsidRDefault="00AD1F4A" w:rsidP="00AD1F4A">
      <w:pPr>
        <w:rPr>
          <w:rFonts w:ascii="Times New Roman" w:hAnsi="Times New Roman" w:cs="Times New Roman"/>
          <w:sz w:val="24"/>
          <w:szCs w:val="24"/>
          <w:lang w:eastAsia="en-GB"/>
        </w:rPr>
      </w:pPr>
      <w:r w:rsidRPr="00AD1F4A">
        <w:rPr>
          <w:lang w:eastAsia="en-GB"/>
        </w:rPr>
        <w:t>Adherence to environmental regulation is a nonfinancial performance measure that is integral to organisations. Due to global warming, climate change and other environmental issues there is an ever-increasing call for sustainable development, resulting in environmental regulations and standards being written into legislation, such as th</w:t>
      </w:r>
      <w:r w:rsidR="0033398F">
        <w:rPr>
          <w:lang w:eastAsia="en-GB"/>
        </w:rPr>
        <w:t xml:space="preserve">e </w:t>
      </w:r>
      <w:r w:rsidR="0033398F" w:rsidRPr="0033398F">
        <w:rPr>
          <w:i/>
          <w:lang w:eastAsia="en-GB"/>
        </w:rPr>
        <w:t xml:space="preserve">Environmental Protection Act </w:t>
      </w:r>
      <w:r w:rsidRPr="0033398F">
        <w:rPr>
          <w:i/>
          <w:lang w:eastAsia="en-GB"/>
        </w:rPr>
        <w:t>1990</w:t>
      </w:r>
      <w:r w:rsidRPr="00AD1F4A">
        <w:rPr>
          <w:lang w:eastAsia="en-GB"/>
        </w:rPr>
        <w:t xml:space="preserve"> and t</w:t>
      </w:r>
      <w:r w:rsidR="0033398F">
        <w:rPr>
          <w:lang w:eastAsia="en-GB"/>
        </w:rPr>
        <w:t xml:space="preserve">he </w:t>
      </w:r>
      <w:r w:rsidR="0033398F" w:rsidRPr="0033398F">
        <w:rPr>
          <w:i/>
          <w:lang w:eastAsia="en-GB"/>
        </w:rPr>
        <w:t xml:space="preserve">Hazardous Waste Regulations </w:t>
      </w:r>
      <w:r w:rsidRPr="0033398F">
        <w:rPr>
          <w:i/>
          <w:lang w:eastAsia="en-GB"/>
        </w:rPr>
        <w:t>2005</w:t>
      </w:r>
      <w:r w:rsidRPr="00AD1F4A">
        <w:rPr>
          <w:lang w:eastAsia="en-GB"/>
        </w:rPr>
        <w:t xml:space="preserve"> that businesses must adhere to in order to ensure the continuation of legal operation (Wilson et al., 2008). </w:t>
      </w:r>
    </w:p>
    <w:p w14:paraId="6D745F48" w14:textId="77777777" w:rsidR="00AD1F4A" w:rsidRPr="00AD1F4A" w:rsidRDefault="00AD1F4A" w:rsidP="00AD1F4A">
      <w:pPr>
        <w:rPr>
          <w:rFonts w:ascii="Times New Roman" w:hAnsi="Times New Roman" w:cs="Times New Roman"/>
          <w:sz w:val="24"/>
          <w:szCs w:val="24"/>
          <w:lang w:eastAsia="en-GB"/>
        </w:rPr>
      </w:pPr>
      <w:r w:rsidRPr="00AD1F4A">
        <w:rPr>
          <w:lang w:eastAsia="en-GB"/>
        </w:rPr>
        <w:t>Following a lack of standardisation for measuring corporate environmental performance, a project funded by the European Commission called Measuring Environmental Performance of Industry (MEPI) was the first attempt to set a standard for measuring environmental performance. It did this by devising a list of key indicators, that included environmental variables such as CO2 emissions, energy use and water consumption, and benchmarking organisations within the same sector by conducting quantitative analyses based on publicly available information (</w:t>
      </w:r>
      <w:proofErr w:type="spellStart"/>
      <w:r w:rsidRPr="00AD1F4A">
        <w:rPr>
          <w:lang w:eastAsia="en-GB"/>
        </w:rPr>
        <w:t>Tyteca</w:t>
      </w:r>
      <w:proofErr w:type="spellEnd"/>
      <w:r w:rsidRPr="00AD1F4A">
        <w:rPr>
          <w:lang w:eastAsia="en-GB"/>
        </w:rPr>
        <w:t xml:space="preserve">, 2002; </w:t>
      </w:r>
      <w:proofErr w:type="spellStart"/>
      <w:r w:rsidRPr="00AD1F4A">
        <w:rPr>
          <w:lang w:eastAsia="en-GB"/>
        </w:rPr>
        <w:t>Olsthoorn</w:t>
      </w:r>
      <w:proofErr w:type="spellEnd"/>
      <w:r w:rsidRPr="00AD1F4A">
        <w:rPr>
          <w:lang w:eastAsia="en-GB"/>
        </w:rPr>
        <w:t xml:space="preserve"> et al., 2001). </w:t>
      </w:r>
    </w:p>
    <w:p w14:paraId="2478304A" w14:textId="77777777" w:rsidR="00AD1F4A" w:rsidRPr="00AD1F4A" w:rsidRDefault="00AD1F4A" w:rsidP="00AD1F4A">
      <w:pPr>
        <w:rPr>
          <w:rFonts w:ascii="Times New Roman" w:hAnsi="Times New Roman" w:cs="Times New Roman"/>
          <w:sz w:val="24"/>
          <w:szCs w:val="24"/>
          <w:lang w:eastAsia="en-GB"/>
        </w:rPr>
      </w:pPr>
      <w:r w:rsidRPr="00AD1F4A">
        <w:rPr>
          <w:lang w:eastAsia="en-GB"/>
        </w:rPr>
        <w:t xml:space="preserve">Aside from this approach, another method of auditing environmental compliance would be to take a “regulation-specific” approach, which involves devising a list of indicators based on the prescriptive details of the relevant legislation and all of its amendments, as well as considering the intent behind the regulations, then applying them when conducting site observations, paperwork checks and staff discussions (Wilson et al., 2008). </w:t>
      </w:r>
    </w:p>
    <w:p w14:paraId="31E14659" w14:textId="77777777" w:rsidR="00AD1F4A" w:rsidRDefault="00AD1F4A" w:rsidP="00AD1F4A">
      <w:pPr>
        <w:rPr>
          <w:lang w:eastAsia="en-GB"/>
        </w:rPr>
      </w:pPr>
      <w:r>
        <w:rPr>
          <w:lang w:eastAsia="en-GB"/>
        </w:rPr>
        <w:t>3.2</w:t>
      </w:r>
    </w:p>
    <w:p w14:paraId="2A549867" w14:textId="77777777" w:rsidR="00AD1F4A" w:rsidRPr="00AD1F4A" w:rsidRDefault="00AD1F4A" w:rsidP="00AD1F4A">
      <w:pPr>
        <w:rPr>
          <w:rFonts w:ascii="Times New Roman" w:hAnsi="Times New Roman" w:cs="Times New Roman"/>
          <w:sz w:val="24"/>
          <w:szCs w:val="24"/>
          <w:lang w:eastAsia="en-GB"/>
        </w:rPr>
      </w:pPr>
      <w:r w:rsidRPr="00AD1F4A">
        <w:rPr>
          <w:lang w:eastAsia="en-GB"/>
        </w:rPr>
        <w:t>“Adding</w:t>
      </w:r>
      <w:r w:rsidR="0033398F">
        <w:rPr>
          <w:lang w:eastAsia="en-GB"/>
        </w:rPr>
        <w:t xml:space="preserve"> value” refers to the efforts </w:t>
      </w:r>
      <w:r w:rsidR="00E34E15">
        <w:rPr>
          <w:lang w:eastAsia="en-GB"/>
        </w:rPr>
        <w:t xml:space="preserve">HRMs </w:t>
      </w:r>
      <w:r w:rsidRPr="00AD1F4A">
        <w:rPr>
          <w:lang w:eastAsia="en-GB"/>
        </w:rPr>
        <w:t>make in order to maximise commercial value beyond the expected basic administrative tasks, focusing on improving the performance and efficiency of the business. When focusing on maintenance and crisis prevention activities, HRMs can contribute to the attainment of a competitive advantage if the organisation manages to perform more efficiently, but this only adds short term value. Long term value can be added through focusing on the implementation of continuous improvement activities and change management; implementing newer, better, innovative or cost-effective strategies that energise employees and appeal to customers (Taylor and Woodhams, 2016). Employee development through firm-specific training is one example of how people practitioners can maximise the potential of human capital, in order to ascend from competitive parity to competitive advantage, and can help with employee retention which is beneficial in the long run. (</w:t>
      </w:r>
      <w:proofErr w:type="spellStart"/>
      <w:r w:rsidRPr="00AD1F4A">
        <w:rPr>
          <w:lang w:eastAsia="en-GB"/>
        </w:rPr>
        <w:t>Samudhram</w:t>
      </w:r>
      <w:proofErr w:type="spellEnd"/>
      <w:r w:rsidRPr="00AD1F4A">
        <w:rPr>
          <w:lang w:eastAsia="en-GB"/>
        </w:rPr>
        <w:t xml:space="preserve"> et al., 2008; Barney and Wright, 1998)</w:t>
      </w:r>
    </w:p>
    <w:p w14:paraId="0A67799E" w14:textId="77777777" w:rsidR="00AD1F4A" w:rsidRPr="00AD1F4A" w:rsidRDefault="00AD1F4A" w:rsidP="00AD1F4A">
      <w:pPr>
        <w:rPr>
          <w:rFonts w:ascii="Times New Roman" w:hAnsi="Times New Roman" w:cs="Times New Roman"/>
          <w:sz w:val="24"/>
          <w:szCs w:val="24"/>
          <w:lang w:eastAsia="en-GB"/>
        </w:rPr>
      </w:pPr>
      <w:r w:rsidRPr="00AD1F4A">
        <w:rPr>
          <w:lang w:eastAsia="en-GB"/>
        </w:rPr>
        <w:t>Measur</w:t>
      </w:r>
      <w:r w:rsidR="00E34E15">
        <w:rPr>
          <w:lang w:eastAsia="en-GB"/>
        </w:rPr>
        <w:t>ing the value of HR</w:t>
      </w:r>
      <w:r w:rsidRPr="00AD1F4A">
        <w:rPr>
          <w:lang w:eastAsia="en-GB"/>
        </w:rPr>
        <w:t xml:space="preserve"> can be difficult as it often comprises intangible assets such as human and intellectual capital, which is difficult to quantify. However, models such as human resource accounting</w:t>
      </w:r>
      <w:r w:rsidR="00E34E15">
        <w:rPr>
          <w:lang w:eastAsia="en-GB"/>
        </w:rPr>
        <w:t xml:space="preserve"> (HRA)</w:t>
      </w:r>
      <w:r w:rsidRPr="00AD1F4A">
        <w:rPr>
          <w:lang w:eastAsia="en-GB"/>
        </w:rPr>
        <w:t xml:space="preserve"> and balanced scorecards can provide measurements of the value of </w:t>
      </w:r>
      <w:r w:rsidR="00E34E15">
        <w:rPr>
          <w:lang w:eastAsia="en-GB"/>
        </w:rPr>
        <w:t>HR.</w:t>
      </w:r>
    </w:p>
    <w:p w14:paraId="3EB15FD7" w14:textId="77777777" w:rsidR="00AD1F4A" w:rsidRPr="00AD1F4A" w:rsidRDefault="00E34E15" w:rsidP="00AD1F4A">
      <w:pPr>
        <w:rPr>
          <w:rFonts w:ascii="Times New Roman" w:hAnsi="Times New Roman" w:cs="Times New Roman"/>
          <w:sz w:val="24"/>
          <w:szCs w:val="24"/>
          <w:lang w:eastAsia="en-GB"/>
        </w:rPr>
      </w:pPr>
      <w:r>
        <w:rPr>
          <w:lang w:eastAsia="en-GB"/>
        </w:rPr>
        <w:lastRenderedPageBreak/>
        <w:t xml:space="preserve">HRA </w:t>
      </w:r>
      <w:r w:rsidR="00AD1F4A" w:rsidRPr="00AD1F4A">
        <w:rPr>
          <w:lang w:eastAsia="en-GB"/>
        </w:rPr>
        <w:t xml:space="preserve">is a means of attempting to quantify human resources value through analysing human resource costs, investments and outcomes, allowing managers to justify costs and requests for further expenditure in this department. However, predicting future outcomes can sometimes be difficult, and there is the ethical dilemma of putting a price on people which leaves many individuals against the use of HR accounting (Johanson, </w:t>
      </w:r>
      <w:proofErr w:type="spellStart"/>
      <w:r w:rsidR="00AD1F4A" w:rsidRPr="00AD1F4A">
        <w:rPr>
          <w:lang w:eastAsia="en-GB"/>
        </w:rPr>
        <w:t>Eklöv</w:t>
      </w:r>
      <w:proofErr w:type="spellEnd"/>
      <w:r w:rsidR="00AD1F4A" w:rsidRPr="00AD1F4A">
        <w:rPr>
          <w:lang w:eastAsia="en-GB"/>
        </w:rPr>
        <w:t xml:space="preserve"> and Holmgren, 1998; </w:t>
      </w:r>
      <w:proofErr w:type="spellStart"/>
      <w:r w:rsidR="00AD1F4A" w:rsidRPr="00AD1F4A">
        <w:rPr>
          <w:lang w:eastAsia="en-GB"/>
        </w:rPr>
        <w:t>Samudhram</w:t>
      </w:r>
      <w:proofErr w:type="spellEnd"/>
      <w:r w:rsidR="00AD1F4A" w:rsidRPr="00AD1F4A">
        <w:rPr>
          <w:lang w:eastAsia="en-GB"/>
        </w:rPr>
        <w:t xml:space="preserve"> et al., 2008).</w:t>
      </w:r>
    </w:p>
    <w:p w14:paraId="35B692D9" w14:textId="77777777" w:rsidR="00AD1F4A" w:rsidRPr="00AD1F4A" w:rsidRDefault="00AD1F4A" w:rsidP="00AD1F4A">
      <w:pPr>
        <w:rPr>
          <w:rFonts w:ascii="Times New Roman" w:hAnsi="Times New Roman" w:cs="Times New Roman"/>
          <w:sz w:val="24"/>
          <w:szCs w:val="24"/>
          <w:lang w:eastAsia="en-GB"/>
        </w:rPr>
      </w:pPr>
      <w:r w:rsidRPr="00AD1F4A">
        <w:rPr>
          <w:lang w:eastAsia="en-GB"/>
        </w:rPr>
        <w:t xml:space="preserve">A balanced scorecard is a document that is used by </w:t>
      </w:r>
      <w:r w:rsidR="00E34E15">
        <w:rPr>
          <w:lang w:eastAsia="en-GB"/>
        </w:rPr>
        <w:t xml:space="preserve">HR </w:t>
      </w:r>
      <w:r w:rsidRPr="00AD1F4A">
        <w:rPr>
          <w:lang w:eastAsia="en-GB"/>
        </w:rPr>
        <w:t>professionals to illustrate the firm's overall strategic objectives, by setting out performance measures focusing on four “perspectives”; customer, financial, internal business process and learning and growth. Each department has its own scorecard with individual specific functional activities, that all tie in to the organisations common goal. This can be used to track and compare the progress of each department across the organisation (Taylor and Woodhams, 2016). Some organisations that use a balanced scorecard method include Sears, AT&amp;T, and Eastman Kodak (Yeung and Berman, 1997), however</w:t>
      </w:r>
      <w:r w:rsidR="0033398F">
        <w:rPr>
          <w:lang w:eastAsia="en-GB"/>
        </w:rPr>
        <w:t>,</w:t>
      </w:r>
      <w:r w:rsidRPr="00AD1F4A">
        <w:rPr>
          <w:lang w:eastAsia="en-GB"/>
        </w:rPr>
        <w:t xml:space="preserve"> they can be costly to implement and top management support is required for a successful implementation of this method (Johanson, </w:t>
      </w:r>
      <w:proofErr w:type="spellStart"/>
      <w:r w:rsidRPr="00AD1F4A">
        <w:rPr>
          <w:lang w:eastAsia="en-GB"/>
        </w:rPr>
        <w:t>Eklöv</w:t>
      </w:r>
      <w:proofErr w:type="spellEnd"/>
      <w:r w:rsidRPr="00AD1F4A">
        <w:rPr>
          <w:lang w:eastAsia="en-GB"/>
        </w:rPr>
        <w:t xml:space="preserve"> and Holmgren, 1998).</w:t>
      </w:r>
    </w:p>
    <w:p w14:paraId="382C5D35" w14:textId="77777777" w:rsidR="004A3116" w:rsidRDefault="004A3116" w:rsidP="002D541C">
      <w:pPr>
        <w:rPr>
          <w:lang w:eastAsia="en-GB"/>
        </w:rPr>
      </w:pPr>
    </w:p>
    <w:p w14:paraId="190093F2" w14:textId="77777777" w:rsidR="004A3116" w:rsidRDefault="004A3116" w:rsidP="002D541C">
      <w:pPr>
        <w:rPr>
          <w:lang w:eastAsia="en-GB"/>
        </w:rPr>
      </w:pPr>
    </w:p>
    <w:p w14:paraId="46386EA6" w14:textId="77777777" w:rsidR="004A3116" w:rsidRDefault="004A3116" w:rsidP="002D541C">
      <w:pPr>
        <w:rPr>
          <w:lang w:eastAsia="en-GB"/>
        </w:rPr>
      </w:pPr>
    </w:p>
    <w:p w14:paraId="7DF9B7EF" w14:textId="77777777" w:rsidR="004A3116" w:rsidRDefault="004A3116" w:rsidP="002D541C">
      <w:pPr>
        <w:rPr>
          <w:lang w:eastAsia="en-GB"/>
        </w:rPr>
      </w:pPr>
    </w:p>
    <w:p w14:paraId="70123FA9" w14:textId="77777777" w:rsidR="004A3116" w:rsidRDefault="004A3116" w:rsidP="002D541C">
      <w:pPr>
        <w:rPr>
          <w:lang w:eastAsia="en-GB"/>
        </w:rPr>
      </w:pPr>
    </w:p>
    <w:p w14:paraId="07212FB5" w14:textId="77777777" w:rsidR="004A3116" w:rsidRDefault="004A3116" w:rsidP="002D541C">
      <w:pPr>
        <w:rPr>
          <w:lang w:eastAsia="en-GB"/>
        </w:rPr>
      </w:pPr>
    </w:p>
    <w:p w14:paraId="1F2FE93B" w14:textId="77777777" w:rsidR="004A3116" w:rsidRDefault="004A3116" w:rsidP="002D541C">
      <w:pPr>
        <w:rPr>
          <w:lang w:eastAsia="en-GB"/>
        </w:rPr>
      </w:pPr>
    </w:p>
    <w:p w14:paraId="0C1331F0" w14:textId="77777777" w:rsidR="004A3116" w:rsidRDefault="004A3116" w:rsidP="002D541C">
      <w:pPr>
        <w:rPr>
          <w:lang w:eastAsia="en-GB"/>
        </w:rPr>
      </w:pPr>
    </w:p>
    <w:p w14:paraId="576F6BD3" w14:textId="77777777" w:rsidR="004A3116" w:rsidRDefault="004A3116" w:rsidP="002D541C">
      <w:pPr>
        <w:rPr>
          <w:lang w:eastAsia="en-GB"/>
        </w:rPr>
      </w:pPr>
    </w:p>
    <w:p w14:paraId="68885ADC" w14:textId="77777777" w:rsidR="0033398F" w:rsidRDefault="0033398F" w:rsidP="002D541C">
      <w:pPr>
        <w:rPr>
          <w:lang w:eastAsia="en-GB"/>
        </w:rPr>
      </w:pPr>
    </w:p>
    <w:p w14:paraId="5212A8A0" w14:textId="77777777" w:rsidR="0033398F" w:rsidRDefault="0033398F" w:rsidP="002D541C">
      <w:pPr>
        <w:rPr>
          <w:lang w:eastAsia="en-GB"/>
        </w:rPr>
      </w:pPr>
    </w:p>
    <w:p w14:paraId="30DBE1E2" w14:textId="77777777" w:rsidR="0033398F" w:rsidRDefault="0033398F" w:rsidP="002D541C">
      <w:pPr>
        <w:rPr>
          <w:lang w:eastAsia="en-GB"/>
        </w:rPr>
      </w:pPr>
    </w:p>
    <w:p w14:paraId="7E757A2F" w14:textId="77777777" w:rsidR="0033398F" w:rsidRDefault="0033398F" w:rsidP="002D541C">
      <w:pPr>
        <w:rPr>
          <w:lang w:eastAsia="en-GB"/>
        </w:rPr>
      </w:pPr>
    </w:p>
    <w:p w14:paraId="7BDD4A2B" w14:textId="77777777" w:rsidR="0033398F" w:rsidRDefault="0033398F" w:rsidP="002D541C">
      <w:pPr>
        <w:rPr>
          <w:lang w:eastAsia="en-GB"/>
        </w:rPr>
      </w:pPr>
    </w:p>
    <w:p w14:paraId="73733F71" w14:textId="77777777" w:rsidR="004A3116" w:rsidRDefault="004A3116" w:rsidP="002D541C">
      <w:pPr>
        <w:rPr>
          <w:lang w:eastAsia="en-GB"/>
        </w:rPr>
      </w:pPr>
    </w:p>
    <w:p w14:paraId="2755BA94" w14:textId="77777777" w:rsidR="004A3116" w:rsidRDefault="004A3116" w:rsidP="002D541C">
      <w:pPr>
        <w:rPr>
          <w:lang w:eastAsia="en-GB"/>
        </w:rPr>
      </w:pPr>
    </w:p>
    <w:p w14:paraId="1EE3823B" w14:textId="77777777" w:rsidR="002D541C" w:rsidRDefault="00992BFD" w:rsidP="002D541C">
      <w:pPr>
        <w:rPr>
          <w:lang w:eastAsia="en-GB"/>
        </w:rPr>
      </w:pPr>
      <w:r>
        <w:rPr>
          <w:lang w:eastAsia="en-GB"/>
        </w:rPr>
        <w:t xml:space="preserve">2.1 </w:t>
      </w:r>
    </w:p>
    <w:p w14:paraId="1907C955" w14:textId="77777777" w:rsidR="00992BFD" w:rsidRDefault="00992BFD" w:rsidP="002D541C">
      <w:pPr>
        <w:pStyle w:val="Heading1"/>
        <w:rPr>
          <w:lang w:eastAsia="en-GB"/>
        </w:rPr>
      </w:pPr>
      <w:r>
        <w:rPr>
          <w:lang w:eastAsia="en-GB"/>
        </w:rPr>
        <w:lastRenderedPageBreak/>
        <w:t xml:space="preserve">Performance Review </w:t>
      </w:r>
    </w:p>
    <w:p w14:paraId="5AC388AF" w14:textId="77777777" w:rsidR="0009515B" w:rsidRDefault="00C329A8" w:rsidP="002D541C">
      <w:pPr>
        <w:pStyle w:val="ListParagraph"/>
        <w:ind w:left="0"/>
        <w:rPr>
          <w:lang w:eastAsia="en-GB"/>
        </w:rPr>
      </w:pPr>
      <w:r>
        <w:rPr>
          <w:lang w:eastAsia="en-GB"/>
        </w:rPr>
        <w:t xml:space="preserve">Below </w:t>
      </w:r>
      <w:r w:rsidR="0009515B">
        <w:rPr>
          <w:lang w:eastAsia="en-GB"/>
        </w:rPr>
        <w:t>are the results for the performance review</w:t>
      </w:r>
      <w:r w:rsidR="00E34E15">
        <w:rPr>
          <w:lang w:eastAsia="en-GB"/>
        </w:rPr>
        <w:t xml:space="preserve"> presented in percentages within charts</w:t>
      </w:r>
      <w:r w:rsidR="0009515B">
        <w:rPr>
          <w:lang w:eastAsia="en-GB"/>
        </w:rPr>
        <w:t xml:space="preserve">. Employees who were absent have been taken into consideration when calculating these percentages. </w:t>
      </w:r>
    </w:p>
    <w:p w14:paraId="1A5F945E" w14:textId="77777777" w:rsidR="005D0B41" w:rsidRDefault="005D0B41" w:rsidP="002D541C">
      <w:pPr>
        <w:pStyle w:val="ListParagraph"/>
        <w:ind w:left="0"/>
        <w:rPr>
          <w:lang w:eastAsia="en-GB"/>
        </w:rPr>
      </w:pPr>
    </w:p>
    <w:p w14:paraId="5FCB981D" w14:textId="77777777" w:rsidR="002D541C" w:rsidRDefault="002D541C" w:rsidP="00447FED">
      <w:pPr>
        <w:rPr>
          <w:noProof/>
          <w:lang w:eastAsia="en-GB"/>
        </w:rPr>
      </w:pPr>
      <w:r>
        <w:rPr>
          <w:noProof/>
          <w:lang w:eastAsia="en-GB"/>
        </w:rPr>
        <w:drawing>
          <wp:inline distT="0" distB="0" distL="0" distR="0" wp14:anchorId="3E4F4BE7" wp14:editId="031FA5E7">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447FED" w:rsidRPr="00447FED">
        <w:rPr>
          <w:noProof/>
          <w:lang w:eastAsia="en-GB"/>
        </w:rPr>
        <w:t xml:space="preserve"> </w:t>
      </w:r>
    </w:p>
    <w:p w14:paraId="209772B2" w14:textId="77777777" w:rsidR="00447FED" w:rsidRDefault="002D541C" w:rsidP="00447FED">
      <w:pPr>
        <w:rPr>
          <w:noProof/>
          <w:lang w:eastAsia="en-GB"/>
        </w:rPr>
      </w:pPr>
      <w:r>
        <w:rPr>
          <w:noProof/>
          <w:lang w:eastAsia="en-GB"/>
        </w:rPr>
        <w:drawing>
          <wp:inline distT="0" distB="0" distL="0" distR="0" wp14:anchorId="702C3F3E" wp14:editId="6C8333CB">
            <wp:extent cx="4572000" cy="2743200"/>
            <wp:effectExtent l="0" t="0" r="19050" b="190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D17C830" w14:textId="77777777" w:rsidR="00C90787" w:rsidRDefault="00C90787" w:rsidP="00C90787">
      <w:pPr>
        <w:rPr>
          <w:lang w:eastAsia="en-GB"/>
        </w:rPr>
      </w:pPr>
      <w:r>
        <w:rPr>
          <w:lang w:eastAsia="en-GB"/>
        </w:rPr>
        <w:t xml:space="preserve">These are the </w:t>
      </w:r>
      <w:r w:rsidR="003D04E5">
        <w:rPr>
          <w:lang w:eastAsia="en-GB"/>
        </w:rPr>
        <w:t xml:space="preserve">percentage </w:t>
      </w:r>
      <w:r>
        <w:rPr>
          <w:lang w:eastAsia="en-GB"/>
        </w:rPr>
        <w:t xml:space="preserve">results for the administration department. It is important to note that there is some data missing here; the first quarter </w:t>
      </w:r>
      <w:r w:rsidR="003D04E5">
        <w:rPr>
          <w:lang w:eastAsia="en-GB"/>
        </w:rPr>
        <w:t>contains results from a total of 11 employees, whereas the second quarter only measures the result of 10 employees.</w:t>
      </w:r>
    </w:p>
    <w:p w14:paraId="4467DC1D" w14:textId="77777777" w:rsidR="002D541C" w:rsidRDefault="002D541C" w:rsidP="00447FED">
      <w:pPr>
        <w:rPr>
          <w:rStyle w:val="BookTitle"/>
        </w:rPr>
      </w:pPr>
    </w:p>
    <w:p w14:paraId="5F7415FB" w14:textId="77777777" w:rsidR="002D541C" w:rsidRDefault="002D541C" w:rsidP="00447FED">
      <w:pPr>
        <w:rPr>
          <w:rStyle w:val="BookTitle"/>
        </w:rPr>
      </w:pPr>
    </w:p>
    <w:p w14:paraId="037C2909" w14:textId="77777777" w:rsidR="002D541C" w:rsidRDefault="002D541C" w:rsidP="00447FED">
      <w:pPr>
        <w:rPr>
          <w:rStyle w:val="BookTitle"/>
        </w:rPr>
      </w:pPr>
    </w:p>
    <w:p w14:paraId="4D3EF27E" w14:textId="77777777" w:rsidR="002D541C" w:rsidRDefault="002D541C" w:rsidP="00447FED">
      <w:pPr>
        <w:rPr>
          <w:rStyle w:val="BookTitle"/>
        </w:rPr>
      </w:pPr>
    </w:p>
    <w:p w14:paraId="02E9BCC5" w14:textId="77777777" w:rsidR="00447FED" w:rsidRPr="00291AC4" w:rsidRDefault="00291AC4" w:rsidP="00447FED">
      <w:pPr>
        <w:rPr>
          <w:b/>
          <w:bCs/>
          <w:smallCaps/>
          <w:spacing w:val="5"/>
        </w:rPr>
      </w:pPr>
      <w:r>
        <w:rPr>
          <w:noProof/>
          <w:lang w:eastAsia="en-GB"/>
        </w:rPr>
        <w:lastRenderedPageBreak/>
        <w:drawing>
          <wp:inline distT="0" distB="0" distL="0" distR="0" wp14:anchorId="0066F6D9" wp14:editId="09189F4E">
            <wp:extent cx="4572000" cy="2743200"/>
            <wp:effectExtent l="0" t="0" r="19050" b="1905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FB81BE" w14:textId="77777777" w:rsidR="00447FED" w:rsidRDefault="00291AC4" w:rsidP="00447FED">
      <w:pPr>
        <w:rPr>
          <w:lang w:eastAsia="en-GB"/>
        </w:rPr>
      </w:pPr>
      <w:r>
        <w:rPr>
          <w:noProof/>
          <w:lang w:eastAsia="en-GB"/>
        </w:rPr>
        <w:drawing>
          <wp:inline distT="0" distB="0" distL="0" distR="0" wp14:anchorId="10A416DB" wp14:editId="020D9529">
            <wp:extent cx="4572000" cy="2743200"/>
            <wp:effectExtent l="0" t="0" r="19050" b="1905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AAD4E5C" w14:textId="77777777" w:rsidR="003D04E5" w:rsidRDefault="00C90787" w:rsidP="00447FED">
      <w:pPr>
        <w:rPr>
          <w:lang w:eastAsia="en-GB"/>
        </w:rPr>
      </w:pPr>
      <w:r>
        <w:rPr>
          <w:lang w:eastAsia="en-GB"/>
        </w:rPr>
        <w:t xml:space="preserve">The sales department produced no “outstanding” </w:t>
      </w:r>
      <w:proofErr w:type="gramStart"/>
      <w:r>
        <w:rPr>
          <w:lang w:eastAsia="en-GB"/>
        </w:rPr>
        <w:t>employees,</w:t>
      </w:r>
      <w:proofErr w:type="gramEnd"/>
      <w:r>
        <w:rPr>
          <w:lang w:eastAsia="en-GB"/>
        </w:rPr>
        <w:t xml:space="preserve"> however every single employee met their individual KPI. The consistency of the results </w:t>
      </w:r>
      <w:r w:rsidR="003D04E5">
        <w:rPr>
          <w:lang w:eastAsia="en-GB"/>
        </w:rPr>
        <w:t>raises</w:t>
      </w:r>
      <w:r>
        <w:rPr>
          <w:lang w:eastAsia="en-GB"/>
        </w:rPr>
        <w:t xml:space="preserve"> the question if employees </w:t>
      </w:r>
      <w:r w:rsidR="003D04E5">
        <w:rPr>
          <w:lang w:eastAsia="en-GB"/>
        </w:rPr>
        <w:t xml:space="preserve">are being genuinely assessed, or if the same indicator has been given to each employee without review. </w:t>
      </w:r>
    </w:p>
    <w:p w14:paraId="45A40553" w14:textId="77777777" w:rsidR="002D541C" w:rsidRDefault="002D541C" w:rsidP="00447FED">
      <w:pPr>
        <w:rPr>
          <w:rStyle w:val="BookTitle"/>
        </w:rPr>
      </w:pPr>
    </w:p>
    <w:p w14:paraId="406D1C31" w14:textId="77777777" w:rsidR="002D541C" w:rsidRDefault="002D541C" w:rsidP="00447FED">
      <w:pPr>
        <w:rPr>
          <w:rStyle w:val="BookTitle"/>
        </w:rPr>
      </w:pPr>
    </w:p>
    <w:p w14:paraId="34DF51E1" w14:textId="77777777" w:rsidR="002D541C" w:rsidRDefault="002D541C" w:rsidP="00447FED">
      <w:pPr>
        <w:rPr>
          <w:rStyle w:val="BookTitle"/>
        </w:rPr>
      </w:pPr>
    </w:p>
    <w:p w14:paraId="7654E28D" w14:textId="77777777" w:rsidR="002D541C" w:rsidRDefault="002D541C" w:rsidP="00447FED">
      <w:pPr>
        <w:rPr>
          <w:rStyle w:val="BookTitle"/>
        </w:rPr>
      </w:pPr>
    </w:p>
    <w:p w14:paraId="318435CE" w14:textId="77777777" w:rsidR="002D541C" w:rsidRDefault="002D541C" w:rsidP="00447FED">
      <w:pPr>
        <w:rPr>
          <w:rStyle w:val="BookTitle"/>
        </w:rPr>
      </w:pPr>
    </w:p>
    <w:p w14:paraId="3810FFF8" w14:textId="77777777" w:rsidR="002D541C" w:rsidRDefault="002D541C" w:rsidP="00447FED">
      <w:pPr>
        <w:rPr>
          <w:rStyle w:val="BookTitle"/>
        </w:rPr>
      </w:pPr>
    </w:p>
    <w:p w14:paraId="7F38A8A7" w14:textId="77777777" w:rsidR="00291AC4" w:rsidRDefault="00291AC4" w:rsidP="00447FED">
      <w:pPr>
        <w:rPr>
          <w:rStyle w:val="BookTitle"/>
        </w:rPr>
      </w:pPr>
    </w:p>
    <w:p w14:paraId="3BAB0D86" w14:textId="77777777" w:rsidR="00291AC4" w:rsidRPr="002D541C" w:rsidRDefault="00291AC4" w:rsidP="00447FED">
      <w:pPr>
        <w:rPr>
          <w:b/>
          <w:bCs/>
          <w:smallCaps/>
          <w:spacing w:val="5"/>
        </w:rPr>
      </w:pPr>
      <w:r>
        <w:rPr>
          <w:noProof/>
          <w:lang w:eastAsia="en-GB"/>
        </w:rPr>
        <w:lastRenderedPageBreak/>
        <w:drawing>
          <wp:inline distT="0" distB="0" distL="0" distR="0" wp14:anchorId="5E2006AB" wp14:editId="0DACBC3C">
            <wp:extent cx="4572000" cy="2743200"/>
            <wp:effectExtent l="0" t="0" r="19050" b="1905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329516" w14:textId="77777777" w:rsidR="00447FED" w:rsidRDefault="00291AC4" w:rsidP="00447FED">
      <w:pPr>
        <w:rPr>
          <w:lang w:eastAsia="en-GB"/>
        </w:rPr>
      </w:pPr>
      <w:r>
        <w:rPr>
          <w:noProof/>
          <w:lang w:eastAsia="en-GB"/>
        </w:rPr>
        <w:drawing>
          <wp:inline distT="0" distB="0" distL="0" distR="0" wp14:anchorId="36BDFE06" wp14:editId="31C6F6CF">
            <wp:extent cx="4572000" cy="2743200"/>
            <wp:effectExtent l="0" t="0" r="19050" b="1905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8E4ACE" w14:textId="77777777" w:rsidR="003D04E5" w:rsidRDefault="003D04E5" w:rsidP="003D04E5">
      <w:pPr>
        <w:rPr>
          <w:lang w:eastAsia="en-GB"/>
        </w:rPr>
      </w:pPr>
      <w:r>
        <w:rPr>
          <w:lang w:eastAsia="en-GB"/>
        </w:rPr>
        <w:t>These are the percentage results for the logistics department</w:t>
      </w:r>
      <w:r w:rsidR="00C329A8">
        <w:rPr>
          <w:lang w:eastAsia="en-GB"/>
        </w:rPr>
        <w:t>.</w:t>
      </w:r>
      <w:r w:rsidR="00E34E15">
        <w:rPr>
          <w:lang w:eastAsia="en-GB"/>
        </w:rPr>
        <w:t xml:space="preserve"> The logistics department produced the most outstanding results of all departments.</w:t>
      </w:r>
    </w:p>
    <w:p w14:paraId="0CD88433" w14:textId="77777777" w:rsidR="00447FED" w:rsidRDefault="00447FED" w:rsidP="00447FED">
      <w:pPr>
        <w:rPr>
          <w:lang w:eastAsia="en-GB"/>
        </w:rPr>
      </w:pPr>
    </w:p>
    <w:p w14:paraId="69545751" w14:textId="77777777" w:rsidR="00447FED" w:rsidRDefault="00447FED" w:rsidP="00447FED">
      <w:pPr>
        <w:rPr>
          <w:lang w:eastAsia="en-GB"/>
        </w:rPr>
      </w:pPr>
    </w:p>
    <w:p w14:paraId="63A6A081" w14:textId="77777777" w:rsidR="00447FED" w:rsidRDefault="00447FED" w:rsidP="00447FED">
      <w:pPr>
        <w:rPr>
          <w:lang w:eastAsia="en-GB"/>
        </w:rPr>
      </w:pPr>
    </w:p>
    <w:p w14:paraId="0A686C27" w14:textId="77777777" w:rsidR="002D541C" w:rsidRDefault="002D541C" w:rsidP="00992BFD">
      <w:pPr>
        <w:rPr>
          <w:lang w:eastAsia="en-GB"/>
        </w:rPr>
      </w:pPr>
    </w:p>
    <w:p w14:paraId="6309CE3C" w14:textId="77777777" w:rsidR="0009515B" w:rsidRDefault="0009515B" w:rsidP="00992BFD">
      <w:pPr>
        <w:rPr>
          <w:lang w:eastAsia="en-GB"/>
        </w:rPr>
      </w:pPr>
    </w:p>
    <w:p w14:paraId="0A39CB3C" w14:textId="77777777" w:rsidR="00992BFD" w:rsidRDefault="002D541C" w:rsidP="00992BFD">
      <w:pPr>
        <w:rPr>
          <w:lang w:eastAsia="en-GB"/>
        </w:rPr>
      </w:pPr>
      <w:r>
        <w:rPr>
          <w:noProof/>
          <w:lang w:eastAsia="en-GB"/>
        </w:rPr>
        <w:lastRenderedPageBreak/>
        <w:drawing>
          <wp:inline distT="0" distB="0" distL="0" distR="0" wp14:anchorId="38F739BE" wp14:editId="7F6EFFFE">
            <wp:extent cx="4572000" cy="274320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3684CD" w14:textId="77777777" w:rsidR="002D541C" w:rsidRDefault="002D541C" w:rsidP="00992BFD">
      <w:pPr>
        <w:rPr>
          <w:lang w:eastAsia="en-GB"/>
        </w:rPr>
      </w:pPr>
      <w:r>
        <w:rPr>
          <w:noProof/>
          <w:lang w:eastAsia="en-GB"/>
        </w:rPr>
        <w:drawing>
          <wp:inline distT="0" distB="0" distL="0" distR="0" wp14:anchorId="605FA889" wp14:editId="50D173F3">
            <wp:extent cx="4572000" cy="2743200"/>
            <wp:effectExtent l="0" t="0" r="19050" b="1905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4919BAA" w14:textId="77777777" w:rsidR="003D04E5" w:rsidRDefault="003D04E5" w:rsidP="003D04E5">
      <w:pPr>
        <w:rPr>
          <w:lang w:eastAsia="en-GB"/>
        </w:rPr>
      </w:pPr>
      <w:r>
        <w:rPr>
          <w:lang w:eastAsia="en-GB"/>
        </w:rPr>
        <w:t xml:space="preserve">These are the percentage results for the research and development department. </w:t>
      </w:r>
      <w:r w:rsidR="00E34E15">
        <w:rPr>
          <w:lang w:eastAsia="en-GB"/>
        </w:rPr>
        <w:t>In the second quarter, there were more outstanding results than any other KPI.</w:t>
      </w:r>
    </w:p>
    <w:p w14:paraId="710DB7E0" w14:textId="77777777" w:rsidR="002D541C" w:rsidRDefault="002D541C" w:rsidP="00992BFD">
      <w:pPr>
        <w:rPr>
          <w:lang w:eastAsia="en-GB"/>
        </w:rPr>
      </w:pPr>
    </w:p>
    <w:p w14:paraId="3653F487" w14:textId="77777777" w:rsidR="002D541C" w:rsidRDefault="002D541C" w:rsidP="00992BFD">
      <w:pPr>
        <w:rPr>
          <w:lang w:eastAsia="en-GB"/>
        </w:rPr>
      </w:pPr>
    </w:p>
    <w:p w14:paraId="4DD8A51A" w14:textId="77777777" w:rsidR="002D541C" w:rsidRDefault="002D541C" w:rsidP="00992BFD">
      <w:pPr>
        <w:rPr>
          <w:lang w:eastAsia="en-GB"/>
        </w:rPr>
      </w:pPr>
    </w:p>
    <w:p w14:paraId="0B42A9EB" w14:textId="77777777" w:rsidR="002D541C" w:rsidRDefault="002D541C" w:rsidP="00992BFD">
      <w:pPr>
        <w:rPr>
          <w:lang w:eastAsia="en-GB"/>
        </w:rPr>
      </w:pPr>
    </w:p>
    <w:p w14:paraId="177D5D30" w14:textId="77777777" w:rsidR="005D0B41" w:rsidRDefault="005D0B41" w:rsidP="00992BFD">
      <w:pPr>
        <w:rPr>
          <w:lang w:eastAsia="en-GB"/>
        </w:rPr>
      </w:pPr>
    </w:p>
    <w:p w14:paraId="3F6CB27C" w14:textId="77777777" w:rsidR="005D0B41" w:rsidRDefault="005D0B41" w:rsidP="00992BFD">
      <w:pPr>
        <w:rPr>
          <w:lang w:eastAsia="en-GB"/>
        </w:rPr>
      </w:pPr>
    </w:p>
    <w:p w14:paraId="480813CA" w14:textId="77777777" w:rsidR="005D0B41" w:rsidRDefault="005D0B41" w:rsidP="00992BFD">
      <w:pPr>
        <w:rPr>
          <w:lang w:eastAsia="en-GB"/>
        </w:rPr>
      </w:pPr>
    </w:p>
    <w:p w14:paraId="78EC16ED" w14:textId="77777777" w:rsidR="005D0B41" w:rsidRDefault="005D0B41" w:rsidP="00992BFD">
      <w:pPr>
        <w:rPr>
          <w:lang w:eastAsia="en-GB"/>
        </w:rPr>
      </w:pPr>
    </w:p>
    <w:p w14:paraId="14388D8B" w14:textId="77777777" w:rsidR="00C329A8" w:rsidRPr="00992BFD" w:rsidRDefault="00C329A8" w:rsidP="00992BFD">
      <w:pPr>
        <w:rPr>
          <w:lang w:eastAsia="en-GB"/>
        </w:rPr>
      </w:pPr>
      <w:r>
        <w:rPr>
          <w:lang w:eastAsia="en-GB"/>
        </w:rPr>
        <w:lastRenderedPageBreak/>
        <w:t>2.2</w:t>
      </w:r>
    </w:p>
    <w:tbl>
      <w:tblPr>
        <w:tblW w:w="0" w:type="auto"/>
        <w:tblCellMar>
          <w:top w:w="15" w:type="dxa"/>
          <w:left w:w="15" w:type="dxa"/>
          <w:bottom w:w="15" w:type="dxa"/>
          <w:right w:w="15" w:type="dxa"/>
        </w:tblCellMar>
        <w:tblLook w:val="04A0" w:firstRow="1" w:lastRow="0" w:firstColumn="1" w:lastColumn="0" w:noHBand="0" w:noVBand="1"/>
      </w:tblPr>
      <w:tblGrid>
        <w:gridCol w:w="1530"/>
        <w:gridCol w:w="1253"/>
        <w:gridCol w:w="1533"/>
        <w:gridCol w:w="1746"/>
        <w:gridCol w:w="1947"/>
        <w:gridCol w:w="1217"/>
      </w:tblGrid>
      <w:tr w:rsidR="00992BFD" w:rsidRPr="00992BFD" w14:paraId="648F9336"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9AC252" w14:textId="77777777" w:rsidR="00992BFD" w:rsidRPr="00992BFD" w:rsidRDefault="00992BFD" w:rsidP="00992BFD">
            <w:pPr>
              <w:rPr>
                <w:rFonts w:ascii="Times New Roman" w:hAnsi="Times New Roman" w:cs="Times New Roman"/>
                <w:sz w:val="24"/>
                <w:szCs w:val="24"/>
                <w:lang w:eastAsia="en-GB"/>
              </w:rPr>
            </w:pPr>
            <w:r w:rsidRPr="00992BFD">
              <w:rPr>
                <w:lang w:eastAsia="en-GB"/>
              </w:rPr>
              <w:t>Employee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D9FCD" w14:textId="77777777" w:rsidR="00992BFD" w:rsidRPr="00992BFD" w:rsidRDefault="00992BFD" w:rsidP="00992BFD">
            <w:pPr>
              <w:rPr>
                <w:rFonts w:ascii="Times New Roman" w:hAnsi="Times New Roman" w:cs="Times New Roman"/>
                <w:sz w:val="24"/>
                <w:szCs w:val="24"/>
                <w:lang w:eastAsia="en-GB"/>
              </w:rPr>
            </w:pPr>
            <w:r w:rsidRPr="00992BFD">
              <w:rPr>
                <w:lang w:eastAsia="en-GB"/>
              </w:rPr>
              <w:t>Salary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885769" w14:textId="77777777" w:rsidR="00992BFD" w:rsidRPr="00992BFD" w:rsidRDefault="00992BFD" w:rsidP="00992BFD">
            <w:pPr>
              <w:rPr>
                <w:rFonts w:ascii="Times New Roman" w:hAnsi="Times New Roman" w:cs="Times New Roman"/>
                <w:sz w:val="24"/>
                <w:szCs w:val="24"/>
                <w:lang w:eastAsia="en-GB"/>
              </w:rPr>
            </w:pPr>
            <w:r w:rsidRPr="00992BFD">
              <w:rPr>
                <w:lang w:eastAsia="en-GB"/>
              </w:rPr>
              <w:t>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E2C1C" w14:textId="77777777" w:rsidR="00992BFD" w:rsidRPr="00992BFD" w:rsidRDefault="00992BFD" w:rsidP="00992BFD">
            <w:pPr>
              <w:rPr>
                <w:rFonts w:ascii="Times New Roman" w:hAnsi="Times New Roman" w:cs="Times New Roman"/>
                <w:sz w:val="24"/>
                <w:szCs w:val="24"/>
                <w:lang w:eastAsia="en-GB"/>
              </w:rPr>
            </w:pPr>
            <w:r w:rsidRPr="00992BFD">
              <w:rPr>
                <w:lang w:eastAsia="en-GB"/>
              </w:rPr>
              <w:t>First Quarter Bonus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F2DA0" w14:textId="77777777" w:rsidR="00992BFD" w:rsidRPr="00992BFD" w:rsidRDefault="00992BFD" w:rsidP="00992BFD">
            <w:pPr>
              <w:rPr>
                <w:rFonts w:ascii="Times New Roman" w:hAnsi="Times New Roman" w:cs="Times New Roman"/>
                <w:sz w:val="24"/>
                <w:szCs w:val="24"/>
                <w:lang w:eastAsia="en-GB"/>
              </w:rPr>
            </w:pPr>
            <w:r w:rsidRPr="00992BFD">
              <w:rPr>
                <w:lang w:eastAsia="en-GB"/>
              </w:rPr>
              <w:t>Second Quarter Bonus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62BEB" w14:textId="77777777" w:rsidR="00992BFD" w:rsidRPr="00992BFD" w:rsidRDefault="00992BFD" w:rsidP="00992BFD">
            <w:pPr>
              <w:rPr>
                <w:rFonts w:ascii="Times New Roman" w:hAnsi="Times New Roman" w:cs="Times New Roman"/>
                <w:sz w:val="24"/>
                <w:szCs w:val="24"/>
                <w:lang w:eastAsia="en-GB"/>
              </w:rPr>
            </w:pPr>
            <w:r w:rsidRPr="00992BFD">
              <w:rPr>
                <w:lang w:eastAsia="en-GB"/>
              </w:rPr>
              <w:t>Total Bonus</w:t>
            </w:r>
          </w:p>
        </w:tc>
      </w:tr>
      <w:tr w:rsidR="00992BFD" w:rsidRPr="00992BFD" w14:paraId="46A99155"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F6B56"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Robin</w:t>
            </w:r>
            <w:r w:rsidRPr="00992BFD">
              <w:rPr>
                <w:lang w:eastAsia="en-GB"/>
              </w:rPr>
              <w:t xml:space="preserve"> Bird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95B196" w14:textId="77777777" w:rsidR="00992BFD" w:rsidRPr="00992BFD" w:rsidRDefault="00992BFD" w:rsidP="00992BFD">
            <w:pPr>
              <w:rPr>
                <w:rFonts w:ascii="Times New Roman" w:hAnsi="Times New Roman" w:cs="Times New Roman"/>
                <w:sz w:val="24"/>
                <w:szCs w:val="24"/>
                <w:lang w:eastAsia="en-GB"/>
              </w:rPr>
            </w:pPr>
            <w:r w:rsidRPr="00992BFD">
              <w:rPr>
                <w:lang w:eastAsia="en-GB"/>
              </w:rPr>
              <w:t>£31,500.00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CA9E55" w14:textId="77777777" w:rsidR="00992BFD" w:rsidRPr="00992BFD" w:rsidRDefault="00992BFD" w:rsidP="00992BFD">
            <w:pPr>
              <w:rPr>
                <w:rFonts w:ascii="Times New Roman" w:hAnsi="Times New Roman" w:cs="Times New Roman"/>
                <w:sz w:val="24"/>
                <w:szCs w:val="24"/>
                <w:lang w:eastAsia="en-GB"/>
              </w:rPr>
            </w:pPr>
            <w:r w:rsidRPr="00992BFD">
              <w:rPr>
                <w:lang w:eastAsia="en-GB"/>
              </w:rPr>
              <w:t>Administration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910BA" w14:textId="77777777" w:rsidR="00992BFD" w:rsidRPr="00992BFD" w:rsidRDefault="00992BFD" w:rsidP="00992BFD">
            <w:pPr>
              <w:rPr>
                <w:rFonts w:ascii="Times New Roman" w:hAnsi="Times New Roman" w:cs="Times New Roman"/>
                <w:sz w:val="24"/>
                <w:szCs w:val="24"/>
                <w:lang w:eastAsia="en-GB"/>
              </w:rPr>
            </w:pPr>
            <w:r w:rsidRPr="00992BFD">
              <w:rPr>
                <w:lang w:eastAsia="en-GB"/>
              </w:rPr>
              <w:t>£1,260.00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36DFC"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F4226" w14:textId="77777777" w:rsidR="00992BFD" w:rsidRPr="00992BFD" w:rsidRDefault="00992BFD" w:rsidP="00992BFD">
            <w:pPr>
              <w:rPr>
                <w:rFonts w:ascii="Times New Roman" w:hAnsi="Times New Roman" w:cs="Times New Roman"/>
                <w:sz w:val="24"/>
                <w:szCs w:val="24"/>
                <w:lang w:eastAsia="en-GB"/>
              </w:rPr>
            </w:pPr>
            <w:r w:rsidRPr="00992BFD">
              <w:rPr>
                <w:lang w:eastAsia="en-GB"/>
              </w:rPr>
              <w:t>£1,260.00</w:t>
            </w:r>
          </w:p>
        </w:tc>
      </w:tr>
      <w:tr w:rsidR="00992BFD" w:rsidRPr="00992BFD" w14:paraId="79C44650"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94870"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Saffron</w:t>
            </w:r>
            <w:r w:rsidRPr="00992BFD">
              <w:rPr>
                <w:lang w:eastAsia="en-GB"/>
              </w:rPr>
              <w:t xml:space="preserve"> Finch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9CD35F" w14:textId="77777777" w:rsidR="00992BFD" w:rsidRPr="00992BFD" w:rsidRDefault="00992BFD" w:rsidP="00992BFD">
            <w:pPr>
              <w:rPr>
                <w:rFonts w:ascii="Times New Roman" w:hAnsi="Times New Roman" w:cs="Times New Roman"/>
                <w:sz w:val="24"/>
                <w:szCs w:val="24"/>
                <w:lang w:eastAsia="en-GB"/>
              </w:rPr>
            </w:pPr>
            <w:r w:rsidRPr="00992BFD">
              <w:rPr>
                <w:lang w:eastAsia="en-GB"/>
              </w:rPr>
              <w:t>£24,000.00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59F88" w14:textId="77777777" w:rsidR="00992BFD" w:rsidRPr="00992BFD" w:rsidRDefault="00992BFD" w:rsidP="00992BFD">
            <w:pPr>
              <w:rPr>
                <w:rFonts w:ascii="Times New Roman" w:hAnsi="Times New Roman" w:cs="Times New Roman"/>
                <w:sz w:val="24"/>
                <w:szCs w:val="24"/>
                <w:lang w:eastAsia="en-GB"/>
              </w:rPr>
            </w:pPr>
            <w:r w:rsidRPr="00992BFD">
              <w:rPr>
                <w:lang w:eastAsia="en-GB"/>
              </w:rPr>
              <w:t>Administration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5EAD8" w14:textId="77777777" w:rsidR="00992BFD" w:rsidRPr="00992BFD" w:rsidRDefault="00992BFD" w:rsidP="00992BFD">
            <w:pPr>
              <w:rPr>
                <w:rFonts w:ascii="Times New Roman" w:hAnsi="Times New Roman" w:cs="Times New Roman"/>
                <w:sz w:val="24"/>
                <w:szCs w:val="24"/>
                <w:lang w:eastAsia="en-GB"/>
              </w:rPr>
            </w:pPr>
            <w:r w:rsidRPr="00992BFD">
              <w:rPr>
                <w:lang w:eastAsia="en-GB"/>
              </w:rPr>
              <w:t>£960.00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F0A0F" w14:textId="77777777" w:rsidR="00992BFD" w:rsidRPr="00992BFD" w:rsidRDefault="00992BFD" w:rsidP="00992BFD">
            <w:pPr>
              <w:rPr>
                <w:rFonts w:ascii="Times New Roman" w:hAnsi="Times New Roman" w:cs="Times New Roman"/>
                <w:sz w:val="24"/>
                <w:szCs w:val="24"/>
                <w:lang w:eastAsia="en-GB"/>
              </w:rPr>
            </w:pPr>
            <w:r w:rsidRPr="00992BFD">
              <w:rPr>
                <w:lang w:eastAsia="en-GB"/>
              </w:rPr>
              <w:t>£960.00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18DA8" w14:textId="77777777" w:rsidR="00992BFD" w:rsidRPr="00992BFD" w:rsidRDefault="00992BFD" w:rsidP="00992BFD">
            <w:pPr>
              <w:rPr>
                <w:rFonts w:ascii="Times New Roman" w:hAnsi="Times New Roman" w:cs="Times New Roman"/>
                <w:sz w:val="24"/>
                <w:szCs w:val="24"/>
                <w:lang w:eastAsia="en-GB"/>
              </w:rPr>
            </w:pPr>
            <w:r w:rsidRPr="00992BFD">
              <w:rPr>
                <w:lang w:eastAsia="en-GB"/>
              </w:rPr>
              <w:t>£1920.00</w:t>
            </w:r>
          </w:p>
        </w:tc>
      </w:tr>
      <w:tr w:rsidR="00992BFD" w:rsidRPr="00992BFD" w14:paraId="4B242A75"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A548F"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Ruth </w:t>
            </w:r>
            <w:r w:rsidRPr="00992BFD">
              <w:rPr>
                <w:lang w:eastAsia="en-GB"/>
              </w:rPr>
              <w:t>Sixsmith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AE88F" w14:textId="77777777" w:rsidR="00992BFD" w:rsidRPr="00992BFD" w:rsidRDefault="00992BFD" w:rsidP="00992BFD">
            <w:pPr>
              <w:rPr>
                <w:rFonts w:ascii="Times New Roman" w:hAnsi="Times New Roman" w:cs="Times New Roman"/>
                <w:sz w:val="24"/>
                <w:szCs w:val="24"/>
                <w:lang w:eastAsia="en-GB"/>
              </w:rPr>
            </w:pPr>
            <w:r w:rsidRPr="00992BFD">
              <w:rPr>
                <w:lang w:eastAsia="en-GB"/>
              </w:rPr>
              <w:t>£23,750.00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8A478" w14:textId="77777777" w:rsidR="00992BFD" w:rsidRPr="00992BFD" w:rsidRDefault="00992BFD" w:rsidP="00992BFD">
            <w:pPr>
              <w:rPr>
                <w:rFonts w:ascii="Times New Roman" w:hAnsi="Times New Roman" w:cs="Times New Roman"/>
                <w:sz w:val="24"/>
                <w:szCs w:val="24"/>
                <w:lang w:eastAsia="en-GB"/>
              </w:rPr>
            </w:pPr>
            <w:r w:rsidRPr="00992BFD">
              <w:rPr>
                <w:lang w:eastAsia="en-GB"/>
              </w:rPr>
              <w:t>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A665D"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5BE4D" w14:textId="77777777" w:rsidR="00992BFD" w:rsidRPr="00992BFD" w:rsidRDefault="00992BFD" w:rsidP="00992BFD">
            <w:pPr>
              <w:rPr>
                <w:rFonts w:ascii="Times New Roman" w:hAnsi="Times New Roman" w:cs="Times New Roman"/>
                <w:sz w:val="24"/>
                <w:szCs w:val="24"/>
                <w:lang w:eastAsia="en-GB"/>
              </w:rPr>
            </w:pPr>
            <w:r w:rsidRPr="00992BFD">
              <w:rPr>
                <w:lang w:eastAsia="en-GB"/>
              </w:rPr>
              <w:t>£950.00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25282" w14:textId="77777777" w:rsidR="00992BFD" w:rsidRPr="00992BFD" w:rsidRDefault="00992BFD" w:rsidP="00992BFD">
            <w:pPr>
              <w:rPr>
                <w:rFonts w:ascii="Times New Roman" w:hAnsi="Times New Roman" w:cs="Times New Roman"/>
                <w:sz w:val="24"/>
                <w:szCs w:val="24"/>
                <w:lang w:eastAsia="en-GB"/>
              </w:rPr>
            </w:pPr>
            <w:r w:rsidRPr="00992BFD">
              <w:rPr>
                <w:lang w:eastAsia="en-GB"/>
              </w:rPr>
              <w:t>£950.00</w:t>
            </w:r>
          </w:p>
        </w:tc>
      </w:tr>
      <w:tr w:rsidR="00992BFD" w:rsidRPr="00992BFD" w14:paraId="4BE18282"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D9B94"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Wendy</w:t>
            </w:r>
            <w:r w:rsidRPr="00992BFD">
              <w:rPr>
                <w:lang w:eastAsia="en-GB"/>
              </w:rPr>
              <w:t xml:space="preserve"> Boot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644C5" w14:textId="77777777" w:rsidR="00992BFD" w:rsidRPr="00992BFD" w:rsidRDefault="00992BFD" w:rsidP="00992BFD">
            <w:pPr>
              <w:rPr>
                <w:rFonts w:ascii="Times New Roman" w:hAnsi="Times New Roman" w:cs="Times New Roman"/>
                <w:sz w:val="24"/>
                <w:szCs w:val="24"/>
                <w:lang w:eastAsia="en-GB"/>
              </w:rPr>
            </w:pPr>
            <w:r w:rsidRPr="00992BFD">
              <w:rPr>
                <w:lang w:eastAsia="en-GB"/>
              </w:rPr>
              <w:t>£23,750.00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928C3" w14:textId="77777777" w:rsidR="00992BFD" w:rsidRPr="00992BFD" w:rsidRDefault="00992BFD" w:rsidP="00992BFD">
            <w:pPr>
              <w:rPr>
                <w:rFonts w:ascii="Times New Roman" w:hAnsi="Times New Roman" w:cs="Times New Roman"/>
                <w:sz w:val="24"/>
                <w:szCs w:val="24"/>
                <w:lang w:eastAsia="en-GB"/>
              </w:rPr>
            </w:pPr>
            <w:r w:rsidRPr="00992BFD">
              <w:rPr>
                <w:lang w:eastAsia="en-GB"/>
              </w:rPr>
              <w:t>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D8998"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4745E" w14:textId="77777777" w:rsidR="00992BFD" w:rsidRPr="00992BFD" w:rsidRDefault="00992BFD" w:rsidP="00992BFD">
            <w:pPr>
              <w:rPr>
                <w:rFonts w:ascii="Times New Roman" w:hAnsi="Times New Roman" w:cs="Times New Roman"/>
                <w:sz w:val="24"/>
                <w:szCs w:val="24"/>
                <w:lang w:eastAsia="en-GB"/>
              </w:rPr>
            </w:pPr>
            <w:r w:rsidRPr="00992BFD">
              <w:rPr>
                <w:lang w:eastAsia="en-GB"/>
              </w:rPr>
              <w:t>£950.00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12691" w14:textId="77777777" w:rsidR="00992BFD" w:rsidRPr="00992BFD" w:rsidRDefault="00992BFD" w:rsidP="00992BFD">
            <w:pPr>
              <w:rPr>
                <w:rFonts w:ascii="Times New Roman" w:hAnsi="Times New Roman" w:cs="Times New Roman"/>
                <w:sz w:val="24"/>
                <w:szCs w:val="24"/>
                <w:lang w:eastAsia="en-GB"/>
              </w:rPr>
            </w:pPr>
            <w:r w:rsidRPr="00992BFD">
              <w:rPr>
                <w:lang w:eastAsia="en-GB"/>
              </w:rPr>
              <w:t>£950.00</w:t>
            </w:r>
          </w:p>
        </w:tc>
      </w:tr>
      <w:tr w:rsidR="00992BFD" w:rsidRPr="00992BFD" w14:paraId="3022ECDC"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89C8E"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Sally </w:t>
            </w:r>
            <w:r w:rsidRPr="00992BFD">
              <w:rPr>
                <w:lang w:eastAsia="en-GB"/>
              </w:rPr>
              <w:t>Rigbye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AB991" w14:textId="77777777" w:rsidR="00992BFD" w:rsidRPr="00992BFD" w:rsidRDefault="00992BFD" w:rsidP="00992BFD">
            <w:pPr>
              <w:rPr>
                <w:rFonts w:ascii="Times New Roman" w:hAnsi="Times New Roman" w:cs="Times New Roman"/>
                <w:sz w:val="24"/>
                <w:szCs w:val="24"/>
                <w:lang w:eastAsia="en-GB"/>
              </w:rPr>
            </w:pPr>
            <w:r w:rsidRPr="00992BFD">
              <w:rPr>
                <w:lang w:eastAsia="en-GB"/>
              </w:rPr>
              <w:t>£23,750.00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DE28B" w14:textId="77777777" w:rsidR="00992BFD" w:rsidRPr="00992BFD" w:rsidRDefault="00992BFD" w:rsidP="00992BFD">
            <w:pPr>
              <w:rPr>
                <w:rFonts w:ascii="Times New Roman" w:hAnsi="Times New Roman" w:cs="Times New Roman"/>
                <w:sz w:val="24"/>
                <w:szCs w:val="24"/>
                <w:lang w:eastAsia="en-GB"/>
              </w:rPr>
            </w:pPr>
            <w:r w:rsidRPr="00992BFD">
              <w:rPr>
                <w:lang w:eastAsia="en-GB"/>
              </w:rPr>
              <w:t>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58B36E" w14:textId="77777777" w:rsidR="00992BFD" w:rsidRPr="00992BFD" w:rsidRDefault="00992BFD" w:rsidP="00992BFD">
            <w:pPr>
              <w:rPr>
                <w:rFonts w:ascii="Times New Roman" w:hAnsi="Times New Roman" w:cs="Times New Roman"/>
                <w:sz w:val="24"/>
                <w:szCs w:val="24"/>
                <w:lang w:eastAsia="en-GB"/>
              </w:rPr>
            </w:pPr>
            <w:r w:rsidRPr="00992BFD">
              <w:rPr>
                <w:lang w:eastAsia="en-GB"/>
              </w:rPr>
              <w:t>£950.00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860FE"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DEEE6" w14:textId="77777777" w:rsidR="00992BFD" w:rsidRPr="00992BFD" w:rsidRDefault="00992BFD" w:rsidP="00992BFD">
            <w:pPr>
              <w:rPr>
                <w:rFonts w:ascii="Times New Roman" w:hAnsi="Times New Roman" w:cs="Times New Roman"/>
                <w:sz w:val="24"/>
                <w:szCs w:val="24"/>
                <w:lang w:eastAsia="en-GB"/>
              </w:rPr>
            </w:pPr>
            <w:r w:rsidRPr="00992BFD">
              <w:rPr>
                <w:lang w:eastAsia="en-GB"/>
              </w:rPr>
              <w:t>£950.00</w:t>
            </w:r>
          </w:p>
        </w:tc>
      </w:tr>
      <w:tr w:rsidR="00992BFD" w:rsidRPr="00992BFD" w14:paraId="00D1819B"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E57EC6"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Jean </w:t>
            </w:r>
            <w:r w:rsidRPr="00992BFD">
              <w:rPr>
                <w:lang w:eastAsia="en-GB"/>
              </w:rPr>
              <w:t>Livesey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D5D60" w14:textId="77777777" w:rsidR="00992BFD" w:rsidRPr="00992BFD" w:rsidRDefault="00992BFD" w:rsidP="00992BFD">
            <w:pPr>
              <w:rPr>
                <w:rFonts w:ascii="Times New Roman" w:hAnsi="Times New Roman" w:cs="Times New Roman"/>
                <w:sz w:val="24"/>
                <w:szCs w:val="24"/>
                <w:lang w:eastAsia="en-GB"/>
              </w:rPr>
            </w:pPr>
            <w:r w:rsidRPr="00992BFD">
              <w:rPr>
                <w:lang w:eastAsia="en-GB"/>
              </w:rPr>
              <w:t>£26,000.00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417D8" w14:textId="77777777" w:rsidR="00992BFD" w:rsidRPr="00992BFD" w:rsidRDefault="00992BFD" w:rsidP="00992BFD">
            <w:pPr>
              <w:rPr>
                <w:rFonts w:ascii="Times New Roman" w:hAnsi="Times New Roman" w:cs="Times New Roman"/>
                <w:sz w:val="24"/>
                <w:szCs w:val="24"/>
                <w:lang w:eastAsia="en-GB"/>
              </w:rPr>
            </w:pPr>
            <w:r w:rsidRPr="00992BFD">
              <w:rPr>
                <w:lang w:eastAsia="en-GB"/>
              </w:rPr>
              <w:t>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3AFED"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11DF9" w14:textId="77777777" w:rsidR="00992BFD" w:rsidRPr="00992BFD" w:rsidRDefault="00992BFD" w:rsidP="00992BFD">
            <w:pPr>
              <w:rPr>
                <w:rFonts w:ascii="Times New Roman" w:hAnsi="Times New Roman" w:cs="Times New Roman"/>
                <w:sz w:val="24"/>
                <w:szCs w:val="24"/>
                <w:lang w:eastAsia="en-GB"/>
              </w:rPr>
            </w:pPr>
            <w:r w:rsidRPr="00992BFD">
              <w:rPr>
                <w:lang w:eastAsia="en-GB"/>
              </w:rPr>
              <w:t>£1,040.00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78B22" w14:textId="77777777" w:rsidR="00992BFD" w:rsidRPr="00992BFD" w:rsidRDefault="00992BFD" w:rsidP="00992BFD">
            <w:pPr>
              <w:rPr>
                <w:rFonts w:ascii="Times New Roman" w:hAnsi="Times New Roman" w:cs="Times New Roman"/>
                <w:sz w:val="24"/>
                <w:szCs w:val="24"/>
                <w:lang w:eastAsia="en-GB"/>
              </w:rPr>
            </w:pPr>
            <w:r w:rsidRPr="00992BFD">
              <w:rPr>
                <w:lang w:eastAsia="en-GB"/>
              </w:rPr>
              <w:t>£1,040.00</w:t>
            </w:r>
          </w:p>
        </w:tc>
      </w:tr>
      <w:tr w:rsidR="00992BFD" w:rsidRPr="00992BFD" w14:paraId="78DC8848"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65BA28"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Julie </w:t>
            </w:r>
            <w:r w:rsidRPr="00992BFD">
              <w:rPr>
                <w:lang w:eastAsia="en-GB"/>
              </w:rPr>
              <w:t>Chisnall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32F67" w14:textId="77777777" w:rsidR="00992BFD" w:rsidRPr="00992BFD" w:rsidRDefault="00992BFD" w:rsidP="00992BFD">
            <w:pPr>
              <w:rPr>
                <w:rFonts w:ascii="Times New Roman" w:hAnsi="Times New Roman" w:cs="Times New Roman"/>
                <w:sz w:val="24"/>
                <w:szCs w:val="24"/>
                <w:lang w:eastAsia="en-GB"/>
              </w:rPr>
            </w:pPr>
            <w:r w:rsidRPr="00992BFD">
              <w:rPr>
                <w:lang w:eastAsia="en-GB"/>
              </w:rPr>
              <w:t>£19,500.00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E6176" w14:textId="77777777" w:rsidR="00992BFD" w:rsidRPr="00992BFD" w:rsidRDefault="00992BFD" w:rsidP="00992BFD">
            <w:pPr>
              <w:rPr>
                <w:rFonts w:ascii="Times New Roman" w:hAnsi="Times New Roman" w:cs="Times New Roman"/>
                <w:sz w:val="24"/>
                <w:szCs w:val="24"/>
                <w:lang w:eastAsia="en-GB"/>
              </w:rPr>
            </w:pPr>
            <w:r w:rsidRPr="00992BFD">
              <w:rPr>
                <w:lang w:eastAsia="en-GB"/>
              </w:rPr>
              <w:t>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DD48C" w14:textId="77777777" w:rsidR="00992BFD" w:rsidRPr="00992BFD" w:rsidRDefault="00992BFD" w:rsidP="00992BFD">
            <w:pPr>
              <w:rPr>
                <w:rFonts w:ascii="Times New Roman" w:hAnsi="Times New Roman" w:cs="Times New Roman"/>
                <w:sz w:val="24"/>
                <w:szCs w:val="24"/>
                <w:lang w:eastAsia="en-GB"/>
              </w:rPr>
            </w:pPr>
            <w:r w:rsidRPr="00992BFD">
              <w:rPr>
                <w:lang w:eastAsia="en-GB"/>
              </w:rPr>
              <w:t>£780.00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FA8D1" w14:textId="77777777" w:rsidR="00992BFD" w:rsidRPr="00992BFD" w:rsidRDefault="00992BFD" w:rsidP="00992BFD">
            <w:pPr>
              <w:rPr>
                <w:rFonts w:ascii="Times New Roman" w:hAnsi="Times New Roman" w:cs="Times New Roman"/>
                <w:sz w:val="24"/>
                <w:szCs w:val="24"/>
                <w:lang w:eastAsia="en-GB"/>
              </w:rPr>
            </w:pPr>
            <w:r w:rsidRPr="00992BFD">
              <w:rPr>
                <w:lang w:eastAsia="en-GB"/>
              </w:rPr>
              <w:t>£780.00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C4F57" w14:textId="77777777" w:rsidR="00992BFD" w:rsidRPr="00992BFD" w:rsidRDefault="00992BFD" w:rsidP="00992BFD">
            <w:pPr>
              <w:rPr>
                <w:rFonts w:ascii="Times New Roman" w:hAnsi="Times New Roman" w:cs="Times New Roman"/>
                <w:sz w:val="24"/>
                <w:szCs w:val="24"/>
                <w:lang w:eastAsia="en-GB"/>
              </w:rPr>
            </w:pPr>
            <w:r w:rsidRPr="00992BFD">
              <w:rPr>
                <w:lang w:eastAsia="en-GB"/>
              </w:rPr>
              <w:t>£1,560.00</w:t>
            </w:r>
          </w:p>
        </w:tc>
      </w:tr>
      <w:tr w:rsidR="00992BFD" w:rsidRPr="00992BFD" w14:paraId="1D8FB517"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51D87"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Rick</w:t>
            </w:r>
            <w:r w:rsidRPr="00992BFD">
              <w:rPr>
                <w:lang w:eastAsia="en-GB"/>
              </w:rPr>
              <w:t xml:space="preserve"> Lovall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AA920" w14:textId="77777777" w:rsidR="00992BFD" w:rsidRPr="00992BFD" w:rsidRDefault="00992BFD" w:rsidP="00992BFD">
            <w:pPr>
              <w:rPr>
                <w:rFonts w:ascii="Times New Roman" w:hAnsi="Times New Roman" w:cs="Times New Roman"/>
                <w:sz w:val="24"/>
                <w:szCs w:val="24"/>
                <w:lang w:eastAsia="en-GB"/>
              </w:rPr>
            </w:pPr>
            <w:r w:rsidRPr="00992BFD">
              <w:rPr>
                <w:lang w:eastAsia="en-GB"/>
              </w:rPr>
              <w:t>£19,500.00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E55F" w14:textId="77777777" w:rsidR="00992BFD" w:rsidRPr="00992BFD" w:rsidRDefault="00992BFD" w:rsidP="00992BFD">
            <w:pPr>
              <w:rPr>
                <w:rFonts w:ascii="Times New Roman" w:hAnsi="Times New Roman" w:cs="Times New Roman"/>
                <w:sz w:val="24"/>
                <w:szCs w:val="24"/>
                <w:lang w:eastAsia="en-GB"/>
              </w:rPr>
            </w:pPr>
            <w:r w:rsidRPr="00992BFD">
              <w:rPr>
                <w:lang w:eastAsia="en-GB"/>
              </w:rPr>
              <w:t>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A68EB" w14:textId="77777777" w:rsidR="00992BFD" w:rsidRPr="00992BFD" w:rsidRDefault="00992BFD" w:rsidP="00992BFD">
            <w:pPr>
              <w:rPr>
                <w:rFonts w:ascii="Times New Roman" w:hAnsi="Times New Roman" w:cs="Times New Roman"/>
                <w:sz w:val="24"/>
                <w:szCs w:val="24"/>
                <w:lang w:eastAsia="en-GB"/>
              </w:rPr>
            </w:pPr>
            <w:r w:rsidRPr="00992BFD">
              <w:rPr>
                <w:lang w:eastAsia="en-GB"/>
              </w:rPr>
              <w:t>£780.00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7DF82"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6336D" w14:textId="77777777" w:rsidR="00992BFD" w:rsidRPr="00992BFD" w:rsidRDefault="00992BFD" w:rsidP="00992BFD">
            <w:pPr>
              <w:rPr>
                <w:rFonts w:ascii="Times New Roman" w:hAnsi="Times New Roman" w:cs="Times New Roman"/>
                <w:sz w:val="24"/>
                <w:szCs w:val="24"/>
                <w:lang w:eastAsia="en-GB"/>
              </w:rPr>
            </w:pPr>
            <w:r w:rsidRPr="00992BFD">
              <w:rPr>
                <w:lang w:eastAsia="en-GB"/>
              </w:rPr>
              <w:t>£780.00</w:t>
            </w:r>
          </w:p>
        </w:tc>
      </w:tr>
      <w:tr w:rsidR="00992BFD" w:rsidRPr="00992BFD" w14:paraId="00EC8BFB"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2FAB0"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Gill</w:t>
            </w:r>
            <w:r w:rsidRPr="00992BFD">
              <w:rPr>
                <w:lang w:eastAsia="en-GB"/>
              </w:rPr>
              <w:t xml:space="preserve"> Jamieson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808C8" w14:textId="77777777" w:rsidR="00992BFD" w:rsidRPr="00992BFD" w:rsidRDefault="00992BFD" w:rsidP="00992BFD">
            <w:pPr>
              <w:rPr>
                <w:rFonts w:ascii="Times New Roman" w:hAnsi="Times New Roman" w:cs="Times New Roman"/>
                <w:sz w:val="24"/>
                <w:szCs w:val="24"/>
                <w:lang w:eastAsia="en-GB"/>
              </w:rPr>
            </w:pPr>
            <w:r w:rsidRPr="00992BFD">
              <w:rPr>
                <w:lang w:eastAsia="en-GB"/>
              </w:rPr>
              <w:t>£19,500.00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75A824" w14:textId="77777777" w:rsidR="00992BFD" w:rsidRPr="00992BFD" w:rsidRDefault="00992BFD" w:rsidP="00992BFD">
            <w:pPr>
              <w:rPr>
                <w:rFonts w:ascii="Times New Roman" w:hAnsi="Times New Roman" w:cs="Times New Roman"/>
                <w:sz w:val="24"/>
                <w:szCs w:val="24"/>
                <w:lang w:eastAsia="en-GB"/>
              </w:rPr>
            </w:pPr>
            <w:r w:rsidRPr="00992BFD">
              <w:rPr>
                <w:lang w:eastAsia="en-GB"/>
              </w:rPr>
              <w:t>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C02B7F" w14:textId="77777777" w:rsidR="00992BFD" w:rsidRPr="00992BFD" w:rsidRDefault="00992BFD" w:rsidP="00992BFD">
            <w:pPr>
              <w:rPr>
                <w:rFonts w:ascii="Times New Roman" w:hAnsi="Times New Roman" w:cs="Times New Roman"/>
                <w:sz w:val="24"/>
                <w:szCs w:val="24"/>
                <w:lang w:eastAsia="en-GB"/>
              </w:rPr>
            </w:pPr>
            <w:r w:rsidRPr="00992BFD">
              <w:rPr>
                <w:lang w:eastAsia="en-GB"/>
              </w:rPr>
              <w:t>£780.00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16661" w14:textId="77777777" w:rsidR="00992BFD" w:rsidRPr="00992BFD" w:rsidRDefault="00992BFD" w:rsidP="00992BFD">
            <w:pPr>
              <w:rPr>
                <w:rFonts w:ascii="Times New Roman" w:hAnsi="Times New Roman" w:cs="Times New Roman"/>
                <w:sz w:val="24"/>
                <w:szCs w:val="24"/>
                <w:lang w:eastAsia="en-GB"/>
              </w:rPr>
            </w:pPr>
            <w:r w:rsidRPr="00992BFD">
              <w:rPr>
                <w:lang w:eastAsia="en-GB"/>
              </w:rPr>
              <w:t>£780.00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15667" w14:textId="77777777" w:rsidR="00992BFD" w:rsidRPr="00992BFD" w:rsidRDefault="00992BFD" w:rsidP="00992BFD">
            <w:pPr>
              <w:rPr>
                <w:rFonts w:ascii="Times New Roman" w:hAnsi="Times New Roman" w:cs="Times New Roman"/>
                <w:sz w:val="24"/>
                <w:szCs w:val="24"/>
                <w:lang w:eastAsia="en-GB"/>
              </w:rPr>
            </w:pPr>
            <w:r w:rsidRPr="00992BFD">
              <w:rPr>
                <w:lang w:eastAsia="en-GB"/>
              </w:rPr>
              <w:t>£1,560.00</w:t>
            </w:r>
          </w:p>
        </w:tc>
      </w:tr>
      <w:tr w:rsidR="00992BFD" w:rsidRPr="00992BFD" w14:paraId="1062C50E"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2D881"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Ethan </w:t>
            </w:r>
            <w:r w:rsidRPr="00992BFD">
              <w:rPr>
                <w:lang w:eastAsia="en-GB"/>
              </w:rPr>
              <w:t>Brar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888D0" w14:textId="77777777" w:rsidR="00992BFD" w:rsidRPr="00992BFD" w:rsidRDefault="00992BFD" w:rsidP="00992BFD">
            <w:pPr>
              <w:rPr>
                <w:rFonts w:ascii="Times New Roman" w:hAnsi="Times New Roman" w:cs="Times New Roman"/>
                <w:sz w:val="24"/>
                <w:szCs w:val="24"/>
                <w:lang w:eastAsia="en-GB"/>
              </w:rPr>
            </w:pPr>
            <w:r w:rsidRPr="00992BFD">
              <w:rPr>
                <w:lang w:eastAsia="en-GB"/>
              </w:rPr>
              <w:t>£32,500.00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5382B" w14:textId="77777777" w:rsidR="00992BFD" w:rsidRPr="00992BFD" w:rsidRDefault="00992BFD" w:rsidP="00992BFD">
            <w:pPr>
              <w:rPr>
                <w:rFonts w:ascii="Times New Roman" w:hAnsi="Times New Roman" w:cs="Times New Roman"/>
                <w:sz w:val="24"/>
                <w:szCs w:val="24"/>
                <w:lang w:eastAsia="en-GB"/>
              </w:rPr>
            </w:pPr>
            <w:r w:rsidRPr="00992BFD">
              <w:rPr>
                <w:lang w:eastAsia="en-GB"/>
              </w:rPr>
              <w:t>R&amp;D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885F9" w14:textId="77777777" w:rsidR="00992BFD" w:rsidRPr="00992BFD" w:rsidRDefault="00992BFD" w:rsidP="00992BFD">
            <w:pPr>
              <w:rPr>
                <w:rFonts w:ascii="Times New Roman" w:hAnsi="Times New Roman" w:cs="Times New Roman"/>
                <w:sz w:val="24"/>
                <w:szCs w:val="24"/>
                <w:lang w:eastAsia="en-GB"/>
              </w:rPr>
            </w:pPr>
            <w:r w:rsidRPr="00992BFD">
              <w:rPr>
                <w:lang w:eastAsia="en-GB"/>
              </w:rPr>
              <w:t>£1,300.00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89A6F" w14:textId="77777777" w:rsidR="00992BFD" w:rsidRPr="00992BFD" w:rsidRDefault="00992BFD" w:rsidP="00992BFD">
            <w:pPr>
              <w:rPr>
                <w:rFonts w:ascii="Times New Roman" w:hAnsi="Times New Roman" w:cs="Times New Roman"/>
                <w:sz w:val="24"/>
                <w:szCs w:val="24"/>
                <w:lang w:eastAsia="en-GB"/>
              </w:rPr>
            </w:pPr>
            <w:r w:rsidRPr="00992BFD">
              <w:rPr>
                <w:lang w:eastAsia="en-GB"/>
              </w:rPr>
              <w:t>£1,300.00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93E95" w14:textId="77777777" w:rsidR="00992BFD" w:rsidRPr="00992BFD" w:rsidRDefault="00992BFD" w:rsidP="00992BFD">
            <w:pPr>
              <w:rPr>
                <w:rFonts w:ascii="Times New Roman" w:hAnsi="Times New Roman" w:cs="Times New Roman"/>
                <w:sz w:val="24"/>
                <w:szCs w:val="24"/>
                <w:lang w:eastAsia="en-GB"/>
              </w:rPr>
            </w:pPr>
            <w:r w:rsidRPr="00992BFD">
              <w:rPr>
                <w:lang w:eastAsia="en-GB"/>
              </w:rPr>
              <w:t>£2,600.00</w:t>
            </w:r>
          </w:p>
        </w:tc>
      </w:tr>
      <w:tr w:rsidR="00992BFD" w:rsidRPr="00992BFD" w14:paraId="35887B38"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E6548"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Harrison </w:t>
            </w:r>
            <w:r w:rsidRPr="00992BFD">
              <w:rPr>
                <w:lang w:eastAsia="en-GB"/>
              </w:rPr>
              <w:t>Briggs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041A9" w14:textId="77777777" w:rsidR="00992BFD" w:rsidRPr="00992BFD" w:rsidRDefault="00992BFD" w:rsidP="00992BFD">
            <w:pPr>
              <w:rPr>
                <w:rFonts w:ascii="Times New Roman" w:hAnsi="Times New Roman" w:cs="Times New Roman"/>
                <w:sz w:val="24"/>
                <w:szCs w:val="24"/>
                <w:lang w:eastAsia="en-GB"/>
              </w:rPr>
            </w:pPr>
            <w:r w:rsidRPr="00992BFD">
              <w:rPr>
                <w:lang w:eastAsia="en-GB"/>
              </w:rPr>
              <w:t>£32,500.00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3EDAD" w14:textId="77777777" w:rsidR="00992BFD" w:rsidRPr="00992BFD" w:rsidRDefault="00992BFD" w:rsidP="00992BFD">
            <w:pPr>
              <w:rPr>
                <w:rFonts w:ascii="Times New Roman" w:hAnsi="Times New Roman" w:cs="Times New Roman"/>
                <w:sz w:val="24"/>
                <w:szCs w:val="24"/>
                <w:lang w:eastAsia="en-GB"/>
              </w:rPr>
            </w:pPr>
            <w:r w:rsidRPr="00992BFD">
              <w:rPr>
                <w:lang w:eastAsia="en-GB"/>
              </w:rPr>
              <w:t>R&amp;D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1D44C"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8A4844" w14:textId="77777777" w:rsidR="00992BFD" w:rsidRPr="00992BFD" w:rsidRDefault="00992BFD" w:rsidP="00992BFD">
            <w:pPr>
              <w:rPr>
                <w:rFonts w:ascii="Times New Roman" w:hAnsi="Times New Roman" w:cs="Times New Roman"/>
                <w:sz w:val="24"/>
                <w:szCs w:val="24"/>
                <w:lang w:eastAsia="en-GB"/>
              </w:rPr>
            </w:pPr>
            <w:r w:rsidRPr="00992BFD">
              <w:rPr>
                <w:lang w:eastAsia="en-GB"/>
              </w:rPr>
              <w:t>£1,300.00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033EAE" w14:textId="77777777" w:rsidR="00992BFD" w:rsidRPr="00992BFD" w:rsidRDefault="00992BFD" w:rsidP="00992BFD">
            <w:pPr>
              <w:rPr>
                <w:rFonts w:ascii="Times New Roman" w:hAnsi="Times New Roman" w:cs="Times New Roman"/>
                <w:sz w:val="24"/>
                <w:szCs w:val="24"/>
                <w:lang w:eastAsia="en-GB"/>
              </w:rPr>
            </w:pPr>
            <w:r w:rsidRPr="00992BFD">
              <w:rPr>
                <w:lang w:eastAsia="en-GB"/>
              </w:rPr>
              <w:t>£1,300.00</w:t>
            </w:r>
          </w:p>
        </w:tc>
      </w:tr>
      <w:tr w:rsidR="00992BFD" w:rsidRPr="00992BFD" w14:paraId="6ACF413D"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BDD4C"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Steve </w:t>
            </w:r>
            <w:r w:rsidRPr="00992BFD">
              <w:rPr>
                <w:lang w:eastAsia="en-GB"/>
              </w:rPr>
              <w:t>Owens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5912A" w14:textId="77777777" w:rsidR="00992BFD" w:rsidRPr="00992BFD" w:rsidRDefault="00992BFD" w:rsidP="00992BFD">
            <w:pPr>
              <w:rPr>
                <w:rFonts w:ascii="Times New Roman" w:hAnsi="Times New Roman" w:cs="Times New Roman"/>
                <w:sz w:val="24"/>
                <w:szCs w:val="24"/>
                <w:lang w:eastAsia="en-GB"/>
              </w:rPr>
            </w:pPr>
            <w:r w:rsidRPr="00992BFD">
              <w:rPr>
                <w:lang w:eastAsia="en-GB"/>
              </w:rPr>
              <w:t>£29,500.00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EC8F4" w14:textId="77777777" w:rsidR="00992BFD" w:rsidRPr="00992BFD" w:rsidRDefault="00992BFD" w:rsidP="00992BFD">
            <w:pPr>
              <w:rPr>
                <w:rFonts w:ascii="Times New Roman" w:hAnsi="Times New Roman" w:cs="Times New Roman"/>
                <w:sz w:val="24"/>
                <w:szCs w:val="24"/>
                <w:lang w:eastAsia="en-GB"/>
              </w:rPr>
            </w:pPr>
            <w:r w:rsidRPr="00992BFD">
              <w:rPr>
                <w:lang w:eastAsia="en-GB"/>
              </w:rPr>
              <w:t>R&amp;D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02A88" w14:textId="77777777" w:rsidR="00992BFD" w:rsidRPr="00992BFD" w:rsidRDefault="00992BFD" w:rsidP="00992BFD">
            <w:pPr>
              <w:rPr>
                <w:rFonts w:ascii="Times New Roman" w:hAnsi="Times New Roman" w:cs="Times New Roman"/>
                <w:sz w:val="24"/>
                <w:szCs w:val="24"/>
                <w:lang w:eastAsia="en-GB"/>
              </w:rPr>
            </w:pPr>
            <w:r w:rsidRPr="00992BFD">
              <w:rPr>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C80D7" w14:textId="77777777" w:rsidR="00992BFD" w:rsidRPr="00992BFD" w:rsidRDefault="00992BFD" w:rsidP="00992BFD">
            <w:pPr>
              <w:rPr>
                <w:rFonts w:ascii="Times New Roman" w:hAnsi="Times New Roman" w:cs="Times New Roman"/>
                <w:sz w:val="24"/>
                <w:szCs w:val="24"/>
                <w:lang w:eastAsia="en-GB"/>
              </w:rPr>
            </w:pPr>
            <w:r w:rsidRPr="00992BFD">
              <w:rPr>
                <w:lang w:eastAsia="en-GB"/>
              </w:rPr>
              <w:t>£1,180.00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7A55A" w14:textId="77777777" w:rsidR="00992BFD" w:rsidRPr="00992BFD" w:rsidRDefault="00992BFD" w:rsidP="00992BFD">
            <w:pPr>
              <w:rPr>
                <w:rFonts w:ascii="Times New Roman" w:hAnsi="Times New Roman" w:cs="Times New Roman"/>
                <w:sz w:val="24"/>
                <w:szCs w:val="24"/>
                <w:lang w:eastAsia="en-GB"/>
              </w:rPr>
            </w:pPr>
            <w:r w:rsidRPr="00992BFD">
              <w:rPr>
                <w:lang w:eastAsia="en-GB"/>
              </w:rPr>
              <w:t>£1,180.00</w:t>
            </w:r>
          </w:p>
        </w:tc>
      </w:tr>
      <w:tr w:rsidR="00992BFD" w:rsidRPr="00992BFD" w14:paraId="392C1AEB"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6AF4E"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Tasha</w:t>
            </w:r>
            <w:r w:rsidRPr="00992BFD">
              <w:rPr>
                <w:lang w:eastAsia="en-GB"/>
              </w:rPr>
              <w:t xml:space="preserve"> Graham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01DC7" w14:textId="77777777" w:rsidR="00992BFD" w:rsidRPr="00992BFD" w:rsidRDefault="00992BFD" w:rsidP="00992BFD">
            <w:pPr>
              <w:rPr>
                <w:rFonts w:ascii="Times New Roman" w:hAnsi="Times New Roman" w:cs="Times New Roman"/>
                <w:sz w:val="24"/>
                <w:szCs w:val="24"/>
                <w:lang w:eastAsia="en-GB"/>
              </w:rPr>
            </w:pPr>
            <w:r w:rsidRPr="00992BFD">
              <w:rPr>
                <w:lang w:eastAsia="en-GB"/>
              </w:rPr>
              <w:t>£29,500.00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317FD" w14:textId="77777777" w:rsidR="00992BFD" w:rsidRPr="00992BFD" w:rsidRDefault="00992BFD" w:rsidP="00992BFD">
            <w:pPr>
              <w:rPr>
                <w:rFonts w:ascii="Times New Roman" w:hAnsi="Times New Roman" w:cs="Times New Roman"/>
                <w:sz w:val="24"/>
                <w:szCs w:val="24"/>
                <w:lang w:eastAsia="en-GB"/>
              </w:rPr>
            </w:pPr>
            <w:r w:rsidRPr="00992BFD">
              <w:rPr>
                <w:lang w:eastAsia="en-GB"/>
              </w:rPr>
              <w:t>R&amp;D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BFD54" w14:textId="77777777" w:rsidR="00992BFD" w:rsidRPr="00992BFD" w:rsidRDefault="00992BFD" w:rsidP="00992BFD">
            <w:pPr>
              <w:rPr>
                <w:rFonts w:ascii="Times New Roman" w:hAnsi="Times New Roman" w:cs="Times New Roman"/>
                <w:sz w:val="24"/>
                <w:szCs w:val="24"/>
                <w:lang w:eastAsia="en-GB"/>
              </w:rPr>
            </w:pPr>
            <w:r w:rsidRPr="00992BFD">
              <w:rPr>
                <w:lang w:eastAsia="en-GB"/>
              </w:rPr>
              <w:t>£1,180.00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2771A" w14:textId="77777777" w:rsidR="00992BFD" w:rsidRPr="00992BFD" w:rsidRDefault="00992BFD" w:rsidP="00992BFD">
            <w:pPr>
              <w:rPr>
                <w:rFonts w:ascii="Times New Roman" w:hAnsi="Times New Roman" w:cs="Times New Roman"/>
                <w:sz w:val="24"/>
                <w:szCs w:val="24"/>
                <w:lang w:eastAsia="en-GB"/>
              </w:rPr>
            </w:pPr>
            <w:r w:rsidRPr="00992BFD">
              <w:rPr>
                <w:lang w:eastAsia="en-GB"/>
              </w:rPr>
              <w:t>£1,180.00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FF664" w14:textId="77777777" w:rsidR="00992BFD" w:rsidRPr="00992BFD" w:rsidRDefault="00992BFD" w:rsidP="00992BFD">
            <w:pPr>
              <w:rPr>
                <w:rFonts w:ascii="Times New Roman" w:hAnsi="Times New Roman" w:cs="Times New Roman"/>
                <w:sz w:val="24"/>
                <w:szCs w:val="24"/>
                <w:lang w:eastAsia="en-GB"/>
              </w:rPr>
            </w:pPr>
            <w:r w:rsidRPr="00992BFD">
              <w:rPr>
                <w:lang w:eastAsia="en-GB"/>
              </w:rPr>
              <w:t>£2,360.00</w:t>
            </w:r>
          </w:p>
        </w:tc>
      </w:tr>
      <w:tr w:rsidR="00992BFD" w:rsidRPr="00992BFD" w14:paraId="5AD926CA"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172E0" w14:textId="77777777" w:rsidR="00992BFD" w:rsidRPr="00992BFD" w:rsidRDefault="00992BFD" w:rsidP="00992BFD">
            <w:pPr>
              <w:rPr>
                <w:rFonts w:ascii="Times New Roman" w:hAnsi="Times New Roman" w:cs="Times New Roman"/>
                <w:sz w:val="24"/>
                <w:szCs w:val="24"/>
                <w:lang w:eastAsia="en-GB"/>
              </w:rPr>
            </w:pPr>
            <w:r w:rsidRPr="002713ED">
              <w:rPr>
                <w:strike/>
                <w:lang w:eastAsia="en-GB"/>
              </w:rPr>
              <w:t xml:space="preserve">Jennifer </w:t>
            </w:r>
            <w:r w:rsidRPr="00992BFD">
              <w:rPr>
                <w:lang w:eastAsia="en-GB"/>
              </w:rPr>
              <w:t>Frost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0DC7B" w14:textId="77777777" w:rsidR="00992BFD" w:rsidRPr="00992BFD" w:rsidRDefault="00992BFD" w:rsidP="00992BFD">
            <w:pPr>
              <w:rPr>
                <w:rFonts w:ascii="Times New Roman" w:hAnsi="Times New Roman" w:cs="Times New Roman"/>
                <w:sz w:val="24"/>
                <w:szCs w:val="24"/>
                <w:lang w:eastAsia="en-GB"/>
              </w:rPr>
            </w:pPr>
            <w:r w:rsidRPr="00992BFD">
              <w:rPr>
                <w:lang w:eastAsia="en-GB"/>
              </w:rPr>
              <w:t>£29,500.00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7441C" w14:textId="77777777" w:rsidR="00992BFD" w:rsidRPr="00992BFD" w:rsidRDefault="00992BFD" w:rsidP="00992BFD">
            <w:pPr>
              <w:rPr>
                <w:rFonts w:ascii="Times New Roman" w:hAnsi="Times New Roman" w:cs="Times New Roman"/>
                <w:sz w:val="24"/>
                <w:szCs w:val="24"/>
                <w:lang w:eastAsia="en-GB"/>
              </w:rPr>
            </w:pPr>
            <w:r w:rsidRPr="00992BFD">
              <w:rPr>
                <w:lang w:eastAsia="en-GB"/>
              </w:rPr>
              <w:t>R&amp;D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CAF86" w14:textId="77777777" w:rsidR="00992BFD" w:rsidRPr="00992BFD" w:rsidRDefault="00992BFD" w:rsidP="00992BFD">
            <w:pPr>
              <w:rPr>
                <w:rFonts w:ascii="Times New Roman" w:hAnsi="Times New Roman" w:cs="Times New Roman"/>
                <w:sz w:val="24"/>
                <w:szCs w:val="24"/>
                <w:lang w:eastAsia="en-GB"/>
              </w:rPr>
            </w:pPr>
            <w:r w:rsidRPr="00992BFD">
              <w:rPr>
                <w:lang w:eastAsia="en-GB"/>
              </w:rPr>
              <w:t>£1,180.00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36A136" w14:textId="77777777" w:rsidR="00992BFD" w:rsidRPr="00992BFD" w:rsidRDefault="00992BFD" w:rsidP="00992BFD">
            <w:pPr>
              <w:rPr>
                <w:rFonts w:ascii="Times New Roman" w:hAnsi="Times New Roman" w:cs="Times New Roman"/>
                <w:sz w:val="24"/>
                <w:szCs w:val="24"/>
                <w:lang w:eastAsia="en-GB"/>
              </w:rPr>
            </w:pPr>
            <w:r w:rsidRPr="00992BFD">
              <w:rPr>
                <w:lang w:eastAsia="en-GB"/>
              </w:rPr>
              <w:t>£1,180.00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3866E" w14:textId="77777777" w:rsidR="00992BFD" w:rsidRPr="00992BFD" w:rsidRDefault="00992BFD" w:rsidP="00992BFD">
            <w:pPr>
              <w:rPr>
                <w:rFonts w:ascii="Times New Roman" w:hAnsi="Times New Roman" w:cs="Times New Roman"/>
                <w:sz w:val="24"/>
                <w:szCs w:val="24"/>
                <w:lang w:eastAsia="en-GB"/>
              </w:rPr>
            </w:pPr>
            <w:r w:rsidRPr="00992BFD">
              <w:rPr>
                <w:lang w:eastAsia="en-GB"/>
              </w:rPr>
              <w:t>£2,360.00</w:t>
            </w:r>
          </w:p>
        </w:tc>
      </w:tr>
    </w:tbl>
    <w:p w14:paraId="57B204E6" w14:textId="77777777" w:rsidR="00992BFD" w:rsidRDefault="00992BFD" w:rsidP="00992BFD">
      <w:pPr>
        <w:spacing w:after="0" w:line="240" w:lineRule="auto"/>
        <w:rPr>
          <w:rFonts w:ascii="Arial" w:eastAsia="Times New Roman" w:hAnsi="Arial" w:cs="Arial"/>
          <w:color w:val="000000"/>
          <w:lang w:eastAsia="en-GB"/>
        </w:rPr>
      </w:pPr>
    </w:p>
    <w:p w14:paraId="6372CC83" w14:textId="77777777" w:rsidR="00992BFD" w:rsidRPr="00992BFD" w:rsidRDefault="00992BFD" w:rsidP="00992BFD">
      <w:pPr>
        <w:rPr>
          <w:rFonts w:ascii="Times New Roman" w:hAnsi="Times New Roman" w:cs="Times New Roman"/>
          <w:sz w:val="24"/>
          <w:szCs w:val="24"/>
          <w:lang w:eastAsia="en-GB"/>
        </w:rPr>
      </w:pPr>
      <w:r w:rsidRPr="00992BFD">
        <w:rPr>
          <w:lang w:eastAsia="en-GB"/>
        </w:rPr>
        <w:t xml:space="preserve">In the table above are the compiled names and salaries of all eligible employees, the individual bonus for each quarter and the </w:t>
      </w:r>
      <w:r w:rsidRPr="002713ED">
        <w:rPr>
          <w:strike/>
          <w:lang w:eastAsia="en-GB"/>
        </w:rPr>
        <w:t>total/</w:t>
      </w:r>
      <w:r w:rsidRPr="00992BFD">
        <w:rPr>
          <w:lang w:eastAsia="en-GB"/>
        </w:rPr>
        <w:t>combined bonus from both quarters per individual. Altogether 5 employees performed outstandingly and were eligible for bon</w:t>
      </w:r>
      <w:r w:rsidR="00C329A8">
        <w:rPr>
          <w:lang w:eastAsia="en-GB"/>
        </w:rPr>
        <w:t>uses</w:t>
      </w:r>
      <w:r w:rsidRPr="00992BFD">
        <w:rPr>
          <w:lang w:eastAsia="en-GB"/>
        </w:rPr>
        <w:t xml:space="preserve"> for both quarters. </w:t>
      </w:r>
    </w:p>
    <w:p w14:paraId="461C9914" w14:textId="77777777" w:rsidR="00992BFD" w:rsidRPr="00992BFD" w:rsidRDefault="00992BFD" w:rsidP="00992BFD">
      <w:pPr>
        <w:rPr>
          <w:rFonts w:ascii="Times New Roman" w:hAnsi="Times New Roman" w:cs="Times New Roman"/>
          <w:sz w:val="24"/>
          <w:szCs w:val="24"/>
          <w:lang w:eastAsia="en-GB"/>
        </w:rPr>
      </w:pPr>
    </w:p>
    <w:p w14:paraId="522965C9" w14:textId="77777777" w:rsidR="00992BFD" w:rsidRPr="00992BFD" w:rsidRDefault="00992BFD" w:rsidP="00992BFD">
      <w:pPr>
        <w:rPr>
          <w:rFonts w:ascii="Times New Roman" w:hAnsi="Times New Roman" w:cs="Times New Roman"/>
          <w:sz w:val="24"/>
          <w:szCs w:val="24"/>
          <w:lang w:eastAsia="en-GB"/>
        </w:rPr>
      </w:pPr>
      <w:r w:rsidRPr="00992BFD">
        <w:rPr>
          <w:lang w:eastAsia="en-GB"/>
        </w:rPr>
        <w:lastRenderedPageBreak/>
        <w:t>The Logistics department contained the most outstanding performances, with 7 employees receiving a bonus, followed by Research and Development (5), then Administration (2). The Sales department produced no outstanding employees. </w:t>
      </w:r>
    </w:p>
    <w:tbl>
      <w:tblPr>
        <w:tblW w:w="9360" w:type="dxa"/>
        <w:tblCellMar>
          <w:top w:w="15" w:type="dxa"/>
          <w:left w:w="15" w:type="dxa"/>
          <w:bottom w:w="15" w:type="dxa"/>
          <w:right w:w="15" w:type="dxa"/>
        </w:tblCellMar>
        <w:tblLook w:val="04A0" w:firstRow="1" w:lastRow="0" w:firstColumn="1" w:lastColumn="0" w:noHBand="0" w:noVBand="1"/>
      </w:tblPr>
      <w:tblGrid>
        <w:gridCol w:w="3810"/>
        <w:gridCol w:w="1796"/>
        <w:gridCol w:w="2147"/>
        <w:gridCol w:w="1607"/>
      </w:tblGrid>
      <w:tr w:rsidR="00992BFD" w:rsidRPr="00992BFD" w14:paraId="2795B563"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2C1D7" w14:textId="77777777" w:rsidR="00992BFD" w:rsidRPr="00992BFD" w:rsidRDefault="00992BFD" w:rsidP="00992BFD">
            <w:pPr>
              <w:rPr>
                <w:rFonts w:cstheme="minorHAnsi"/>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30536" w14:textId="77777777" w:rsidR="00992BFD" w:rsidRPr="00992BFD" w:rsidRDefault="00992BFD" w:rsidP="00992BFD">
            <w:pPr>
              <w:rPr>
                <w:rFonts w:cstheme="minorHAnsi"/>
                <w:sz w:val="24"/>
                <w:lang w:eastAsia="en-GB"/>
              </w:rPr>
            </w:pPr>
            <w:r w:rsidRPr="00992BFD">
              <w:rPr>
                <w:rFonts w:cstheme="minorHAnsi"/>
                <w:color w:val="000000"/>
                <w:lang w:eastAsia="en-GB"/>
              </w:rPr>
              <w:t>First Quarter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2BB39E" w14:textId="77777777" w:rsidR="00992BFD" w:rsidRPr="00992BFD" w:rsidRDefault="00992BFD" w:rsidP="00992BFD">
            <w:pPr>
              <w:rPr>
                <w:rFonts w:cstheme="minorHAnsi"/>
                <w:sz w:val="24"/>
                <w:lang w:eastAsia="en-GB"/>
              </w:rPr>
            </w:pPr>
            <w:r w:rsidRPr="00992BFD">
              <w:rPr>
                <w:rFonts w:cstheme="minorHAnsi"/>
                <w:color w:val="000000"/>
                <w:lang w:eastAsia="en-GB"/>
              </w:rPr>
              <w:t>Second Quarter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96ADC8" w14:textId="77777777" w:rsidR="00992BFD" w:rsidRPr="00992BFD" w:rsidRDefault="00992BFD" w:rsidP="00992BFD">
            <w:pPr>
              <w:rPr>
                <w:rFonts w:cstheme="minorHAnsi"/>
                <w:sz w:val="24"/>
                <w:lang w:eastAsia="en-GB"/>
              </w:rPr>
            </w:pPr>
            <w:r w:rsidRPr="00992BFD">
              <w:rPr>
                <w:rFonts w:cstheme="minorHAnsi"/>
                <w:color w:val="000000"/>
                <w:lang w:eastAsia="en-GB"/>
              </w:rPr>
              <w:t>Overall</w:t>
            </w:r>
          </w:p>
        </w:tc>
      </w:tr>
      <w:tr w:rsidR="00992BFD" w:rsidRPr="00992BFD" w14:paraId="10E97D3B" w14:textId="77777777" w:rsidTr="00992BF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C67BD" w14:textId="77777777" w:rsidR="00992BFD" w:rsidRPr="00992BFD" w:rsidRDefault="00992BFD" w:rsidP="00992BFD">
            <w:pPr>
              <w:rPr>
                <w:rFonts w:cstheme="minorHAnsi"/>
                <w:sz w:val="24"/>
                <w:lang w:eastAsia="en-GB"/>
              </w:rPr>
            </w:pPr>
            <w:r w:rsidRPr="00992BFD">
              <w:rPr>
                <w:rFonts w:cstheme="minorHAnsi"/>
                <w:color w:val="000000"/>
                <w:lang w:eastAsia="en-GB"/>
              </w:rPr>
              <w:t>Total bonus cost for company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49028" w14:textId="77777777" w:rsidR="00992BFD" w:rsidRPr="00992BFD" w:rsidRDefault="00992BFD" w:rsidP="00992BFD">
            <w:pPr>
              <w:rPr>
                <w:rFonts w:cstheme="minorHAnsi"/>
                <w:sz w:val="24"/>
                <w:lang w:eastAsia="en-GB"/>
              </w:rPr>
            </w:pPr>
            <w:r w:rsidRPr="00992BFD">
              <w:rPr>
                <w:rFonts w:cstheme="minorHAnsi"/>
                <w:color w:val="000000"/>
                <w:lang w:eastAsia="en-GB"/>
              </w:rPr>
              <w:t>£9,170.00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B27D9" w14:textId="77777777" w:rsidR="00992BFD" w:rsidRPr="00992BFD" w:rsidRDefault="00992BFD" w:rsidP="00992BFD">
            <w:pPr>
              <w:rPr>
                <w:rFonts w:cstheme="minorHAnsi"/>
                <w:sz w:val="24"/>
                <w:lang w:eastAsia="en-GB"/>
              </w:rPr>
            </w:pPr>
            <w:r w:rsidRPr="00992BFD">
              <w:rPr>
                <w:rFonts w:cstheme="minorHAnsi"/>
                <w:color w:val="000000"/>
                <w:lang w:eastAsia="en-GB"/>
              </w:rPr>
              <w:t>£11,600.00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47717" w14:textId="77777777" w:rsidR="00992BFD" w:rsidRPr="00992BFD" w:rsidRDefault="00992BFD" w:rsidP="00992BFD">
            <w:pPr>
              <w:rPr>
                <w:rFonts w:cstheme="minorHAnsi"/>
                <w:sz w:val="24"/>
                <w:lang w:eastAsia="en-GB"/>
              </w:rPr>
            </w:pPr>
            <w:r w:rsidRPr="00992BFD">
              <w:rPr>
                <w:rFonts w:cstheme="minorHAnsi"/>
                <w:color w:val="000000"/>
                <w:lang w:eastAsia="en-GB"/>
              </w:rPr>
              <w:t>£20,770.00</w:t>
            </w:r>
          </w:p>
        </w:tc>
      </w:tr>
    </w:tbl>
    <w:p w14:paraId="68760C09" w14:textId="77777777" w:rsidR="00992BFD" w:rsidRPr="00992BFD" w:rsidRDefault="00992BFD" w:rsidP="00992BFD">
      <w:pPr>
        <w:rPr>
          <w:sz w:val="24"/>
          <w:lang w:eastAsia="en-GB"/>
        </w:rPr>
      </w:pPr>
    </w:p>
    <w:p w14:paraId="13B899AD" w14:textId="77777777" w:rsidR="00992BFD" w:rsidRDefault="00992BFD" w:rsidP="00992BFD">
      <w:pPr>
        <w:rPr>
          <w:lang w:eastAsia="en-GB"/>
        </w:rPr>
      </w:pPr>
      <w:r w:rsidRPr="00992BFD">
        <w:rPr>
          <w:lang w:eastAsia="en-GB"/>
        </w:rPr>
        <w:t>The overall total bonus cost for the company would be £20,770.00.</w:t>
      </w:r>
    </w:p>
    <w:p w14:paraId="2BEC449C" w14:textId="77777777" w:rsidR="00992BFD" w:rsidRDefault="00992BFD" w:rsidP="00992BFD">
      <w:pPr>
        <w:rPr>
          <w:lang w:eastAsia="en-GB"/>
        </w:rPr>
      </w:pPr>
    </w:p>
    <w:p w14:paraId="2210E872" w14:textId="77777777" w:rsidR="00992BFD" w:rsidRDefault="00992BFD" w:rsidP="00992BFD">
      <w:pPr>
        <w:rPr>
          <w:lang w:eastAsia="en-GB"/>
        </w:rPr>
      </w:pPr>
    </w:p>
    <w:p w14:paraId="7DB213BC" w14:textId="77777777" w:rsidR="00992BFD" w:rsidRDefault="00992BFD" w:rsidP="00992BFD">
      <w:pPr>
        <w:rPr>
          <w:lang w:eastAsia="en-GB"/>
        </w:rPr>
      </w:pPr>
    </w:p>
    <w:p w14:paraId="33AC0796" w14:textId="77777777" w:rsidR="00992BFD" w:rsidRDefault="00992BFD" w:rsidP="00992BFD">
      <w:pPr>
        <w:rPr>
          <w:lang w:eastAsia="en-GB"/>
        </w:rPr>
      </w:pPr>
    </w:p>
    <w:p w14:paraId="69ABDBBC" w14:textId="77777777" w:rsidR="00992BFD" w:rsidRDefault="00992BFD" w:rsidP="00992BFD">
      <w:pPr>
        <w:rPr>
          <w:lang w:eastAsia="en-GB"/>
        </w:rPr>
      </w:pPr>
    </w:p>
    <w:p w14:paraId="011997C3" w14:textId="77777777" w:rsidR="00992BFD" w:rsidRDefault="00992BFD" w:rsidP="00992BFD">
      <w:pPr>
        <w:rPr>
          <w:lang w:eastAsia="en-GB"/>
        </w:rPr>
      </w:pPr>
    </w:p>
    <w:p w14:paraId="4DDFCCDC" w14:textId="77777777" w:rsidR="00992BFD" w:rsidRDefault="00992BFD" w:rsidP="00992BFD">
      <w:pPr>
        <w:rPr>
          <w:lang w:eastAsia="en-GB"/>
        </w:rPr>
      </w:pPr>
    </w:p>
    <w:p w14:paraId="1DC2F688" w14:textId="77777777" w:rsidR="002D541C" w:rsidRDefault="002D541C" w:rsidP="00992BFD">
      <w:pPr>
        <w:pStyle w:val="Heading1"/>
        <w:rPr>
          <w:rFonts w:asciiTheme="minorHAnsi" w:eastAsiaTheme="minorHAnsi" w:hAnsiTheme="minorHAnsi" w:cstheme="minorBidi"/>
          <w:b w:val="0"/>
          <w:bCs w:val="0"/>
          <w:color w:val="auto"/>
          <w:sz w:val="22"/>
          <w:szCs w:val="22"/>
          <w:lang w:eastAsia="en-GB"/>
        </w:rPr>
      </w:pPr>
    </w:p>
    <w:p w14:paraId="5B787FD8" w14:textId="77777777" w:rsidR="005F6EC9" w:rsidRDefault="005F6EC9" w:rsidP="00992BFD">
      <w:pPr>
        <w:pStyle w:val="Heading1"/>
        <w:rPr>
          <w:rFonts w:eastAsia="Times New Roman"/>
          <w:lang w:eastAsia="en-GB"/>
        </w:rPr>
      </w:pPr>
    </w:p>
    <w:p w14:paraId="38CD6367" w14:textId="77777777" w:rsidR="005F6EC9" w:rsidRDefault="005F6EC9" w:rsidP="00992BFD">
      <w:pPr>
        <w:pStyle w:val="Heading1"/>
        <w:rPr>
          <w:rFonts w:eastAsia="Times New Roman"/>
          <w:lang w:eastAsia="en-GB"/>
        </w:rPr>
      </w:pPr>
    </w:p>
    <w:p w14:paraId="3A6B2968" w14:textId="77777777" w:rsidR="005F6EC9" w:rsidRDefault="005F6EC9" w:rsidP="00992BFD">
      <w:pPr>
        <w:pStyle w:val="Heading1"/>
        <w:rPr>
          <w:rFonts w:eastAsia="Times New Roman"/>
          <w:lang w:eastAsia="en-GB"/>
        </w:rPr>
      </w:pPr>
    </w:p>
    <w:p w14:paraId="3C203D18" w14:textId="77777777" w:rsidR="005F6EC9" w:rsidRDefault="005F6EC9" w:rsidP="00992BFD">
      <w:pPr>
        <w:pStyle w:val="Heading1"/>
        <w:rPr>
          <w:rFonts w:eastAsia="Times New Roman"/>
          <w:lang w:eastAsia="en-GB"/>
        </w:rPr>
      </w:pPr>
    </w:p>
    <w:p w14:paraId="3BD4920B" w14:textId="77777777" w:rsidR="005F6EC9" w:rsidRDefault="005F6EC9" w:rsidP="00992BFD">
      <w:pPr>
        <w:pStyle w:val="Heading1"/>
        <w:rPr>
          <w:rFonts w:eastAsia="Times New Roman"/>
          <w:lang w:eastAsia="en-GB"/>
        </w:rPr>
      </w:pPr>
    </w:p>
    <w:p w14:paraId="64F37F0B" w14:textId="77777777" w:rsidR="005F6EC9" w:rsidRDefault="005F6EC9" w:rsidP="005F6EC9">
      <w:pPr>
        <w:rPr>
          <w:lang w:eastAsia="en-GB"/>
        </w:rPr>
      </w:pPr>
    </w:p>
    <w:p w14:paraId="6C5DBB09" w14:textId="77777777" w:rsidR="005F6EC9" w:rsidRPr="005F6EC9" w:rsidRDefault="005F6EC9" w:rsidP="005F6EC9">
      <w:pPr>
        <w:rPr>
          <w:lang w:eastAsia="en-GB"/>
        </w:rPr>
      </w:pPr>
    </w:p>
    <w:p w14:paraId="62DD33A4" w14:textId="77777777" w:rsidR="00564FE5" w:rsidRDefault="00564FE5" w:rsidP="00564FE5">
      <w:pPr>
        <w:rPr>
          <w:lang w:eastAsia="en-GB"/>
        </w:rPr>
      </w:pPr>
    </w:p>
    <w:p w14:paraId="5B12FFA8" w14:textId="77777777" w:rsidR="00564FE5" w:rsidRDefault="00564FE5" w:rsidP="00564FE5">
      <w:pPr>
        <w:rPr>
          <w:lang w:eastAsia="en-GB"/>
        </w:rPr>
      </w:pPr>
    </w:p>
    <w:p w14:paraId="02E6AB26" w14:textId="77777777" w:rsidR="00564FE5" w:rsidRDefault="00564FE5" w:rsidP="00564FE5">
      <w:pPr>
        <w:rPr>
          <w:lang w:eastAsia="en-GB"/>
        </w:rPr>
      </w:pPr>
      <w:r>
        <w:rPr>
          <w:lang w:eastAsia="en-GB"/>
        </w:rPr>
        <w:lastRenderedPageBreak/>
        <w:t>2.3</w:t>
      </w:r>
      <w:r w:rsidRPr="00992BFD">
        <w:rPr>
          <w:lang w:eastAsia="en-GB"/>
        </w:rPr>
        <w:t> </w:t>
      </w:r>
    </w:p>
    <w:p w14:paraId="66407F7C" w14:textId="77777777" w:rsidR="00992BFD" w:rsidRPr="00992BFD" w:rsidRDefault="00992BFD" w:rsidP="00564FE5">
      <w:pPr>
        <w:pStyle w:val="Heading1"/>
        <w:rPr>
          <w:rFonts w:eastAsia="Times New Roman"/>
          <w:lang w:eastAsia="en-GB"/>
        </w:rPr>
      </w:pPr>
      <w:r>
        <w:rPr>
          <w:rFonts w:eastAsia="Times New Roman"/>
          <w:lang w:eastAsia="en-GB"/>
        </w:rPr>
        <w:t>Survey Data</w:t>
      </w:r>
    </w:p>
    <w:p w14:paraId="5367981B" w14:textId="77777777" w:rsidR="00A45240" w:rsidRPr="000F11F6" w:rsidRDefault="00992BFD" w:rsidP="00AD1F4A">
      <w:pPr>
        <w:rPr>
          <w:b/>
          <w:bCs/>
          <w:smallCaps/>
          <w:spacing w:val="5"/>
        </w:rPr>
      </w:pPr>
      <w:r w:rsidRPr="005F6EC9">
        <w:rPr>
          <w:rStyle w:val="BookTitle"/>
        </w:rPr>
        <w:t>Feedback from Managers (50)</w:t>
      </w:r>
    </w:p>
    <w:p w14:paraId="48432F68" w14:textId="77777777" w:rsidR="00992BFD" w:rsidRDefault="00E117D4" w:rsidP="00AD1F4A">
      <w:pPr>
        <w:rPr>
          <w:lang w:eastAsia="en-GB"/>
        </w:rPr>
      </w:pPr>
      <w:r>
        <w:rPr>
          <w:noProof/>
          <w:lang w:eastAsia="en-GB"/>
        </w:rPr>
        <w:drawing>
          <wp:inline distT="0" distB="0" distL="0" distR="0" wp14:anchorId="0E5A0580" wp14:editId="2E91B945">
            <wp:extent cx="4572000" cy="2743200"/>
            <wp:effectExtent l="0" t="0" r="19050" b="1905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7E7C53" w14:textId="77777777" w:rsidR="00092DFE" w:rsidRDefault="00092DFE" w:rsidP="00AD1F4A">
      <w:pPr>
        <w:rPr>
          <w:lang w:eastAsia="en-GB"/>
        </w:rPr>
      </w:pPr>
      <w:r>
        <w:rPr>
          <w:lang w:eastAsia="en-GB"/>
        </w:rPr>
        <w:t>When asked whether they are given enough time to prepare for</w:t>
      </w:r>
      <w:r w:rsidRPr="002713ED">
        <w:rPr>
          <w:strike/>
          <w:lang w:eastAsia="en-GB"/>
        </w:rPr>
        <w:t xml:space="preserve"> employee</w:t>
      </w:r>
      <w:r>
        <w:rPr>
          <w:lang w:eastAsia="en-GB"/>
        </w:rPr>
        <w:t xml:space="preserve"> appraisals, </w:t>
      </w:r>
      <w:proofErr w:type="gramStart"/>
      <w:r>
        <w:rPr>
          <w:lang w:eastAsia="en-GB"/>
        </w:rPr>
        <w:t>a majority of</w:t>
      </w:r>
      <w:proofErr w:type="gramEnd"/>
      <w:r>
        <w:rPr>
          <w:lang w:eastAsia="en-GB"/>
        </w:rPr>
        <w:t xml:space="preserve"> managers (64%) fell into the strongly agree-agree range. </w:t>
      </w:r>
      <w:r w:rsidR="00444BB7">
        <w:rPr>
          <w:lang w:eastAsia="en-GB"/>
        </w:rPr>
        <w:t xml:space="preserve">However, this is not a strong majority as around a third (34%) </w:t>
      </w:r>
      <w:r w:rsidR="00444BB7" w:rsidRPr="002713ED">
        <w:rPr>
          <w:strike/>
          <w:lang w:eastAsia="en-GB"/>
        </w:rPr>
        <w:t>f</w:t>
      </w:r>
      <w:r w:rsidR="00C329A8" w:rsidRPr="002713ED">
        <w:rPr>
          <w:strike/>
          <w:lang w:eastAsia="en-GB"/>
        </w:rPr>
        <w:t>all into the</w:t>
      </w:r>
      <w:r w:rsidR="00C329A8">
        <w:rPr>
          <w:lang w:eastAsia="en-GB"/>
        </w:rPr>
        <w:t xml:space="preserve"> disagree-strongly dis</w:t>
      </w:r>
      <w:r w:rsidR="00E34E15">
        <w:rPr>
          <w:lang w:eastAsia="en-GB"/>
        </w:rPr>
        <w:t>a</w:t>
      </w:r>
      <w:r w:rsidR="00444BB7">
        <w:rPr>
          <w:lang w:eastAsia="en-GB"/>
        </w:rPr>
        <w:t xml:space="preserve">gree </w:t>
      </w:r>
      <w:r w:rsidR="00444BB7" w:rsidRPr="002713ED">
        <w:rPr>
          <w:strike/>
          <w:lang w:eastAsia="en-GB"/>
        </w:rPr>
        <w:t>range</w:t>
      </w:r>
      <w:r w:rsidR="001B071D">
        <w:rPr>
          <w:lang w:eastAsia="en-GB"/>
        </w:rPr>
        <w:t>.</w:t>
      </w:r>
    </w:p>
    <w:p w14:paraId="13746A4D" w14:textId="77777777" w:rsidR="00E117D4" w:rsidRDefault="00E117D4" w:rsidP="00AD1F4A">
      <w:pPr>
        <w:rPr>
          <w:lang w:eastAsia="en-GB"/>
        </w:rPr>
      </w:pPr>
      <w:r>
        <w:rPr>
          <w:noProof/>
          <w:lang w:eastAsia="en-GB"/>
        </w:rPr>
        <w:drawing>
          <wp:inline distT="0" distB="0" distL="0" distR="0" wp14:anchorId="277D67A1" wp14:editId="10FD63FB">
            <wp:extent cx="4572000" cy="27432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41EBFE5" w14:textId="77777777" w:rsidR="00444BB7" w:rsidRDefault="00444BB7" w:rsidP="00AD1F4A">
      <w:pPr>
        <w:rPr>
          <w:lang w:eastAsia="en-GB"/>
        </w:rPr>
      </w:pPr>
      <w:r>
        <w:rPr>
          <w:lang w:eastAsia="en-GB"/>
        </w:rPr>
        <w:t xml:space="preserve">The results for this question are spread almost equally, with 52% of managers feeling confident in carrying out appraisals and 48% lacking the confidence. </w:t>
      </w:r>
    </w:p>
    <w:p w14:paraId="5AB4AFAC" w14:textId="77777777" w:rsidR="00E117D4" w:rsidRDefault="00E117D4" w:rsidP="00AD1F4A">
      <w:pPr>
        <w:rPr>
          <w:lang w:eastAsia="en-GB"/>
        </w:rPr>
      </w:pPr>
      <w:r>
        <w:rPr>
          <w:noProof/>
          <w:lang w:eastAsia="en-GB"/>
        </w:rPr>
        <w:lastRenderedPageBreak/>
        <w:drawing>
          <wp:inline distT="0" distB="0" distL="0" distR="0" wp14:anchorId="63F15B83" wp14:editId="3D50ADCC">
            <wp:extent cx="4572000" cy="2743200"/>
            <wp:effectExtent l="0" t="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0C44082" w14:textId="77777777" w:rsidR="00E117D4" w:rsidRDefault="00444BB7" w:rsidP="00AD1F4A">
      <w:pPr>
        <w:rPr>
          <w:lang w:eastAsia="en-GB"/>
        </w:rPr>
      </w:pPr>
      <w:r>
        <w:rPr>
          <w:lang w:eastAsia="en-GB"/>
        </w:rPr>
        <w:t>With 82% falling into the strongly agree-agree range, there is a strong majority of managers who have no concerns when applying</w:t>
      </w:r>
      <w:r w:rsidR="009270CA">
        <w:rPr>
          <w:lang w:eastAsia="en-GB"/>
        </w:rPr>
        <w:t xml:space="preserve"> ratings. Just under a fifth (18%) </w:t>
      </w:r>
      <w:r>
        <w:rPr>
          <w:lang w:eastAsia="en-GB"/>
        </w:rPr>
        <w:t>of managers disagree</w:t>
      </w:r>
      <w:r w:rsidR="001B071D">
        <w:rPr>
          <w:lang w:eastAsia="en-GB"/>
        </w:rPr>
        <w:t>.</w:t>
      </w:r>
      <w:r w:rsidR="00E117D4">
        <w:rPr>
          <w:noProof/>
          <w:lang w:eastAsia="en-GB"/>
        </w:rPr>
        <w:drawing>
          <wp:inline distT="0" distB="0" distL="0" distR="0" wp14:anchorId="5B283297" wp14:editId="3029AFA3">
            <wp:extent cx="4572000" cy="2743200"/>
            <wp:effectExtent l="0" t="0" r="19050" b="1905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3EBB210" w14:textId="77777777" w:rsidR="00444BB7" w:rsidRDefault="009270CA" w:rsidP="00AD1F4A">
      <w:pPr>
        <w:rPr>
          <w:lang w:eastAsia="en-GB"/>
        </w:rPr>
      </w:pPr>
      <w:r>
        <w:rPr>
          <w:lang w:eastAsia="en-GB"/>
        </w:rPr>
        <w:t>There is a slight majority of managers who are confident in their ability to assess performance fairly (58%), however 42% still disagree with this statement.</w:t>
      </w:r>
    </w:p>
    <w:p w14:paraId="641AECCC" w14:textId="77777777" w:rsidR="00E117D4" w:rsidRDefault="00E117D4" w:rsidP="00AD1F4A">
      <w:pPr>
        <w:rPr>
          <w:lang w:eastAsia="en-GB"/>
        </w:rPr>
      </w:pPr>
      <w:r>
        <w:rPr>
          <w:noProof/>
          <w:lang w:eastAsia="en-GB"/>
        </w:rPr>
        <w:lastRenderedPageBreak/>
        <w:drawing>
          <wp:inline distT="0" distB="0" distL="0" distR="0" wp14:anchorId="4A43BF74" wp14:editId="2414AAAC">
            <wp:extent cx="4572000" cy="27432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7FB37E8" w14:textId="126952BE" w:rsidR="009270CA" w:rsidRDefault="009270CA" w:rsidP="00AD1F4A">
      <w:pPr>
        <w:rPr>
          <w:lang w:eastAsia="en-GB"/>
        </w:rPr>
      </w:pPr>
      <w:r>
        <w:rPr>
          <w:lang w:eastAsia="en-GB"/>
        </w:rPr>
        <w:t>100% of managers f</w:t>
      </w:r>
      <w:r w:rsidR="00C329A8">
        <w:rPr>
          <w:lang w:eastAsia="en-GB"/>
        </w:rPr>
        <w:t xml:space="preserve">ell into the disagree-strongly </w:t>
      </w:r>
      <w:r w:rsidR="00C329A8" w:rsidRPr="002713ED">
        <w:rPr>
          <w:lang w:eastAsia="en-GB"/>
        </w:rPr>
        <w:t>di</w:t>
      </w:r>
      <w:r w:rsidR="002713ED">
        <w:rPr>
          <w:color w:val="FF0000"/>
          <w:lang w:eastAsia="en-GB"/>
        </w:rPr>
        <w:t>s</w:t>
      </w:r>
      <w:r w:rsidR="002713ED" w:rsidRPr="002713ED">
        <w:rPr>
          <w:lang w:eastAsia="en-GB"/>
        </w:rPr>
        <w:t>a</w:t>
      </w:r>
      <w:r w:rsidRPr="002713ED">
        <w:rPr>
          <w:lang w:eastAsia="en-GB"/>
        </w:rPr>
        <w:t>gree</w:t>
      </w:r>
      <w:r>
        <w:rPr>
          <w:lang w:eastAsia="en-GB"/>
        </w:rPr>
        <w:t xml:space="preserve"> range, indicating a clear lack of training. </w:t>
      </w:r>
    </w:p>
    <w:p w14:paraId="7B9CAB66" w14:textId="77777777" w:rsidR="00E117D4" w:rsidRDefault="00E117D4" w:rsidP="00AD1F4A">
      <w:pPr>
        <w:rPr>
          <w:lang w:eastAsia="en-GB"/>
        </w:rPr>
      </w:pPr>
      <w:r>
        <w:rPr>
          <w:noProof/>
          <w:lang w:eastAsia="en-GB"/>
        </w:rPr>
        <w:drawing>
          <wp:inline distT="0" distB="0" distL="0" distR="0" wp14:anchorId="47E440AE" wp14:editId="1A9235E5">
            <wp:extent cx="4572000" cy="2743200"/>
            <wp:effectExtent l="0" t="0" r="19050" b="1905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4686C74" w14:textId="77777777" w:rsidR="009270CA" w:rsidRDefault="009270CA" w:rsidP="00AD1F4A">
      <w:pPr>
        <w:rPr>
          <w:lang w:eastAsia="en-GB"/>
        </w:rPr>
      </w:pPr>
      <w:r>
        <w:rPr>
          <w:lang w:eastAsia="en-GB"/>
        </w:rPr>
        <w:t xml:space="preserve">Only a minority of managers (18%) felt that they </w:t>
      </w:r>
      <w:r w:rsidR="00C329A8">
        <w:rPr>
          <w:lang w:eastAsia="en-GB"/>
        </w:rPr>
        <w:t>had</w:t>
      </w:r>
      <w:r>
        <w:rPr>
          <w:lang w:eastAsia="en-GB"/>
        </w:rPr>
        <w:t xml:space="preserve"> no issue challenging underperforming employees, with none strongly agreeing </w:t>
      </w:r>
      <w:r w:rsidRPr="002713ED">
        <w:rPr>
          <w:strike/>
          <w:lang w:eastAsia="en-GB"/>
        </w:rPr>
        <w:t>at all</w:t>
      </w:r>
      <w:r>
        <w:rPr>
          <w:lang w:eastAsia="en-GB"/>
        </w:rPr>
        <w:t xml:space="preserve">. There is a distinct difficulty addressing underperformance, with 82% stating they face issues </w:t>
      </w:r>
      <w:r w:rsidRPr="002713ED">
        <w:rPr>
          <w:strike/>
          <w:lang w:eastAsia="en-GB"/>
        </w:rPr>
        <w:t>in doing this.</w:t>
      </w:r>
    </w:p>
    <w:p w14:paraId="7515767A" w14:textId="77777777" w:rsidR="005F6EC9" w:rsidRDefault="00E117D4" w:rsidP="00AD1F4A">
      <w:pPr>
        <w:rPr>
          <w:lang w:eastAsia="en-GB"/>
        </w:rPr>
      </w:pPr>
      <w:r>
        <w:rPr>
          <w:noProof/>
          <w:lang w:eastAsia="en-GB"/>
        </w:rPr>
        <w:lastRenderedPageBreak/>
        <w:drawing>
          <wp:inline distT="0" distB="0" distL="0" distR="0" wp14:anchorId="762A4E22" wp14:editId="5004542E">
            <wp:extent cx="4572000" cy="2743200"/>
            <wp:effectExtent l="0" t="0" r="19050" b="1905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36F2C71" w14:textId="77777777" w:rsidR="003E0BC2" w:rsidRPr="002713ED" w:rsidRDefault="009270CA" w:rsidP="00AD1F4A">
      <w:pPr>
        <w:rPr>
          <w:strike/>
          <w:lang w:eastAsia="en-GB"/>
        </w:rPr>
      </w:pPr>
      <w:r>
        <w:rPr>
          <w:lang w:eastAsia="en-GB"/>
        </w:rPr>
        <w:t>While just under a third (32%) of managers feel the</w:t>
      </w:r>
      <w:r w:rsidR="001B071D">
        <w:rPr>
          <w:lang w:eastAsia="en-GB"/>
        </w:rPr>
        <w:t>y are good at providing feedback</w:t>
      </w:r>
      <w:r>
        <w:rPr>
          <w:lang w:eastAsia="en-GB"/>
        </w:rPr>
        <w:t>, over two thirds (68%)</w:t>
      </w:r>
      <w:r w:rsidR="00880763">
        <w:rPr>
          <w:lang w:eastAsia="en-GB"/>
        </w:rPr>
        <w:t xml:space="preserve"> disagree. </w:t>
      </w:r>
      <w:r w:rsidR="00880763" w:rsidRPr="002713ED">
        <w:rPr>
          <w:strike/>
          <w:lang w:eastAsia="en-GB"/>
        </w:rPr>
        <w:t>Amongst both ranges, the extreme option (strongly agre</w:t>
      </w:r>
      <w:r w:rsidR="00C329A8" w:rsidRPr="002713ED">
        <w:rPr>
          <w:strike/>
          <w:lang w:eastAsia="en-GB"/>
        </w:rPr>
        <w:t xml:space="preserve">e and strongly disagree) </w:t>
      </w:r>
      <w:r w:rsidR="00880763" w:rsidRPr="002713ED">
        <w:rPr>
          <w:strike/>
          <w:lang w:eastAsia="en-GB"/>
        </w:rPr>
        <w:t>is the most popular, indicating that this is something that is felt strongly about.</w:t>
      </w:r>
    </w:p>
    <w:p w14:paraId="6B08CA48" w14:textId="77777777" w:rsidR="00A45240" w:rsidRPr="003E0BC2" w:rsidRDefault="00992BFD" w:rsidP="00AD1F4A">
      <w:pPr>
        <w:rPr>
          <w:rStyle w:val="BookTitle"/>
          <w:b w:val="0"/>
          <w:bCs w:val="0"/>
          <w:smallCaps w:val="0"/>
          <w:spacing w:val="0"/>
          <w:lang w:eastAsia="en-GB"/>
        </w:rPr>
      </w:pPr>
      <w:r w:rsidRPr="005F6EC9">
        <w:rPr>
          <w:rStyle w:val="BookTitle"/>
        </w:rPr>
        <w:t>Feedback from Employees (235)</w:t>
      </w:r>
    </w:p>
    <w:p w14:paraId="4B452730" w14:textId="77777777" w:rsidR="00AA7F7A" w:rsidRDefault="00AA7F7A" w:rsidP="00AD1F4A">
      <w:pPr>
        <w:rPr>
          <w:lang w:eastAsia="en-GB"/>
        </w:rPr>
      </w:pPr>
      <w:r>
        <w:rPr>
          <w:noProof/>
          <w:lang w:eastAsia="en-GB"/>
        </w:rPr>
        <w:drawing>
          <wp:inline distT="0" distB="0" distL="0" distR="0" wp14:anchorId="511E3CDB" wp14:editId="101176BA">
            <wp:extent cx="4572000" cy="2743200"/>
            <wp:effectExtent l="0" t="0" r="19050" b="1905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6FD402B" w14:textId="77777777" w:rsidR="004A3116" w:rsidRDefault="00A85A87" w:rsidP="00AD1F4A">
      <w:pPr>
        <w:rPr>
          <w:lang w:eastAsia="en-GB"/>
        </w:rPr>
      </w:pPr>
      <w:r>
        <w:rPr>
          <w:lang w:eastAsia="en-GB"/>
        </w:rPr>
        <w:t xml:space="preserve">Over half of the employees (51.92%) don’t feel like their manager provides clear and direct guidance. </w:t>
      </w:r>
    </w:p>
    <w:p w14:paraId="2C938265" w14:textId="77777777" w:rsidR="00E117D4" w:rsidRDefault="00AA7F7A" w:rsidP="00AD1F4A">
      <w:pPr>
        <w:rPr>
          <w:lang w:eastAsia="en-GB"/>
        </w:rPr>
      </w:pPr>
      <w:r>
        <w:rPr>
          <w:noProof/>
          <w:lang w:eastAsia="en-GB"/>
        </w:rPr>
        <w:lastRenderedPageBreak/>
        <w:drawing>
          <wp:inline distT="0" distB="0" distL="0" distR="0" wp14:anchorId="090476E5" wp14:editId="0B51E0F3">
            <wp:extent cx="4572000" cy="2743200"/>
            <wp:effectExtent l="0" t="0" r="19050" b="1905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1FE2F30" w14:textId="63B5FCAF" w:rsidR="00A85A87" w:rsidRDefault="00A85A87" w:rsidP="00AD1F4A">
      <w:pPr>
        <w:rPr>
          <w:lang w:eastAsia="en-GB"/>
        </w:rPr>
      </w:pPr>
      <w:r>
        <w:rPr>
          <w:lang w:eastAsia="en-GB"/>
        </w:rPr>
        <w:t>Only 12.73% of employees agree that their line manager listens to the</w:t>
      </w:r>
      <w:r w:rsidR="002713ED">
        <w:rPr>
          <w:color w:val="FF0000"/>
          <w:lang w:eastAsia="en-GB"/>
        </w:rPr>
        <w:t>ir</w:t>
      </w:r>
      <w:r>
        <w:rPr>
          <w:lang w:eastAsia="en-GB"/>
        </w:rPr>
        <w:t xml:space="preserve"> ideas </w:t>
      </w:r>
      <w:r w:rsidRPr="002713ED">
        <w:rPr>
          <w:strike/>
          <w:lang w:eastAsia="en-GB"/>
        </w:rPr>
        <w:t>they put forward during their reviews</w:t>
      </w:r>
      <w:r>
        <w:rPr>
          <w:lang w:eastAsia="en-GB"/>
        </w:rPr>
        <w:t>, with an overwhelming majority of employees (81.27%) feeling as though their voice is unheard.</w:t>
      </w:r>
    </w:p>
    <w:p w14:paraId="7F651DC0" w14:textId="77777777" w:rsidR="006A1A61" w:rsidRDefault="00AA7F7A" w:rsidP="00AD1F4A">
      <w:pPr>
        <w:rPr>
          <w:lang w:eastAsia="en-GB"/>
        </w:rPr>
      </w:pPr>
      <w:r>
        <w:rPr>
          <w:noProof/>
          <w:lang w:eastAsia="en-GB"/>
        </w:rPr>
        <w:drawing>
          <wp:inline distT="0" distB="0" distL="0" distR="0" wp14:anchorId="5F2F6EC4" wp14:editId="39B940A7">
            <wp:extent cx="4572000" cy="2743200"/>
            <wp:effectExtent l="0" t="0" r="19050" b="1905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5333C5E" w14:textId="77777777" w:rsidR="00A85A87" w:rsidRDefault="00A85A87" w:rsidP="00AD1F4A">
      <w:pPr>
        <w:rPr>
          <w:lang w:eastAsia="en-GB"/>
        </w:rPr>
      </w:pPr>
      <w:r>
        <w:rPr>
          <w:lang w:eastAsia="en-GB"/>
        </w:rPr>
        <w:t xml:space="preserve">A majority of employees </w:t>
      </w:r>
      <w:r w:rsidR="00035E68">
        <w:rPr>
          <w:lang w:eastAsia="en-GB"/>
        </w:rPr>
        <w:t>(62.55</w:t>
      </w:r>
      <w:r>
        <w:rPr>
          <w:lang w:eastAsia="en-GB"/>
        </w:rPr>
        <w:t>%) felt as though their managerial feedback was posit</w:t>
      </w:r>
      <w:r w:rsidR="00035E68">
        <w:rPr>
          <w:lang w:eastAsia="en-GB"/>
        </w:rPr>
        <w:t>ive, however over a third (37.45</w:t>
      </w:r>
      <w:r>
        <w:rPr>
          <w:lang w:eastAsia="en-GB"/>
        </w:rPr>
        <w:t xml:space="preserve">%) fell within the disagree-strongly disagree range. </w:t>
      </w:r>
    </w:p>
    <w:p w14:paraId="799FD875" w14:textId="77777777" w:rsidR="006A1A61" w:rsidRDefault="00AA7F7A" w:rsidP="00AD1F4A">
      <w:pPr>
        <w:rPr>
          <w:lang w:eastAsia="en-GB"/>
        </w:rPr>
      </w:pPr>
      <w:r>
        <w:rPr>
          <w:noProof/>
          <w:lang w:eastAsia="en-GB"/>
        </w:rPr>
        <w:lastRenderedPageBreak/>
        <w:drawing>
          <wp:inline distT="0" distB="0" distL="0" distR="0" wp14:anchorId="12F20C48" wp14:editId="6ACDCFD0">
            <wp:extent cx="4572000" cy="2743200"/>
            <wp:effectExtent l="0" t="0" r="19050" b="1905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43FF971" w14:textId="2C53671C" w:rsidR="006A1A61" w:rsidRDefault="00035E68" w:rsidP="00AD1F4A">
      <w:pPr>
        <w:rPr>
          <w:lang w:eastAsia="en-GB"/>
        </w:rPr>
      </w:pPr>
      <w:r>
        <w:rPr>
          <w:lang w:eastAsia="en-GB"/>
        </w:rPr>
        <w:t xml:space="preserve">There is </w:t>
      </w:r>
      <w:proofErr w:type="gramStart"/>
      <w:r>
        <w:rPr>
          <w:lang w:eastAsia="en-GB"/>
        </w:rPr>
        <w:t>a fairly even</w:t>
      </w:r>
      <w:proofErr w:type="gramEnd"/>
      <w:r>
        <w:rPr>
          <w:lang w:eastAsia="en-GB"/>
        </w:rPr>
        <w:t xml:space="preserve"> split between those who </w:t>
      </w:r>
      <w:r w:rsidR="00A50814">
        <w:rPr>
          <w:color w:val="FF0000"/>
          <w:lang w:eastAsia="en-GB"/>
        </w:rPr>
        <w:t xml:space="preserve">do and do not </w:t>
      </w:r>
      <w:r>
        <w:rPr>
          <w:lang w:eastAsia="en-GB"/>
        </w:rPr>
        <w:t>think their line manager possesses good people management skills</w:t>
      </w:r>
      <w:r w:rsidRPr="00A50814">
        <w:rPr>
          <w:strike/>
          <w:lang w:eastAsia="en-GB"/>
        </w:rPr>
        <w:t>, and those who don’t</w:t>
      </w:r>
      <w:r>
        <w:rPr>
          <w:lang w:eastAsia="en-GB"/>
        </w:rPr>
        <w:t>, with slightly more disagreeing (51.49%) than not (48.51%).</w:t>
      </w:r>
    </w:p>
    <w:p w14:paraId="25511E1F" w14:textId="77777777" w:rsidR="00AA7F7A" w:rsidRDefault="00AA7F7A" w:rsidP="00AD1F4A">
      <w:pPr>
        <w:rPr>
          <w:lang w:eastAsia="en-GB"/>
        </w:rPr>
      </w:pPr>
      <w:r>
        <w:rPr>
          <w:noProof/>
          <w:lang w:eastAsia="en-GB"/>
        </w:rPr>
        <w:drawing>
          <wp:inline distT="0" distB="0" distL="0" distR="0" wp14:anchorId="74AA5E76" wp14:editId="46F6D778">
            <wp:extent cx="4572000" cy="2743200"/>
            <wp:effectExtent l="0" t="0" r="19050" b="1905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3FD5C56" w14:textId="77777777" w:rsidR="00035E68" w:rsidRDefault="00035E68" w:rsidP="00AD1F4A">
      <w:pPr>
        <w:rPr>
          <w:lang w:eastAsia="en-GB"/>
        </w:rPr>
      </w:pPr>
      <w:r>
        <w:rPr>
          <w:lang w:eastAsia="en-GB"/>
        </w:rPr>
        <w:t xml:space="preserve">Although a majority of employees (69.36%) feel as though their manager has time to listen to them, the remaining 30.64% fall in the disagree-strongly disagree range, with over three times as many strongly disagreeing (24.26%) than disagreeing (6.38%). </w:t>
      </w:r>
    </w:p>
    <w:p w14:paraId="19CC1740" w14:textId="77777777" w:rsidR="006A1A61" w:rsidRDefault="00AA7F7A" w:rsidP="00AD1F4A">
      <w:pPr>
        <w:rPr>
          <w:lang w:eastAsia="en-GB"/>
        </w:rPr>
      </w:pPr>
      <w:r>
        <w:rPr>
          <w:noProof/>
          <w:lang w:eastAsia="en-GB"/>
        </w:rPr>
        <w:lastRenderedPageBreak/>
        <w:drawing>
          <wp:inline distT="0" distB="0" distL="0" distR="0" wp14:anchorId="06B4E127" wp14:editId="642E3E60">
            <wp:extent cx="4572000" cy="2743200"/>
            <wp:effectExtent l="0" t="0" r="19050" b="1905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5A4BB15" w14:textId="77777777" w:rsidR="00035E68" w:rsidRDefault="00E34E15" w:rsidP="00AD1F4A">
      <w:pPr>
        <w:rPr>
          <w:lang w:eastAsia="en-GB"/>
        </w:rPr>
      </w:pPr>
      <w:r>
        <w:rPr>
          <w:lang w:eastAsia="en-GB"/>
        </w:rPr>
        <w:t xml:space="preserve">Around three fifths (60.85%) thought that managers did provide a balanced response, with the remaining two fifths (38.15%) disagreeing. There were </w:t>
      </w:r>
      <w:proofErr w:type="gramStart"/>
      <w:r>
        <w:rPr>
          <w:lang w:eastAsia="en-GB"/>
        </w:rPr>
        <w:t>no</w:t>
      </w:r>
      <w:proofErr w:type="gramEnd"/>
      <w:r>
        <w:rPr>
          <w:lang w:eastAsia="en-GB"/>
        </w:rPr>
        <w:t xml:space="preserve"> strongly agree or strongly disagree results.</w:t>
      </w:r>
    </w:p>
    <w:p w14:paraId="5BA9DD62" w14:textId="77777777" w:rsidR="006A1A61" w:rsidRDefault="00AA7F7A" w:rsidP="00AD1F4A">
      <w:pPr>
        <w:rPr>
          <w:lang w:eastAsia="en-GB"/>
        </w:rPr>
      </w:pPr>
      <w:r>
        <w:rPr>
          <w:noProof/>
          <w:lang w:eastAsia="en-GB"/>
        </w:rPr>
        <w:drawing>
          <wp:inline distT="0" distB="0" distL="0" distR="0" wp14:anchorId="5D1BE554" wp14:editId="1239BC68">
            <wp:extent cx="4572000" cy="2743200"/>
            <wp:effectExtent l="0" t="0" r="19050" b="1905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E9EE0C1" w14:textId="77777777" w:rsidR="00880763" w:rsidRDefault="00E34E15" w:rsidP="00AD1F4A">
      <w:pPr>
        <w:rPr>
          <w:lang w:eastAsia="en-GB"/>
        </w:rPr>
      </w:pPr>
      <w:r>
        <w:rPr>
          <w:lang w:eastAsia="en-GB"/>
        </w:rPr>
        <w:t xml:space="preserve">Results for each option are spread somewhat reasonably, with an overall advantage to the strongly agree-agree range (57.02%). Just over two fifths (42.98%) did not think their manager provided them with constructive feedback. </w:t>
      </w:r>
    </w:p>
    <w:p w14:paraId="50211205" w14:textId="77777777" w:rsidR="006A1A61" w:rsidRDefault="00AA7F7A" w:rsidP="00AD1F4A">
      <w:pPr>
        <w:rPr>
          <w:lang w:eastAsia="en-GB"/>
        </w:rPr>
      </w:pPr>
      <w:r>
        <w:rPr>
          <w:noProof/>
          <w:lang w:eastAsia="en-GB"/>
        </w:rPr>
        <w:lastRenderedPageBreak/>
        <w:drawing>
          <wp:inline distT="0" distB="0" distL="0" distR="0" wp14:anchorId="4BFDA30B" wp14:editId="5C64BEDA">
            <wp:extent cx="4572000" cy="2743200"/>
            <wp:effectExtent l="0" t="0" r="19050" b="1905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FBD35B7" w14:textId="77777777" w:rsidR="00E34E15" w:rsidRDefault="00E34E15" w:rsidP="00AD1F4A">
      <w:pPr>
        <w:rPr>
          <w:lang w:eastAsia="en-GB"/>
        </w:rPr>
      </w:pPr>
      <w:proofErr w:type="gramStart"/>
      <w:r>
        <w:rPr>
          <w:lang w:eastAsia="en-GB"/>
        </w:rPr>
        <w:t>A majority of</w:t>
      </w:r>
      <w:proofErr w:type="gramEnd"/>
      <w:r>
        <w:rPr>
          <w:lang w:eastAsia="en-GB"/>
        </w:rPr>
        <w:t xml:space="preserve"> respondents thought their manager provides them with learning </w:t>
      </w:r>
      <w:r w:rsidRPr="00A50814">
        <w:rPr>
          <w:strike/>
          <w:lang w:eastAsia="en-GB"/>
        </w:rPr>
        <w:t>and development</w:t>
      </w:r>
      <w:r>
        <w:rPr>
          <w:lang w:eastAsia="en-GB"/>
        </w:rPr>
        <w:t xml:space="preserve"> opportunities to improve their </w:t>
      </w:r>
      <w:r w:rsidRPr="00A50814">
        <w:rPr>
          <w:strike/>
          <w:lang w:eastAsia="en-GB"/>
        </w:rPr>
        <w:t>job</w:t>
      </w:r>
      <w:r>
        <w:rPr>
          <w:lang w:eastAsia="en-GB"/>
        </w:rPr>
        <w:t xml:space="preserve"> performance (65.96%) with 34.04%, or just over a third disagreeing. </w:t>
      </w:r>
    </w:p>
    <w:p w14:paraId="38C27689" w14:textId="77777777" w:rsidR="005D0B41" w:rsidRDefault="005D0B41" w:rsidP="005D0B41">
      <w:pPr>
        <w:pStyle w:val="Heading1"/>
        <w:rPr>
          <w:lang w:eastAsia="en-GB"/>
        </w:rPr>
      </w:pPr>
      <w:r>
        <w:rPr>
          <w:lang w:eastAsia="en-GB"/>
        </w:rPr>
        <w:t>Recommendations</w:t>
      </w:r>
    </w:p>
    <w:p w14:paraId="174A436F" w14:textId="2C5D6E87" w:rsidR="009205A7" w:rsidRDefault="004679DB" w:rsidP="005D0B41">
      <w:pPr>
        <w:rPr>
          <w:rFonts w:eastAsia="Times New Roman" w:cstheme="minorHAnsi"/>
          <w:lang w:eastAsia="en-GB"/>
        </w:rPr>
      </w:pPr>
      <w:r>
        <w:rPr>
          <w:lang w:eastAsia="en-GB"/>
        </w:rPr>
        <w:t xml:space="preserve">The results of the </w:t>
      </w:r>
      <w:r w:rsidR="00A50814">
        <w:rPr>
          <w:color w:val="FF0000"/>
          <w:lang w:eastAsia="en-GB"/>
        </w:rPr>
        <w:t xml:space="preserve">KPI appraisals and </w:t>
      </w:r>
      <w:r>
        <w:rPr>
          <w:lang w:eastAsia="en-GB"/>
        </w:rPr>
        <w:t xml:space="preserve">surveys </w:t>
      </w:r>
      <w:r w:rsidRPr="00A50814">
        <w:rPr>
          <w:strike/>
          <w:lang w:eastAsia="en-GB"/>
        </w:rPr>
        <w:t xml:space="preserve">of </w:t>
      </w:r>
      <w:proofErr w:type="gramStart"/>
      <w:r w:rsidRPr="00A50814">
        <w:rPr>
          <w:strike/>
          <w:lang w:eastAsia="en-GB"/>
        </w:rPr>
        <w:t>50 line</w:t>
      </w:r>
      <w:proofErr w:type="gramEnd"/>
      <w:r w:rsidRPr="00A50814">
        <w:rPr>
          <w:strike/>
          <w:lang w:eastAsia="en-GB"/>
        </w:rPr>
        <w:t xml:space="preserve"> managers and 235 employees on the subject of conducting appraisals and manager perceptions respectively</w:t>
      </w:r>
      <w:r>
        <w:rPr>
          <w:lang w:eastAsia="en-GB"/>
        </w:rPr>
        <w:t xml:space="preserve"> suggest issues within this function of the organisation. With managers, there was </w:t>
      </w:r>
      <w:proofErr w:type="gramStart"/>
      <w:r>
        <w:rPr>
          <w:lang w:eastAsia="en-GB"/>
        </w:rPr>
        <w:t>a very obvious</w:t>
      </w:r>
      <w:proofErr w:type="gramEnd"/>
      <w:r>
        <w:rPr>
          <w:lang w:eastAsia="en-GB"/>
        </w:rPr>
        <w:t xml:space="preserve"> indication of a lack of training in conducting appraisals</w:t>
      </w:r>
      <w:r w:rsidR="00A50814">
        <w:rPr>
          <w:color w:val="FF0000"/>
          <w:lang w:eastAsia="en-GB"/>
        </w:rPr>
        <w:t>.</w:t>
      </w:r>
      <w:r w:rsidRPr="00A50814">
        <w:rPr>
          <w:strike/>
          <w:lang w:eastAsia="en-GB"/>
        </w:rPr>
        <w:t>, and 82% experienced difficulties with this.</w:t>
      </w:r>
      <w:r>
        <w:rPr>
          <w:lang w:eastAsia="en-GB"/>
        </w:rPr>
        <w:t xml:space="preserve"> For the employees, </w:t>
      </w:r>
      <w:r w:rsidRPr="00A50814">
        <w:rPr>
          <w:strike/>
          <w:lang w:eastAsia="en-GB"/>
        </w:rPr>
        <w:t>althoug</w:t>
      </w:r>
      <w:r w:rsidR="009205A7" w:rsidRPr="00A50814">
        <w:rPr>
          <w:strike/>
          <w:lang w:eastAsia="en-GB"/>
        </w:rPr>
        <w:t xml:space="preserve">h there </w:t>
      </w:r>
      <w:proofErr w:type="gramStart"/>
      <w:r w:rsidR="009205A7" w:rsidRPr="00A50814">
        <w:rPr>
          <w:strike/>
          <w:lang w:eastAsia="en-GB"/>
        </w:rPr>
        <w:t>were</w:t>
      </w:r>
      <w:proofErr w:type="gramEnd"/>
      <w:r w:rsidR="009205A7" w:rsidRPr="00A50814">
        <w:rPr>
          <w:strike/>
          <w:lang w:eastAsia="en-GB"/>
        </w:rPr>
        <w:t xml:space="preserve"> some majority positive feedbacks about their line managers, there were still large percentages with negative perceptions. Notably, </w:t>
      </w:r>
      <w:r w:rsidR="009205A7">
        <w:rPr>
          <w:lang w:eastAsia="en-GB"/>
        </w:rPr>
        <w:t>81.27% felt that their employee voice was ignored by managers. As there seems to be dissatisfaction with the appraisal procedure, the previous appraisal should be appraised in order to identify areas for improvement. Before the next appraisal, training should be provided so that managers can better execute the appraisal and reduce uncertainty around this (Lawler et al., 2012</w:t>
      </w:r>
      <w:r w:rsidR="009205A7" w:rsidRPr="00A50814">
        <w:rPr>
          <w:strike/>
          <w:lang w:eastAsia="en-GB"/>
        </w:rPr>
        <w:t>). Managers might consider using a personal development plan to improve guidance and communication with employees (</w:t>
      </w:r>
      <w:r w:rsidR="009205A7" w:rsidRPr="00A50814">
        <w:rPr>
          <w:rFonts w:eastAsia="Times New Roman" w:cstheme="minorHAnsi"/>
          <w:strike/>
          <w:lang w:eastAsia="en-GB"/>
        </w:rPr>
        <w:t>Improving performance appraisal, 2017). Finally,</w:t>
      </w:r>
      <w:r w:rsidR="009205A7">
        <w:rPr>
          <w:rFonts w:eastAsia="Times New Roman" w:cstheme="minorHAnsi"/>
          <w:lang w:eastAsia="en-GB"/>
        </w:rPr>
        <w:t xml:space="preserve"> </w:t>
      </w:r>
      <w:proofErr w:type="gramStart"/>
      <w:r w:rsidR="00A50814" w:rsidRPr="00A50814">
        <w:rPr>
          <w:rFonts w:eastAsia="Times New Roman" w:cstheme="minorHAnsi"/>
          <w:color w:val="FF0000"/>
          <w:lang w:eastAsia="en-GB"/>
        </w:rPr>
        <w:t>There</w:t>
      </w:r>
      <w:proofErr w:type="gramEnd"/>
      <w:r w:rsidR="00A50814" w:rsidRPr="00A50814">
        <w:rPr>
          <w:rFonts w:eastAsia="Times New Roman" w:cstheme="minorHAnsi"/>
          <w:color w:val="FF0000"/>
          <w:lang w:eastAsia="en-GB"/>
        </w:rPr>
        <w:t xml:space="preserve"> may be a few costs, including supplementary work pay for unproductive hours, or potential fees to an external training provider. Training is sometimes viewed as an investment rather than a cost, as the financial gains caused by the benefits of training outweigh the initial costs. Such benefits include employee retention, and competency enhancements resulting in a competitive advantage (</w:t>
      </w:r>
      <w:proofErr w:type="spellStart"/>
      <w:r w:rsidR="00A50814" w:rsidRPr="00A50814">
        <w:rPr>
          <w:rFonts w:eastAsia="Times New Roman" w:cstheme="minorHAnsi"/>
          <w:color w:val="FF0000"/>
          <w:lang w:eastAsia="en-GB"/>
        </w:rPr>
        <w:t>Sihombing</w:t>
      </w:r>
      <w:proofErr w:type="spellEnd"/>
      <w:r w:rsidR="00A50814" w:rsidRPr="00A50814">
        <w:rPr>
          <w:rFonts w:eastAsia="Times New Roman" w:cstheme="minorHAnsi"/>
          <w:color w:val="FF0000"/>
          <w:lang w:eastAsia="en-GB"/>
        </w:rPr>
        <w:t xml:space="preserve"> et al., 2024; </w:t>
      </w:r>
      <w:proofErr w:type="spellStart"/>
      <w:r w:rsidR="00A50814" w:rsidRPr="00A50814">
        <w:rPr>
          <w:rFonts w:eastAsia="Times New Roman" w:cstheme="minorHAnsi"/>
          <w:color w:val="FF0000"/>
          <w:lang w:eastAsia="en-GB"/>
        </w:rPr>
        <w:t>Samudhram</w:t>
      </w:r>
      <w:proofErr w:type="spellEnd"/>
      <w:r w:rsidR="00A50814" w:rsidRPr="00A50814">
        <w:rPr>
          <w:rFonts w:eastAsia="Times New Roman" w:cstheme="minorHAnsi"/>
          <w:color w:val="FF0000"/>
          <w:lang w:eastAsia="en-GB"/>
        </w:rPr>
        <w:t xml:space="preserve"> et al., 2008; Barney and Wright, 1998). Additionally,</w:t>
      </w:r>
      <w:r w:rsidR="00A50814" w:rsidRPr="00A50814">
        <w:rPr>
          <w:rFonts w:eastAsia="Times New Roman" w:cstheme="minorHAnsi"/>
          <w:color w:val="FF0000"/>
          <w:lang w:eastAsia="en-GB"/>
        </w:rPr>
        <w:t xml:space="preserve"> </w:t>
      </w:r>
      <w:r w:rsidR="009205A7">
        <w:rPr>
          <w:rFonts w:eastAsia="Times New Roman" w:cstheme="minorHAnsi"/>
          <w:lang w:eastAsia="en-GB"/>
        </w:rPr>
        <w:t xml:space="preserve">to improve perceptions amongst employees, </w:t>
      </w:r>
      <w:r w:rsidR="009205A7" w:rsidRPr="00A50814">
        <w:rPr>
          <w:rFonts w:eastAsia="Times New Roman" w:cstheme="minorHAnsi"/>
          <w:strike/>
          <w:lang w:eastAsia="en-GB"/>
        </w:rPr>
        <w:t>as well as</w:t>
      </w:r>
      <w:r w:rsidR="009205A7">
        <w:rPr>
          <w:rFonts w:eastAsia="Times New Roman" w:cstheme="minorHAnsi"/>
          <w:lang w:eastAsia="en-GB"/>
        </w:rPr>
        <w:t xml:space="preserve"> </w:t>
      </w:r>
      <w:r w:rsidR="00A50814">
        <w:rPr>
          <w:rFonts w:eastAsia="Times New Roman" w:cstheme="minorHAnsi"/>
          <w:color w:val="FF0000"/>
          <w:lang w:eastAsia="en-GB"/>
        </w:rPr>
        <w:t xml:space="preserve">and to </w:t>
      </w:r>
      <w:r w:rsidR="009205A7">
        <w:rPr>
          <w:rFonts w:eastAsia="Times New Roman" w:cstheme="minorHAnsi"/>
          <w:lang w:eastAsia="en-GB"/>
        </w:rPr>
        <w:t xml:space="preserve">boosting morale and employee engagement, managers might consider </w:t>
      </w:r>
      <w:r w:rsidR="003E0BC2">
        <w:rPr>
          <w:rFonts w:eastAsia="Times New Roman" w:cstheme="minorHAnsi"/>
          <w:lang w:eastAsia="en-GB"/>
        </w:rPr>
        <w:t>introducing more opportunities for employees to express their voice (Rees et al., 2013).</w:t>
      </w:r>
      <w:r w:rsidR="00A50814">
        <w:rPr>
          <w:rFonts w:eastAsia="Times New Roman" w:cstheme="minorHAnsi"/>
          <w:lang w:eastAsia="en-GB"/>
        </w:rPr>
        <w:t xml:space="preserve"> </w:t>
      </w:r>
      <w:r w:rsidR="00A50814" w:rsidRPr="00A50814">
        <w:rPr>
          <w:rFonts w:eastAsia="Times New Roman" w:cstheme="minorHAnsi"/>
          <w:color w:val="FF0000"/>
          <w:lang w:eastAsia="en-GB"/>
        </w:rPr>
        <w:t>Such opportunities include interviews, focus groups and surveys. Surveys will be the most cost-effective option, however, interviews and focus groups are more flexible, allowing for more in-depth expression (Taylor and Woodhams, 2016; CIPD, 2023).</w:t>
      </w:r>
    </w:p>
    <w:p w14:paraId="1709AEC0" w14:textId="77777777" w:rsidR="003E0BC2" w:rsidRDefault="003E0BC2" w:rsidP="009205A7">
      <w:pPr>
        <w:rPr>
          <w:rFonts w:eastAsia="Times New Roman" w:cstheme="minorHAnsi"/>
          <w:lang w:eastAsia="en-GB"/>
        </w:rPr>
      </w:pPr>
    </w:p>
    <w:p w14:paraId="6981C2C8" w14:textId="77777777" w:rsidR="003E0BC2" w:rsidRDefault="003E0BC2" w:rsidP="009205A7">
      <w:pPr>
        <w:rPr>
          <w:rFonts w:eastAsia="Times New Roman" w:cstheme="minorHAnsi"/>
          <w:lang w:eastAsia="en-GB"/>
        </w:rPr>
      </w:pPr>
    </w:p>
    <w:p w14:paraId="321A53FD" w14:textId="77777777" w:rsidR="003E0BC2" w:rsidRDefault="003E0BC2" w:rsidP="009205A7">
      <w:pPr>
        <w:rPr>
          <w:rFonts w:eastAsia="Times New Roman" w:cstheme="minorHAnsi"/>
          <w:lang w:eastAsia="en-GB"/>
        </w:rPr>
      </w:pPr>
    </w:p>
    <w:p w14:paraId="3714E8E0" w14:textId="77777777" w:rsidR="003E0BC2" w:rsidRDefault="003E0BC2" w:rsidP="009205A7">
      <w:pPr>
        <w:rPr>
          <w:rFonts w:eastAsia="Times New Roman" w:cstheme="minorHAnsi"/>
          <w:lang w:eastAsia="en-GB"/>
        </w:rPr>
      </w:pPr>
    </w:p>
    <w:p w14:paraId="3836BCA8" w14:textId="77777777" w:rsidR="003E0BC2" w:rsidRDefault="003E0BC2" w:rsidP="009205A7">
      <w:pPr>
        <w:rPr>
          <w:rFonts w:eastAsia="Times New Roman" w:cstheme="minorHAnsi"/>
          <w:lang w:eastAsia="en-GB"/>
        </w:rPr>
      </w:pPr>
    </w:p>
    <w:p w14:paraId="26F0465C" w14:textId="77777777" w:rsidR="00D207FB" w:rsidRDefault="00D207FB" w:rsidP="003E0BC2">
      <w:pPr>
        <w:rPr>
          <w:rFonts w:eastAsia="Times New Roman" w:cstheme="minorHAnsi"/>
          <w:lang w:eastAsia="en-GB"/>
        </w:rPr>
      </w:pPr>
    </w:p>
    <w:p w14:paraId="6AC7FC47" w14:textId="77777777" w:rsidR="003E0BC2" w:rsidRDefault="003E0BC2" w:rsidP="00D207FB">
      <w:pPr>
        <w:pStyle w:val="Heading1"/>
        <w:rPr>
          <w:rFonts w:eastAsia="Times New Roman"/>
          <w:lang w:eastAsia="en-GB"/>
        </w:rPr>
      </w:pPr>
      <w:r>
        <w:rPr>
          <w:rFonts w:eastAsia="Times New Roman"/>
          <w:lang w:eastAsia="en-GB"/>
        </w:rPr>
        <w:t>Bibliography</w:t>
      </w:r>
    </w:p>
    <w:p w14:paraId="15262D3A" w14:textId="77777777" w:rsidR="003E0BC2" w:rsidRPr="003E0BC2" w:rsidRDefault="003E0BC2" w:rsidP="003E0BC2">
      <w:pPr>
        <w:pStyle w:val="ListParagraph"/>
        <w:numPr>
          <w:ilvl w:val="0"/>
          <w:numId w:val="2"/>
        </w:numPr>
        <w:rPr>
          <w:rFonts w:eastAsia="Times New Roman" w:cstheme="minorHAnsi"/>
          <w:lang w:eastAsia="en-GB"/>
        </w:rPr>
      </w:pPr>
      <w:r w:rsidRPr="003E0BC2">
        <w:rPr>
          <w:rFonts w:eastAsia="Times New Roman" w:cstheme="minorHAnsi"/>
          <w:bCs/>
          <w:lang w:eastAsia="en-GB"/>
        </w:rPr>
        <w:t>Akinyele, D.</w:t>
      </w:r>
      <w:r w:rsidRPr="003E0BC2">
        <w:rPr>
          <w:rFonts w:eastAsia="Times New Roman" w:cstheme="minorHAnsi"/>
          <w:lang w:eastAsia="en-GB"/>
        </w:rPr>
        <w:t xml:space="preserve"> (2024) </w:t>
      </w:r>
      <w:proofErr w:type="spellStart"/>
      <w:r w:rsidRPr="003E0BC2">
        <w:rPr>
          <w:rFonts w:eastAsia="Times New Roman" w:cstheme="minorHAnsi"/>
          <w:i/>
          <w:iCs/>
          <w:lang w:eastAsia="en-GB"/>
        </w:rPr>
        <w:t>EasyChair</w:t>
      </w:r>
      <w:proofErr w:type="spellEnd"/>
      <w:r w:rsidRPr="003E0BC2">
        <w:rPr>
          <w:rFonts w:eastAsia="Times New Roman" w:cstheme="minorHAnsi"/>
          <w:i/>
          <w:iCs/>
          <w:lang w:eastAsia="en-GB"/>
        </w:rPr>
        <w:t xml:space="preserve"> Preprint</w:t>
      </w:r>
      <w:r w:rsidRPr="003E0BC2">
        <w:rPr>
          <w:rFonts w:eastAsia="Times New Roman" w:cstheme="minorHAnsi"/>
          <w:lang w:eastAsia="en-GB"/>
        </w:rPr>
        <w:t xml:space="preserve">. Available at: </w:t>
      </w:r>
      <w:hyperlink r:id="rId30" w:tgtFrame="_new" w:history="1">
        <w:r w:rsidRPr="003E0BC2">
          <w:rPr>
            <w:rFonts w:eastAsia="Times New Roman" w:cstheme="minorHAnsi"/>
            <w:color w:val="0000FF"/>
            <w:u w:val="single"/>
            <w:lang w:eastAsia="en-GB"/>
          </w:rPr>
          <w:t>https://easychair.org/publications/preprint/Ccwr/open</w:t>
        </w:r>
      </w:hyperlink>
      <w:r w:rsidRPr="003E0BC2">
        <w:rPr>
          <w:rFonts w:eastAsia="Times New Roman" w:cstheme="minorHAnsi"/>
          <w:lang w:eastAsia="en-GB"/>
        </w:rPr>
        <w:t>.</w:t>
      </w:r>
    </w:p>
    <w:p w14:paraId="74A1C03E"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Alder, G.S., Schminke, M. and Noel, T.W.</w:t>
      </w:r>
      <w:r w:rsidRPr="003E0BC2">
        <w:rPr>
          <w:rFonts w:eastAsia="Times New Roman" w:cstheme="minorHAnsi"/>
          <w:lang w:eastAsia="en-GB"/>
        </w:rPr>
        <w:t xml:space="preserve"> (2007) </w:t>
      </w:r>
      <w:r w:rsidRPr="003E0BC2">
        <w:rPr>
          <w:rFonts w:eastAsia="Times New Roman" w:cstheme="minorHAnsi"/>
          <w:i/>
          <w:iCs/>
          <w:lang w:eastAsia="en-GB"/>
        </w:rPr>
        <w:t>The Impact of Individual Ethics on Reactions to Potentially Invasive HR Practices</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31" w:tgtFrame="_new" w:history="1">
        <w:r w:rsidRPr="003E0BC2">
          <w:rPr>
            <w:rFonts w:eastAsia="Times New Roman" w:cstheme="minorHAnsi"/>
            <w:color w:val="0000FF"/>
            <w:u w:val="single"/>
            <w:lang w:eastAsia="en-GB"/>
          </w:rPr>
          <w:t>https://doi.org/10.1007/s10551-006-9247-6</w:t>
        </w:r>
      </w:hyperlink>
      <w:r w:rsidRPr="003E0BC2">
        <w:rPr>
          <w:rFonts w:eastAsia="Times New Roman" w:cstheme="minorHAnsi"/>
          <w:lang w:eastAsia="en-GB"/>
        </w:rPr>
        <w:t>.</w:t>
      </w:r>
    </w:p>
    <w:p w14:paraId="7C58F0DF"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Banasiewicz, A.D.</w:t>
      </w:r>
      <w:r w:rsidRPr="003E0BC2">
        <w:rPr>
          <w:rFonts w:eastAsia="Times New Roman" w:cstheme="minorHAnsi"/>
          <w:lang w:eastAsia="en-GB"/>
        </w:rPr>
        <w:t xml:space="preserve"> (2019) </w:t>
      </w:r>
      <w:r w:rsidRPr="003E0BC2">
        <w:rPr>
          <w:rFonts w:eastAsia="Times New Roman" w:cstheme="minorHAnsi"/>
          <w:i/>
          <w:iCs/>
          <w:lang w:eastAsia="en-GB"/>
        </w:rPr>
        <w:t>Evidence-Based Decision-Making</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32" w:tgtFrame="_new" w:history="1">
        <w:r w:rsidRPr="003E0BC2">
          <w:rPr>
            <w:rFonts w:eastAsia="Times New Roman" w:cstheme="minorHAnsi"/>
            <w:color w:val="0000FF"/>
            <w:u w:val="single"/>
            <w:lang w:eastAsia="en-GB"/>
          </w:rPr>
          <w:t>https://doi.org/10.4324/9781351050074</w:t>
        </w:r>
      </w:hyperlink>
      <w:r w:rsidRPr="003E0BC2">
        <w:rPr>
          <w:rFonts w:eastAsia="Times New Roman" w:cstheme="minorHAnsi"/>
          <w:lang w:eastAsia="en-GB"/>
        </w:rPr>
        <w:t>.</w:t>
      </w:r>
    </w:p>
    <w:p w14:paraId="7B1DA002"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Barends, E., Rosseau, D.M. and Briner, R.B.</w:t>
      </w:r>
      <w:r w:rsidRPr="003E0BC2">
        <w:rPr>
          <w:rFonts w:eastAsia="Times New Roman" w:cstheme="minorHAnsi"/>
          <w:lang w:eastAsia="en-GB"/>
        </w:rPr>
        <w:t xml:space="preserve"> (2014) </w:t>
      </w:r>
      <w:r w:rsidRPr="003E0BC2">
        <w:rPr>
          <w:rFonts w:eastAsia="Times New Roman" w:cstheme="minorHAnsi"/>
          <w:i/>
          <w:iCs/>
          <w:lang w:eastAsia="en-GB"/>
        </w:rPr>
        <w:t>Evidence based practice-the basic principles</w:t>
      </w:r>
      <w:r w:rsidRPr="003E0BC2">
        <w:rPr>
          <w:rFonts w:eastAsia="Times New Roman" w:cstheme="minorHAnsi"/>
          <w:lang w:eastAsia="en-GB"/>
        </w:rPr>
        <w:t xml:space="preserve">. Available at: </w:t>
      </w:r>
      <w:hyperlink r:id="rId33" w:tgtFrame="_new" w:history="1">
        <w:r w:rsidRPr="003E0BC2">
          <w:rPr>
            <w:rFonts w:eastAsia="Times New Roman" w:cstheme="minorHAnsi"/>
            <w:color w:val="0000FF"/>
            <w:u w:val="single"/>
            <w:lang w:eastAsia="en-GB"/>
          </w:rPr>
          <w:t>https://cebma.org/assets/Uploads/Evidence-Based-Practice-The-Basic-Principles.pdf</w:t>
        </w:r>
      </w:hyperlink>
      <w:r w:rsidRPr="003E0BC2">
        <w:rPr>
          <w:rFonts w:eastAsia="Times New Roman" w:cstheme="minorHAnsi"/>
          <w:lang w:eastAsia="en-GB"/>
        </w:rPr>
        <w:t>.</w:t>
      </w:r>
    </w:p>
    <w:p w14:paraId="3A905673"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Barends, E. et al.</w:t>
      </w:r>
      <w:r w:rsidRPr="003E0BC2">
        <w:rPr>
          <w:rFonts w:eastAsia="Times New Roman" w:cstheme="minorHAnsi"/>
          <w:lang w:eastAsia="en-GB"/>
        </w:rPr>
        <w:t xml:space="preserve"> (2017) </w:t>
      </w:r>
      <w:r w:rsidRPr="003E0BC2">
        <w:rPr>
          <w:rFonts w:eastAsia="Times New Roman" w:cstheme="minorHAnsi"/>
          <w:i/>
          <w:iCs/>
          <w:lang w:eastAsia="en-GB"/>
        </w:rPr>
        <w:t>Managerial attitudes and perceived barriers regarding evidence-based practice: An international survey</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10.1371/journal.pone.0184594.</w:t>
      </w:r>
    </w:p>
    <w:p w14:paraId="4E515F01"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Barney, J.B. and Wright, P.M.</w:t>
      </w:r>
      <w:r w:rsidRPr="003E0BC2">
        <w:rPr>
          <w:rFonts w:eastAsia="Times New Roman" w:cstheme="minorHAnsi"/>
          <w:lang w:eastAsia="en-GB"/>
        </w:rPr>
        <w:t xml:space="preserve"> (1998) </w:t>
      </w:r>
      <w:r w:rsidRPr="003E0BC2">
        <w:rPr>
          <w:rFonts w:eastAsia="Times New Roman" w:cstheme="minorHAnsi"/>
          <w:i/>
          <w:iCs/>
          <w:lang w:eastAsia="en-GB"/>
        </w:rPr>
        <w:t>On Becoming a Strategic Partner: The Role of Human Resources in Gaining Competitive Advantage</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34" w:tgtFrame="_new" w:history="1">
        <w:r w:rsidRPr="003E0BC2">
          <w:rPr>
            <w:rFonts w:eastAsia="Times New Roman" w:cstheme="minorHAnsi"/>
            <w:color w:val="0000FF"/>
            <w:u w:val="single"/>
            <w:lang w:eastAsia="en-GB"/>
          </w:rPr>
          <w:t>https://doi.org/10.1002/(SICI)1099-050X(199821)37:1%3C31::AID-HRM4%3E3.0.CO;2-W</w:t>
        </w:r>
      </w:hyperlink>
      <w:r w:rsidRPr="003E0BC2">
        <w:rPr>
          <w:rFonts w:eastAsia="Times New Roman" w:cstheme="minorHAnsi"/>
          <w:lang w:eastAsia="en-GB"/>
        </w:rPr>
        <w:t>.</w:t>
      </w:r>
    </w:p>
    <w:p w14:paraId="22B6926A"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BBC Bitesize</w:t>
      </w:r>
      <w:r w:rsidRPr="003E0BC2">
        <w:rPr>
          <w:rFonts w:eastAsia="Times New Roman" w:cstheme="minorHAnsi"/>
          <w:lang w:eastAsia="en-GB"/>
        </w:rPr>
        <w:t xml:space="preserve"> (n.d.) </w:t>
      </w:r>
      <w:r w:rsidRPr="003E0BC2">
        <w:rPr>
          <w:rFonts w:eastAsia="Times New Roman" w:cstheme="minorHAnsi"/>
          <w:i/>
          <w:iCs/>
          <w:lang w:eastAsia="en-GB"/>
        </w:rPr>
        <w:t>RURU - Reliable - Critical thinking and problem solving - WBQ National: Foundation KS4 Revision</w:t>
      </w:r>
      <w:r w:rsidRPr="003E0BC2">
        <w:rPr>
          <w:rFonts w:eastAsia="Times New Roman" w:cstheme="minorHAnsi"/>
          <w:lang w:eastAsia="en-GB"/>
        </w:rPr>
        <w:t xml:space="preserve">. Available at: </w:t>
      </w:r>
      <w:hyperlink r:id="rId35" w:tgtFrame="_new" w:history="1">
        <w:r w:rsidRPr="003E0BC2">
          <w:rPr>
            <w:rFonts w:eastAsia="Times New Roman" w:cstheme="minorHAnsi"/>
            <w:color w:val="0000FF"/>
            <w:u w:val="single"/>
            <w:lang w:eastAsia="en-GB"/>
          </w:rPr>
          <w:t>https://www.bbc.co.uk/bitesize/guides/zcjhfcw/revision/11</w:t>
        </w:r>
      </w:hyperlink>
      <w:r w:rsidRPr="003E0BC2">
        <w:rPr>
          <w:rFonts w:eastAsia="Times New Roman" w:cstheme="minorHAnsi"/>
          <w:lang w:eastAsia="en-GB"/>
        </w:rPr>
        <w:t>.</w:t>
      </w:r>
    </w:p>
    <w:p w14:paraId="511BB94F"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CIPD</w:t>
      </w:r>
      <w:r w:rsidRPr="003E0BC2">
        <w:rPr>
          <w:rFonts w:eastAsia="Times New Roman" w:cstheme="minorHAnsi"/>
          <w:lang w:eastAsia="en-GB"/>
        </w:rPr>
        <w:t xml:space="preserve"> (2015) </w:t>
      </w:r>
      <w:r w:rsidRPr="003E0BC2">
        <w:rPr>
          <w:rFonts w:eastAsia="Times New Roman" w:cstheme="minorHAnsi"/>
          <w:i/>
          <w:iCs/>
          <w:lang w:eastAsia="en-GB"/>
        </w:rPr>
        <w:t>Ethical decision-making: Eight perspectives on workplace dilemmas</w:t>
      </w:r>
      <w:r w:rsidRPr="003E0BC2">
        <w:rPr>
          <w:rFonts w:eastAsia="Times New Roman" w:cstheme="minorHAnsi"/>
          <w:lang w:eastAsia="en-GB"/>
        </w:rPr>
        <w:t xml:space="preserve">. Available at: </w:t>
      </w:r>
      <w:hyperlink r:id="rId36" w:tgtFrame="_new" w:history="1">
        <w:r w:rsidRPr="003E0BC2">
          <w:rPr>
            <w:rFonts w:eastAsia="Times New Roman" w:cstheme="minorHAnsi"/>
            <w:color w:val="0000FF"/>
            <w:u w:val="single"/>
            <w:lang w:eastAsia="en-GB"/>
          </w:rPr>
          <w:t>https://www.cipd.org/globalassets/media/knowledge/knowledge-hub/reports/ethical-decision-making-2015-eight-perspectives-on-workplace-dilemmas_tcm18-9564.pdf</w:t>
        </w:r>
      </w:hyperlink>
      <w:r w:rsidRPr="003E0BC2">
        <w:rPr>
          <w:rFonts w:eastAsia="Times New Roman" w:cstheme="minorHAnsi"/>
          <w:lang w:eastAsia="en-GB"/>
        </w:rPr>
        <w:t>.</w:t>
      </w:r>
    </w:p>
    <w:p w14:paraId="2FA0EC82"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CIPD</w:t>
      </w:r>
      <w:r w:rsidRPr="003E0BC2">
        <w:rPr>
          <w:rFonts w:eastAsia="Times New Roman" w:cstheme="minorHAnsi"/>
          <w:lang w:eastAsia="en-GB"/>
        </w:rPr>
        <w:t xml:space="preserve"> (2023) </w:t>
      </w:r>
      <w:r w:rsidRPr="003E0BC2">
        <w:rPr>
          <w:rFonts w:eastAsia="Times New Roman" w:cstheme="minorHAnsi"/>
          <w:i/>
          <w:iCs/>
          <w:lang w:eastAsia="en-GB"/>
        </w:rPr>
        <w:t>A Guide to Using Individual Voice Channels</w:t>
      </w:r>
      <w:r w:rsidRPr="003E0BC2">
        <w:rPr>
          <w:rFonts w:eastAsia="Times New Roman" w:cstheme="minorHAnsi"/>
          <w:lang w:eastAsia="en-GB"/>
        </w:rPr>
        <w:t xml:space="preserve">. Available at: </w:t>
      </w:r>
      <w:hyperlink r:id="rId37" w:tgtFrame="_new" w:history="1">
        <w:r w:rsidRPr="003E0BC2">
          <w:rPr>
            <w:rFonts w:eastAsia="Times New Roman" w:cstheme="minorHAnsi"/>
            <w:color w:val="0000FF"/>
            <w:u w:val="single"/>
            <w:lang w:eastAsia="en-GB"/>
          </w:rPr>
          <w:t>https://www.cipd.org/uk/knowledge/guides/employee-voice-individuals-guide/</w:t>
        </w:r>
      </w:hyperlink>
      <w:r w:rsidRPr="003E0BC2">
        <w:rPr>
          <w:rFonts w:eastAsia="Times New Roman" w:cstheme="minorHAnsi"/>
          <w:lang w:eastAsia="en-GB"/>
        </w:rPr>
        <w:t>.</w:t>
      </w:r>
    </w:p>
    <w:p w14:paraId="4B9E04C7"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De Bono, E.</w:t>
      </w:r>
      <w:r w:rsidRPr="003E0BC2">
        <w:rPr>
          <w:rFonts w:eastAsia="Times New Roman" w:cstheme="minorHAnsi"/>
          <w:lang w:eastAsia="en-GB"/>
        </w:rPr>
        <w:t xml:space="preserve"> (1985) </w:t>
      </w:r>
      <w:r w:rsidRPr="003E0BC2">
        <w:rPr>
          <w:rFonts w:eastAsia="Times New Roman" w:cstheme="minorHAnsi"/>
          <w:i/>
          <w:iCs/>
          <w:lang w:eastAsia="en-GB"/>
        </w:rPr>
        <w:t>Six Thinking Hats</w:t>
      </w:r>
      <w:r w:rsidRPr="003E0BC2">
        <w:rPr>
          <w:rFonts w:eastAsia="Times New Roman" w:cstheme="minorHAnsi"/>
          <w:lang w:eastAsia="en-GB"/>
        </w:rPr>
        <w:t>.</w:t>
      </w:r>
    </w:p>
    <w:p w14:paraId="082A2010"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Greenwood, M.</w:t>
      </w:r>
      <w:r w:rsidRPr="003E0BC2">
        <w:rPr>
          <w:rFonts w:eastAsia="Times New Roman" w:cstheme="minorHAnsi"/>
          <w:lang w:eastAsia="en-GB"/>
        </w:rPr>
        <w:t xml:space="preserve"> (2017) </w:t>
      </w:r>
      <w:r w:rsidRPr="003E0BC2">
        <w:rPr>
          <w:rFonts w:eastAsia="Times New Roman" w:cstheme="minorHAnsi"/>
          <w:i/>
          <w:iCs/>
          <w:lang w:eastAsia="en-GB"/>
        </w:rPr>
        <w:t>Ethics, stakeholders and HRM: A review and conceptual analysis</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38" w:tgtFrame="_new" w:history="1">
        <w:r w:rsidRPr="003E0BC2">
          <w:rPr>
            <w:rFonts w:eastAsia="Times New Roman" w:cstheme="minorHAnsi"/>
            <w:color w:val="0000FF"/>
            <w:u w:val="single"/>
            <w:lang w:eastAsia="en-GB"/>
          </w:rPr>
          <w:t>https://doi.org/10.4225/03/59377a0083960</w:t>
        </w:r>
      </w:hyperlink>
      <w:r w:rsidRPr="003E0BC2">
        <w:rPr>
          <w:rFonts w:eastAsia="Times New Roman" w:cstheme="minorHAnsi"/>
          <w:lang w:eastAsia="en-GB"/>
        </w:rPr>
        <w:t>.</w:t>
      </w:r>
    </w:p>
    <w:p w14:paraId="531CAA27"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Improving performance appraisal</w:t>
      </w:r>
      <w:r w:rsidRPr="003E0BC2">
        <w:rPr>
          <w:rFonts w:eastAsia="Times New Roman" w:cstheme="minorHAnsi"/>
          <w:lang w:eastAsia="en-GB"/>
        </w:rPr>
        <w:t xml:space="preserve"> (2017)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39" w:tgtFrame="_new" w:history="1">
        <w:r w:rsidRPr="003E0BC2">
          <w:rPr>
            <w:rFonts w:eastAsia="Times New Roman" w:cstheme="minorHAnsi"/>
            <w:color w:val="0000FF"/>
            <w:u w:val="single"/>
            <w:lang w:eastAsia="en-GB"/>
          </w:rPr>
          <w:t>https://doi.org/10.1108/dlo-05-2017-0045</w:t>
        </w:r>
      </w:hyperlink>
      <w:r w:rsidRPr="003E0BC2">
        <w:rPr>
          <w:rFonts w:eastAsia="Times New Roman" w:cstheme="minorHAnsi"/>
          <w:lang w:eastAsia="en-GB"/>
        </w:rPr>
        <w:t>.</w:t>
      </w:r>
    </w:p>
    <w:p w14:paraId="0DB877AF"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 xml:space="preserve">Johanson, U., </w:t>
      </w:r>
      <w:proofErr w:type="spellStart"/>
      <w:r w:rsidRPr="003E0BC2">
        <w:rPr>
          <w:rFonts w:eastAsia="Times New Roman" w:cstheme="minorHAnsi"/>
          <w:bCs/>
          <w:lang w:eastAsia="en-GB"/>
        </w:rPr>
        <w:t>Eklöv</w:t>
      </w:r>
      <w:proofErr w:type="spellEnd"/>
      <w:r w:rsidRPr="003E0BC2">
        <w:rPr>
          <w:rFonts w:eastAsia="Times New Roman" w:cstheme="minorHAnsi"/>
          <w:bCs/>
          <w:lang w:eastAsia="en-GB"/>
        </w:rPr>
        <w:t>, G. and Holmgren, M.</w:t>
      </w:r>
      <w:r w:rsidRPr="003E0BC2">
        <w:rPr>
          <w:rFonts w:eastAsia="Times New Roman" w:cstheme="minorHAnsi"/>
          <w:lang w:eastAsia="en-GB"/>
        </w:rPr>
        <w:t xml:space="preserve"> (1998) </w:t>
      </w:r>
      <w:r w:rsidRPr="003E0BC2">
        <w:rPr>
          <w:rFonts w:eastAsia="Times New Roman" w:cstheme="minorHAnsi"/>
          <w:i/>
          <w:iCs/>
          <w:lang w:eastAsia="en-GB"/>
        </w:rPr>
        <w:t>Human Resource Costing and Accounting versus the Balanced Scorecard: A Literature Survey of Experience with the Concepts</w:t>
      </w:r>
      <w:r w:rsidRPr="003E0BC2">
        <w:rPr>
          <w:rFonts w:eastAsia="Times New Roman" w:cstheme="minorHAnsi"/>
          <w:lang w:eastAsia="en-GB"/>
        </w:rPr>
        <w:t xml:space="preserve">. Available at: </w:t>
      </w:r>
      <w:hyperlink r:id="rId40" w:tgtFrame="_new" w:history="1">
        <w:r w:rsidRPr="003E0BC2">
          <w:rPr>
            <w:rFonts w:eastAsia="Times New Roman" w:cstheme="minorHAnsi"/>
            <w:color w:val="0000FF"/>
            <w:u w:val="single"/>
            <w:lang w:eastAsia="en-GB"/>
          </w:rPr>
          <w:t>https://www.consulentiaziendaliditalia.it/wp-content/uploads/2020/04/Human_resource_costing_and_accounting_ve.pdf</w:t>
        </w:r>
      </w:hyperlink>
      <w:r w:rsidRPr="003E0BC2">
        <w:rPr>
          <w:rFonts w:eastAsia="Times New Roman" w:cstheme="minorHAnsi"/>
          <w:lang w:eastAsia="en-GB"/>
        </w:rPr>
        <w:t>.</w:t>
      </w:r>
    </w:p>
    <w:p w14:paraId="78D41C0F"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proofErr w:type="spellStart"/>
      <w:r w:rsidRPr="003E0BC2">
        <w:rPr>
          <w:rFonts w:eastAsia="Times New Roman" w:cstheme="minorHAnsi"/>
          <w:bCs/>
          <w:lang w:eastAsia="en-GB"/>
        </w:rPr>
        <w:t>Kivunja</w:t>
      </w:r>
      <w:proofErr w:type="spellEnd"/>
      <w:r w:rsidRPr="003E0BC2">
        <w:rPr>
          <w:rFonts w:eastAsia="Times New Roman" w:cstheme="minorHAnsi"/>
          <w:bCs/>
          <w:lang w:eastAsia="en-GB"/>
        </w:rPr>
        <w:t>, C.</w:t>
      </w:r>
      <w:r w:rsidRPr="003E0BC2">
        <w:rPr>
          <w:rFonts w:eastAsia="Times New Roman" w:cstheme="minorHAnsi"/>
          <w:lang w:eastAsia="en-GB"/>
        </w:rPr>
        <w:t xml:space="preserve"> (2015) </w:t>
      </w:r>
      <w:r w:rsidRPr="003E0BC2">
        <w:rPr>
          <w:rFonts w:eastAsia="Times New Roman" w:cstheme="minorHAnsi"/>
          <w:i/>
          <w:iCs/>
          <w:lang w:eastAsia="en-GB"/>
        </w:rPr>
        <w:t>Using De Bono’s Six Thinking Hats Model to Teach Critical Thinking and Problem Solving Skills Essential for Success in the 21st Century Economy</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41" w:tgtFrame="_new" w:history="1">
        <w:r w:rsidRPr="003E0BC2">
          <w:rPr>
            <w:rFonts w:eastAsia="Times New Roman" w:cstheme="minorHAnsi"/>
            <w:color w:val="0000FF"/>
            <w:u w:val="single"/>
            <w:lang w:eastAsia="en-GB"/>
          </w:rPr>
          <w:t>https://doi.org/10.4236/ce.2015.63037</w:t>
        </w:r>
      </w:hyperlink>
      <w:r w:rsidRPr="003E0BC2">
        <w:rPr>
          <w:rFonts w:eastAsia="Times New Roman" w:cstheme="minorHAnsi"/>
          <w:lang w:eastAsia="en-GB"/>
        </w:rPr>
        <w:t>.</w:t>
      </w:r>
    </w:p>
    <w:p w14:paraId="7C456115"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Lai, E.</w:t>
      </w:r>
      <w:r w:rsidRPr="003E0BC2">
        <w:rPr>
          <w:rFonts w:eastAsia="Times New Roman" w:cstheme="minorHAnsi"/>
          <w:lang w:eastAsia="en-GB"/>
        </w:rPr>
        <w:t xml:space="preserve"> (2011) </w:t>
      </w:r>
      <w:r w:rsidRPr="003E0BC2">
        <w:rPr>
          <w:rFonts w:eastAsia="Times New Roman" w:cstheme="minorHAnsi"/>
          <w:i/>
          <w:iCs/>
          <w:lang w:eastAsia="en-GB"/>
        </w:rPr>
        <w:t>Critical Thinking: A Literature Review Research Report</w:t>
      </w:r>
      <w:r w:rsidRPr="003E0BC2">
        <w:rPr>
          <w:rFonts w:eastAsia="Times New Roman" w:cstheme="minorHAnsi"/>
          <w:lang w:eastAsia="en-GB"/>
        </w:rPr>
        <w:t xml:space="preserve">. Available at: </w:t>
      </w:r>
      <w:hyperlink r:id="rId42" w:tgtFrame="_new" w:history="1">
        <w:r w:rsidRPr="003E0BC2">
          <w:rPr>
            <w:rFonts w:eastAsia="Times New Roman" w:cstheme="minorHAnsi"/>
            <w:color w:val="0000FF"/>
            <w:u w:val="single"/>
            <w:lang w:eastAsia="en-GB"/>
          </w:rPr>
          <w:t>https://citeseerx.ist.psu.edu/document?repid=rep1&amp;type=pdf&amp;doi=b42cffa5a2ad63a31fcf99869e7cb8ef72b44374</w:t>
        </w:r>
      </w:hyperlink>
      <w:r w:rsidRPr="003E0BC2">
        <w:rPr>
          <w:rFonts w:eastAsia="Times New Roman" w:cstheme="minorHAnsi"/>
          <w:lang w:eastAsia="en-GB"/>
        </w:rPr>
        <w:t>.</w:t>
      </w:r>
    </w:p>
    <w:p w14:paraId="0CAA69BA"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Lawler, E.E., Benson, G.S. and McDermott, M.</w:t>
      </w:r>
      <w:r w:rsidRPr="003E0BC2">
        <w:rPr>
          <w:rFonts w:eastAsia="Times New Roman" w:cstheme="minorHAnsi"/>
          <w:lang w:eastAsia="en-GB"/>
        </w:rPr>
        <w:t xml:space="preserve"> (2012) </w:t>
      </w:r>
      <w:r w:rsidRPr="003E0BC2">
        <w:rPr>
          <w:rFonts w:eastAsia="Times New Roman" w:cstheme="minorHAnsi"/>
          <w:i/>
          <w:iCs/>
          <w:lang w:eastAsia="en-GB"/>
        </w:rPr>
        <w:t>What Makes Performance Appraisals Effective?</w:t>
      </w:r>
      <w:r w:rsidRPr="003E0BC2">
        <w:rPr>
          <w:rFonts w:eastAsia="Times New Roman" w:cstheme="minorHAnsi"/>
          <w:lang w:eastAsia="en-GB"/>
        </w:rPr>
        <w:t xml:space="preserve"> Available at: </w:t>
      </w:r>
      <w:hyperlink r:id="rId43" w:tgtFrame="_new" w:history="1">
        <w:r w:rsidRPr="003E0BC2">
          <w:rPr>
            <w:rFonts w:eastAsia="Times New Roman" w:cstheme="minorHAnsi"/>
            <w:color w:val="0000FF"/>
            <w:u w:val="single"/>
            <w:lang w:eastAsia="en-GB"/>
          </w:rPr>
          <w:t>https://journals.sagepub.com/doi/abs/10.1177/0886368712462331</w:t>
        </w:r>
      </w:hyperlink>
      <w:r w:rsidRPr="003E0BC2">
        <w:rPr>
          <w:rFonts w:eastAsia="Times New Roman" w:cstheme="minorHAnsi"/>
          <w:lang w:eastAsia="en-GB"/>
        </w:rPr>
        <w:t>.</w:t>
      </w:r>
    </w:p>
    <w:p w14:paraId="00A6CB3B"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Majka, M.</w:t>
      </w:r>
      <w:r w:rsidRPr="003E0BC2">
        <w:rPr>
          <w:rFonts w:eastAsia="Times New Roman" w:cstheme="minorHAnsi"/>
          <w:lang w:eastAsia="en-GB"/>
        </w:rPr>
        <w:t xml:space="preserve"> (2024) </w:t>
      </w:r>
      <w:r w:rsidRPr="003E0BC2">
        <w:rPr>
          <w:rFonts w:eastAsia="Times New Roman" w:cstheme="minorHAnsi"/>
          <w:i/>
          <w:iCs/>
          <w:lang w:eastAsia="en-GB"/>
        </w:rPr>
        <w:t>Understanding Profit Margin</w:t>
      </w:r>
      <w:r w:rsidRPr="003E0BC2">
        <w:rPr>
          <w:rFonts w:eastAsia="Times New Roman" w:cstheme="minorHAnsi"/>
          <w:lang w:eastAsia="en-GB"/>
        </w:rPr>
        <w:t xml:space="preserve">. Available at: </w:t>
      </w:r>
      <w:hyperlink r:id="rId44" w:tgtFrame="_new" w:history="1">
        <w:r w:rsidRPr="003E0BC2">
          <w:rPr>
            <w:rFonts w:eastAsia="Times New Roman" w:cstheme="minorHAnsi"/>
            <w:color w:val="0000FF"/>
            <w:u w:val="single"/>
            <w:lang w:eastAsia="en-GB"/>
          </w:rPr>
          <w:t>https://www.linkedin.com/pulse/understanding-profit-margin-marcin-majka-gk4jf/</w:t>
        </w:r>
      </w:hyperlink>
      <w:r w:rsidRPr="003E0BC2">
        <w:rPr>
          <w:rFonts w:eastAsia="Times New Roman" w:cstheme="minorHAnsi"/>
          <w:lang w:eastAsia="en-GB"/>
        </w:rPr>
        <w:t>.</w:t>
      </w:r>
    </w:p>
    <w:p w14:paraId="19CF54ED"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Marmol, T. del, Feys, B., Probert, C. and 50minutes.com</w:t>
      </w:r>
      <w:r w:rsidRPr="003E0BC2">
        <w:rPr>
          <w:rFonts w:eastAsia="Times New Roman" w:cstheme="minorHAnsi"/>
          <w:lang w:eastAsia="en-GB"/>
        </w:rPr>
        <w:t xml:space="preserve"> (2015) </w:t>
      </w:r>
      <w:r w:rsidRPr="003E0BC2">
        <w:rPr>
          <w:rFonts w:eastAsia="Times New Roman" w:cstheme="minorHAnsi"/>
          <w:i/>
          <w:iCs/>
          <w:lang w:eastAsia="en-GB"/>
        </w:rPr>
        <w:t>PESTLE Analysis</w:t>
      </w:r>
      <w:r w:rsidRPr="003E0BC2">
        <w:rPr>
          <w:rFonts w:eastAsia="Times New Roman" w:cstheme="minorHAnsi"/>
          <w:lang w:eastAsia="en-GB"/>
        </w:rPr>
        <w:t>.</w:t>
      </w:r>
    </w:p>
    <w:p w14:paraId="41F9CE4F"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lastRenderedPageBreak/>
        <w:t>Pfeffer, J. and Sutton, R.I.</w:t>
      </w:r>
      <w:r w:rsidRPr="003E0BC2">
        <w:rPr>
          <w:rFonts w:eastAsia="Times New Roman" w:cstheme="minorHAnsi"/>
          <w:lang w:eastAsia="en-GB"/>
        </w:rPr>
        <w:t xml:space="preserve"> (1999) </w:t>
      </w:r>
      <w:r w:rsidRPr="003E0BC2">
        <w:rPr>
          <w:rFonts w:eastAsia="Times New Roman" w:cstheme="minorHAnsi"/>
          <w:i/>
          <w:iCs/>
          <w:lang w:eastAsia="en-GB"/>
        </w:rPr>
        <w:t>Knowing ‘What’ to Do Is Not Enough: Turning Knowledge into Action</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45" w:tgtFrame="_new" w:history="1">
        <w:r w:rsidRPr="003E0BC2">
          <w:rPr>
            <w:rFonts w:eastAsia="Times New Roman" w:cstheme="minorHAnsi"/>
            <w:color w:val="0000FF"/>
            <w:u w:val="single"/>
            <w:lang w:eastAsia="en-GB"/>
          </w:rPr>
          <w:t>https://doi.org/10.2307/41166020</w:t>
        </w:r>
      </w:hyperlink>
      <w:r w:rsidRPr="003E0BC2">
        <w:rPr>
          <w:rFonts w:eastAsia="Times New Roman" w:cstheme="minorHAnsi"/>
          <w:lang w:eastAsia="en-GB"/>
        </w:rPr>
        <w:t>.</w:t>
      </w:r>
    </w:p>
    <w:p w14:paraId="276C733F"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Rees, C., Alfes, K. and Gatenby, M.</w:t>
      </w:r>
      <w:r w:rsidRPr="003E0BC2">
        <w:rPr>
          <w:rFonts w:eastAsia="Times New Roman" w:cstheme="minorHAnsi"/>
          <w:lang w:eastAsia="en-GB"/>
        </w:rPr>
        <w:t xml:space="preserve"> (2013) </w:t>
      </w:r>
      <w:r w:rsidRPr="003E0BC2">
        <w:rPr>
          <w:rFonts w:eastAsia="Times New Roman" w:cstheme="minorHAnsi"/>
          <w:i/>
          <w:iCs/>
          <w:lang w:eastAsia="en-GB"/>
        </w:rPr>
        <w:t>Employee Voice and Engagement: Connections and Consequences</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46" w:tgtFrame="_new" w:history="1">
        <w:r w:rsidRPr="003E0BC2">
          <w:rPr>
            <w:rFonts w:eastAsia="Times New Roman" w:cstheme="minorHAnsi"/>
            <w:color w:val="0000FF"/>
            <w:u w:val="single"/>
            <w:lang w:eastAsia="en-GB"/>
          </w:rPr>
          <w:t>https://doi.org/10.1080/09585192.2013.763843</w:t>
        </w:r>
      </w:hyperlink>
      <w:r w:rsidRPr="003E0BC2">
        <w:rPr>
          <w:rFonts w:eastAsia="Times New Roman" w:cstheme="minorHAnsi"/>
          <w:lang w:eastAsia="en-GB"/>
        </w:rPr>
        <w:t>.</w:t>
      </w:r>
    </w:p>
    <w:p w14:paraId="068DFF13"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Rousseau, D.M. and Barends, E.G.R.</w:t>
      </w:r>
      <w:r w:rsidRPr="003E0BC2">
        <w:rPr>
          <w:rFonts w:eastAsia="Times New Roman" w:cstheme="minorHAnsi"/>
          <w:lang w:eastAsia="en-GB"/>
        </w:rPr>
        <w:t xml:space="preserve"> (2011) </w:t>
      </w:r>
      <w:r w:rsidRPr="003E0BC2">
        <w:rPr>
          <w:rFonts w:eastAsia="Times New Roman" w:cstheme="minorHAnsi"/>
          <w:i/>
          <w:iCs/>
          <w:lang w:eastAsia="en-GB"/>
        </w:rPr>
        <w:t>Becoming an Evidence-Based HR Practitioner</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47" w:tgtFrame="_new" w:history="1">
        <w:r w:rsidRPr="003E0BC2">
          <w:rPr>
            <w:rFonts w:eastAsia="Times New Roman" w:cstheme="minorHAnsi"/>
            <w:color w:val="0000FF"/>
            <w:u w:val="single"/>
            <w:lang w:eastAsia="en-GB"/>
          </w:rPr>
          <w:t>https://doi.org/10.1111/j.1748-8583.2011.00173.x</w:t>
        </w:r>
      </w:hyperlink>
      <w:r w:rsidRPr="003E0BC2">
        <w:rPr>
          <w:rFonts w:eastAsia="Times New Roman" w:cstheme="minorHAnsi"/>
          <w:lang w:eastAsia="en-GB"/>
        </w:rPr>
        <w:t>.</w:t>
      </w:r>
    </w:p>
    <w:p w14:paraId="107F1E73"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Scott, S.G. and Bruce, R.A.</w:t>
      </w:r>
      <w:r w:rsidRPr="003E0BC2">
        <w:rPr>
          <w:rFonts w:eastAsia="Times New Roman" w:cstheme="minorHAnsi"/>
          <w:lang w:eastAsia="en-GB"/>
        </w:rPr>
        <w:t xml:space="preserve"> (1995) </w:t>
      </w:r>
      <w:r w:rsidRPr="003E0BC2">
        <w:rPr>
          <w:rFonts w:eastAsia="Times New Roman" w:cstheme="minorHAnsi"/>
          <w:i/>
          <w:iCs/>
          <w:lang w:eastAsia="en-GB"/>
        </w:rPr>
        <w:t>Decision-Making Style: The Development and Assessment of a New Measure</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48" w:tgtFrame="_new" w:history="1">
        <w:r w:rsidRPr="003E0BC2">
          <w:rPr>
            <w:rFonts w:eastAsia="Times New Roman" w:cstheme="minorHAnsi"/>
            <w:color w:val="0000FF"/>
            <w:u w:val="single"/>
            <w:lang w:eastAsia="en-GB"/>
          </w:rPr>
          <w:t>https://doi.org/10.1177/0013164495055005017</w:t>
        </w:r>
      </w:hyperlink>
      <w:r w:rsidRPr="003E0BC2">
        <w:rPr>
          <w:rFonts w:eastAsia="Times New Roman" w:cstheme="minorHAnsi"/>
          <w:lang w:eastAsia="en-GB"/>
        </w:rPr>
        <w:t>.</w:t>
      </w:r>
    </w:p>
    <w:p w14:paraId="77BFCB22"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Sent, E.-M.</w:t>
      </w:r>
      <w:r w:rsidRPr="003E0BC2">
        <w:rPr>
          <w:rFonts w:eastAsia="Times New Roman" w:cstheme="minorHAnsi"/>
          <w:lang w:eastAsia="en-GB"/>
        </w:rPr>
        <w:t xml:space="preserve"> (2018) </w:t>
      </w:r>
      <w:r w:rsidRPr="003E0BC2">
        <w:rPr>
          <w:rFonts w:eastAsia="Times New Roman" w:cstheme="minorHAnsi"/>
          <w:i/>
          <w:iCs/>
          <w:lang w:eastAsia="en-GB"/>
        </w:rPr>
        <w:t>Rationality and Bounded Rationality: You Can’t Have One Without the Other</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49" w:tgtFrame="_new" w:history="1">
        <w:r w:rsidRPr="003E0BC2">
          <w:rPr>
            <w:rFonts w:eastAsia="Times New Roman" w:cstheme="minorHAnsi"/>
            <w:color w:val="0000FF"/>
            <w:u w:val="single"/>
            <w:lang w:eastAsia="en-GB"/>
          </w:rPr>
          <w:t>https://doi.org/10.1080/09672567.2018.1523206</w:t>
        </w:r>
      </w:hyperlink>
      <w:r w:rsidRPr="003E0BC2">
        <w:rPr>
          <w:rFonts w:eastAsia="Times New Roman" w:cstheme="minorHAnsi"/>
          <w:lang w:eastAsia="en-GB"/>
        </w:rPr>
        <w:t>.</w:t>
      </w:r>
    </w:p>
    <w:p w14:paraId="13E0E1BF" w14:textId="77777777" w:rsid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Shaw, A. et al.</w:t>
      </w:r>
      <w:r w:rsidRPr="003E0BC2">
        <w:rPr>
          <w:rFonts w:eastAsia="Times New Roman" w:cstheme="minorHAnsi"/>
          <w:lang w:eastAsia="en-GB"/>
        </w:rPr>
        <w:t xml:space="preserve"> (2019) </w:t>
      </w:r>
      <w:r w:rsidRPr="003E0BC2">
        <w:rPr>
          <w:rFonts w:eastAsia="Times New Roman" w:cstheme="minorHAnsi"/>
          <w:i/>
          <w:iCs/>
          <w:lang w:eastAsia="en-GB"/>
        </w:rPr>
        <w:t xml:space="preserve">Thinking Critically About Critical Thinking: Validating the Russian </w:t>
      </w:r>
      <w:proofErr w:type="spellStart"/>
      <w:r w:rsidRPr="003E0BC2">
        <w:rPr>
          <w:rFonts w:eastAsia="Times New Roman" w:cstheme="minorHAnsi"/>
          <w:i/>
          <w:iCs/>
          <w:lang w:eastAsia="en-GB"/>
        </w:rPr>
        <w:t>HEIghten</w:t>
      </w:r>
      <w:proofErr w:type="spellEnd"/>
      <w:r w:rsidRPr="003E0BC2">
        <w:rPr>
          <w:rFonts w:eastAsia="Times New Roman" w:cstheme="minorHAnsi"/>
          <w:i/>
          <w:iCs/>
          <w:lang w:eastAsia="en-GB"/>
        </w:rPr>
        <w:t>® Critical Thinking Assessment</w:t>
      </w:r>
      <w:r w:rsidRPr="003E0BC2">
        <w:rPr>
          <w:rFonts w:eastAsia="Times New Roman" w:cstheme="minorHAnsi"/>
          <w:lang w:eastAsia="en-GB"/>
        </w:rPr>
        <w:t xml:space="preserve">. </w:t>
      </w:r>
      <w:proofErr w:type="spellStart"/>
      <w:r w:rsidRPr="003E0BC2">
        <w:rPr>
          <w:rFonts w:eastAsia="Times New Roman" w:cstheme="minorHAnsi"/>
          <w:lang w:eastAsia="en-GB"/>
        </w:rPr>
        <w:t>doi</w:t>
      </w:r>
      <w:proofErr w:type="spellEnd"/>
      <w:r w:rsidRPr="003E0BC2">
        <w:rPr>
          <w:rFonts w:eastAsia="Times New Roman" w:cstheme="minorHAnsi"/>
          <w:lang w:eastAsia="en-GB"/>
        </w:rPr>
        <w:t xml:space="preserve">: </w:t>
      </w:r>
      <w:hyperlink r:id="rId50" w:tgtFrame="_new" w:history="1">
        <w:r w:rsidRPr="003E0BC2">
          <w:rPr>
            <w:rFonts w:eastAsia="Times New Roman" w:cstheme="minorHAnsi"/>
            <w:color w:val="0000FF"/>
            <w:u w:val="single"/>
            <w:lang w:eastAsia="en-GB"/>
          </w:rPr>
          <w:t>https://doi.org/10.1080/03075079.2019.1672640</w:t>
        </w:r>
      </w:hyperlink>
      <w:r w:rsidRPr="003E0BC2">
        <w:rPr>
          <w:rFonts w:eastAsia="Times New Roman" w:cstheme="minorHAnsi"/>
          <w:lang w:eastAsia="en-GB"/>
        </w:rPr>
        <w:t>.</w:t>
      </w:r>
    </w:p>
    <w:p w14:paraId="1B5BA5DC" w14:textId="0F2034E5" w:rsidR="00A50814" w:rsidRPr="00A50814" w:rsidRDefault="00A50814" w:rsidP="00A50814">
      <w:pPr>
        <w:pStyle w:val="ListParagraph"/>
        <w:numPr>
          <w:ilvl w:val="0"/>
          <w:numId w:val="2"/>
        </w:numPr>
        <w:spacing w:before="100" w:beforeAutospacing="1" w:after="100" w:afterAutospacing="1" w:line="240" w:lineRule="auto"/>
        <w:rPr>
          <w:rFonts w:eastAsia="Times New Roman" w:cstheme="minorHAnsi"/>
          <w:color w:val="FF0000"/>
          <w:lang w:eastAsia="en-GB"/>
        </w:rPr>
      </w:pPr>
      <w:proofErr w:type="spellStart"/>
      <w:r w:rsidRPr="006C3FC3">
        <w:rPr>
          <w:rFonts w:eastAsia="Times New Roman" w:cstheme="minorHAnsi"/>
          <w:color w:val="FF0000"/>
          <w:lang w:eastAsia="en-GB"/>
        </w:rPr>
        <w:t>Sihombing</w:t>
      </w:r>
      <w:proofErr w:type="spellEnd"/>
      <w:r w:rsidRPr="006C3FC3">
        <w:rPr>
          <w:rFonts w:eastAsia="Times New Roman" w:cstheme="minorHAnsi"/>
          <w:color w:val="FF0000"/>
          <w:lang w:eastAsia="en-GB"/>
        </w:rPr>
        <w:t xml:space="preserve">, Sarinah. Setiawati, </w:t>
      </w:r>
      <w:proofErr w:type="spellStart"/>
      <w:r w:rsidRPr="006C3FC3">
        <w:rPr>
          <w:rFonts w:eastAsia="Times New Roman" w:cstheme="minorHAnsi"/>
          <w:color w:val="FF0000"/>
          <w:lang w:eastAsia="en-GB"/>
        </w:rPr>
        <w:t>Aswanti</w:t>
      </w:r>
      <w:proofErr w:type="spellEnd"/>
      <w:r w:rsidRPr="006C3FC3">
        <w:rPr>
          <w:rFonts w:eastAsia="Times New Roman" w:cstheme="minorHAnsi"/>
          <w:color w:val="FF0000"/>
          <w:lang w:eastAsia="en-GB"/>
        </w:rPr>
        <w:t xml:space="preserve">. </w:t>
      </w:r>
      <w:proofErr w:type="spellStart"/>
      <w:r w:rsidRPr="006C3FC3">
        <w:rPr>
          <w:rFonts w:eastAsia="Times New Roman" w:cstheme="minorHAnsi"/>
          <w:color w:val="FF0000"/>
          <w:lang w:eastAsia="en-GB"/>
        </w:rPr>
        <w:t>Sitanggang</w:t>
      </w:r>
      <w:proofErr w:type="spellEnd"/>
      <w:r w:rsidRPr="006C3FC3">
        <w:rPr>
          <w:rFonts w:eastAsia="Times New Roman" w:cstheme="minorHAnsi"/>
          <w:color w:val="FF0000"/>
          <w:lang w:eastAsia="en-GB"/>
        </w:rPr>
        <w:t xml:space="preserve">, Rohana. and </w:t>
      </w:r>
      <w:proofErr w:type="spellStart"/>
      <w:r w:rsidRPr="006C3FC3">
        <w:rPr>
          <w:rFonts w:eastAsia="Times New Roman" w:cstheme="minorHAnsi"/>
          <w:color w:val="FF0000"/>
          <w:lang w:eastAsia="en-GB"/>
        </w:rPr>
        <w:t>Thabah</w:t>
      </w:r>
      <w:proofErr w:type="spellEnd"/>
      <w:r w:rsidRPr="006C3FC3">
        <w:rPr>
          <w:rFonts w:eastAsia="Times New Roman" w:cstheme="minorHAnsi"/>
          <w:color w:val="FF0000"/>
          <w:lang w:eastAsia="en-GB"/>
        </w:rPr>
        <w:t xml:space="preserve">, </w:t>
      </w:r>
      <w:proofErr w:type="spellStart"/>
      <w:r w:rsidRPr="006C3FC3">
        <w:rPr>
          <w:rFonts w:eastAsia="Times New Roman" w:cstheme="minorHAnsi"/>
          <w:color w:val="FF0000"/>
          <w:lang w:eastAsia="en-GB"/>
        </w:rPr>
        <w:t>Asep</w:t>
      </w:r>
      <w:proofErr w:type="spellEnd"/>
      <w:r w:rsidRPr="006C3FC3">
        <w:rPr>
          <w:rFonts w:eastAsia="Times New Roman" w:cstheme="minorHAnsi"/>
          <w:color w:val="FF0000"/>
          <w:lang w:eastAsia="en-GB"/>
        </w:rPr>
        <w:t xml:space="preserve"> Ali (2024). The Cost and Benefits of Employee Training: </w:t>
      </w:r>
      <w:proofErr w:type="spellStart"/>
      <w:r w:rsidRPr="006C3FC3">
        <w:rPr>
          <w:rFonts w:eastAsia="Times New Roman" w:cstheme="minorHAnsi"/>
          <w:color w:val="FF0000"/>
          <w:lang w:eastAsia="en-GB"/>
        </w:rPr>
        <w:t>Analyzing</w:t>
      </w:r>
      <w:proofErr w:type="spellEnd"/>
      <w:r w:rsidRPr="006C3FC3">
        <w:rPr>
          <w:rFonts w:eastAsia="Times New Roman" w:cstheme="minorHAnsi"/>
          <w:color w:val="FF0000"/>
          <w:lang w:eastAsia="en-GB"/>
        </w:rPr>
        <w:t xml:space="preserve"> ROI in Human Resources. </w:t>
      </w:r>
      <w:proofErr w:type="spellStart"/>
      <w:proofErr w:type="gramStart"/>
      <w:r w:rsidRPr="006C3FC3">
        <w:rPr>
          <w:rFonts w:eastAsia="Times New Roman" w:cstheme="minorHAnsi"/>
          <w:color w:val="FF0000"/>
          <w:lang w:eastAsia="en-GB"/>
        </w:rPr>
        <w:t>doi:https</w:t>
      </w:r>
      <w:proofErr w:type="spellEnd"/>
      <w:r w:rsidRPr="006C3FC3">
        <w:rPr>
          <w:rFonts w:eastAsia="Times New Roman" w:cstheme="minorHAnsi"/>
          <w:color w:val="FF0000"/>
          <w:lang w:eastAsia="en-GB"/>
        </w:rPr>
        <w:t>://doi.org/10.57178/atestasi.v7i2.881</w:t>
      </w:r>
      <w:proofErr w:type="gramEnd"/>
      <w:r w:rsidRPr="006C3FC3">
        <w:rPr>
          <w:rFonts w:eastAsia="Times New Roman" w:cstheme="minorHAnsi"/>
          <w:color w:val="FF0000"/>
          <w:lang w:eastAsia="en-GB"/>
        </w:rPr>
        <w:t>.</w:t>
      </w:r>
    </w:p>
    <w:p w14:paraId="354122BF" w14:textId="77777777" w:rsidR="003E0BC2" w:rsidRPr="003E0BC2" w:rsidRDefault="003E0BC2" w:rsidP="003E0BC2">
      <w:pPr>
        <w:pStyle w:val="ListParagraph"/>
        <w:numPr>
          <w:ilvl w:val="0"/>
          <w:numId w:val="2"/>
        </w:numPr>
        <w:spacing w:before="100" w:beforeAutospacing="1" w:after="100" w:afterAutospacing="1" w:line="240" w:lineRule="auto"/>
        <w:rPr>
          <w:rFonts w:eastAsia="Times New Roman" w:cstheme="minorHAnsi"/>
          <w:lang w:eastAsia="en-GB"/>
        </w:rPr>
      </w:pPr>
      <w:r w:rsidRPr="003E0BC2">
        <w:rPr>
          <w:rFonts w:eastAsia="Times New Roman" w:cstheme="minorHAnsi"/>
          <w:bCs/>
          <w:lang w:eastAsia="en-GB"/>
        </w:rPr>
        <w:t>Stobierski, T.</w:t>
      </w:r>
      <w:r w:rsidRPr="003E0BC2">
        <w:rPr>
          <w:rFonts w:eastAsia="Times New Roman" w:cstheme="minorHAnsi"/>
          <w:lang w:eastAsia="en-GB"/>
        </w:rPr>
        <w:t xml:space="preserve"> (2020) </w:t>
      </w:r>
      <w:r w:rsidRPr="003E0BC2">
        <w:rPr>
          <w:rFonts w:eastAsia="Times New Roman" w:cstheme="minorHAnsi"/>
          <w:i/>
          <w:iCs/>
          <w:lang w:eastAsia="en-GB"/>
        </w:rPr>
        <w:t>13 Financial Performance Measures Managers Should Monitor</w:t>
      </w:r>
      <w:r w:rsidRPr="003E0BC2">
        <w:rPr>
          <w:rFonts w:eastAsia="Times New Roman" w:cstheme="minorHAnsi"/>
          <w:lang w:eastAsia="en-GB"/>
        </w:rPr>
        <w:t xml:space="preserve">. Available at: </w:t>
      </w:r>
      <w:hyperlink r:id="rId51" w:tgtFrame="_new" w:history="1">
        <w:r w:rsidRPr="003E0BC2">
          <w:rPr>
            <w:rFonts w:eastAsia="Times New Roman" w:cstheme="minorHAnsi"/>
            <w:color w:val="0000FF"/>
            <w:u w:val="single"/>
            <w:lang w:eastAsia="en-GB"/>
          </w:rPr>
          <w:t>https://online.hbs.edu/blog/post/financial-performance-measures</w:t>
        </w:r>
      </w:hyperlink>
      <w:r w:rsidRPr="003E0BC2">
        <w:rPr>
          <w:rFonts w:eastAsia="Times New Roman" w:cstheme="minorHAnsi"/>
          <w:lang w:eastAsia="en-GB"/>
        </w:rPr>
        <w:t>.</w:t>
      </w:r>
    </w:p>
    <w:p w14:paraId="1EDEC25F" w14:textId="77777777" w:rsidR="004679DB" w:rsidRDefault="004679DB" w:rsidP="00AD1F4A">
      <w:pPr>
        <w:rPr>
          <w:lang w:eastAsia="en-GB"/>
        </w:rPr>
      </w:pPr>
    </w:p>
    <w:sectPr w:rsidR="00467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1D1"/>
    <w:multiLevelType w:val="multilevel"/>
    <w:tmpl w:val="62D03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FF6300"/>
    <w:multiLevelType w:val="hybridMultilevel"/>
    <w:tmpl w:val="14AC5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5749214">
    <w:abstractNumId w:val="0"/>
  </w:num>
  <w:num w:numId="2" w16cid:durableId="253436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5AE5"/>
    <w:rsid w:val="00035E68"/>
    <w:rsid w:val="00055AE5"/>
    <w:rsid w:val="00082F48"/>
    <w:rsid w:val="00092DFE"/>
    <w:rsid w:val="0009515B"/>
    <w:rsid w:val="000F11F6"/>
    <w:rsid w:val="001702DA"/>
    <w:rsid w:val="001B071D"/>
    <w:rsid w:val="001F16BB"/>
    <w:rsid w:val="002713ED"/>
    <w:rsid w:val="00291AC4"/>
    <w:rsid w:val="002D541C"/>
    <w:rsid w:val="00310FEA"/>
    <w:rsid w:val="0033398F"/>
    <w:rsid w:val="003D04E5"/>
    <w:rsid w:val="003E0BC2"/>
    <w:rsid w:val="00444BB7"/>
    <w:rsid w:val="00447FED"/>
    <w:rsid w:val="004679DB"/>
    <w:rsid w:val="00473FA5"/>
    <w:rsid w:val="00497CD4"/>
    <w:rsid w:val="004A3116"/>
    <w:rsid w:val="004C6C03"/>
    <w:rsid w:val="0053195E"/>
    <w:rsid w:val="00564FE5"/>
    <w:rsid w:val="005D0B41"/>
    <w:rsid w:val="005F6EC9"/>
    <w:rsid w:val="00621DA3"/>
    <w:rsid w:val="006A1A61"/>
    <w:rsid w:val="00803261"/>
    <w:rsid w:val="00844053"/>
    <w:rsid w:val="00880763"/>
    <w:rsid w:val="009205A7"/>
    <w:rsid w:val="009270CA"/>
    <w:rsid w:val="00992BFD"/>
    <w:rsid w:val="009D41F4"/>
    <w:rsid w:val="00A31906"/>
    <w:rsid w:val="00A45240"/>
    <w:rsid w:val="00A50814"/>
    <w:rsid w:val="00A85A87"/>
    <w:rsid w:val="00AA7F7A"/>
    <w:rsid w:val="00AD1F4A"/>
    <w:rsid w:val="00BA5E90"/>
    <w:rsid w:val="00C329A8"/>
    <w:rsid w:val="00C47728"/>
    <w:rsid w:val="00C90787"/>
    <w:rsid w:val="00D204D8"/>
    <w:rsid w:val="00D207FB"/>
    <w:rsid w:val="00E117D4"/>
    <w:rsid w:val="00E34E15"/>
    <w:rsid w:val="00FA4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F293"/>
  <w15:docId w15:val="{3B8A06F6-ADB5-464D-BEEB-36BD28B43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B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5A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D41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1F4"/>
    <w:rPr>
      <w:rFonts w:ascii="Tahoma" w:hAnsi="Tahoma" w:cs="Tahoma"/>
      <w:sz w:val="16"/>
      <w:szCs w:val="16"/>
    </w:rPr>
  </w:style>
  <w:style w:type="table" w:styleId="TableGrid">
    <w:name w:val="Table Grid"/>
    <w:basedOn w:val="TableNormal"/>
    <w:uiPriority w:val="59"/>
    <w:rsid w:val="00992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92BFD"/>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2D541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D541C"/>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2D541C"/>
    <w:rPr>
      <w:i/>
      <w:iCs/>
      <w:color w:val="808080" w:themeColor="text1" w:themeTint="7F"/>
    </w:rPr>
  </w:style>
  <w:style w:type="character" w:styleId="Emphasis">
    <w:name w:val="Emphasis"/>
    <w:basedOn w:val="DefaultParagraphFont"/>
    <w:uiPriority w:val="20"/>
    <w:qFormat/>
    <w:rsid w:val="002D541C"/>
    <w:rPr>
      <w:i/>
      <w:iCs/>
    </w:rPr>
  </w:style>
  <w:style w:type="character" w:styleId="BookTitle">
    <w:name w:val="Book Title"/>
    <w:basedOn w:val="DefaultParagraphFont"/>
    <w:uiPriority w:val="33"/>
    <w:qFormat/>
    <w:rsid w:val="002D541C"/>
    <w:rPr>
      <w:b/>
      <w:bCs/>
      <w:smallCaps/>
      <w:spacing w:val="5"/>
    </w:rPr>
  </w:style>
  <w:style w:type="paragraph" w:styleId="ListParagraph">
    <w:name w:val="List Paragraph"/>
    <w:basedOn w:val="Normal"/>
    <w:uiPriority w:val="34"/>
    <w:qFormat/>
    <w:rsid w:val="002D541C"/>
    <w:pPr>
      <w:ind w:left="720"/>
      <w:contextualSpacing/>
    </w:pPr>
  </w:style>
  <w:style w:type="character" w:styleId="Strong">
    <w:name w:val="Strong"/>
    <w:basedOn w:val="DefaultParagraphFont"/>
    <w:uiPriority w:val="22"/>
    <w:qFormat/>
    <w:rsid w:val="003E0BC2"/>
    <w:rPr>
      <w:b/>
      <w:bCs/>
    </w:rPr>
  </w:style>
  <w:style w:type="character" w:styleId="Hyperlink">
    <w:name w:val="Hyperlink"/>
    <w:basedOn w:val="DefaultParagraphFont"/>
    <w:uiPriority w:val="99"/>
    <w:semiHidden/>
    <w:unhideWhenUsed/>
    <w:rsid w:val="003E0B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2619">
      <w:bodyDiv w:val="1"/>
      <w:marLeft w:val="0"/>
      <w:marRight w:val="0"/>
      <w:marTop w:val="0"/>
      <w:marBottom w:val="0"/>
      <w:divBdr>
        <w:top w:val="none" w:sz="0" w:space="0" w:color="auto"/>
        <w:left w:val="none" w:sz="0" w:space="0" w:color="auto"/>
        <w:bottom w:val="none" w:sz="0" w:space="0" w:color="auto"/>
        <w:right w:val="none" w:sz="0" w:space="0" w:color="auto"/>
      </w:divBdr>
    </w:div>
    <w:div w:id="85539429">
      <w:bodyDiv w:val="1"/>
      <w:marLeft w:val="0"/>
      <w:marRight w:val="0"/>
      <w:marTop w:val="0"/>
      <w:marBottom w:val="0"/>
      <w:divBdr>
        <w:top w:val="none" w:sz="0" w:space="0" w:color="auto"/>
        <w:left w:val="none" w:sz="0" w:space="0" w:color="auto"/>
        <w:bottom w:val="none" w:sz="0" w:space="0" w:color="auto"/>
        <w:right w:val="none" w:sz="0" w:space="0" w:color="auto"/>
      </w:divBdr>
    </w:div>
    <w:div w:id="422344166">
      <w:bodyDiv w:val="1"/>
      <w:marLeft w:val="0"/>
      <w:marRight w:val="0"/>
      <w:marTop w:val="0"/>
      <w:marBottom w:val="0"/>
      <w:divBdr>
        <w:top w:val="none" w:sz="0" w:space="0" w:color="auto"/>
        <w:left w:val="none" w:sz="0" w:space="0" w:color="auto"/>
        <w:bottom w:val="none" w:sz="0" w:space="0" w:color="auto"/>
        <w:right w:val="none" w:sz="0" w:space="0" w:color="auto"/>
      </w:divBdr>
    </w:div>
    <w:div w:id="465121235">
      <w:bodyDiv w:val="1"/>
      <w:marLeft w:val="0"/>
      <w:marRight w:val="0"/>
      <w:marTop w:val="0"/>
      <w:marBottom w:val="0"/>
      <w:divBdr>
        <w:top w:val="none" w:sz="0" w:space="0" w:color="auto"/>
        <w:left w:val="none" w:sz="0" w:space="0" w:color="auto"/>
        <w:bottom w:val="none" w:sz="0" w:space="0" w:color="auto"/>
        <w:right w:val="none" w:sz="0" w:space="0" w:color="auto"/>
      </w:divBdr>
    </w:div>
    <w:div w:id="551884659">
      <w:bodyDiv w:val="1"/>
      <w:marLeft w:val="0"/>
      <w:marRight w:val="0"/>
      <w:marTop w:val="0"/>
      <w:marBottom w:val="0"/>
      <w:divBdr>
        <w:top w:val="none" w:sz="0" w:space="0" w:color="auto"/>
        <w:left w:val="none" w:sz="0" w:space="0" w:color="auto"/>
        <w:bottom w:val="none" w:sz="0" w:space="0" w:color="auto"/>
        <w:right w:val="none" w:sz="0" w:space="0" w:color="auto"/>
      </w:divBdr>
    </w:div>
    <w:div w:id="636766157">
      <w:bodyDiv w:val="1"/>
      <w:marLeft w:val="0"/>
      <w:marRight w:val="0"/>
      <w:marTop w:val="0"/>
      <w:marBottom w:val="0"/>
      <w:divBdr>
        <w:top w:val="none" w:sz="0" w:space="0" w:color="auto"/>
        <w:left w:val="none" w:sz="0" w:space="0" w:color="auto"/>
        <w:bottom w:val="none" w:sz="0" w:space="0" w:color="auto"/>
        <w:right w:val="none" w:sz="0" w:space="0" w:color="auto"/>
      </w:divBdr>
    </w:div>
    <w:div w:id="673187571">
      <w:bodyDiv w:val="1"/>
      <w:marLeft w:val="0"/>
      <w:marRight w:val="0"/>
      <w:marTop w:val="0"/>
      <w:marBottom w:val="0"/>
      <w:divBdr>
        <w:top w:val="none" w:sz="0" w:space="0" w:color="auto"/>
        <w:left w:val="none" w:sz="0" w:space="0" w:color="auto"/>
        <w:bottom w:val="none" w:sz="0" w:space="0" w:color="auto"/>
        <w:right w:val="none" w:sz="0" w:space="0" w:color="auto"/>
      </w:divBdr>
    </w:div>
    <w:div w:id="689373374">
      <w:bodyDiv w:val="1"/>
      <w:marLeft w:val="0"/>
      <w:marRight w:val="0"/>
      <w:marTop w:val="0"/>
      <w:marBottom w:val="0"/>
      <w:divBdr>
        <w:top w:val="none" w:sz="0" w:space="0" w:color="auto"/>
        <w:left w:val="none" w:sz="0" w:space="0" w:color="auto"/>
        <w:bottom w:val="none" w:sz="0" w:space="0" w:color="auto"/>
        <w:right w:val="none" w:sz="0" w:space="0" w:color="auto"/>
      </w:divBdr>
    </w:div>
    <w:div w:id="705985234">
      <w:bodyDiv w:val="1"/>
      <w:marLeft w:val="0"/>
      <w:marRight w:val="0"/>
      <w:marTop w:val="0"/>
      <w:marBottom w:val="0"/>
      <w:divBdr>
        <w:top w:val="none" w:sz="0" w:space="0" w:color="auto"/>
        <w:left w:val="none" w:sz="0" w:space="0" w:color="auto"/>
        <w:bottom w:val="none" w:sz="0" w:space="0" w:color="auto"/>
        <w:right w:val="none" w:sz="0" w:space="0" w:color="auto"/>
      </w:divBdr>
    </w:div>
    <w:div w:id="840202116">
      <w:bodyDiv w:val="1"/>
      <w:marLeft w:val="0"/>
      <w:marRight w:val="0"/>
      <w:marTop w:val="0"/>
      <w:marBottom w:val="0"/>
      <w:divBdr>
        <w:top w:val="none" w:sz="0" w:space="0" w:color="auto"/>
        <w:left w:val="none" w:sz="0" w:space="0" w:color="auto"/>
        <w:bottom w:val="none" w:sz="0" w:space="0" w:color="auto"/>
        <w:right w:val="none" w:sz="0" w:space="0" w:color="auto"/>
      </w:divBdr>
    </w:div>
    <w:div w:id="943852041">
      <w:bodyDiv w:val="1"/>
      <w:marLeft w:val="0"/>
      <w:marRight w:val="0"/>
      <w:marTop w:val="0"/>
      <w:marBottom w:val="0"/>
      <w:divBdr>
        <w:top w:val="none" w:sz="0" w:space="0" w:color="auto"/>
        <w:left w:val="none" w:sz="0" w:space="0" w:color="auto"/>
        <w:bottom w:val="none" w:sz="0" w:space="0" w:color="auto"/>
        <w:right w:val="none" w:sz="0" w:space="0" w:color="auto"/>
      </w:divBdr>
    </w:div>
    <w:div w:id="944193945">
      <w:bodyDiv w:val="1"/>
      <w:marLeft w:val="0"/>
      <w:marRight w:val="0"/>
      <w:marTop w:val="0"/>
      <w:marBottom w:val="0"/>
      <w:divBdr>
        <w:top w:val="none" w:sz="0" w:space="0" w:color="auto"/>
        <w:left w:val="none" w:sz="0" w:space="0" w:color="auto"/>
        <w:bottom w:val="none" w:sz="0" w:space="0" w:color="auto"/>
        <w:right w:val="none" w:sz="0" w:space="0" w:color="auto"/>
      </w:divBdr>
    </w:div>
    <w:div w:id="1345596152">
      <w:bodyDiv w:val="1"/>
      <w:marLeft w:val="0"/>
      <w:marRight w:val="0"/>
      <w:marTop w:val="0"/>
      <w:marBottom w:val="0"/>
      <w:divBdr>
        <w:top w:val="none" w:sz="0" w:space="0" w:color="auto"/>
        <w:left w:val="none" w:sz="0" w:space="0" w:color="auto"/>
        <w:bottom w:val="none" w:sz="0" w:space="0" w:color="auto"/>
        <w:right w:val="none" w:sz="0" w:space="0" w:color="auto"/>
      </w:divBdr>
    </w:div>
    <w:div w:id="1371228926">
      <w:bodyDiv w:val="1"/>
      <w:marLeft w:val="0"/>
      <w:marRight w:val="0"/>
      <w:marTop w:val="0"/>
      <w:marBottom w:val="0"/>
      <w:divBdr>
        <w:top w:val="none" w:sz="0" w:space="0" w:color="auto"/>
        <w:left w:val="none" w:sz="0" w:space="0" w:color="auto"/>
        <w:bottom w:val="none" w:sz="0" w:space="0" w:color="auto"/>
        <w:right w:val="none" w:sz="0" w:space="0" w:color="auto"/>
      </w:divBdr>
    </w:div>
    <w:div w:id="1425303512">
      <w:bodyDiv w:val="1"/>
      <w:marLeft w:val="0"/>
      <w:marRight w:val="0"/>
      <w:marTop w:val="0"/>
      <w:marBottom w:val="0"/>
      <w:divBdr>
        <w:top w:val="none" w:sz="0" w:space="0" w:color="auto"/>
        <w:left w:val="none" w:sz="0" w:space="0" w:color="auto"/>
        <w:bottom w:val="none" w:sz="0" w:space="0" w:color="auto"/>
        <w:right w:val="none" w:sz="0" w:space="0" w:color="auto"/>
      </w:divBdr>
    </w:div>
    <w:div w:id="1441605516">
      <w:bodyDiv w:val="1"/>
      <w:marLeft w:val="0"/>
      <w:marRight w:val="0"/>
      <w:marTop w:val="0"/>
      <w:marBottom w:val="0"/>
      <w:divBdr>
        <w:top w:val="none" w:sz="0" w:space="0" w:color="auto"/>
        <w:left w:val="none" w:sz="0" w:space="0" w:color="auto"/>
        <w:bottom w:val="none" w:sz="0" w:space="0" w:color="auto"/>
        <w:right w:val="none" w:sz="0" w:space="0" w:color="auto"/>
      </w:divBdr>
    </w:div>
    <w:div w:id="1449811637">
      <w:bodyDiv w:val="1"/>
      <w:marLeft w:val="0"/>
      <w:marRight w:val="0"/>
      <w:marTop w:val="0"/>
      <w:marBottom w:val="0"/>
      <w:divBdr>
        <w:top w:val="none" w:sz="0" w:space="0" w:color="auto"/>
        <w:left w:val="none" w:sz="0" w:space="0" w:color="auto"/>
        <w:bottom w:val="none" w:sz="0" w:space="0" w:color="auto"/>
        <w:right w:val="none" w:sz="0" w:space="0" w:color="auto"/>
      </w:divBdr>
    </w:div>
    <w:div w:id="1576161912">
      <w:bodyDiv w:val="1"/>
      <w:marLeft w:val="0"/>
      <w:marRight w:val="0"/>
      <w:marTop w:val="0"/>
      <w:marBottom w:val="0"/>
      <w:divBdr>
        <w:top w:val="none" w:sz="0" w:space="0" w:color="auto"/>
        <w:left w:val="none" w:sz="0" w:space="0" w:color="auto"/>
        <w:bottom w:val="none" w:sz="0" w:space="0" w:color="auto"/>
        <w:right w:val="none" w:sz="0" w:space="0" w:color="auto"/>
      </w:divBdr>
    </w:div>
    <w:div w:id="1584873137">
      <w:bodyDiv w:val="1"/>
      <w:marLeft w:val="0"/>
      <w:marRight w:val="0"/>
      <w:marTop w:val="0"/>
      <w:marBottom w:val="0"/>
      <w:divBdr>
        <w:top w:val="none" w:sz="0" w:space="0" w:color="auto"/>
        <w:left w:val="none" w:sz="0" w:space="0" w:color="auto"/>
        <w:bottom w:val="none" w:sz="0" w:space="0" w:color="auto"/>
        <w:right w:val="none" w:sz="0" w:space="0" w:color="auto"/>
      </w:divBdr>
    </w:div>
    <w:div w:id="1729452341">
      <w:bodyDiv w:val="1"/>
      <w:marLeft w:val="0"/>
      <w:marRight w:val="0"/>
      <w:marTop w:val="0"/>
      <w:marBottom w:val="0"/>
      <w:divBdr>
        <w:top w:val="none" w:sz="0" w:space="0" w:color="auto"/>
        <w:left w:val="none" w:sz="0" w:space="0" w:color="auto"/>
        <w:bottom w:val="none" w:sz="0" w:space="0" w:color="auto"/>
        <w:right w:val="none" w:sz="0" w:space="0" w:color="auto"/>
      </w:divBdr>
    </w:div>
    <w:div w:id="1929581487">
      <w:bodyDiv w:val="1"/>
      <w:marLeft w:val="0"/>
      <w:marRight w:val="0"/>
      <w:marTop w:val="0"/>
      <w:marBottom w:val="0"/>
      <w:divBdr>
        <w:top w:val="none" w:sz="0" w:space="0" w:color="auto"/>
        <w:left w:val="none" w:sz="0" w:space="0" w:color="auto"/>
        <w:bottom w:val="none" w:sz="0" w:space="0" w:color="auto"/>
        <w:right w:val="none" w:sz="0" w:space="0" w:color="auto"/>
      </w:divBdr>
    </w:div>
    <w:div w:id="1971205516">
      <w:bodyDiv w:val="1"/>
      <w:marLeft w:val="0"/>
      <w:marRight w:val="0"/>
      <w:marTop w:val="0"/>
      <w:marBottom w:val="0"/>
      <w:divBdr>
        <w:top w:val="none" w:sz="0" w:space="0" w:color="auto"/>
        <w:left w:val="none" w:sz="0" w:space="0" w:color="auto"/>
        <w:bottom w:val="none" w:sz="0" w:space="0" w:color="auto"/>
        <w:right w:val="none" w:sz="0" w:space="0" w:color="auto"/>
      </w:divBdr>
    </w:div>
    <w:div w:id="2014255382">
      <w:bodyDiv w:val="1"/>
      <w:marLeft w:val="0"/>
      <w:marRight w:val="0"/>
      <w:marTop w:val="0"/>
      <w:marBottom w:val="0"/>
      <w:divBdr>
        <w:top w:val="none" w:sz="0" w:space="0" w:color="auto"/>
        <w:left w:val="none" w:sz="0" w:space="0" w:color="auto"/>
        <w:bottom w:val="none" w:sz="0" w:space="0" w:color="auto"/>
        <w:right w:val="none" w:sz="0" w:space="0" w:color="auto"/>
      </w:divBdr>
    </w:div>
    <w:div w:id="2033147905">
      <w:bodyDiv w:val="1"/>
      <w:marLeft w:val="0"/>
      <w:marRight w:val="0"/>
      <w:marTop w:val="0"/>
      <w:marBottom w:val="0"/>
      <w:divBdr>
        <w:top w:val="none" w:sz="0" w:space="0" w:color="auto"/>
        <w:left w:val="none" w:sz="0" w:space="0" w:color="auto"/>
        <w:bottom w:val="none" w:sz="0" w:space="0" w:color="auto"/>
        <w:right w:val="none" w:sz="0" w:space="0" w:color="auto"/>
      </w:divBdr>
    </w:div>
    <w:div w:id="2062358672">
      <w:bodyDiv w:val="1"/>
      <w:marLeft w:val="0"/>
      <w:marRight w:val="0"/>
      <w:marTop w:val="0"/>
      <w:marBottom w:val="0"/>
      <w:divBdr>
        <w:top w:val="none" w:sz="0" w:space="0" w:color="auto"/>
        <w:left w:val="none" w:sz="0" w:space="0" w:color="auto"/>
        <w:bottom w:val="none" w:sz="0" w:space="0" w:color="auto"/>
        <w:right w:val="none" w:sz="0" w:space="0" w:color="auto"/>
      </w:divBdr>
    </w:div>
    <w:div w:id="213621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9" Type="http://schemas.openxmlformats.org/officeDocument/2006/relationships/hyperlink" Target="https://doi.org/10.1108/dlo-05-2017-0045" TargetMode="External"/><Relationship Id="rId21" Type="http://schemas.openxmlformats.org/officeDocument/2006/relationships/chart" Target="charts/chart15.xml"/><Relationship Id="rId34" Type="http://schemas.openxmlformats.org/officeDocument/2006/relationships/hyperlink" Target="https://doi.org/10.1002/(SICI)1099-050X(199821)37:1%3C31::AID-HRM4%3E3.0.CO;2-W" TargetMode="External"/><Relationship Id="rId42" Type="http://schemas.openxmlformats.org/officeDocument/2006/relationships/hyperlink" Target="https://citeseerx.ist.psu.edu/document?repid=rep1&amp;type=pdf&amp;doi=b42cffa5a2ad63a31fcf99869e7cb8ef72b44374" TargetMode="External"/><Relationship Id="rId47" Type="http://schemas.openxmlformats.org/officeDocument/2006/relationships/hyperlink" Target="https://doi.org/10.1111/j.1748-8583.2011.00173.x" TargetMode="External"/><Relationship Id="rId50" Type="http://schemas.openxmlformats.org/officeDocument/2006/relationships/hyperlink" Target="https://doi.org/10.1080/03075079.2019.1672640" TargetMode="Externa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chart" Target="charts/chart10.xml"/><Relationship Id="rId29" Type="http://schemas.openxmlformats.org/officeDocument/2006/relationships/chart" Target="charts/chart23.xml"/><Relationship Id="rId11" Type="http://schemas.openxmlformats.org/officeDocument/2006/relationships/chart" Target="charts/chart5.xml"/><Relationship Id="rId24" Type="http://schemas.openxmlformats.org/officeDocument/2006/relationships/chart" Target="charts/chart18.xml"/><Relationship Id="rId32" Type="http://schemas.openxmlformats.org/officeDocument/2006/relationships/hyperlink" Target="https://doi.org/10.4324/9781351050074" TargetMode="External"/><Relationship Id="rId37" Type="http://schemas.openxmlformats.org/officeDocument/2006/relationships/hyperlink" Target="https://www.cipd.org/uk/knowledge/guides/employee-voice-individuals-guide/" TargetMode="External"/><Relationship Id="rId40" Type="http://schemas.openxmlformats.org/officeDocument/2006/relationships/hyperlink" Target="https://www.consulentiaziendaliditalia.it/wp-content/uploads/2020/04/Human_resource_costing_and_accounting_ve.pdf" TargetMode="External"/><Relationship Id="rId45" Type="http://schemas.openxmlformats.org/officeDocument/2006/relationships/hyperlink" Target="https://doi.org/10.2307/41166020" TargetMode="External"/><Relationship Id="rId53"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hyperlink" Target="https://doi.org/10.1007/s10551-006-9247-6" TargetMode="External"/><Relationship Id="rId44" Type="http://schemas.openxmlformats.org/officeDocument/2006/relationships/hyperlink" Target="https://www.linkedin.com/pulse/understanding-profit-margin-marcin-majka-gk4j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hyperlink" Target="https://easychair.org/publications/preprint/Ccwr/open" TargetMode="External"/><Relationship Id="rId35" Type="http://schemas.openxmlformats.org/officeDocument/2006/relationships/hyperlink" Target="https://www.bbc.co.uk/bitesize/guides/zcjhfcw/revision/11" TargetMode="External"/><Relationship Id="rId43" Type="http://schemas.openxmlformats.org/officeDocument/2006/relationships/hyperlink" Target="https://journals.sagepub.com/doi/abs/10.1177/0886368712462331" TargetMode="External"/><Relationship Id="rId48" Type="http://schemas.openxmlformats.org/officeDocument/2006/relationships/hyperlink" Target="https://doi.org/10.1177/0013164495055005017" TargetMode="External"/><Relationship Id="rId8" Type="http://schemas.openxmlformats.org/officeDocument/2006/relationships/chart" Target="charts/chart2.xml"/><Relationship Id="rId51" Type="http://schemas.openxmlformats.org/officeDocument/2006/relationships/hyperlink" Target="https://online.hbs.edu/blog/post/financial-performance-measures" TargetMode="External"/><Relationship Id="rId3" Type="http://schemas.openxmlformats.org/officeDocument/2006/relationships/settings" Target="settings.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33" Type="http://schemas.openxmlformats.org/officeDocument/2006/relationships/hyperlink" Target="https://cebma.org/assets/Uploads/Evidence-Based-Practice-The-Basic-Principles.pdf" TargetMode="External"/><Relationship Id="rId38" Type="http://schemas.openxmlformats.org/officeDocument/2006/relationships/hyperlink" Target="https://doi.org/10.4225/03/59377a0083960" TargetMode="External"/><Relationship Id="rId46" Type="http://schemas.openxmlformats.org/officeDocument/2006/relationships/hyperlink" Target="https://doi.org/10.1080/09585192.2013.763843" TargetMode="External"/><Relationship Id="rId20" Type="http://schemas.openxmlformats.org/officeDocument/2006/relationships/chart" Target="charts/chart14.xml"/><Relationship Id="rId41" Type="http://schemas.openxmlformats.org/officeDocument/2006/relationships/hyperlink" Target="https://doi.org/10.4236/ce.2015.63037"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36" Type="http://schemas.openxmlformats.org/officeDocument/2006/relationships/hyperlink" Target="https://www.cipd.org/globalassets/media/knowledge/knowledge-hub/reports/ethical-decision-making-2015-eight-perspectives-on-workplace-dilemmas_tcm18-9564.pdf" TargetMode="External"/><Relationship Id="rId49" Type="http://schemas.openxmlformats.org/officeDocument/2006/relationships/hyperlink" Target="https://doi.org/10.1080/09672567.2018.1523206"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Z:\Lowri\Documents\sily%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Z:\Lowri\Documents\sily%20exc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Z:\Lowri\Documents\sily%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Z:\Lowri\Documents\sily%20excel.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1" Type="http://schemas.openxmlformats.org/officeDocument/2006/relationships/oleObject" Target="file:///Z:\Lowri\Documents\sily%20excel.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Z:\Lowri\Documents\sily%20excel.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2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pieChart>
        <c:varyColors val="1"/>
        <c:ser>
          <c:idx val="0"/>
          <c:order val="0"/>
          <c:tx>
            <c:strRef>
              <c:f>Sheet1!$S$3</c:f>
              <c:strCache>
                <c:ptCount val="1"/>
                <c:pt idx="0">
                  <c:v>First Quarter</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Sheet1!$R$4:$R$8</c:f>
              <c:strCache>
                <c:ptCount val="5"/>
                <c:pt idx="0">
                  <c:v>Outstanding</c:v>
                </c:pt>
                <c:pt idx="1">
                  <c:v>Meets set Individual KPI's </c:v>
                </c:pt>
                <c:pt idx="2">
                  <c:v>Not quite there</c:v>
                </c:pt>
                <c:pt idx="3">
                  <c:v>Under performing</c:v>
                </c:pt>
                <c:pt idx="4">
                  <c:v>Absent</c:v>
                </c:pt>
              </c:strCache>
            </c:strRef>
          </c:cat>
          <c:val>
            <c:numRef>
              <c:f>Sheet1!$S$4:$S$8</c:f>
              <c:numCache>
                <c:formatCode>General</c:formatCode>
                <c:ptCount val="5"/>
                <c:pt idx="0">
                  <c:v>2</c:v>
                </c:pt>
                <c:pt idx="1">
                  <c:v>2</c:v>
                </c:pt>
                <c:pt idx="2">
                  <c:v>3</c:v>
                </c:pt>
                <c:pt idx="3">
                  <c:v>3</c:v>
                </c:pt>
                <c:pt idx="4">
                  <c:v>1</c:v>
                </c:pt>
              </c:numCache>
            </c:numRef>
          </c:val>
          <c:extLst>
            <c:ext xmlns:c16="http://schemas.microsoft.com/office/drawing/2014/chart" uri="{C3380CC4-5D6E-409C-BE32-E72D297353CC}">
              <c16:uniqueId val="{00000000-8C6B-47C1-90BF-153D946C0CB8}"/>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pieChart>
        <c:varyColors val="1"/>
        <c:ser>
          <c:idx val="0"/>
          <c:order val="0"/>
          <c:tx>
            <c:strRef>
              <c:f>Sheet1!$W$3</c:f>
              <c:strCache>
                <c:ptCount val="1"/>
                <c:pt idx="0">
                  <c:v>Second Quarter</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Sheet1!$V$4:$V$8</c:f>
              <c:strCache>
                <c:ptCount val="5"/>
                <c:pt idx="0">
                  <c:v>Outstanding</c:v>
                </c:pt>
                <c:pt idx="1">
                  <c:v>Meets set Individual KPI's </c:v>
                </c:pt>
                <c:pt idx="2">
                  <c:v>Not quite there</c:v>
                </c:pt>
                <c:pt idx="3">
                  <c:v>Under performing</c:v>
                </c:pt>
                <c:pt idx="4">
                  <c:v>Absent</c:v>
                </c:pt>
              </c:strCache>
            </c:strRef>
          </c:cat>
          <c:val>
            <c:numRef>
              <c:f>Sheet1!$W$4:$W$8</c:f>
              <c:numCache>
                <c:formatCode>General</c:formatCode>
                <c:ptCount val="5"/>
                <c:pt idx="0">
                  <c:v>1</c:v>
                </c:pt>
                <c:pt idx="1">
                  <c:v>4</c:v>
                </c:pt>
                <c:pt idx="2">
                  <c:v>4</c:v>
                </c:pt>
                <c:pt idx="3">
                  <c:v>1</c:v>
                </c:pt>
                <c:pt idx="4">
                  <c:v>0</c:v>
                </c:pt>
              </c:numCache>
            </c:numRef>
          </c:val>
          <c:extLst>
            <c:ext xmlns:c16="http://schemas.microsoft.com/office/drawing/2014/chart" uri="{C3380CC4-5D6E-409C-BE32-E72D297353CC}">
              <c16:uniqueId val="{00000000-6B2B-49E5-A4AA-8BB9299BE775}"/>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a:t>First Quarter</a:t>
            </a:r>
          </a:p>
        </c:rich>
      </c:tx>
      <c:overlay val="0"/>
    </c:title>
    <c:autoTitleDeleted val="0"/>
    <c:plotArea>
      <c:layout/>
      <c:barChart>
        <c:barDir val="col"/>
        <c:grouping val="clustered"/>
        <c:varyColors val="0"/>
        <c:ser>
          <c:idx val="1"/>
          <c:order val="0"/>
          <c:tx>
            <c:strRef>
              <c:f>Sheet1!$T$11</c:f>
              <c:strCache>
                <c:ptCount val="1"/>
                <c:pt idx="0">
                  <c:v>Percentage</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Sheet1!$R$12:$R$16</c:f>
              <c:strCache>
                <c:ptCount val="5"/>
                <c:pt idx="0">
                  <c:v>Outstanding</c:v>
                </c:pt>
                <c:pt idx="1">
                  <c:v>Meets set Individual KPI's </c:v>
                </c:pt>
                <c:pt idx="2">
                  <c:v>Not quite there</c:v>
                </c:pt>
                <c:pt idx="3">
                  <c:v>Under performing</c:v>
                </c:pt>
                <c:pt idx="4">
                  <c:v>Absent</c:v>
                </c:pt>
              </c:strCache>
            </c:strRef>
          </c:cat>
          <c:val>
            <c:numRef>
              <c:f>Sheet1!$T$12:$T$16</c:f>
              <c:numCache>
                <c:formatCode>0%</c:formatCode>
                <c:ptCount val="5"/>
                <c:pt idx="0">
                  <c:v>0</c:v>
                </c:pt>
                <c:pt idx="1">
                  <c:v>1</c:v>
                </c:pt>
                <c:pt idx="2">
                  <c:v>0</c:v>
                </c:pt>
                <c:pt idx="3">
                  <c:v>0</c:v>
                </c:pt>
                <c:pt idx="4">
                  <c:v>0</c:v>
                </c:pt>
              </c:numCache>
            </c:numRef>
          </c:val>
          <c:extLst>
            <c:ext xmlns:c16="http://schemas.microsoft.com/office/drawing/2014/chart" uri="{C3380CC4-5D6E-409C-BE32-E72D297353CC}">
              <c16:uniqueId val="{00000000-2138-4BFF-BD7D-D896398F3AAD}"/>
            </c:ext>
          </c:extLst>
        </c:ser>
        <c:dLbls>
          <c:showLegendKey val="0"/>
          <c:showVal val="0"/>
          <c:showCatName val="0"/>
          <c:showSerName val="0"/>
          <c:showPercent val="0"/>
          <c:showBubbleSize val="0"/>
        </c:dLbls>
        <c:gapWidth val="75"/>
        <c:overlap val="40"/>
        <c:axId val="618748160"/>
        <c:axId val="618769792"/>
      </c:barChart>
      <c:catAx>
        <c:axId val="618748160"/>
        <c:scaling>
          <c:orientation val="minMax"/>
        </c:scaling>
        <c:delete val="0"/>
        <c:axPos val="b"/>
        <c:numFmt formatCode="General" sourceLinked="0"/>
        <c:majorTickMark val="none"/>
        <c:minorTickMark val="none"/>
        <c:tickLblPos val="nextTo"/>
        <c:crossAx val="618769792"/>
        <c:crosses val="autoZero"/>
        <c:auto val="1"/>
        <c:lblAlgn val="ctr"/>
        <c:lblOffset val="100"/>
        <c:noMultiLvlLbl val="0"/>
      </c:catAx>
      <c:valAx>
        <c:axId val="618769792"/>
        <c:scaling>
          <c:orientation val="minMax"/>
          <c:max val="1"/>
        </c:scaling>
        <c:delete val="0"/>
        <c:axPos val="l"/>
        <c:majorGridlines/>
        <c:numFmt formatCode="0%" sourceLinked="1"/>
        <c:majorTickMark val="none"/>
        <c:minorTickMark val="none"/>
        <c:tickLblPos val="nextTo"/>
        <c:crossAx val="61874816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a:pPr>
            <a:r>
              <a:rPr lang="en-GB"/>
              <a:t>Second Quarter </a:t>
            </a:r>
          </a:p>
        </c:rich>
      </c:tx>
      <c:overlay val="0"/>
    </c:title>
    <c:autoTitleDeleted val="0"/>
    <c:plotArea>
      <c:layout/>
      <c:barChart>
        <c:barDir val="col"/>
        <c:grouping val="clustered"/>
        <c:varyColors val="0"/>
        <c:ser>
          <c:idx val="1"/>
          <c:order val="0"/>
          <c:tx>
            <c:strRef>
              <c:f>Sheet1!$X$11</c:f>
              <c:strCache>
                <c:ptCount val="1"/>
                <c:pt idx="0">
                  <c:v>Percentage </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Sheet1!$V$12:$V$16</c:f>
              <c:strCache>
                <c:ptCount val="5"/>
                <c:pt idx="0">
                  <c:v>Outstanding</c:v>
                </c:pt>
                <c:pt idx="1">
                  <c:v>Meets set Individual KPI's </c:v>
                </c:pt>
                <c:pt idx="2">
                  <c:v>Not quite there</c:v>
                </c:pt>
                <c:pt idx="3">
                  <c:v>Under performing</c:v>
                </c:pt>
                <c:pt idx="4">
                  <c:v>Absent</c:v>
                </c:pt>
              </c:strCache>
            </c:strRef>
          </c:cat>
          <c:val>
            <c:numRef>
              <c:f>Sheet1!$X$12:$X$16</c:f>
              <c:numCache>
                <c:formatCode>0%</c:formatCode>
                <c:ptCount val="5"/>
                <c:pt idx="0">
                  <c:v>0</c:v>
                </c:pt>
                <c:pt idx="1">
                  <c:v>1</c:v>
                </c:pt>
                <c:pt idx="2">
                  <c:v>0</c:v>
                </c:pt>
                <c:pt idx="3">
                  <c:v>0</c:v>
                </c:pt>
                <c:pt idx="4">
                  <c:v>0</c:v>
                </c:pt>
              </c:numCache>
            </c:numRef>
          </c:val>
          <c:extLst>
            <c:ext xmlns:c16="http://schemas.microsoft.com/office/drawing/2014/chart" uri="{C3380CC4-5D6E-409C-BE32-E72D297353CC}">
              <c16:uniqueId val="{00000000-F72D-4225-837B-B27130894E57}"/>
            </c:ext>
          </c:extLst>
        </c:ser>
        <c:dLbls>
          <c:showLegendKey val="0"/>
          <c:showVal val="0"/>
          <c:showCatName val="0"/>
          <c:showSerName val="0"/>
          <c:showPercent val="0"/>
          <c:showBubbleSize val="0"/>
        </c:dLbls>
        <c:gapWidth val="75"/>
        <c:overlap val="40"/>
        <c:axId val="304677632"/>
        <c:axId val="304679168"/>
      </c:barChart>
      <c:catAx>
        <c:axId val="304677632"/>
        <c:scaling>
          <c:orientation val="minMax"/>
        </c:scaling>
        <c:delete val="0"/>
        <c:axPos val="b"/>
        <c:numFmt formatCode="General" sourceLinked="0"/>
        <c:majorTickMark val="none"/>
        <c:minorTickMark val="none"/>
        <c:tickLblPos val="nextTo"/>
        <c:crossAx val="304679168"/>
        <c:crosses val="autoZero"/>
        <c:auto val="1"/>
        <c:lblAlgn val="ctr"/>
        <c:lblOffset val="100"/>
        <c:noMultiLvlLbl val="0"/>
      </c:catAx>
      <c:valAx>
        <c:axId val="304679168"/>
        <c:scaling>
          <c:orientation val="minMax"/>
          <c:max val="1"/>
        </c:scaling>
        <c:delete val="0"/>
        <c:axPos val="l"/>
        <c:majorGridlines/>
        <c:numFmt formatCode="0%" sourceLinked="1"/>
        <c:majorTickMark val="none"/>
        <c:minorTickMark val="none"/>
        <c:tickLblPos val="nextTo"/>
        <c:crossAx val="30467763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GB"/>
              <a:t>First Quarter</a:t>
            </a:r>
          </a:p>
        </c:rich>
      </c:tx>
      <c:overlay val="0"/>
    </c:title>
    <c:autoTitleDeleted val="0"/>
    <c:plotArea>
      <c:layout/>
      <c:barChart>
        <c:barDir val="bar"/>
        <c:grouping val="clustered"/>
        <c:varyColors val="0"/>
        <c:ser>
          <c:idx val="1"/>
          <c:order val="0"/>
          <c:tx>
            <c:strRef>
              <c:f>Sheet1!$T$19</c:f>
              <c:strCache>
                <c:ptCount val="1"/>
                <c:pt idx="0">
                  <c:v>Percentage</c:v>
                </c:pt>
              </c:strCache>
            </c:strRef>
          </c:tx>
          <c:invertIfNegative val="0"/>
          <c:cat>
            <c:strRef>
              <c:f>Sheet1!$R$20:$R$24</c:f>
              <c:strCache>
                <c:ptCount val="5"/>
                <c:pt idx="0">
                  <c:v>Outstanding</c:v>
                </c:pt>
                <c:pt idx="1">
                  <c:v>Meets set Individual KPI's </c:v>
                </c:pt>
                <c:pt idx="2">
                  <c:v>Not quite there</c:v>
                </c:pt>
                <c:pt idx="3">
                  <c:v>Under performing</c:v>
                </c:pt>
                <c:pt idx="4">
                  <c:v>Absent</c:v>
                </c:pt>
              </c:strCache>
            </c:strRef>
          </c:cat>
          <c:val>
            <c:numRef>
              <c:f>Sheet1!$T$20:$T$24</c:f>
              <c:numCache>
                <c:formatCode>0%</c:formatCode>
                <c:ptCount val="5"/>
                <c:pt idx="0">
                  <c:v>0.2</c:v>
                </c:pt>
                <c:pt idx="1">
                  <c:v>0.4</c:v>
                </c:pt>
                <c:pt idx="2">
                  <c:v>0.3</c:v>
                </c:pt>
                <c:pt idx="3">
                  <c:v>0.1</c:v>
                </c:pt>
                <c:pt idx="4">
                  <c:v>0</c:v>
                </c:pt>
              </c:numCache>
            </c:numRef>
          </c:val>
          <c:extLst>
            <c:ext xmlns:c16="http://schemas.microsoft.com/office/drawing/2014/chart" uri="{C3380CC4-5D6E-409C-BE32-E72D297353CC}">
              <c16:uniqueId val="{00000000-92E6-4796-B575-E995ABFB63EC}"/>
            </c:ext>
          </c:extLst>
        </c:ser>
        <c:dLbls>
          <c:showLegendKey val="0"/>
          <c:showVal val="0"/>
          <c:showCatName val="0"/>
          <c:showSerName val="0"/>
          <c:showPercent val="0"/>
          <c:showBubbleSize val="0"/>
        </c:dLbls>
        <c:gapWidth val="150"/>
        <c:axId val="285783936"/>
        <c:axId val="285785472"/>
      </c:barChart>
      <c:catAx>
        <c:axId val="285783936"/>
        <c:scaling>
          <c:orientation val="minMax"/>
        </c:scaling>
        <c:delete val="0"/>
        <c:axPos val="l"/>
        <c:numFmt formatCode="General" sourceLinked="0"/>
        <c:majorTickMark val="out"/>
        <c:minorTickMark val="none"/>
        <c:tickLblPos val="nextTo"/>
        <c:crossAx val="285785472"/>
        <c:crosses val="autoZero"/>
        <c:auto val="1"/>
        <c:lblAlgn val="ctr"/>
        <c:lblOffset val="100"/>
        <c:noMultiLvlLbl val="0"/>
      </c:catAx>
      <c:valAx>
        <c:axId val="285785472"/>
        <c:scaling>
          <c:orientation val="minMax"/>
          <c:max val="1"/>
        </c:scaling>
        <c:delete val="0"/>
        <c:axPos val="b"/>
        <c:majorGridlines/>
        <c:numFmt formatCode="0%" sourceLinked="1"/>
        <c:majorTickMark val="out"/>
        <c:minorTickMark val="none"/>
        <c:tickLblPos val="nextTo"/>
        <c:crossAx val="28578393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Secon</a:t>
            </a:r>
            <a:r>
              <a:rPr lang="en-GB" baseline="0"/>
              <a:t>d Quarter</a:t>
            </a:r>
            <a:r>
              <a:rPr lang="en-GB"/>
              <a:t> </a:t>
            </a:r>
          </a:p>
        </c:rich>
      </c:tx>
      <c:overlay val="0"/>
    </c:title>
    <c:autoTitleDeleted val="0"/>
    <c:plotArea>
      <c:layout/>
      <c:barChart>
        <c:barDir val="bar"/>
        <c:grouping val="clustered"/>
        <c:varyColors val="0"/>
        <c:ser>
          <c:idx val="1"/>
          <c:order val="0"/>
          <c:tx>
            <c:strRef>
              <c:f>Sheet1!$X$19</c:f>
              <c:strCache>
                <c:ptCount val="1"/>
                <c:pt idx="0">
                  <c:v>Percentage </c:v>
                </c:pt>
              </c:strCache>
            </c:strRef>
          </c:tx>
          <c:invertIfNegative val="0"/>
          <c:cat>
            <c:strRef>
              <c:f>Sheet1!$V$20:$V$24</c:f>
              <c:strCache>
                <c:ptCount val="5"/>
                <c:pt idx="0">
                  <c:v>Outstanding</c:v>
                </c:pt>
                <c:pt idx="1">
                  <c:v>Meets set Individual KPI's </c:v>
                </c:pt>
                <c:pt idx="2">
                  <c:v>Not quite there</c:v>
                </c:pt>
                <c:pt idx="3">
                  <c:v>Under performing</c:v>
                </c:pt>
                <c:pt idx="4">
                  <c:v>Absent</c:v>
                </c:pt>
              </c:strCache>
            </c:strRef>
          </c:cat>
          <c:val>
            <c:numRef>
              <c:f>Sheet1!$X$20:$X$24</c:f>
              <c:numCache>
                <c:formatCode>0%</c:formatCode>
                <c:ptCount val="5"/>
                <c:pt idx="0">
                  <c:v>0.25</c:v>
                </c:pt>
                <c:pt idx="1">
                  <c:v>0.45</c:v>
                </c:pt>
                <c:pt idx="2">
                  <c:v>0.2</c:v>
                </c:pt>
                <c:pt idx="3">
                  <c:v>0</c:v>
                </c:pt>
                <c:pt idx="4">
                  <c:v>0.1</c:v>
                </c:pt>
              </c:numCache>
            </c:numRef>
          </c:val>
          <c:extLst>
            <c:ext xmlns:c16="http://schemas.microsoft.com/office/drawing/2014/chart" uri="{C3380CC4-5D6E-409C-BE32-E72D297353CC}">
              <c16:uniqueId val="{00000000-1E1B-4934-AE5C-C9FF7F267584}"/>
            </c:ext>
          </c:extLst>
        </c:ser>
        <c:dLbls>
          <c:showLegendKey val="0"/>
          <c:showVal val="0"/>
          <c:showCatName val="0"/>
          <c:showSerName val="0"/>
          <c:showPercent val="0"/>
          <c:showBubbleSize val="0"/>
        </c:dLbls>
        <c:gapWidth val="150"/>
        <c:axId val="263019520"/>
        <c:axId val="299356928"/>
      </c:barChart>
      <c:catAx>
        <c:axId val="263019520"/>
        <c:scaling>
          <c:orientation val="minMax"/>
        </c:scaling>
        <c:delete val="0"/>
        <c:axPos val="l"/>
        <c:numFmt formatCode="General" sourceLinked="0"/>
        <c:majorTickMark val="out"/>
        <c:minorTickMark val="none"/>
        <c:tickLblPos val="nextTo"/>
        <c:crossAx val="299356928"/>
        <c:crosses val="autoZero"/>
        <c:auto val="1"/>
        <c:lblAlgn val="ctr"/>
        <c:lblOffset val="100"/>
        <c:noMultiLvlLbl val="0"/>
      </c:catAx>
      <c:valAx>
        <c:axId val="299356928"/>
        <c:scaling>
          <c:orientation val="minMax"/>
          <c:max val="1"/>
        </c:scaling>
        <c:delete val="0"/>
        <c:axPos val="b"/>
        <c:majorGridlines/>
        <c:numFmt formatCode="0%" sourceLinked="1"/>
        <c:majorTickMark val="out"/>
        <c:minorTickMark val="none"/>
        <c:tickLblPos val="nextTo"/>
        <c:crossAx val="263019520"/>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doughnutChart>
        <c:varyColors val="1"/>
        <c:ser>
          <c:idx val="0"/>
          <c:order val="0"/>
          <c:tx>
            <c:strRef>
              <c:f>Sheet1!$S$27</c:f>
              <c:strCache>
                <c:ptCount val="1"/>
                <c:pt idx="0">
                  <c:v>First Quarter</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Sheet1!$R$28:$R$32</c:f>
              <c:strCache>
                <c:ptCount val="5"/>
                <c:pt idx="0">
                  <c:v>Outstanding</c:v>
                </c:pt>
                <c:pt idx="1">
                  <c:v>Meets set Individual KPI's </c:v>
                </c:pt>
                <c:pt idx="2">
                  <c:v>Not quite there</c:v>
                </c:pt>
                <c:pt idx="3">
                  <c:v>Under performing</c:v>
                </c:pt>
                <c:pt idx="4">
                  <c:v>Absent</c:v>
                </c:pt>
              </c:strCache>
            </c:strRef>
          </c:cat>
          <c:val>
            <c:numRef>
              <c:f>Sheet1!$S$28:$S$32</c:f>
              <c:numCache>
                <c:formatCode>General</c:formatCode>
                <c:ptCount val="5"/>
                <c:pt idx="0">
                  <c:v>3</c:v>
                </c:pt>
                <c:pt idx="1">
                  <c:v>3</c:v>
                </c:pt>
                <c:pt idx="2">
                  <c:v>1</c:v>
                </c:pt>
                <c:pt idx="3">
                  <c:v>3</c:v>
                </c:pt>
                <c:pt idx="4">
                  <c:v>0</c:v>
                </c:pt>
              </c:numCache>
            </c:numRef>
          </c:val>
          <c:extLst>
            <c:ext xmlns:c16="http://schemas.microsoft.com/office/drawing/2014/chart" uri="{C3380CC4-5D6E-409C-BE32-E72D297353CC}">
              <c16:uniqueId val="{00000000-06B2-4478-A88A-55CA95225AF6}"/>
            </c:ext>
          </c:extLst>
        </c:ser>
        <c:dLbls>
          <c:showLegendKey val="0"/>
          <c:showVal val="0"/>
          <c:showCatName val="0"/>
          <c:showSerName val="0"/>
          <c:showPercent val="1"/>
          <c:showBubbleSize val="0"/>
          <c:showLeaderLines val="1"/>
        </c:dLbls>
        <c:firstSliceAng val="0"/>
        <c:holeSize val="50"/>
      </c:doughnutChart>
    </c:plotArea>
    <c:legend>
      <c:legendPos val="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0"/>
    </mc:Choice>
    <mc:Fallback>
      <c:style val="40"/>
    </mc:Fallback>
  </mc:AlternateContent>
  <c:chart>
    <c:title>
      <c:overlay val="0"/>
    </c:title>
    <c:autoTitleDeleted val="0"/>
    <c:plotArea>
      <c:layout/>
      <c:doughnutChart>
        <c:varyColors val="1"/>
        <c:ser>
          <c:idx val="0"/>
          <c:order val="0"/>
          <c:tx>
            <c:strRef>
              <c:f>Sheet1!$W$27</c:f>
              <c:strCache>
                <c:ptCount val="1"/>
                <c:pt idx="0">
                  <c:v>Second Quarter</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Sheet1!$V$28:$V$32</c:f>
              <c:strCache>
                <c:ptCount val="5"/>
                <c:pt idx="0">
                  <c:v>Outstanding</c:v>
                </c:pt>
                <c:pt idx="1">
                  <c:v>Meets set Individual KPI's </c:v>
                </c:pt>
                <c:pt idx="2">
                  <c:v>Not quite there</c:v>
                </c:pt>
                <c:pt idx="3">
                  <c:v>Under performing</c:v>
                </c:pt>
                <c:pt idx="4">
                  <c:v>Absent</c:v>
                </c:pt>
              </c:strCache>
            </c:strRef>
          </c:cat>
          <c:val>
            <c:numRef>
              <c:f>Sheet1!$W$28:$W$32</c:f>
              <c:numCache>
                <c:formatCode>General</c:formatCode>
                <c:ptCount val="5"/>
                <c:pt idx="0">
                  <c:v>5</c:v>
                </c:pt>
                <c:pt idx="1">
                  <c:v>3</c:v>
                </c:pt>
                <c:pt idx="2">
                  <c:v>1</c:v>
                </c:pt>
                <c:pt idx="3">
                  <c:v>0</c:v>
                </c:pt>
                <c:pt idx="4">
                  <c:v>1</c:v>
                </c:pt>
              </c:numCache>
            </c:numRef>
          </c:val>
          <c:extLst>
            <c:ext xmlns:c16="http://schemas.microsoft.com/office/drawing/2014/chart" uri="{C3380CC4-5D6E-409C-BE32-E72D297353CC}">
              <c16:uniqueId val="{00000000-8CB4-4716-8F85-9F9332C68D5B}"/>
            </c:ext>
          </c:extLst>
        </c:ser>
        <c:dLbls>
          <c:showLegendKey val="0"/>
          <c:showVal val="0"/>
          <c:showCatName val="0"/>
          <c:showSerName val="0"/>
          <c:showPercent val="1"/>
          <c:showBubbleSize val="0"/>
          <c:showLeaderLines val="1"/>
        </c:dLbls>
        <c:firstSliceAng val="0"/>
        <c:holeSize val="50"/>
      </c:doughnutChart>
    </c:plotArea>
    <c:legend>
      <c:legendPos val="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lineChart>
        <c:grouping val="standard"/>
        <c:varyColors val="0"/>
        <c:ser>
          <c:idx val="0"/>
          <c:order val="0"/>
          <c:tx>
            <c:strRef>
              <c:f>Sheet1!$A$2</c:f>
              <c:strCache>
                <c:ptCount val="1"/>
                <c:pt idx="0">
                  <c:v>I'm given time to prepare for employee appraisals </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Strongly agree</c:v>
                </c:pt>
                <c:pt idx="1">
                  <c:v>Agree</c:v>
                </c:pt>
                <c:pt idx="2">
                  <c:v>Disagree </c:v>
                </c:pt>
                <c:pt idx="3">
                  <c:v>Strongly disagree </c:v>
                </c:pt>
              </c:strCache>
            </c:strRef>
          </c:cat>
          <c:val>
            <c:numRef>
              <c:f>Sheet1!$B$2:$E$2</c:f>
              <c:numCache>
                <c:formatCode>0%</c:formatCode>
                <c:ptCount val="4"/>
                <c:pt idx="0">
                  <c:v>0.06</c:v>
                </c:pt>
                <c:pt idx="1">
                  <c:v>0.57999999999999996</c:v>
                </c:pt>
                <c:pt idx="2">
                  <c:v>0.22</c:v>
                </c:pt>
                <c:pt idx="3">
                  <c:v>0.14000000000000001</c:v>
                </c:pt>
              </c:numCache>
            </c:numRef>
          </c:val>
          <c:smooth val="0"/>
          <c:extLst>
            <c:ext xmlns:c16="http://schemas.microsoft.com/office/drawing/2014/chart" uri="{C3380CC4-5D6E-409C-BE32-E72D297353CC}">
              <c16:uniqueId val="{00000000-32A0-479C-85E1-E1B9455B8BC6}"/>
            </c:ext>
          </c:extLst>
        </c:ser>
        <c:dLbls>
          <c:dLblPos val="ctr"/>
          <c:showLegendKey val="0"/>
          <c:showVal val="1"/>
          <c:showCatName val="0"/>
          <c:showSerName val="0"/>
          <c:showPercent val="0"/>
          <c:showBubbleSize val="0"/>
        </c:dLbls>
        <c:smooth val="0"/>
        <c:axId val="286243456"/>
        <c:axId val="356409728"/>
      </c:lineChart>
      <c:catAx>
        <c:axId val="286243456"/>
        <c:scaling>
          <c:orientation val="minMax"/>
        </c:scaling>
        <c:delete val="0"/>
        <c:axPos val="b"/>
        <c:numFmt formatCode="General" sourceLinked="0"/>
        <c:majorTickMark val="none"/>
        <c:minorTickMark val="none"/>
        <c:tickLblPos val="nextTo"/>
        <c:spPr>
          <a:ln w="9525">
            <a:noFill/>
          </a:ln>
        </c:spPr>
        <c:crossAx val="356409728"/>
        <c:crosses val="autoZero"/>
        <c:auto val="1"/>
        <c:lblAlgn val="ctr"/>
        <c:lblOffset val="100"/>
        <c:noMultiLvlLbl val="0"/>
      </c:catAx>
      <c:valAx>
        <c:axId val="356409728"/>
        <c:scaling>
          <c:orientation val="minMax"/>
          <c:max val="1"/>
        </c:scaling>
        <c:delete val="1"/>
        <c:axPos val="l"/>
        <c:majorGridlines/>
        <c:minorGridlines/>
        <c:numFmt formatCode="0%" sourceLinked="1"/>
        <c:majorTickMark val="out"/>
        <c:minorTickMark val="none"/>
        <c:tickLblPos val="nextTo"/>
        <c:crossAx val="286243456"/>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lineChart>
        <c:grouping val="standard"/>
        <c:varyColors val="0"/>
        <c:ser>
          <c:idx val="0"/>
          <c:order val="0"/>
          <c:tx>
            <c:strRef>
              <c:f>Sheet1!$F$2</c:f>
              <c:strCache>
                <c:ptCount val="1"/>
                <c:pt idx="0">
                  <c:v>I feel confident in carrying out a performance appraisal</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Sheet1!$G$1:$J$1</c:f>
              <c:strCache>
                <c:ptCount val="4"/>
                <c:pt idx="0">
                  <c:v>Strongly agree</c:v>
                </c:pt>
                <c:pt idx="1">
                  <c:v>Agree</c:v>
                </c:pt>
                <c:pt idx="2">
                  <c:v>Disagree </c:v>
                </c:pt>
                <c:pt idx="3">
                  <c:v>Strongly disagree </c:v>
                </c:pt>
              </c:strCache>
            </c:strRef>
          </c:cat>
          <c:val>
            <c:numRef>
              <c:f>Sheet1!$G$2:$J$2</c:f>
              <c:numCache>
                <c:formatCode>0%</c:formatCode>
                <c:ptCount val="4"/>
                <c:pt idx="0">
                  <c:v>0.08</c:v>
                </c:pt>
                <c:pt idx="1">
                  <c:v>0.44</c:v>
                </c:pt>
                <c:pt idx="2">
                  <c:v>0.46</c:v>
                </c:pt>
                <c:pt idx="3">
                  <c:v>0.02</c:v>
                </c:pt>
              </c:numCache>
            </c:numRef>
          </c:val>
          <c:smooth val="0"/>
          <c:extLst>
            <c:ext xmlns:c16="http://schemas.microsoft.com/office/drawing/2014/chart" uri="{C3380CC4-5D6E-409C-BE32-E72D297353CC}">
              <c16:uniqueId val="{00000000-76CF-401E-9889-8C5D19A80BA4}"/>
            </c:ext>
          </c:extLst>
        </c:ser>
        <c:dLbls>
          <c:dLblPos val="ctr"/>
          <c:showLegendKey val="0"/>
          <c:showVal val="1"/>
          <c:showCatName val="0"/>
          <c:showSerName val="0"/>
          <c:showPercent val="0"/>
          <c:showBubbleSize val="0"/>
        </c:dLbls>
        <c:smooth val="0"/>
        <c:axId val="357647488"/>
        <c:axId val="357649024"/>
      </c:lineChart>
      <c:catAx>
        <c:axId val="357647488"/>
        <c:scaling>
          <c:orientation val="minMax"/>
        </c:scaling>
        <c:delete val="0"/>
        <c:axPos val="b"/>
        <c:numFmt formatCode="General" sourceLinked="1"/>
        <c:majorTickMark val="none"/>
        <c:minorTickMark val="none"/>
        <c:tickLblPos val="nextTo"/>
        <c:spPr>
          <a:ln w="9525">
            <a:noFill/>
          </a:ln>
        </c:spPr>
        <c:crossAx val="357649024"/>
        <c:crosses val="autoZero"/>
        <c:auto val="1"/>
        <c:lblAlgn val="ctr"/>
        <c:lblOffset val="100"/>
        <c:noMultiLvlLbl val="0"/>
      </c:catAx>
      <c:valAx>
        <c:axId val="357649024"/>
        <c:scaling>
          <c:orientation val="minMax"/>
          <c:max val="1"/>
        </c:scaling>
        <c:delete val="1"/>
        <c:axPos val="l"/>
        <c:majorGridlines/>
        <c:minorGridlines/>
        <c:numFmt formatCode="0%" sourceLinked="1"/>
        <c:majorTickMark val="out"/>
        <c:minorTickMark val="none"/>
        <c:tickLblPos val="nextTo"/>
        <c:crossAx val="357647488"/>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lineChart>
        <c:grouping val="standard"/>
        <c:varyColors val="0"/>
        <c:ser>
          <c:idx val="0"/>
          <c:order val="0"/>
          <c:tx>
            <c:strRef>
              <c:f>Sheet1!$K$2</c:f>
              <c:strCache>
                <c:ptCount val="1"/>
                <c:pt idx="0">
                  <c:v>I have no concerns when applying ratings when conducting appraisals </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Sheet1!$L$1:$O$1</c:f>
              <c:strCache>
                <c:ptCount val="4"/>
                <c:pt idx="0">
                  <c:v>Strongly agree</c:v>
                </c:pt>
                <c:pt idx="1">
                  <c:v>Agree</c:v>
                </c:pt>
                <c:pt idx="2">
                  <c:v>Disagree </c:v>
                </c:pt>
                <c:pt idx="3">
                  <c:v>Strongly disagree </c:v>
                </c:pt>
              </c:strCache>
            </c:strRef>
          </c:cat>
          <c:val>
            <c:numRef>
              <c:f>Sheet1!$L$2:$O$2</c:f>
              <c:numCache>
                <c:formatCode>0%</c:formatCode>
                <c:ptCount val="4"/>
                <c:pt idx="0">
                  <c:v>0.14000000000000001</c:v>
                </c:pt>
                <c:pt idx="1">
                  <c:v>0.68</c:v>
                </c:pt>
                <c:pt idx="2">
                  <c:v>0.18</c:v>
                </c:pt>
                <c:pt idx="3">
                  <c:v>0</c:v>
                </c:pt>
              </c:numCache>
            </c:numRef>
          </c:val>
          <c:smooth val="0"/>
          <c:extLst>
            <c:ext xmlns:c16="http://schemas.microsoft.com/office/drawing/2014/chart" uri="{C3380CC4-5D6E-409C-BE32-E72D297353CC}">
              <c16:uniqueId val="{00000000-C8AB-44B5-A13C-C2F9BEEB7799}"/>
            </c:ext>
          </c:extLst>
        </c:ser>
        <c:dLbls>
          <c:dLblPos val="ctr"/>
          <c:showLegendKey val="0"/>
          <c:showVal val="1"/>
          <c:showCatName val="0"/>
          <c:showSerName val="0"/>
          <c:showPercent val="0"/>
          <c:showBubbleSize val="0"/>
        </c:dLbls>
        <c:smooth val="0"/>
        <c:axId val="363101184"/>
        <c:axId val="363111168"/>
      </c:lineChart>
      <c:catAx>
        <c:axId val="363101184"/>
        <c:scaling>
          <c:orientation val="minMax"/>
        </c:scaling>
        <c:delete val="0"/>
        <c:axPos val="b"/>
        <c:numFmt formatCode="General" sourceLinked="0"/>
        <c:majorTickMark val="none"/>
        <c:minorTickMark val="none"/>
        <c:tickLblPos val="nextTo"/>
        <c:spPr>
          <a:ln w="9525">
            <a:noFill/>
          </a:ln>
        </c:spPr>
        <c:crossAx val="363111168"/>
        <c:crosses val="autoZero"/>
        <c:auto val="1"/>
        <c:lblAlgn val="ctr"/>
        <c:lblOffset val="100"/>
        <c:noMultiLvlLbl val="0"/>
      </c:catAx>
      <c:valAx>
        <c:axId val="363111168"/>
        <c:scaling>
          <c:orientation val="minMax"/>
          <c:max val="1"/>
        </c:scaling>
        <c:delete val="1"/>
        <c:axPos val="l"/>
        <c:majorGridlines/>
        <c:minorGridlines/>
        <c:numFmt formatCode="0%" sourceLinked="1"/>
        <c:majorTickMark val="out"/>
        <c:minorTickMark val="none"/>
        <c:tickLblPos val="nextTo"/>
        <c:crossAx val="363101184"/>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lineChart>
        <c:grouping val="standard"/>
        <c:varyColors val="0"/>
        <c:ser>
          <c:idx val="0"/>
          <c:order val="0"/>
          <c:tx>
            <c:strRef>
              <c:f>Sheet1!$F$4</c:f>
              <c:strCache>
                <c:ptCount val="1"/>
                <c:pt idx="0">
                  <c:v>I'm confident that I'm able to assess employees performance fairly</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Sheet1!$G$3:$J$3</c:f>
              <c:strCache>
                <c:ptCount val="4"/>
                <c:pt idx="0">
                  <c:v>Strongly agree</c:v>
                </c:pt>
                <c:pt idx="1">
                  <c:v>Agree</c:v>
                </c:pt>
                <c:pt idx="2">
                  <c:v>Disagree </c:v>
                </c:pt>
                <c:pt idx="3">
                  <c:v>Strongly disagree </c:v>
                </c:pt>
              </c:strCache>
            </c:strRef>
          </c:cat>
          <c:val>
            <c:numRef>
              <c:f>Sheet1!$G$4:$J$4</c:f>
              <c:numCache>
                <c:formatCode>0%</c:formatCode>
                <c:ptCount val="4"/>
                <c:pt idx="0">
                  <c:v>0.06</c:v>
                </c:pt>
                <c:pt idx="1">
                  <c:v>0.52</c:v>
                </c:pt>
                <c:pt idx="2">
                  <c:v>0.22</c:v>
                </c:pt>
                <c:pt idx="3">
                  <c:v>0.2</c:v>
                </c:pt>
              </c:numCache>
            </c:numRef>
          </c:val>
          <c:smooth val="0"/>
          <c:extLst>
            <c:ext xmlns:c16="http://schemas.microsoft.com/office/drawing/2014/chart" uri="{C3380CC4-5D6E-409C-BE32-E72D297353CC}">
              <c16:uniqueId val="{00000000-B30C-4A3A-ADF8-B35D3AA1A479}"/>
            </c:ext>
          </c:extLst>
        </c:ser>
        <c:dLbls>
          <c:dLblPos val="ctr"/>
          <c:showLegendKey val="0"/>
          <c:showVal val="1"/>
          <c:showCatName val="0"/>
          <c:showSerName val="0"/>
          <c:showPercent val="0"/>
          <c:showBubbleSize val="0"/>
        </c:dLbls>
        <c:smooth val="0"/>
        <c:axId val="363279488"/>
        <c:axId val="363281024"/>
      </c:lineChart>
      <c:catAx>
        <c:axId val="363279488"/>
        <c:scaling>
          <c:orientation val="minMax"/>
        </c:scaling>
        <c:delete val="0"/>
        <c:axPos val="b"/>
        <c:numFmt formatCode="General" sourceLinked="0"/>
        <c:majorTickMark val="none"/>
        <c:minorTickMark val="none"/>
        <c:tickLblPos val="nextTo"/>
        <c:spPr>
          <a:ln w="9525">
            <a:noFill/>
          </a:ln>
        </c:spPr>
        <c:crossAx val="363281024"/>
        <c:crosses val="autoZero"/>
        <c:auto val="1"/>
        <c:lblAlgn val="ctr"/>
        <c:lblOffset val="100"/>
        <c:noMultiLvlLbl val="0"/>
      </c:catAx>
      <c:valAx>
        <c:axId val="363281024"/>
        <c:scaling>
          <c:orientation val="minMax"/>
          <c:max val="1"/>
        </c:scaling>
        <c:delete val="1"/>
        <c:axPos val="l"/>
        <c:majorGridlines/>
        <c:minorGridlines/>
        <c:numFmt formatCode="0%" sourceLinked="1"/>
        <c:majorTickMark val="out"/>
        <c:minorTickMark val="none"/>
        <c:tickLblPos val="nextTo"/>
        <c:crossAx val="363279488"/>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lineChart>
        <c:grouping val="standard"/>
        <c:varyColors val="0"/>
        <c:ser>
          <c:idx val="0"/>
          <c:order val="0"/>
          <c:tx>
            <c:strRef>
              <c:f>Sheet1!$P$4</c:f>
              <c:strCache>
                <c:ptCount val="1"/>
                <c:pt idx="0">
                  <c:v>I have had training to enable me to undertake appraisals</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Sheet1!$Q$3:$T$3</c:f>
              <c:strCache>
                <c:ptCount val="4"/>
                <c:pt idx="0">
                  <c:v>Strongly agree</c:v>
                </c:pt>
                <c:pt idx="1">
                  <c:v>Agree</c:v>
                </c:pt>
                <c:pt idx="2">
                  <c:v>Disagree </c:v>
                </c:pt>
                <c:pt idx="3">
                  <c:v>Strongly disagree </c:v>
                </c:pt>
              </c:strCache>
            </c:strRef>
          </c:cat>
          <c:val>
            <c:numRef>
              <c:f>Sheet1!$Q$4:$T$4</c:f>
              <c:numCache>
                <c:formatCode>0%</c:formatCode>
                <c:ptCount val="4"/>
                <c:pt idx="0">
                  <c:v>0</c:v>
                </c:pt>
                <c:pt idx="1">
                  <c:v>0</c:v>
                </c:pt>
                <c:pt idx="2">
                  <c:v>0.88</c:v>
                </c:pt>
                <c:pt idx="3">
                  <c:v>0.12</c:v>
                </c:pt>
              </c:numCache>
            </c:numRef>
          </c:val>
          <c:smooth val="0"/>
          <c:extLst>
            <c:ext xmlns:c16="http://schemas.microsoft.com/office/drawing/2014/chart" uri="{C3380CC4-5D6E-409C-BE32-E72D297353CC}">
              <c16:uniqueId val="{00000000-711C-479F-866C-C8B41F19456C}"/>
            </c:ext>
          </c:extLst>
        </c:ser>
        <c:dLbls>
          <c:dLblPos val="ctr"/>
          <c:showLegendKey val="0"/>
          <c:showVal val="1"/>
          <c:showCatName val="0"/>
          <c:showSerName val="0"/>
          <c:showPercent val="0"/>
          <c:showBubbleSize val="0"/>
        </c:dLbls>
        <c:smooth val="0"/>
        <c:axId val="363736064"/>
        <c:axId val="363741952"/>
      </c:lineChart>
      <c:catAx>
        <c:axId val="363736064"/>
        <c:scaling>
          <c:orientation val="minMax"/>
        </c:scaling>
        <c:delete val="0"/>
        <c:axPos val="b"/>
        <c:numFmt formatCode="General" sourceLinked="0"/>
        <c:majorTickMark val="none"/>
        <c:minorTickMark val="none"/>
        <c:tickLblPos val="nextTo"/>
        <c:spPr>
          <a:ln w="9525">
            <a:noFill/>
          </a:ln>
        </c:spPr>
        <c:crossAx val="363741952"/>
        <c:crosses val="autoZero"/>
        <c:auto val="1"/>
        <c:lblAlgn val="ctr"/>
        <c:lblOffset val="100"/>
        <c:noMultiLvlLbl val="0"/>
      </c:catAx>
      <c:valAx>
        <c:axId val="363741952"/>
        <c:scaling>
          <c:orientation val="minMax"/>
        </c:scaling>
        <c:delete val="1"/>
        <c:axPos val="l"/>
        <c:majorGridlines/>
        <c:minorGridlines/>
        <c:numFmt formatCode="0%" sourceLinked="1"/>
        <c:majorTickMark val="out"/>
        <c:minorTickMark val="none"/>
        <c:tickLblPos val="nextTo"/>
        <c:crossAx val="363736064"/>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lineChart>
        <c:grouping val="standard"/>
        <c:varyColors val="0"/>
        <c:ser>
          <c:idx val="0"/>
          <c:order val="0"/>
          <c:tx>
            <c:strRef>
              <c:f>Sheet1!$P$2</c:f>
              <c:strCache>
                <c:ptCount val="1"/>
                <c:pt idx="0">
                  <c:v>I have no issue in challenging underperforming employees</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Sheet1!$Q$1:$T$1</c:f>
              <c:strCache>
                <c:ptCount val="4"/>
                <c:pt idx="0">
                  <c:v>Strongly agree</c:v>
                </c:pt>
                <c:pt idx="1">
                  <c:v>Agree</c:v>
                </c:pt>
                <c:pt idx="2">
                  <c:v>Disagree </c:v>
                </c:pt>
                <c:pt idx="3">
                  <c:v>Strongly disagree </c:v>
                </c:pt>
              </c:strCache>
            </c:strRef>
          </c:cat>
          <c:val>
            <c:numRef>
              <c:f>Sheet1!$Q$2:$T$2</c:f>
              <c:numCache>
                <c:formatCode>0%</c:formatCode>
                <c:ptCount val="4"/>
                <c:pt idx="0">
                  <c:v>0</c:v>
                </c:pt>
                <c:pt idx="1">
                  <c:v>0.18</c:v>
                </c:pt>
                <c:pt idx="2">
                  <c:v>0.74</c:v>
                </c:pt>
                <c:pt idx="3">
                  <c:v>0.08</c:v>
                </c:pt>
              </c:numCache>
            </c:numRef>
          </c:val>
          <c:smooth val="0"/>
          <c:extLst>
            <c:ext xmlns:c16="http://schemas.microsoft.com/office/drawing/2014/chart" uri="{C3380CC4-5D6E-409C-BE32-E72D297353CC}">
              <c16:uniqueId val="{00000000-7F89-4D77-B386-F9B91FFDE1D3}"/>
            </c:ext>
          </c:extLst>
        </c:ser>
        <c:dLbls>
          <c:dLblPos val="ctr"/>
          <c:showLegendKey val="0"/>
          <c:showVal val="1"/>
          <c:showCatName val="0"/>
          <c:showSerName val="0"/>
          <c:showPercent val="0"/>
          <c:showBubbleSize val="0"/>
        </c:dLbls>
        <c:smooth val="0"/>
        <c:axId val="363758720"/>
        <c:axId val="363760256"/>
      </c:lineChart>
      <c:catAx>
        <c:axId val="363758720"/>
        <c:scaling>
          <c:orientation val="minMax"/>
        </c:scaling>
        <c:delete val="0"/>
        <c:axPos val="b"/>
        <c:numFmt formatCode="General" sourceLinked="0"/>
        <c:majorTickMark val="none"/>
        <c:minorTickMark val="none"/>
        <c:tickLblPos val="nextTo"/>
        <c:spPr>
          <a:ln w="9525">
            <a:noFill/>
          </a:ln>
        </c:spPr>
        <c:crossAx val="363760256"/>
        <c:crosses val="autoZero"/>
        <c:auto val="1"/>
        <c:lblAlgn val="ctr"/>
        <c:lblOffset val="100"/>
        <c:noMultiLvlLbl val="0"/>
      </c:catAx>
      <c:valAx>
        <c:axId val="363760256"/>
        <c:scaling>
          <c:orientation val="minMax"/>
          <c:max val="1"/>
        </c:scaling>
        <c:delete val="1"/>
        <c:axPos val="l"/>
        <c:majorGridlines/>
        <c:minorGridlines/>
        <c:numFmt formatCode="0%" sourceLinked="1"/>
        <c:majorTickMark val="out"/>
        <c:minorTickMark val="none"/>
        <c:tickLblPos val="nextTo"/>
        <c:crossAx val="363758720"/>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itle>
    <c:autoTitleDeleted val="0"/>
    <c:plotArea>
      <c:layout/>
      <c:lineChart>
        <c:grouping val="standard"/>
        <c:varyColors val="0"/>
        <c:ser>
          <c:idx val="0"/>
          <c:order val="0"/>
          <c:tx>
            <c:strRef>
              <c:f>Sheet1!$U$4</c:f>
              <c:strCache>
                <c:ptCount val="1"/>
                <c:pt idx="0">
                  <c:v>I'm good at providing feedback and agree set performance targets</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Sheet1!$V$3:$Y$3</c:f>
              <c:strCache>
                <c:ptCount val="4"/>
                <c:pt idx="0">
                  <c:v>Strongly agree</c:v>
                </c:pt>
                <c:pt idx="1">
                  <c:v>Agree</c:v>
                </c:pt>
                <c:pt idx="2">
                  <c:v>Disagree </c:v>
                </c:pt>
                <c:pt idx="3">
                  <c:v>Strongly disagree </c:v>
                </c:pt>
              </c:strCache>
            </c:strRef>
          </c:cat>
          <c:val>
            <c:numRef>
              <c:f>Sheet1!$V$4:$Y$4</c:f>
              <c:numCache>
                <c:formatCode>0%</c:formatCode>
                <c:ptCount val="4"/>
                <c:pt idx="0">
                  <c:v>0.24</c:v>
                </c:pt>
                <c:pt idx="1">
                  <c:v>0.08</c:v>
                </c:pt>
                <c:pt idx="2">
                  <c:v>0.3</c:v>
                </c:pt>
                <c:pt idx="3">
                  <c:v>0.38</c:v>
                </c:pt>
              </c:numCache>
            </c:numRef>
          </c:val>
          <c:smooth val="0"/>
          <c:extLst>
            <c:ext xmlns:c16="http://schemas.microsoft.com/office/drawing/2014/chart" uri="{C3380CC4-5D6E-409C-BE32-E72D297353CC}">
              <c16:uniqueId val="{00000000-9B88-4393-AD9A-B9F5A337F7FB}"/>
            </c:ext>
          </c:extLst>
        </c:ser>
        <c:dLbls>
          <c:dLblPos val="ctr"/>
          <c:showLegendKey val="0"/>
          <c:showVal val="1"/>
          <c:showCatName val="0"/>
          <c:showSerName val="0"/>
          <c:showPercent val="0"/>
          <c:showBubbleSize val="0"/>
        </c:dLbls>
        <c:smooth val="0"/>
        <c:axId val="363826176"/>
        <c:axId val="368640768"/>
      </c:lineChart>
      <c:catAx>
        <c:axId val="363826176"/>
        <c:scaling>
          <c:orientation val="minMax"/>
        </c:scaling>
        <c:delete val="0"/>
        <c:axPos val="b"/>
        <c:numFmt formatCode="General" sourceLinked="0"/>
        <c:majorTickMark val="none"/>
        <c:minorTickMark val="none"/>
        <c:tickLblPos val="nextTo"/>
        <c:spPr>
          <a:ln w="9525">
            <a:noFill/>
          </a:ln>
        </c:spPr>
        <c:crossAx val="368640768"/>
        <c:crosses val="autoZero"/>
        <c:auto val="1"/>
        <c:lblAlgn val="ctr"/>
        <c:lblOffset val="100"/>
        <c:noMultiLvlLbl val="0"/>
      </c:catAx>
      <c:valAx>
        <c:axId val="368640768"/>
        <c:scaling>
          <c:orientation val="minMax"/>
          <c:max val="1"/>
        </c:scaling>
        <c:delete val="1"/>
        <c:axPos val="l"/>
        <c:majorGridlines/>
        <c:minorGridlines/>
        <c:numFmt formatCode="0%" sourceLinked="1"/>
        <c:majorTickMark val="out"/>
        <c:minorTickMark val="none"/>
        <c:tickLblPos val="nextTo"/>
        <c:crossAx val="363826176"/>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Sheet3!$A$2</c:f>
              <c:strCache>
                <c:ptCount val="1"/>
                <c:pt idx="0">
                  <c:v>My line manager provides clear and direct guidance </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Sheet3!$B$1:$E$1</c:f>
              <c:strCache>
                <c:ptCount val="4"/>
                <c:pt idx="0">
                  <c:v>Strongly agree</c:v>
                </c:pt>
                <c:pt idx="1">
                  <c:v>Agree</c:v>
                </c:pt>
                <c:pt idx="2">
                  <c:v>Disagree </c:v>
                </c:pt>
                <c:pt idx="3">
                  <c:v>Strongly disagree </c:v>
                </c:pt>
              </c:strCache>
            </c:strRef>
          </c:cat>
          <c:val>
            <c:numRef>
              <c:f>Sheet3!$B$2:$E$2</c:f>
              <c:numCache>
                <c:formatCode>0.00%</c:formatCode>
                <c:ptCount val="4"/>
                <c:pt idx="0">
                  <c:v>8.5000000000000006E-3</c:v>
                </c:pt>
                <c:pt idx="1">
                  <c:v>0.4723</c:v>
                </c:pt>
                <c:pt idx="2">
                  <c:v>0.51490000000000002</c:v>
                </c:pt>
                <c:pt idx="3">
                  <c:v>4.3E-3</c:v>
                </c:pt>
              </c:numCache>
            </c:numRef>
          </c:val>
          <c:smooth val="0"/>
          <c:extLst>
            <c:ext xmlns:c16="http://schemas.microsoft.com/office/drawing/2014/chart" uri="{C3380CC4-5D6E-409C-BE32-E72D297353CC}">
              <c16:uniqueId val="{00000000-131C-40E5-A750-C51721468333}"/>
            </c:ext>
          </c:extLst>
        </c:ser>
        <c:dLbls>
          <c:dLblPos val="ctr"/>
          <c:showLegendKey val="0"/>
          <c:showVal val="1"/>
          <c:showCatName val="0"/>
          <c:showSerName val="0"/>
          <c:showPercent val="0"/>
          <c:showBubbleSize val="0"/>
        </c:dLbls>
        <c:smooth val="0"/>
        <c:axId val="368648960"/>
        <c:axId val="368650496"/>
      </c:lineChart>
      <c:catAx>
        <c:axId val="368648960"/>
        <c:scaling>
          <c:orientation val="minMax"/>
        </c:scaling>
        <c:delete val="0"/>
        <c:axPos val="b"/>
        <c:numFmt formatCode="General" sourceLinked="0"/>
        <c:majorTickMark val="none"/>
        <c:minorTickMark val="none"/>
        <c:tickLblPos val="nextTo"/>
        <c:crossAx val="368650496"/>
        <c:crosses val="autoZero"/>
        <c:auto val="1"/>
        <c:lblAlgn val="ctr"/>
        <c:lblOffset val="100"/>
        <c:noMultiLvlLbl val="0"/>
      </c:catAx>
      <c:valAx>
        <c:axId val="368650496"/>
        <c:scaling>
          <c:orientation val="minMax"/>
          <c:max val="1"/>
        </c:scaling>
        <c:delete val="1"/>
        <c:axPos val="l"/>
        <c:majorGridlines/>
        <c:minorGridlines/>
        <c:numFmt formatCode="0.00%" sourceLinked="1"/>
        <c:majorTickMark val="out"/>
        <c:minorTickMark val="none"/>
        <c:tickLblPos val="nextTo"/>
        <c:crossAx val="368648960"/>
        <c:crosses val="autoZero"/>
        <c:crossBetween val="between"/>
      </c:valAx>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Sheet3!$A$6</c:f>
              <c:strCache>
                <c:ptCount val="1"/>
                <c:pt idx="0">
                  <c:v>During my reviews my line manager listens to the ideas I put forward </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Sheet3!$B$5:$E$5</c:f>
              <c:strCache>
                <c:ptCount val="4"/>
                <c:pt idx="0">
                  <c:v>Strongly agree</c:v>
                </c:pt>
                <c:pt idx="1">
                  <c:v>Agree</c:v>
                </c:pt>
                <c:pt idx="2">
                  <c:v>Disagree </c:v>
                </c:pt>
                <c:pt idx="3">
                  <c:v>Strongly disagree </c:v>
                </c:pt>
              </c:strCache>
            </c:strRef>
          </c:cat>
          <c:val>
            <c:numRef>
              <c:f>Sheet3!$B$6:$E$6</c:f>
              <c:numCache>
                <c:formatCode>0.00%</c:formatCode>
                <c:ptCount val="4"/>
                <c:pt idx="0">
                  <c:v>2.1299999999999999E-2</c:v>
                </c:pt>
                <c:pt idx="1">
                  <c:v>0.16600000000000001</c:v>
                </c:pt>
                <c:pt idx="2">
                  <c:v>0.79569999999999996</c:v>
                </c:pt>
                <c:pt idx="3">
                  <c:v>1.7000000000000001E-2</c:v>
                </c:pt>
              </c:numCache>
            </c:numRef>
          </c:val>
          <c:smooth val="0"/>
          <c:extLst>
            <c:ext xmlns:c16="http://schemas.microsoft.com/office/drawing/2014/chart" uri="{C3380CC4-5D6E-409C-BE32-E72D297353CC}">
              <c16:uniqueId val="{00000000-FE3B-4BB2-903B-06A2C14F33A5}"/>
            </c:ext>
          </c:extLst>
        </c:ser>
        <c:dLbls>
          <c:dLblPos val="ctr"/>
          <c:showLegendKey val="0"/>
          <c:showVal val="1"/>
          <c:showCatName val="0"/>
          <c:showSerName val="0"/>
          <c:showPercent val="0"/>
          <c:showBubbleSize val="0"/>
        </c:dLbls>
        <c:smooth val="0"/>
        <c:axId val="304712320"/>
        <c:axId val="331870592"/>
      </c:lineChart>
      <c:catAx>
        <c:axId val="304712320"/>
        <c:scaling>
          <c:orientation val="minMax"/>
        </c:scaling>
        <c:delete val="0"/>
        <c:axPos val="b"/>
        <c:numFmt formatCode="General" sourceLinked="0"/>
        <c:majorTickMark val="none"/>
        <c:minorTickMark val="none"/>
        <c:tickLblPos val="nextTo"/>
        <c:crossAx val="331870592"/>
        <c:crosses val="autoZero"/>
        <c:auto val="1"/>
        <c:lblAlgn val="ctr"/>
        <c:lblOffset val="100"/>
        <c:noMultiLvlLbl val="0"/>
      </c:catAx>
      <c:valAx>
        <c:axId val="331870592"/>
        <c:scaling>
          <c:orientation val="minMax"/>
          <c:max val="1"/>
        </c:scaling>
        <c:delete val="1"/>
        <c:axPos val="l"/>
        <c:majorGridlines/>
        <c:minorGridlines/>
        <c:numFmt formatCode="0.00%" sourceLinked="1"/>
        <c:majorTickMark val="out"/>
        <c:minorTickMark val="none"/>
        <c:tickLblPos val="nextTo"/>
        <c:crossAx val="304712320"/>
        <c:crosses val="autoZero"/>
        <c:crossBetween val="between"/>
      </c:valAx>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Sheet3!$A$9</c:f>
              <c:strCache>
                <c:ptCount val="1"/>
                <c:pt idx="0">
                  <c:v>My line manager provides positive feedback </c:v>
                </c:pt>
              </c:strCache>
            </c:strRef>
          </c:tx>
          <c:marker>
            <c:symbol val="none"/>
          </c:marker>
          <c:dLbls>
            <c:dLbl>
              <c:idx val="1"/>
              <c:tx>
                <c:rich>
                  <a:bodyPr/>
                  <a:lstStyle/>
                  <a:p>
                    <a:r>
                      <a:rPr lang="en-US"/>
                      <a:t>60.00%</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4DC-4438-AFE9-1A2C7A297701}"/>
                </c:ext>
              </c:extLst>
            </c:dLbl>
            <c:dLbl>
              <c:idx val="2"/>
              <c:tx>
                <c:rich>
                  <a:bodyPr/>
                  <a:lstStyle/>
                  <a:p>
                    <a:r>
                      <a:rPr lang="en-US"/>
                      <a:t>34.90%</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4DC-4438-AFE9-1A2C7A297701}"/>
                </c:ext>
              </c:extLst>
            </c:dLbl>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Sheet3!$B$8:$E$8</c:f>
              <c:strCache>
                <c:ptCount val="4"/>
                <c:pt idx="0">
                  <c:v>Strongly agree</c:v>
                </c:pt>
                <c:pt idx="1">
                  <c:v>Agree</c:v>
                </c:pt>
                <c:pt idx="2">
                  <c:v>Disagree </c:v>
                </c:pt>
                <c:pt idx="3">
                  <c:v>Strongly disagree </c:v>
                </c:pt>
              </c:strCache>
            </c:strRef>
          </c:cat>
          <c:val>
            <c:numRef>
              <c:f>Sheet3!$B$9:$E$9</c:f>
              <c:numCache>
                <c:formatCode>0.00%</c:formatCode>
                <c:ptCount val="4"/>
                <c:pt idx="0">
                  <c:v>2.5499999999999998E-2</c:v>
                </c:pt>
                <c:pt idx="1">
                  <c:v>0.6</c:v>
                </c:pt>
                <c:pt idx="2">
                  <c:v>0.34889999999999999</c:v>
                </c:pt>
                <c:pt idx="3">
                  <c:v>2.5499999999999998E-2</c:v>
                </c:pt>
              </c:numCache>
            </c:numRef>
          </c:val>
          <c:smooth val="0"/>
          <c:extLst>
            <c:ext xmlns:c16="http://schemas.microsoft.com/office/drawing/2014/chart" uri="{C3380CC4-5D6E-409C-BE32-E72D297353CC}">
              <c16:uniqueId val="{00000002-B4DC-4438-AFE9-1A2C7A297701}"/>
            </c:ext>
          </c:extLst>
        </c:ser>
        <c:dLbls>
          <c:dLblPos val="ctr"/>
          <c:showLegendKey val="0"/>
          <c:showVal val="1"/>
          <c:showCatName val="0"/>
          <c:showSerName val="0"/>
          <c:showPercent val="0"/>
          <c:showBubbleSize val="0"/>
        </c:dLbls>
        <c:smooth val="0"/>
        <c:axId val="331791360"/>
        <c:axId val="369117056"/>
      </c:lineChart>
      <c:catAx>
        <c:axId val="331791360"/>
        <c:scaling>
          <c:orientation val="minMax"/>
        </c:scaling>
        <c:delete val="0"/>
        <c:axPos val="b"/>
        <c:numFmt formatCode="General" sourceLinked="0"/>
        <c:majorTickMark val="none"/>
        <c:minorTickMark val="none"/>
        <c:tickLblPos val="nextTo"/>
        <c:crossAx val="369117056"/>
        <c:crosses val="autoZero"/>
        <c:auto val="1"/>
        <c:lblAlgn val="ctr"/>
        <c:lblOffset val="100"/>
        <c:noMultiLvlLbl val="0"/>
      </c:catAx>
      <c:valAx>
        <c:axId val="369117056"/>
        <c:scaling>
          <c:orientation val="minMax"/>
          <c:max val="1"/>
        </c:scaling>
        <c:delete val="1"/>
        <c:axPos val="l"/>
        <c:majorGridlines/>
        <c:minorGridlines/>
        <c:numFmt formatCode="0.00%" sourceLinked="1"/>
        <c:majorTickMark val="out"/>
        <c:minorTickMark val="none"/>
        <c:tickLblPos val="nextTo"/>
        <c:crossAx val="331791360"/>
        <c:crosses val="autoZero"/>
        <c:crossBetween val="between"/>
      </c:valAx>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Sheet3!$A$8</c:f>
              <c:strCache>
                <c:ptCount val="1"/>
                <c:pt idx="0">
                  <c:v>My line manager possesses good people management skills</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Sheet3!$B$7:$E$7</c:f>
              <c:strCache>
                <c:ptCount val="4"/>
                <c:pt idx="0">
                  <c:v>Strongly agree</c:v>
                </c:pt>
                <c:pt idx="1">
                  <c:v>Agree</c:v>
                </c:pt>
                <c:pt idx="2">
                  <c:v>Disagree </c:v>
                </c:pt>
                <c:pt idx="3">
                  <c:v>Strongly disagree </c:v>
                </c:pt>
              </c:strCache>
            </c:strRef>
          </c:cat>
          <c:val>
            <c:numRef>
              <c:f>Sheet3!$B$8:$E$8</c:f>
              <c:numCache>
                <c:formatCode>0.00%</c:formatCode>
                <c:ptCount val="4"/>
                <c:pt idx="0">
                  <c:v>6.3799999999999996E-2</c:v>
                </c:pt>
                <c:pt idx="1">
                  <c:v>0.42130000000000001</c:v>
                </c:pt>
                <c:pt idx="2">
                  <c:v>0.37869999999999998</c:v>
                </c:pt>
                <c:pt idx="3">
                  <c:v>0.13619999999999999</c:v>
                </c:pt>
              </c:numCache>
            </c:numRef>
          </c:val>
          <c:smooth val="0"/>
          <c:extLst>
            <c:ext xmlns:c16="http://schemas.microsoft.com/office/drawing/2014/chart" uri="{C3380CC4-5D6E-409C-BE32-E72D297353CC}">
              <c16:uniqueId val="{00000000-2ADA-41C5-8EF7-8923E563E0CA}"/>
            </c:ext>
          </c:extLst>
        </c:ser>
        <c:dLbls>
          <c:dLblPos val="ctr"/>
          <c:showLegendKey val="0"/>
          <c:showVal val="1"/>
          <c:showCatName val="0"/>
          <c:showSerName val="0"/>
          <c:showPercent val="0"/>
          <c:showBubbleSize val="0"/>
        </c:dLbls>
        <c:smooth val="0"/>
        <c:axId val="369862912"/>
        <c:axId val="369958912"/>
      </c:lineChart>
      <c:catAx>
        <c:axId val="369862912"/>
        <c:scaling>
          <c:orientation val="minMax"/>
        </c:scaling>
        <c:delete val="0"/>
        <c:axPos val="b"/>
        <c:numFmt formatCode="General" sourceLinked="0"/>
        <c:majorTickMark val="none"/>
        <c:minorTickMark val="none"/>
        <c:tickLblPos val="nextTo"/>
        <c:crossAx val="369958912"/>
        <c:crosses val="autoZero"/>
        <c:auto val="1"/>
        <c:lblAlgn val="ctr"/>
        <c:lblOffset val="100"/>
        <c:noMultiLvlLbl val="0"/>
      </c:catAx>
      <c:valAx>
        <c:axId val="369958912"/>
        <c:scaling>
          <c:orientation val="minMax"/>
          <c:max val="1"/>
        </c:scaling>
        <c:delete val="1"/>
        <c:axPos val="l"/>
        <c:majorGridlines/>
        <c:minorGridlines/>
        <c:numFmt formatCode="0.00%" sourceLinked="1"/>
        <c:majorTickMark val="out"/>
        <c:minorTickMark val="none"/>
        <c:tickLblPos val="nextTo"/>
        <c:crossAx val="369862912"/>
        <c:crosses val="autoZero"/>
        <c:crossBetween val="between"/>
      </c:valAx>
    </c:plotArea>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Sheet3!$A$10</c:f>
              <c:strCache>
                <c:ptCount val="1"/>
                <c:pt idx="0">
                  <c:v>My line manager has time to listen to me </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Sheet3!$B$9:$E$9</c:f>
              <c:strCache>
                <c:ptCount val="4"/>
                <c:pt idx="0">
                  <c:v>Strongly agree</c:v>
                </c:pt>
                <c:pt idx="1">
                  <c:v>Agree</c:v>
                </c:pt>
                <c:pt idx="2">
                  <c:v>Disagree </c:v>
                </c:pt>
                <c:pt idx="3">
                  <c:v>Strongly disagree </c:v>
                </c:pt>
              </c:strCache>
            </c:strRef>
          </c:cat>
          <c:val>
            <c:numRef>
              <c:f>Sheet3!$B$10:$E$10</c:f>
              <c:numCache>
                <c:formatCode>0.00%</c:formatCode>
                <c:ptCount val="4"/>
                <c:pt idx="0">
                  <c:v>0.3574</c:v>
                </c:pt>
                <c:pt idx="1">
                  <c:v>0.3362</c:v>
                </c:pt>
                <c:pt idx="2">
                  <c:v>6.3799999999999996E-2</c:v>
                </c:pt>
                <c:pt idx="3">
                  <c:v>0.24260000000000001</c:v>
                </c:pt>
              </c:numCache>
            </c:numRef>
          </c:val>
          <c:smooth val="0"/>
          <c:extLst>
            <c:ext xmlns:c16="http://schemas.microsoft.com/office/drawing/2014/chart" uri="{C3380CC4-5D6E-409C-BE32-E72D297353CC}">
              <c16:uniqueId val="{00000000-BBEE-4F64-90EA-4852DCF313AF}"/>
            </c:ext>
          </c:extLst>
        </c:ser>
        <c:dLbls>
          <c:dLblPos val="ctr"/>
          <c:showLegendKey val="0"/>
          <c:showVal val="1"/>
          <c:showCatName val="0"/>
          <c:showSerName val="0"/>
          <c:showPercent val="0"/>
          <c:showBubbleSize val="0"/>
        </c:dLbls>
        <c:smooth val="0"/>
        <c:axId val="369848704"/>
        <c:axId val="369850240"/>
      </c:lineChart>
      <c:catAx>
        <c:axId val="369848704"/>
        <c:scaling>
          <c:orientation val="minMax"/>
        </c:scaling>
        <c:delete val="0"/>
        <c:axPos val="b"/>
        <c:numFmt formatCode="General" sourceLinked="0"/>
        <c:majorTickMark val="none"/>
        <c:minorTickMark val="none"/>
        <c:tickLblPos val="nextTo"/>
        <c:crossAx val="369850240"/>
        <c:crosses val="autoZero"/>
        <c:auto val="1"/>
        <c:lblAlgn val="ctr"/>
        <c:lblOffset val="100"/>
        <c:noMultiLvlLbl val="0"/>
      </c:catAx>
      <c:valAx>
        <c:axId val="369850240"/>
        <c:scaling>
          <c:orientation val="minMax"/>
          <c:max val="1"/>
        </c:scaling>
        <c:delete val="1"/>
        <c:axPos val="l"/>
        <c:majorGridlines/>
        <c:minorGridlines/>
        <c:numFmt formatCode="0.00%" sourceLinked="1"/>
        <c:majorTickMark val="out"/>
        <c:minorTickMark val="none"/>
        <c:tickLblPos val="nextTo"/>
        <c:crossAx val="369848704"/>
        <c:crosses val="autoZero"/>
        <c:crossBetween val="between"/>
      </c:valAx>
    </c:plotArea>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Sheet3!$A$12</c:f>
              <c:strCache>
                <c:ptCount val="1"/>
                <c:pt idx="0">
                  <c:v>My line manager provides a balanced response when conducting my reviews </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Sheet3!$B$11:$E$11</c:f>
              <c:strCache>
                <c:ptCount val="4"/>
                <c:pt idx="0">
                  <c:v>Strongly agree</c:v>
                </c:pt>
                <c:pt idx="1">
                  <c:v>Agree</c:v>
                </c:pt>
                <c:pt idx="2">
                  <c:v>Disagree </c:v>
                </c:pt>
                <c:pt idx="3">
                  <c:v>Strongly disagree </c:v>
                </c:pt>
              </c:strCache>
            </c:strRef>
          </c:cat>
          <c:val>
            <c:numRef>
              <c:f>Sheet3!$B$12:$E$12</c:f>
              <c:numCache>
                <c:formatCode>0.00%</c:formatCode>
                <c:ptCount val="4"/>
                <c:pt idx="0">
                  <c:v>0</c:v>
                </c:pt>
                <c:pt idx="1">
                  <c:v>0.60850000000000004</c:v>
                </c:pt>
                <c:pt idx="2">
                  <c:v>0.39150000000000001</c:v>
                </c:pt>
                <c:pt idx="3">
                  <c:v>0</c:v>
                </c:pt>
              </c:numCache>
            </c:numRef>
          </c:val>
          <c:smooth val="0"/>
          <c:extLst>
            <c:ext xmlns:c16="http://schemas.microsoft.com/office/drawing/2014/chart" uri="{C3380CC4-5D6E-409C-BE32-E72D297353CC}">
              <c16:uniqueId val="{00000000-76DA-4094-AC4A-67B830A7933A}"/>
            </c:ext>
          </c:extLst>
        </c:ser>
        <c:dLbls>
          <c:dLblPos val="ctr"/>
          <c:showLegendKey val="0"/>
          <c:showVal val="1"/>
          <c:showCatName val="0"/>
          <c:showSerName val="0"/>
          <c:showPercent val="0"/>
          <c:showBubbleSize val="0"/>
        </c:dLbls>
        <c:smooth val="0"/>
        <c:axId val="370358528"/>
        <c:axId val="370397184"/>
      </c:lineChart>
      <c:catAx>
        <c:axId val="370358528"/>
        <c:scaling>
          <c:orientation val="minMax"/>
        </c:scaling>
        <c:delete val="0"/>
        <c:axPos val="b"/>
        <c:numFmt formatCode="General" sourceLinked="0"/>
        <c:majorTickMark val="none"/>
        <c:minorTickMark val="none"/>
        <c:tickLblPos val="nextTo"/>
        <c:crossAx val="370397184"/>
        <c:crosses val="autoZero"/>
        <c:auto val="1"/>
        <c:lblAlgn val="ctr"/>
        <c:lblOffset val="100"/>
        <c:noMultiLvlLbl val="0"/>
      </c:catAx>
      <c:valAx>
        <c:axId val="370397184"/>
        <c:scaling>
          <c:orientation val="minMax"/>
          <c:max val="1"/>
        </c:scaling>
        <c:delete val="1"/>
        <c:axPos val="l"/>
        <c:majorGridlines/>
        <c:minorGridlines/>
        <c:numFmt formatCode="0.00%" sourceLinked="1"/>
        <c:majorTickMark val="out"/>
        <c:minorTickMark val="none"/>
        <c:tickLblPos val="nextTo"/>
        <c:crossAx val="370358528"/>
        <c:crosses val="autoZero"/>
        <c:crossBetween val="between"/>
      </c:valAx>
    </c:plotArea>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Sheet3!$A$14</c:f>
              <c:strCache>
                <c:ptCount val="1"/>
                <c:pt idx="0">
                  <c:v>My line manager provides me with constructive feedback </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Sheet3!$B$13:$E$13</c:f>
              <c:strCache>
                <c:ptCount val="4"/>
                <c:pt idx="0">
                  <c:v>Strongly agree</c:v>
                </c:pt>
                <c:pt idx="1">
                  <c:v>Agree</c:v>
                </c:pt>
                <c:pt idx="2">
                  <c:v>Disagree </c:v>
                </c:pt>
                <c:pt idx="3">
                  <c:v>Strongly disagree </c:v>
                </c:pt>
              </c:strCache>
            </c:strRef>
          </c:cat>
          <c:val>
            <c:numRef>
              <c:f>Sheet3!$B$14:$E$14</c:f>
              <c:numCache>
                <c:formatCode>0.00%</c:formatCode>
                <c:ptCount val="4"/>
                <c:pt idx="0">
                  <c:v>0.29360000000000003</c:v>
                </c:pt>
                <c:pt idx="1">
                  <c:v>0.27660000000000001</c:v>
                </c:pt>
                <c:pt idx="2">
                  <c:v>0.23830000000000001</c:v>
                </c:pt>
                <c:pt idx="3">
                  <c:v>0.1915</c:v>
                </c:pt>
              </c:numCache>
            </c:numRef>
          </c:val>
          <c:smooth val="0"/>
          <c:extLst>
            <c:ext xmlns:c16="http://schemas.microsoft.com/office/drawing/2014/chart" uri="{C3380CC4-5D6E-409C-BE32-E72D297353CC}">
              <c16:uniqueId val="{00000000-AFCC-4DA8-9A6E-1065625742B0}"/>
            </c:ext>
          </c:extLst>
        </c:ser>
        <c:dLbls>
          <c:dLblPos val="ctr"/>
          <c:showLegendKey val="0"/>
          <c:showVal val="1"/>
          <c:showCatName val="0"/>
          <c:showSerName val="0"/>
          <c:showPercent val="0"/>
          <c:showBubbleSize val="0"/>
        </c:dLbls>
        <c:smooth val="0"/>
        <c:axId val="371155328"/>
        <c:axId val="371156864"/>
      </c:lineChart>
      <c:catAx>
        <c:axId val="371155328"/>
        <c:scaling>
          <c:orientation val="minMax"/>
        </c:scaling>
        <c:delete val="0"/>
        <c:axPos val="b"/>
        <c:numFmt formatCode="General" sourceLinked="0"/>
        <c:majorTickMark val="none"/>
        <c:minorTickMark val="none"/>
        <c:tickLblPos val="nextTo"/>
        <c:crossAx val="371156864"/>
        <c:crosses val="autoZero"/>
        <c:auto val="1"/>
        <c:lblAlgn val="ctr"/>
        <c:lblOffset val="100"/>
        <c:noMultiLvlLbl val="0"/>
      </c:catAx>
      <c:valAx>
        <c:axId val="371156864"/>
        <c:scaling>
          <c:orientation val="minMax"/>
          <c:max val="1"/>
        </c:scaling>
        <c:delete val="1"/>
        <c:axPos val="l"/>
        <c:majorGridlines/>
        <c:minorGridlines/>
        <c:numFmt formatCode="0.00%" sourceLinked="1"/>
        <c:majorTickMark val="out"/>
        <c:minorTickMark val="none"/>
        <c:tickLblPos val="nextTo"/>
        <c:crossAx val="371155328"/>
        <c:crosses val="autoZero"/>
        <c:crossBetween val="between"/>
      </c:valAx>
    </c:plotArea>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plotArea>
      <c:layout/>
      <c:lineChart>
        <c:grouping val="standard"/>
        <c:varyColors val="0"/>
        <c:ser>
          <c:idx val="0"/>
          <c:order val="0"/>
          <c:tx>
            <c:strRef>
              <c:f>Sheet3!$A$16</c:f>
              <c:strCache>
                <c:ptCount val="1"/>
                <c:pt idx="0">
                  <c:v>My line manager provides me with learning and development opportunities so I can do my job better</c:v>
                </c:pt>
              </c:strCache>
            </c:strRef>
          </c:tx>
          <c:marker>
            <c:symbol val="none"/>
          </c:marker>
          <c:dLbls>
            <c:dLbl>
              <c:idx val="2"/>
              <c:tx>
                <c:rich>
                  <a:bodyPr/>
                  <a:lstStyle/>
                  <a:p>
                    <a:r>
                      <a:rPr lang="en-US"/>
                      <a:t>29.78%</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D88-4D86-B0AF-B0B9B38265D9}"/>
                </c:ext>
              </c:extLst>
            </c:dLbl>
            <c:dLbl>
              <c:idx val="3"/>
              <c:tx>
                <c:rich>
                  <a:bodyPr/>
                  <a:lstStyle/>
                  <a:p>
                    <a:r>
                      <a:rPr lang="en-US"/>
                      <a:t>4.26%</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D88-4D86-B0AF-B0B9B38265D9}"/>
                </c:ext>
              </c:extLst>
            </c:dLbl>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Sheet3!$B$15:$E$15</c:f>
              <c:strCache>
                <c:ptCount val="4"/>
                <c:pt idx="0">
                  <c:v>Strongly agree</c:v>
                </c:pt>
                <c:pt idx="1">
                  <c:v>Agree</c:v>
                </c:pt>
                <c:pt idx="2">
                  <c:v>Disagree </c:v>
                </c:pt>
                <c:pt idx="3">
                  <c:v>Strongly disagree </c:v>
                </c:pt>
              </c:strCache>
            </c:strRef>
          </c:cat>
          <c:val>
            <c:numRef>
              <c:f>Sheet3!$B$16:$E$16</c:f>
              <c:numCache>
                <c:formatCode>0.00%</c:formatCode>
                <c:ptCount val="4"/>
                <c:pt idx="0">
                  <c:v>0.2298</c:v>
                </c:pt>
                <c:pt idx="1">
                  <c:v>0.42980000000000002</c:v>
                </c:pt>
                <c:pt idx="2">
                  <c:v>0.2979</c:v>
                </c:pt>
                <c:pt idx="3">
                  <c:v>4.2599999999999999E-2</c:v>
                </c:pt>
              </c:numCache>
            </c:numRef>
          </c:val>
          <c:smooth val="0"/>
          <c:extLst>
            <c:ext xmlns:c16="http://schemas.microsoft.com/office/drawing/2014/chart" uri="{C3380CC4-5D6E-409C-BE32-E72D297353CC}">
              <c16:uniqueId val="{00000002-FD88-4D86-B0AF-B0B9B38265D9}"/>
            </c:ext>
          </c:extLst>
        </c:ser>
        <c:dLbls>
          <c:dLblPos val="ctr"/>
          <c:showLegendKey val="0"/>
          <c:showVal val="1"/>
          <c:showCatName val="0"/>
          <c:showSerName val="0"/>
          <c:showPercent val="0"/>
          <c:showBubbleSize val="0"/>
        </c:dLbls>
        <c:smooth val="0"/>
        <c:axId val="373764864"/>
        <c:axId val="373767552"/>
      </c:lineChart>
      <c:catAx>
        <c:axId val="373764864"/>
        <c:scaling>
          <c:orientation val="minMax"/>
        </c:scaling>
        <c:delete val="0"/>
        <c:axPos val="b"/>
        <c:numFmt formatCode="General" sourceLinked="0"/>
        <c:majorTickMark val="none"/>
        <c:minorTickMark val="none"/>
        <c:tickLblPos val="nextTo"/>
        <c:crossAx val="373767552"/>
        <c:crosses val="autoZero"/>
        <c:auto val="1"/>
        <c:lblAlgn val="ctr"/>
        <c:lblOffset val="100"/>
        <c:noMultiLvlLbl val="0"/>
      </c:catAx>
      <c:valAx>
        <c:axId val="373767552"/>
        <c:scaling>
          <c:orientation val="minMax"/>
          <c:max val="1"/>
        </c:scaling>
        <c:delete val="1"/>
        <c:axPos val="l"/>
        <c:majorGridlines/>
        <c:minorGridlines/>
        <c:numFmt formatCode="0.00%" sourceLinked="1"/>
        <c:majorTickMark val="out"/>
        <c:minorTickMark val="none"/>
        <c:tickLblPos val="nextTo"/>
        <c:crossAx val="37376486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5202</Words>
  <Characters>29656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Lowri</dc:creator>
  <cp:lastModifiedBy>Lowri Davies (2413580)</cp:lastModifiedBy>
  <cp:revision>2</cp:revision>
  <dcterms:created xsi:type="dcterms:W3CDTF">2025-03-05T08:32:00Z</dcterms:created>
  <dcterms:modified xsi:type="dcterms:W3CDTF">2025-03-05T08:32:00Z</dcterms:modified>
</cp:coreProperties>
</file>