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8E5423E" wp14:paraId="00766BA1" wp14:textId="3D1D2C45">
      <w:pPr>
        <w:spacing w:before="0" w:beforeAutospacing="off" w:after="160" w:afterAutospacing="off"/>
      </w:pPr>
      <w:r w:rsidR="0F8BCBB1">
        <w:drawing>
          <wp:inline xmlns:wp14="http://schemas.microsoft.com/office/word/2010/wordprocessingDrawing" wp14:editId="16896390" wp14:anchorId="5FDEAA2E">
            <wp:extent cx="3524250" cy="1400175"/>
            <wp:effectExtent l="0" t="0" r="0" b="0"/>
            <wp:docPr id="29566702" name="" descr="A close-up of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8791557fddf44df0">
                      <a:extLst>
                        <a:ext xmlns:a="http://schemas.openxmlformats.org/drawingml/2006/main" uri="{28A0092B-C50C-407E-A947-70E740481C1C}">
                          <a14:useLocalDpi val="0"/>
                        </a:ext>
                      </a:extLst>
                    </a:blip>
                    <a:stretch>
                      <a:fillRect/>
                    </a:stretch>
                  </pic:blipFill>
                  <pic:spPr>
                    <a:xfrm>
                      <a:off x="0" y="0"/>
                      <a:ext cx="3524250" cy="1400175"/>
                    </a:xfrm>
                    <a:prstGeom prst="rect">
                      <a:avLst/>
                    </a:prstGeom>
                  </pic:spPr>
                </pic:pic>
              </a:graphicData>
            </a:graphic>
          </wp:inline>
        </w:drawing>
      </w:r>
    </w:p>
    <w:p xmlns:wp14="http://schemas.microsoft.com/office/word/2010/wordml" wp14:paraId="3E6228C9" wp14:textId="57F8F236"/>
    <w:p xmlns:wp14="http://schemas.microsoft.com/office/word/2010/wordml" wp14:paraId="5DB74B0A" wp14:textId="0C969DC0"/>
    <w:p xmlns:wp14="http://schemas.microsoft.com/office/word/2010/wordml" w:rsidP="48E5423E" wp14:paraId="2449239B" wp14:textId="664FF0E3">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52"/>
          <w:szCs w:val="52"/>
          <w:u w:val="none"/>
          <w:lang w:val="en-US"/>
        </w:rPr>
        <w:t xml:space="preserve">Module Code:  </w:t>
      </w:r>
      <w:r w:rsidRPr="48E5423E" w:rsidR="0F8BCBB1">
        <w:rPr>
          <w:rFonts w:ascii="Aptos" w:hAnsi="Aptos" w:eastAsia="Aptos" w:cs="Aptos"/>
          <w:b w:val="1"/>
          <w:bCs w:val="1"/>
          <w:i w:val="0"/>
          <w:iCs w:val="0"/>
          <w:strike w:val="0"/>
          <w:dstrike w:val="0"/>
          <w:noProof w:val="0"/>
          <w:color w:val="000000" w:themeColor="text1" w:themeTint="FF" w:themeShade="FF"/>
          <w:sz w:val="48"/>
          <w:szCs w:val="48"/>
          <w:u w:val="none"/>
          <w:lang w:val="en-US"/>
        </w:rPr>
        <w:t>ECAD5014</w:t>
      </w:r>
    </w:p>
    <w:p xmlns:wp14="http://schemas.microsoft.com/office/word/2010/wordml" wp14:paraId="3AFF8A22" wp14:textId="00B1EEB9"/>
    <w:p xmlns:wp14="http://schemas.microsoft.com/office/word/2010/wordml" w:rsidP="48E5423E" wp14:paraId="7E3985C2" wp14:textId="0ADECE6F">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52"/>
          <w:szCs w:val="52"/>
          <w:u w:val="none"/>
          <w:lang w:val="en-US"/>
        </w:rPr>
        <w:t xml:space="preserve">Assignment Title: </w:t>
      </w:r>
    </w:p>
    <w:p xmlns:wp14="http://schemas.microsoft.com/office/word/2010/wordml" w:rsidP="48E5423E" wp14:paraId="15302307" wp14:textId="765C64EA">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44"/>
          <w:szCs w:val="44"/>
          <w:u w:val="none"/>
          <w:lang w:val="en-US"/>
        </w:rPr>
        <w:t>Design and conduct a small-scale research study, and critically evaluate the chosen research tools, and the impact of your findings on your professional practice.</w:t>
      </w:r>
    </w:p>
    <w:p xmlns:wp14="http://schemas.microsoft.com/office/word/2010/wordml" wp14:paraId="0729A4DC" wp14:textId="22882DA8"/>
    <w:p xmlns:wp14="http://schemas.microsoft.com/office/word/2010/wordml" w:rsidP="48E5423E" wp14:paraId="3D372538" wp14:textId="36DDA39B">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52"/>
          <w:szCs w:val="52"/>
          <w:u w:val="none"/>
          <w:lang w:val="en-US"/>
        </w:rPr>
        <w:t>Student Name: Rosie Megrath</w:t>
      </w:r>
    </w:p>
    <w:p xmlns:wp14="http://schemas.microsoft.com/office/word/2010/wordml" w:rsidP="48E5423E" wp14:paraId="1EC5C990" wp14:textId="283C5733">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52"/>
          <w:szCs w:val="52"/>
          <w:u w:val="none"/>
          <w:lang w:val="en-US"/>
        </w:rPr>
        <w:t>Student Number: 2205120</w:t>
      </w:r>
    </w:p>
    <w:p xmlns:wp14="http://schemas.microsoft.com/office/word/2010/wordml" w:rsidP="48E5423E" wp14:paraId="00267F72" wp14:textId="1F035BD0">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52"/>
          <w:szCs w:val="52"/>
          <w:u w:val="none"/>
          <w:lang w:val="en-US"/>
        </w:rPr>
        <w:t>BA Primary Education (QTS)</w:t>
      </w:r>
    </w:p>
    <w:p xmlns:wp14="http://schemas.microsoft.com/office/word/2010/wordml" wp14:paraId="4285259F" wp14:textId="596A980A"/>
    <w:p xmlns:wp14="http://schemas.microsoft.com/office/word/2010/wordml" wp14:paraId="61203012" wp14:textId="09C628AC"/>
    <w:p xmlns:wp14="http://schemas.microsoft.com/office/word/2010/wordml" w:rsidP="48E5423E" wp14:paraId="681C73AB" wp14:textId="4A57A158">
      <w:pPr>
        <w:spacing w:before="0" w:beforeAutospacing="off" w:after="160" w:afterAutospacing="off"/>
        <w:rPr>
          <w:rFonts w:ascii="Aptos" w:hAnsi="Aptos" w:eastAsia="Aptos" w:cs="Aptos"/>
          <w:b w:val="1"/>
          <w:bCs w:val="1"/>
          <w:i w:val="0"/>
          <w:iCs w:val="0"/>
          <w:strike w:val="0"/>
          <w:dstrike w:val="0"/>
          <w:noProof w:val="0"/>
          <w:color w:val="000000" w:themeColor="text1" w:themeTint="FF" w:themeShade="FF"/>
          <w:sz w:val="32"/>
          <w:szCs w:val="32"/>
          <w:u w:val="single"/>
          <w:lang w:val="en-US"/>
        </w:rPr>
      </w:pPr>
    </w:p>
    <w:p xmlns:wp14="http://schemas.microsoft.com/office/word/2010/wordml" w:rsidP="48E5423E" wp14:paraId="545F2364" wp14:textId="2FD9128E">
      <w:pPr>
        <w:spacing w:before="0" w:beforeAutospacing="off" w:after="160" w:afterAutospacing="off"/>
      </w:pPr>
      <w:r w:rsidRPr="48E5423E" w:rsidR="0F8BCBB1">
        <w:rPr>
          <w:rFonts w:ascii="Aptos" w:hAnsi="Aptos" w:eastAsia="Aptos" w:cs="Aptos"/>
          <w:b w:val="1"/>
          <w:bCs w:val="1"/>
          <w:i w:val="0"/>
          <w:iCs w:val="0"/>
          <w:strike w:val="0"/>
          <w:dstrike w:val="0"/>
          <w:noProof w:val="0"/>
          <w:color w:val="000000" w:themeColor="text1" w:themeTint="FF" w:themeShade="FF"/>
          <w:sz w:val="32"/>
          <w:szCs w:val="32"/>
          <w:u w:val="single"/>
          <w:lang w:val="en-US"/>
        </w:rPr>
        <w:t>AI Acknowledgement</w:t>
      </w:r>
    </w:p>
    <w:p xmlns:wp14="http://schemas.microsoft.com/office/word/2010/wordml" w:rsidP="48E5423E" wp14:paraId="008D636E" wp14:textId="0D960144">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I acknowledge the use of Word Counter (</w:t>
      </w:r>
      <w:hyperlink r:id="Rc6a35724a23744f4">
        <w:r w:rsidRPr="48E5423E" w:rsidR="0F8BCBB1">
          <w:rPr>
            <w:rStyle w:val="Hyperlink"/>
            <w:rFonts w:ascii="Aptos" w:hAnsi="Aptos" w:eastAsia="Aptos" w:cs="Aptos"/>
            <w:b w:val="0"/>
            <w:bCs w:val="0"/>
            <w:i w:val="0"/>
            <w:iCs w:val="0"/>
            <w:strike w:val="0"/>
            <w:dstrike w:val="0"/>
            <w:noProof w:val="0"/>
            <w:color w:val="1155CC"/>
            <w:sz w:val="24"/>
            <w:szCs w:val="24"/>
            <w:u w:val="none"/>
            <w:lang w:val="en-US"/>
          </w:rPr>
          <w:t>https://wordcounter.net/</w:t>
        </w:r>
      </w:hyperlink>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 on 3 April 2025 to check word count, spelling and grammar. </w:t>
      </w:r>
    </w:p>
    <w:p xmlns:wp14="http://schemas.microsoft.com/office/word/2010/wordml" w:rsidP="48E5423E" wp14:paraId="2C5F6EDD" wp14:textId="0409380F">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I acknowledge the use of ChatGPT (</w:t>
      </w:r>
      <w:hyperlink r:id="R60444bb0bd21449f">
        <w:r w:rsidRPr="48E5423E" w:rsidR="0F8BCBB1">
          <w:rPr>
            <w:rStyle w:val="Hyperlink"/>
            <w:rFonts w:ascii="Aptos" w:hAnsi="Aptos" w:eastAsia="Aptos" w:cs="Aptos"/>
            <w:b w:val="0"/>
            <w:bCs w:val="0"/>
            <w:i w:val="0"/>
            <w:iCs w:val="0"/>
            <w:strike w:val="0"/>
            <w:dstrike w:val="0"/>
            <w:noProof w:val="0"/>
            <w:color w:val="1155CC"/>
            <w:sz w:val="24"/>
            <w:szCs w:val="24"/>
            <w:u w:val="none"/>
            <w:lang w:val="en-US"/>
          </w:rPr>
          <w:t>https://chatgpt.com/</w:t>
        </w:r>
      </w:hyperlink>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 on 3 April using the following prompts:</w:t>
      </w:r>
    </w:p>
    <w:p xmlns:wp14="http://schemas.microsoft.com/office/word/2010/wordml" w:rsidP="48E5423E" wp14:paraId="2344A9AE" wp14:textId="7D685AAD">
      <w:pPr>
        <w:pStyle w:val="ListParagraph"/>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Place this reference list in alphabetical order</w:t>
      </w:r>
    </w:p>
    <w:p xmlns:wp14="http://schemas.microsoft.com/office/word/2010/wordml" w:rsidP="48E5423E" wp14:paraId="3CA6B774" wp14:textId="09AF00A6">
      <w:pPr>
        <w:pStyle w:val="ListParagraph"/>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US"/>
        </w:rPr>
      </w:pPr>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Provide me with relevant literature on self-assessment</w:t>
      </w:r>
    </w:p>
    <w:p xmlns:wp14="http://schemas.microsoft.com/office/word/2010/wordml" w:rsidP="48E5423E" wp14:paraId="021A737E" wp14:textId="70A615DD">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I confirm that I have not presented any AI generated text as my own work. </w:t>
      </w:r>
    </w:p>
    <w:p xmlns:wp14="http://schemas.microsoft.com/office/word/2010/wordml" w:rsidP="48E5423E" wp14:paraId="3DC233A4" wp14:textId="25345A56">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4"/>
          <w:szCs w:val="24"/>
          <w:u w:val="none"/>
          <w:lang w:val="en-US"/>
        </w:rPr>
        <w:t xml:space="preserve">I confirm that I have copies of my drafts, notes, and other resources I used before and after the use of AI tools which I may be asked to provide in evidence. </w:t>
      </w:r>
    </w:p>
    <w:p xmlns:wp14="http://schemas.microsoft.com/office/word/2010/wordml" wp14:paraId="3E9D3847" wp14:textId="290FE265"/>
    <w:p xmlns:wp14="http://schemas.microsoft.com/office/word/2010/wordml" wp14:paraId="023A69D2" wp14:textId="43614B06"/>
    <w:p xmlns:wp14="http://schemas.microsoft.com/office/word/2010/wordml" w:rsidP="48E5423E" wp14:paraId="57DC5B2F" wp14:textId="3836DD08">
      <w:pPr>
        <w:pStyle w:val="Normal"/>
      </w:pPr>
    </w:p>
    <w:p xmlns:wp14="http://schemas.microsoft.com/office/word/2010/wordml" wp14:paraId="037A03E2" wp14:textId="6DE313AB"/>
    <w:tbl>
      <w:tblPr>
        <w:tblStyle w:val="TableNormal"/>
        <w:tblW w:w="0" w:type="auto"/>
        <w:tblLayout w:type="fixed"/>
        <w:tblLook w:val="06A0" w:firstRow="1" w:lastRow="0" w:firstColumn="1" w:lastColumn="0" w:noHBand="1" w:noVBand="1"/>
      </w:tblPr>
      <w:tblGrid>
        <w:gridCol w:w="3030"/>
        <w:gridCol w:w="2895"/>
        <w:gridCol w:w="2685"/>
      </w:tblGrid>
      <w:tr w:rsidR="48E5423E" w:rsidTr="48E5423E" w14:paraId="7DE6AD52">
        <w:trPr>
          <w:trHeight w:val="360"/>
        </w:trPr>
        <w:tc>
          <w:tcPr>
            <w:tcW w:w="30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252BCAAF" w14:textId="4E3B53A0">
            <w:pPr>
              <w:spacing w:before="0" w:beforeAutospacing="off" w:after="0" w:afterAutospacing="off"/>
            </w:pPr>
            <w:r w:rsidRPr="48E5423E" w:rsidR="48E5423E">
              <w:rPr>
                <w:rFonts w:ascii="Aptos" w:hAnsi="Aptos" w:eastAsia="Aptos" w:cs="Aptos"/>
                <w:b w:val="1"/>
                <w:bCs w:val="1"/>
                <w:i w:val="0"/>
                <w:iCs w:val="0"/>
                <w:strike w:val="0"/>
                <w:dstrike w:val="0"/>
                <w:color w:val="000000" w:themeColor="text1" w:themeTint="FF" w:themeShade="FF"/>
                <w:sz w:val="28"/>
                <w:szCs w:val="28"/>
                <w:u w:val="none"/>
              </w:rPr>
              <w:t>Targets from previous module</w:t>
            </w:r>
          </w:p>
        </w:tc>
        <w:tc>
          <w:tcPr>
            <w:tcW w:w="289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0F1D9975" w14:textId="7636D7C5">
            <w:pPr>
              <w:spacing w:before="0" w:beforeAutospacing="off" w:after="0" w:afterAutospacing="off"/>
            </w:pPr>
            <w:r w:rsidRPr="48E5423E" w:rsidR="48E5423E">
              <w:rPr>
                <w:rFonts w:ascii="Aptos" w:hAnsi="Aptos" w:eastAsia="Aptos" w:cs="Aptos"/>
                <w:b w:val="1"/>
                <w:bCs w:val="1"/>
                <w:i w:val="0"/>
                <w:iCs w:val="0"/>
                <w:strike w:val="0"/>
                <w:dstrike w:val="0"/>
                <w:color w:val="000000" w:themeColor="text1" w:themeTint="FF" w:themeShade="FF"/>
                <w:sz w:val="28"/>
                <w:szCs w:val="28"/>
                <w:u w:val="none"/>
              </w:rPr>
              <w:t>How I have worked on these?</w:t>
            </w:r>
          </w:p>
        </w:tc>
        <w:tc>
          <w:tcPr>
            <w:tcW w:w="26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0EF2B458" w14:textId="7B7010A1">
            <w:pPr>
              <w:spacing w:before="0" w:beforeAutospacing="off" w:after="0" w:afterAutospacing="off"/>
            </w:pPr>
            <w:r w:rsidRPr="48E5423E" w:rsidR="48E5423E">
              <w:rPr>
                <w:rFonts w:ascii="Calibri" w:hAnsi="Calibri" w:eastAsia="Calibri" w:cs="Calibri"/>
                <w:b w:val="1"/>
                <w:bCs w:val="1"/>
                <w:i w:val="0"/>
                <w:iCs w:val="0"/>
                <w:strike w:val="0"/>
                <w:dstrike w:val="0"/>
                <w:color w:val="000000" w:themeColor="text1" w:themeTint="FF" w:themeShade="FF"/>
                <w:sz w:val="28"/>
                <w:szCs w:val="28"/>
                <w:u w:val="none"/>
              </w:rPr>
              <w:t>An example can be seen on…</w:t>
            </w:r>
          </w:p>
          <w:p w:rsidR="48E5423E" w:rsidP="48E5423E" w:rsidRDefault="48E5423E" w14:paraId="2E7D2621" w14:textId="51AE4809">
            <w:pPr>
              <w:spacing w:before="0" w:beforeAutospacing="off" w:after="0" w:afterAutospacing="off"/>
            </w:pPr>
          </w:p>
        </w:tc>
      </w:tr>
      <w:tr w:rsidR="48E5423E" w:rsidTr="48E5423E" w14:paraId="26CA21C4">
        <w:trPr>
          <w:trHeight w:val="345"/>
        </w:trPr>
        <w:tc>
          <w:tcPr>
            <w:tcW w:w="30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4E3E8AE" w:rsidP="48E5423E" w:rsidRDefault="24E3E8AE" w14:paraId="0C56E35F" w14:textId="6F110FD4">
            <w:pPr>
              <w:spacing w:before="0" w:beforeAutospacing="off" w:after="0" w:afterAutospacing="off"/>
            </w:pPr>
            <w:r w:rsidR="24E3E8AE">
              <w:rPr/>
              <w:t>Work on sentence and paragraph structure</w:t>
            </w:r>
            <w:r w:rsidR="3DAE4DCE">
              <w:rPr/>
              <w:t>.</w:t>
            </w:r>
          </w:p>
          <w:p w:rsidR="48E5423E" w:rsidP="48E5423E" w:rsidRDefault="48E5423E" w14:paraId="1357288D" w14:textId="7AFC9A32">
            <w:pPr>
              <w:spacing w:before="0" w:beforeAutospacing="off" w:after="0" w:afterAutospacing="off"/>
            </w:pPr>
          </w:p>
        </w:tc>
        <w:tc>
          <w:tcPr>
            <w:tcW w:w="289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DCFA1C3" w:rsidP="48E5423E" w:rsidRDefault="6DCFA1C3" w14:paraId="4F5D8C1E" w14:textId="2F0DDD6C">
            <w:pPr>
              <w:spacing w:before="0" w:beforeAutospacing="off" w:after="0" w:afterAutospacing="off"/>
            </w:pPr>
            <w:r w:rsidR="6DCFA1C3">
              <w:rPr/>
              <w:t>I have worked on my sentences and paragraphs to give my assignment a better structure by showing clear hea</w:t>
            </w:r>
            <w:r w:rsidR="02F56511">
              <w:rPr/>
              <w:t>dings.</w:t>
            </w:r>
          </w:p>
        </w:tc>
        <w:tc>
          <w:tcPr>
            <w:tcW w:w="26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0487CA82" w14:textId="2F8960BE">
            <w:pPr>
              <w:spacing w:before="0" w:beforeAutospacing="off" w:after="0" w:afterAutospacing="off"/>
            </w:pPr>
          </w:p>
        </w:tc>
      </w:tr>
      <w:tr w:rsidR="48E5423E" w:rsidTr="48E5423E" w14:paraId="4BE53D21">
        <w:trPr>
          <w:trHeight w:val="345"/>
        </w:trPr>
        <w:tc>
          <w:tcPr>
            <w:tcW w:w="30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2F56511" w:rsidP="48E5423E" w:rsidRDefault="02F56511" w14:paraId="2C7BDC78" w14:textId="03704D30">
            <w:pPr>
              <w:spacing w:before="0" w:beforeAutospacing="off" w:after="0" w:afterAutospacing="off"/>
            </w:pPr>
            <w:r w:rsidR="02F56511">
              <w:rPr/>
              <w:t xml:space="preserve">Continue to draw on </w:t>
            </w:r>
            <w:r w:rsidR="66F78EB2">
              <w:rPr/>
              <w:t>independent</w:t>
            </w:r>
            <w:r w:rsidR="02F56511">
              <w:rPr/>
              <w:t xml:space="preserve"> sources and literature to develop a supported critical approach throughout, offering the opposing view whenever possible.</w:t>
            </w:r>
          </w:p>
          <w:p w:rsidR="48E5423E" w:rsidP="48E5423E" w:rsidRDefault="48E5423E" w14:paraId="258A1C5C" w14:textId="0BE755F0">
            <w:pPr>
              <w:spacing w:before="0" w:beforeAutospacing="off" w:after="0" w:afterAutospacing="off"/>
            </w:pPr>
          </w:p>
        </w:tc>
        <w:tc>
          <w:tcPr>
            <w:tcW w:w="289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7C93FBC" w:rsidP="48E5423E" w:rsidRDefault="07C93FBC" w14:paraId="0599D926" w14:textId="42D0AAC8">
            <w:pPr>
              <w:spacing w:before="0" w:beforeAutospacing="off" w:after="0" w:afterAutospacing="off"/>
            </w:pPr>
            <w:r w:rsidR="07C93FBC">
              <w:rPr/>
              <w:t xml:space="preserve">I have used relevant literature and offered opposing views </w:t>
            </w:r>
            <w:r w:rsidR="07C93FBC">
              <w:rPr/>
              <w:t>wherever</w:t>
            </w:r>
            <w:r w:rsidR="07C93FBC">
              <w:rPr/>
              <w:t xml:space="preserve"> I can</w:t>
            </w:r>
          </w:p>
        </w:tc>
        <w:tc>
          <w:tcPr>
            <w:tcW w:w="26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3FBFA166" w14:textId="7C235FF3">
            <w:pPr>
              <w:spacing w:before="0" w:beforeAutospacing="off" w:after="0" w:afterAutospacing="off"/>
            </w:pPr>
          </w:p>
        </w:tc>
      </w:tr>
      <w:tr w:rsidR="48E5423E" w:rsidTr="48E5423E" w14:paraId="2518EC91">
        <w:trPr>
          <w:trHeight w:val="345"/>
        </w:trPr>
        <w:tc>
          <w:tcPr>
            <w:tcW w:w="303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77AEC510" w14:textId="250425A3">
            <w:pPr>
              <w:spacing w:before="0" w:beforeAutospacing="off" w:after="0" w:afterAutospacing="off"/>
            </w:pPr>
          </w:p>
          <w:p w:rsidR="48E5423E" w:rsidP="48E5423E" w:rsidRDefault="48E5423E" w14:paraId="1960E798" w14:textId="411F265F">
            <w:pPr>
              <w:spacing w:before="0" w:beforeAutospacing="off" w:after="0" w:afterAutospacing="off"/>
            </w:pPr>
          </w:p>
        </w:tc>
        <w:tc>
          <w:tcPr>
            <w:tcW w:w="289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553BA181" w14:textId="09E3AD11">
            <w:pPr>
              <w:spacing w:before="0" w:beforeAutospacing="off" w:after="0" w:afterAutospacing="off"/>
            </w:pPr>
          </w:p>
        </w:tc>
        <w:tc>
          <w:tcPr>
            <w:tcW w:w="26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E5423E" w:rsidP="48E5423E" w:rsidRDefault="48E5423E" w14:paraId="23B4BA0A" w14:textId="15343631">
            <w:pPr>
              <w:spacing w:before="0" w:beforeAutospacing="off" w:after="0" w:afterAutospacing="off"/>
            </w:pPr>
          </w:p>
        </w:tc>
      </w:tr>
    </w:tbl>
    <w:p xmlns:wp14="http://schemas.microsoft.com/office/word/2010/wordml" w:rsidP="48E5423E" wp14:paraId="4FB3E3AB" wp14:textId="516B713D">
      <w:pPr>
        <w:pStyle w:val="Normal"/>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48E5423E" wp14:paraId="374DC894" wp14:textId="70C3C58C">
      <w:pPr>
        <w:pStyle w:val="Normal"/>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48E5423E" wp14:paraId="4C043091" wp14:textId="2D903FB4">
      <w:pPr>
        <w:pStyle w:val="Normal"/>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48E5423E" wp14:paraId="3775B2E6" wp14:textId="47432EF3">
      <w:pPr>
        <w:pStyle w:val="Normal"/>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48E5423E" wp14:paraId="1F7BF14C" wp14:textId="4FB9C749">
      <w:pPr>
        <w:pStyle w:val="Normal"/>
      </w:pPr>
      <w:r w:rsidRPr="48E5423E" w:rsidR="0F8BCBB1">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What </w:t>
      </w:r>
      <w:r w:rsidRPr="48E5423E" w:rsidR="0F8BCBB1">
        <w:rPr>
          <w:rFonts w:ascii="Aptos" w:hAnsi="Aptos" w:eastAsia="Aptos" w:cs="Aptos"/>
          <w:b w:val="0"/>
          <w:bCs w:val="0"/>
          <w:i w:val="0"/>
          <w:iCs w:val="0"/>
          <w:strike w:val="0"/>
          <w:dstrike w:val="0"/>
          <w:noProof w:val="0"/>
          <w:color w:val="000000" w:themeColor="text1" w:themeTint="FF" w:themeShade="FF"/>
          <w:sz w:val="36"/>
          <w:szCs w:val="36"/>
          <w:u w:val="none"/>
          <w:lang w:val="en-US"/>
        </w:rPr>
        <w:t>are</w:t>
      </w:r>
      <w:r w:rsidRPr="48E5423E" w:rsidR="0F8BCBB1">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Year 6 Staff and Learners’ Perceptions of using Self-assessment to Improve Learning?</w:t>
      </w:r>
    </w:p>
    <w:p xmlns:wp14="http://schemas.microsoft.com/office/word/2010/wordml" wp14:paraId="21E1E728" wp14:textId="39B14530"/>
    <w:p xmlns:wp14="http://schemas.microsoft.com/office/word/2010/wordml" w:rsidP="48E5423E" wp14:paraId="1B972839" wp14:textId="574C1C3A">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Introduction</w:t>
      </w:r>
    </w:p>
    <w:p xmlns:wp14="http://schemas.microsoft.com/office/word/2010/wordml" w:rsidP="48E5423E" wp14:paraId="7297ACBE" wp14:textId="4787B411">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In recent years, self-assessment has gained attention as a valuable tool in primary education, particularly within the framework of Assessment for Learning (AFL). Self-assessment enables learners to reflect on their progress, identify areas for improvement, and take greater ownership of their learning journey. According to Gov.UK (no date), effective self-assessment can give pupils the opportunity to think carefully about their own learning and to support self-regulation and independence. The introduction of the </w:t>
      </w:r>
      <w:r w:rsidRPr="48E5423E" w:rsidR="0F8BCBB1">
        <w:rPr>
          <w:rFonts w:ascii="Aptos" w:hAnsi="Aptos" w:eastAsia="Aptos" w:cs="Aptos"/>
          <w:b w:val="0"/>
          <w:bCs w:val="0"/>
          <w:i w:val="1"/>
          <w:iCs w:val="1"/>
          <w:strike w:val="0"/>
          <w:dstrike w:val="0"/>
          <w:noProof w:val="0"/>
          <w:color w:val="000000" w:themeColor="text1" w:themeTint="FF" w:themeShade="FF"/>
          <w:sz w:val="22"/>
          <w:szCs w:val="22"/>
          <w:u w:val="none"/>
          <w:lang w:val="en-US"/>
        </w:rPr>
        <w:t>Curriculum for Wales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(Welsh Government, 2022) emphasizes a shift towards a more learner-centered approach, aligning with the recommendations made by Donaldson (2015) in </w:t>
      </w:r>
      <w:r w:rsidRPr="48E5423E" w:rsidR="0F8BCBB1">
        <w:rPr>
          <w:rFonts w:ascii="Aptos" w:hAnsi="Aptos" w:eastAsia="Aptos" w:cs="Aptos"/>
          <w:b w:val="0"/>
          <w:bCs w:val="0"/>
          <w:i w:val="1"/>
          <w:iCs w:val="1"/>
          <w:strike w:val="0"/>
          <w:dstrike w:val="0"/>
          <w:noProof w:val="0"/>
          <w:color w:val="000000" w:themeColor="text1" w:themeTint="FF" w:themeShade="FF"/>
          <w:sz w:val="22"/>
          <w:szCs w:val="22"/>
          <w:u w:val="none"/>
          <w:lang w:val="en-US"/>
        </w:rPr>
        <w:t>Successful Futures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This curriculum reform highlights the importance of developing ambitious, capable learners who can assess their own progress and set goals for improvement. However, the effectiveness of self-assessment depends on both learners' ability to assess themselves accurately and teachers' perceptions of its role in the classroom.</w:t>
      </w:r>
    </w:p>
    <w:p xmlns:wp14="http://schemas.microsoft.com/office/word/2010/wordml" w:rsidP="48E5423E" wp14:paraId="7E5CEB18" wp14:textId="26D447AB">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This study explores the perceptions of Year 6 staff and learners regarding the use of self-assessment to improve learning. The research aims to investigate how self-assessment is understood and implemented, the benefits it offers, and any challenges that may arise. By gathering insights from both learners and teachers, the study seeks to contribute to the discussion on effective assessment strategies and their impact on student learning, particularly within the context of the evolving Welsh education system.</w:t>
      </w:r>
    </w:p>
    <w:p xmlns:wp14="http://schemas.microsoft.com/office/word/2010/wordml" w:rsidP="48E5423E" wp14:paraId="60482EFD" wp14:textId="2CD72CAF">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The essay will begin with a review of relevant literature, including key theories on self-assessment and its role in the new Welsh curriculum. This will be followed by an explanation of the methodology, an analysis of findings, and a discussion of their implications for teaching practice.</w:t>
      </w:r>
    </w:p>
    <w:p xmlns:wp14="http://schemas.microsoft.com/office/word/2010/wordml" wp14:paraId="001C4E22" wp14:textId="2D0B7C04"/>
    <w:p xmlns:wp14="http://schemas.microsoft.com/office/word/2010/wordml" w:rsidP="48E5423E" wp14:paraId="0498EAAB" wp14:textId="29AA0EB0">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Literature Review</w:t>
      </w:r>
    </w:p>
    <w:p xmlns:wp14="http://schemas.microsoft.com/office/word/2010/wordml" w:rsidP="48E5423E" wp14:paraId="3709471D" wp14:textId="4866D76B">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Self-assessment is a formative assessment strategy that encourages learners to evaluate their own work against specific criteria to monitor progress and set learning goals (Boud, 1995). It is a key element of </w:t>
      </w:r>
      <w:r w:rsidRPr="48E5423E" w:rsidR="0F8BCBB1">
        <w:rPr>
          <w:rFonts w:ascii="Aptos" w:hAnsi="Aptos" w:eastAsia="Aptos" w:cs="Aptos"/>
          <w:b w:val="0"/>
          <w:bCs w:val="0"/>
          <w:i w:val="1"/>
          <w:iCs w:val="1"/>
          <w:strike w:val="0"/>
          <w:dstrike w:val="0"/>
          <w:noProof w:val="0"/>
          <w:color w:val="000000" w:themeColor="text1" w:themeTint="FF" w:themeShade="FF"/>
          <w:sz w:val="22"/>
          <w:szCs w:val="22"/>
          <w:u w:val="none"/>
          <w:lang w:val="en-US"/>
        </w:rPr>
        <w:t>Assessment for Learning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(AfL), which aims to develop learners’ ability to reflect on their performance and take an active role in their educational journey (Black &amp; Wiliam, 1998). Through self-assessment, students engage in metacognitive processes that enhance their awareness of strengths and areas for improvement, making learning more meaningful and personalized (Andrade, 2010).</w:t>
      </w:r>
    </w:p>
    <w:p xmlns:wp14="http://schemas.microsoft.com/office/word/2010/wordml" w:rsidP="48E5423E" wp14:paraId="461D50DA" wp14:textId="0675B36F">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Research on self-assessment is rooted in theories of metacognition and self-regulated learning. Black and Wiliam’s (1998) </w:t>
      </w:r>
      <w:r w:rsidRPr="48E5423E" w:rsidR="0F8BCBB1">
        <w:rPr>
          <w:rFonts w:ascii="Aptos" w:hAnsi="Aptos" w:eastAsia="Aptos" w:cs="Aptos"/>
          <w:b w:val="0"/>
          <w:bCs w:val="0"/>
          <w:i w:val="1"/>
          <w:iCs w:val="1"/>
          <w:strike w:val="0"/>
          <w:dstrike w:val="0"/>
          <w:noProof w:val="0"/>
          <w:color w:val="000000" w:themeColor="text1" w:themeTint="FF" w:themeShade="FF"/>
          <w:sz w:val="22"/>
          <w:szCs w:val="22"/>
          <w:u w:val="none"/>
          <w:lang w:val="en-US"/>
        </w:rPr>
        <w:t>Inside the Black Box</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highlights how formative assessment, including self-assessment, significantly improves student achievement. Brown and Harris (2013) further argue that self-assessment encourages learner autonomy and motivation by helping students take responsibility for their learning. Zimmerman’s (2002) model of self-regulated learning also emphasizes self-assessment as a key strategy in developing independent learners who can set goals, monitor progress, and adapt their learning strategies accordingly. This aligns with Vygotsky’s (1978) concept of the zone of proximal development, where students can advance their learning through guided reflection and self-awareness.</w:t>
      </w:r>
    </w:p>
    <w:p xmlns:wp14="http://schemas.microsoft.com/office/word/2010/wordml" w:rsidP="48E5423E" wp14:paraId="14A70106" wp14:textId="78943F83">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Self-assessment provides many advantages. For example, according to Andrade and Du (2007), self-assessment encourages learner autonomy and metacognition. Research suggests that self-assessment encourages metacognitive skills, which are essential for independent learning and academic success. Therefore, by reflecting on their performance, students become more aware of their strengths and weaknesses, allowing them to take responsibility for their learning. Similarly, Nicol and Macfarlane-Dick (2006) suggest that self-assessment enhances motivation and engagement. They found that when students actively engage and participate in assessment, they are more likely to take ownership of their learning, which increases intrinsic motivation and engagement. This is particularly beneficial in primary education, where encouraging a positive learning mindset is crucial. Furthermore, Brookhart (2013) suggests that self-assessment allows learners to identify personal learning needs and adapt strategies accordingly. This is particularly valuable in mixed-ability classrooms, where students require tailored support to meet their individual learning outcomes. Therefore, Brookhart states that self-assessment supports differentiated learning.</w:t>
      </w:r>
    </w:p>
    <w:p xmlns:wp14="http://schemas.microsoft.com/office/word/2010/wordml" w:rsidP="48E5423E" wp14:paraId="26BE0E7A" wp14:textId="721FA162">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However, despite its benefits, self-assessment also presents several challenges. One critique being the reliability of self-assessment. Kruger and Dunning (1999) found that students may struggle to accurately assess their own work, leading to potential overestimation or underestimation of their abilities. This is relevant in primary education, where learners may lack the experience or critical thinking skills to objectively evaluate their performance. Boud and Falchikov (1989) also suggested that there may be a potential bias in learners’ self-evaluation. For example, some students may lack the skills or confidence to accurately self-assess themselves objectively, leading to biased reflections that may not align with their actual performance. This can result in either overconfidence or self-doubt, both of which can impact their learning outcomes. Finally, Andrade (2019) suggested that another critique of using self-assessment is that it may have a negative impact on the need for teacher guidance. Despite him finding that self-assessment can encourage learner autonomy and metacognition, Andrade also found that effective self-assessment requires clear success criteria and structured guidance from teachers. Without proper instruction and feedback, students may not fully understand how to assess their own work constructively.</w:t>
      </w:r>
    </w:p>
    <w:p xmlns:wp14="http://schemas.microsoft.com/office/word/2010/wordml" w:rsidP="48E5423E" wp14:paraId="622B61E3" wp14:textId="07FF145B">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The Curriculum for Wales (Welsh Government, 2022) emphasises learner agency and self-regulation, aligning with Donaldson’s (2015) vision in Successful Futures. The new curriculum promotes a shift from teacher-led assessment to a more student-centred approach, where learners actively engage in their own progress. Self-assessment is a key component in developing “Ambitious, Capable Learners”, which is one of the curriculum’s four purposes. Teachers are therefore encouraged to integrate self-assessment practices to encourage reflection, resilience and independence in learning. The emphasis on self-assessment within the Welsh curriculum aligns with broader international trends towards formative assessment and student-led learning, as seen in education st=ystems in Finland and New Zealand (OECD, 2018).</w:t>
      </w:r>
    </w:p>
    <w:p xmlns:wp14="http://schemas.microsoft.com/office/word/2010/wordml" wp14:paraId="6E41AB2B" wp14:textId="7F35A72D"/>
    <w:p xmlns:wp14="http://schemas.microsoft.com/office/word/2010/wordml" wp14:paraId="01AF2CC1" wp14:textId="6D7F9FE4"/>
    <w:p xmlns:wp14="http://schemas.microsoft.com/office/word/2010/wordml" w:rsidP="48E5423E" wp14:paraId="6B13741F" wp14:textId="03660FB3">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Methodology</w:t>
      </w:r>
    </w:p>
    <w:p xmlns:wp14="http://schemas.microsoft.com/office/word/2010/wordml" w:rsidP="48E5423E" wp14:paraId="3BE69160" wp14:textId="731A7F99">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This study will employ a mixed-methods research approach, incorporating both qualitative and quantitative data collection to explore the perceptions of Year 6 staff and learners regarding self-assessment. The research design will include semi-structured interviews with teachers to gain in-depth insights into their experiences and attitudes towards self-assessment as a tool for improving learning outcomes, as well as questionnaires to collect quantitative data from both teachers and learners. The justification for using qualitative methods, such as semi-structured interviews, is that they allow for an in-depth exploration of participants’ thoughts, experiences and perceptions, offering rich data (Creswell and Poth, 2018). Qualitative research is particularly valuable in educational studies where complex human experiences and interpretations need to be understood (Merriam and Tisdell, 2016). Meanwhile, the use of qualitative methods, such as questionnaires, enables the collection of measurable data that can be statistically analysed to identify patterns and trends across a larger sample (Bryman, 2016). Combing qualitative and quantitative methods ensures a more comprehensive understanding of the research problem, allowing for both depth and breadth in data collection (Tashakkori and Teddlie, 2010).</w:t>
      </w:r>
    </w:p>
    <w:p xmlns:wp14="http://schemas.microsoft.com/office/word/2010/wordml" w:rsidP="48E5423E" wp14:paraId="684C945B" wp14:textId="66668D66">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This study will take place in a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Welsh</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primary school, with a sample of Year 6 learners and their teachers. The research will adhere to the ethical principles outlined by the British Educational Research Association (BERA, 2018), ensuring that participants’ rights,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dignity</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and well-being are protected throughout the study. A purposive sampling study will be used to select participants who have experience with self-assessment within the current curriculum framework. The sample will include 3 teachers and approximately 15 learners to ensure a diverse range of perspectives.</w:t>
      </w:r>
    </w:p>
    <w:p xmlns:wp14="http://schemas.microsoft.com/office/word/2010/wordml" w:rsidP="48E5423E" wp14:paraId="04CC0882" wp14:textId="4D105553">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Semi-structured interviews will be conducted with teachers to explore their perceptions of self-assessment, its implementation and its impact on learners. These interviews will provide rich qualitative data, allowing participants to express their views openly. Focus groups will be used to gather data from learners, facilitating discussion and reflection on their experiences with self-assessment. Both data collection methods align with ethical considerations outlined in my ethics form, ensuring informed consent, confidentiality, and the right to withdraw.</w:t>
      </w:r>
    </w:p>
    <w:p xmlns:wp14="http://schemas.microsoft.com/office/word/2010/wordml" w:rsidP="48E5423E" wp14:paraId="06FE2163" wp14:textId="2F33856B">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Ethical approval has been obtained, and all research activities will comply with the university’s ethical guidelines. Informed consent will be obtained from all staff participants, as well as consent from the gatekeeper, this being the School’s Headteacher, on behalf of learner participants. Participants will be assured of confidentiality and anonymity, and data will be securely sorted and anonymised in accordance with GDPR regulations.</w:t>
      </w:r>
    </w:p>
    <w:p xmlns:wp14="http://schemas.microsoft.com/office/word/2010/wordml" w:rsidP="48E5423E" wp14:paraId="14012DF8" wp14:textId="31C99CF8">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As a mixed-methods approach to data analysis will be employed, I will obtain the opportunity to examine both qualitative and quantitative data. Thematic analysis, as outlined by Braun and Clarke (2006), will be used to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identify</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patterns and key themes within the qualitative data. This method provides a systematic and flexible framework for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analysing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qualitative information by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identifying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analysing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and reporting themes within data. Transcriptions of interviews and focus groups will be coded to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identify</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recurring themes related to the benefits,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challenges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and effectiveness of self-assessment in Year 6 education. This approach will ensure a systematic and rigorous analysis of qualitative data. For the quantitative data obtained through questionnaires, statistical analysis will be conducted to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identify</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trends,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frequencies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and correlations between key variables. Descriptive statistics will be used to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summarise</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the responses, while inferential statistics may be </w:t>
      </w:r>
      <w:r w:rsidRPr="48E5423E" w:rsidR="0246B04A">
        <w:rPr>
          <w:rFonts w:ascii="Aptos" w:hAnsi="Aptos" w:eastAsia="Aptos" w:cs="Aptos"/>
          <w:b w:val="0"/>
          <w:bCs w:val="0"/>
          <w:i w:val="0"/>
          <w:iCs w:val="0"/>
          <w:strike w:val="0"/>
          <w:dstrike w:val="0"/>
          <w:noProof w:val="0"/>
          <w:color w:val="000000" w:themeColor="text1" w:themeTint="FF" w:themeShade="FF"/>
          <w:sz w:val="22"/>
          <w:szCs w:val="22"/>
          <w:u w:val="none"/>
          <w:lang w:val="en-US"/>
        </w:rPr>
        <w:t>employed</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to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determine</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significant patterns within the data.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The combination of thematic and statistical analysis will enhance the validity of the study by ensuring that findings are both data-driven and contextually rich.</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Integrating qualitative and quantitative data will allow for a more comprehensive exploration of the research questions, aligning with the principles of mixed-methods research as discussed by Creswell and Plano Clark (2018).</w:t>
      </w:r>
    </w:p>
    <w:p xmlns:wp14="http://schemas.microsoft.com/office/word/2010/wordml" w:rsidP="48E5423E" wp14:paraId="6DB97E3B" wp14:textId="612E3A6E">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Prior to conducting my research, it</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is vital that I consider any potential risks to participants. Therefore, I considered three different potential risks and found solutions </w:t>
      </w:r>
      <w:r w:rsidRPr="48E5423E" w:rsidR="3C21E9DD">
        <w:rPr>
          <w:rFonts w:ascii="Aptos" w:hAnsi="Aptos" w:eastAsia="Aptos" w:cs="Aptos"/>
          <w:b w:val="0"/>
          <w:bCs w:val="0"/>
          <w:i w:val="0"/>
          <w:iCs w:val="0"/>
          <w:strike w:val="0"/>
          <w:dstrike w:val="0"/>
          <w:noProof w:val="0"/>
          <w:color w:val="000000" w:themeColor="text1" w:themeTint="FF" w:themeShade="FF"/>
          <w:sz w:val="22"/>
          <w:szCs w:val="22"/>
          <w:u w:val="none"/>
          <w:lang w:val="en-US"/>
        </w:rPr>
        <w:t>to</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prevent each one. Firstly, the researcher (</w:t>
      </w:r>
      <w:r w:rsidRPr="48E5423E" w:rsidR="0C7DD04D">
        <w:rPr>
          <w:rFonts w:ascii="Aptos" w:hAnsi="Aptos" w:eastAsia="Aptos" w:cs="Aptos"/>
          <w:b w:val="0"/>
          <w:bCs w:val="0"/>
          <w:i w:val="0"/>
          <w:iCs w:val="0"/>
          <w:strike w:val="0"/>
          <w:dstrike w:val="0"/>
          <w:noProof w:val="0"/>
          <w:color w:val="000000" w:themeColor="text1" w:themeTint="FF" w:themeShade="FF"/>
          <w:sz w:val="22"/>
          <w:szCs w:val="22"/>
          <w:u w:val="none"/>
          <w:lang w:val="en-US"/>
        </w:rPr>
        <w:t>I</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could potentially demand too much from participants. To prevent this, I will tailor my questionnaire and interview questions to each participant. For example, I will ask child-friendly questions for the learners and expand on my terminology for staff. Secondly,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emotional</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or psychological distress could occur to participants. To prevent this from happening, I will ensure to provide questions that are non-triggering or distressing, by not relating to any personal issues. There is also a possibility of the Hawthorne effect coming into place. For example, pupils may be pressured or inclined to answer my questions in a way that will please me.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To prevent this, I will reassure them that they can withdraw from the research at any time and a debrief will be given at the end of the interview and questionnaire.</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I will also ensure to follow the BERA (2018) ethical guidelines. Furthermore, another potential risk that may arise </w:t>
      </w:r>
      <w:r w:rsidRPr="48E5423E" w:rsidR="4C4E9619">
        <w:rPr>
          <w:rFonts w:ascii="Aptos" w:hAnsi="Aptos" w:eastAsia="Aptos" w:cs="Aptos"/>
          <w:b w:val="0"/>
          <w:bCs w:val="0"/>
          <w:i w:val="0"/>
          <w:iCs w:val="0"/>
          <w:strike w:val="0"/>
          <w:dstrike w:val="0"/>
          <w:noProof w:val="0"/>
          <w:color w:val="000000" w:themeColor="text1" w:themeTint="FF" w:themeShade="FF"/>
          <w:sz w:val="22"/>
          <w:szCs w:val="22"/>
          <w:u w:val="none"/>
          <w:lang w:val="en-US"/>
        </w:rPr>
        <w:t>is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safeguarding concerns. For example, if a pupil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discloses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anything concerning, such as bullying, abuse or neglect, I will ensure to have a clear safeguarding policy at hand, this being the </w:t>
      </w:r>
      <w:r w:rsidRPr="48E5423E" w:rsidR="7E46EF23">
        <w:rPr>
          <w:rFonts w:ascii="Aptos" w:hAnsi="Aptos" w:eastAsia="Aptos" w:cs="Aptos"/>
          <w:b w:val="0"/>
          <w:bCs w:val="0"/>
          <w:i w:val="0"/>
          <w:iCs w:val="0"/>
          <w:strike w:val="0"/>
          <w:dstrike w:val="0"/>
          <w:noProof w:val="0"/>
          <w:color w:val="000000" w:themeColor="text1" w:themeTint="FF" w:themeShade="FF"/>
          <w:sz w:val="22"/>
          <w:szCs w:val="22"/>
          <w:u w:val="none"/>
          <w:lang w:val="en-US"/>
        </w:rPr>
        <w:t>school’s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safeguarding policy.</w:t>
      </w:r>
    </w:p>
    <w:p xmlns:wp14="http://schemas.microsoft.com/office/word/2010/wordml" wp14:paraId="63716F35" wp14:textId="48BFAB51"/>
    <w:p xmlns:wp14="http://schemas.microsoft.com/office/word/2010/wordml" wp14:paraId="4F18C7BC" wp14:textId="3A7C195E"/>
    <w:p xmlns:wp14="http://schemas.microsoft.com/office/word/2010/wordml" w:rsidP="48E5423E" wp14:paraId="0A771E7C" wp14:textId="6C90ECF4">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Findings and Discussion</w:t>
      </w:r>
    </w:p>
    <w:p xmlns:wp14="http://schemas.microsoft.com/office/word/2010/wordml" w:rsidP="48E5423E" wp14:paraId="6385436A" wp14:textId="7CCD8A39">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This study examined Year 6 staff and learner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perceptions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of self-assessment as a tool for improving learning, Data from staff responses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indicated</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that self-assessment is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frequently</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used in the classroom, with some teachers incorporating it into every lesson.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The majority of</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staff agreed or strongly agreed that self-assessment improves learning outcomes. However, confidence in students’ understanding of self-assessment varied, with responses averaging 3.5 out 5. Staff also reported that while students sometimes </w:t>
      </w:r>
      <w:r w:rsidRPr="48E5423E" w:rsidR="4452CB0E">
        <w:rPr>
          <w:rFonts w:ascii="Aptos" w:hAnsi="Aptos" w:eastAsia="Aptos" w:cs="Aptos"/>
          <w:b w:val="0"/>
          <w:bCs w:val="0"/>
          <w:i w:val="0"/>
          <w:iCs w:val="0"/>
          <w:strike w:val="0"/>
          <w:dstrike w:val="0"/>
          <w:noProof w:val="0"/>
          <w:color w:val="000000" w:themeColor="text1" w:themeTint="FF" w:themeShade="FF"/>
          <w:sz w:val="22"/>
          <w:szCs w:val="22"/>
          <w:u w:val="none"/>
          <w:lang w:val="en-US"/>
        </w:rPr>
        <w:t>refer</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to self-assessed feedback, they do not do so consistently. Nonetheless, all staff agreed that self-assessment promoted student independence in learning. From the student responses, findings revealed mixed levels of enthusiasm towards self-assessment.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The majority of</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students reported engaging in self-assessment between one to three times per day. Ratings for enjoyment of self-assessment varied, and the perceived benefit averaged 3.75 out of 5. Additionally, students’ willingness to self-assess during lessons ranged significantly, from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very low</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(2/10) to extremely high (10/10), suggesting a diversity of attitudes towards the practice.</w:t>
      </w:r>
    </w:p>
    <w:p xmlns:wp14="http://schemas.microsoft.com/office/word/2010/wordml" w:rsidP="48E5423E" wp14:paraId="6FF6E4B3" wp14:textId="40DEB74C">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Research has long emphasised the value of self-assessment in enhancing student learning and encouraging autonomy (Black and William, 1998). Studies suggest that when students engage in self-assessment, they develop metacognitive skills that enable them to regulate their own learning (Andrade and Valtcheva, 2009). The findings from this study align with existing literature in terms of staff perceptions, as educators largely agree that self-assessment contributes positively to student learning and independence.</w:t>
      </w:r>
    </w:p>
    <w:p xmlns:wp14="http://schemas.microsoft.com/office/word/2010/wordml" w:rsidP="48E5423E" wp14:paraId="28B24056" wp14:textId="0ABD3CBC">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The Welsh Curriculum (Curriculum for Wales, 2022) places a </w:t>
      </w:r>
      <w:r w:rsidRPr="48E5423E" w:rsidR="4EB4391E">
        <w:rPr>
          <w:rFonts w:ascii="Aptos" w:hAnsi="Aptos" w:eastAsia="Aptos" w:cs="Aptos"/>
          <w:b w:val="0"/>
          <w:bCs w:val="0"/>
          <w:i w:val="0"/>
          <w:iCs w:val="0"/>
          <w:strike w:val="0"/>
          <w:dstrike w:val="0"/>
          <w:noProof w:val="0"/>
          <w:color w:val="000000" w:themeColor="text1" w:themeTint="FF" w:themeShade="FF"/>
          <w:sz w:val="22"/>
          <w:szCs w:val="22"/>
          <w:u w:val="none"/>
          <w:lang w:val="en-US"/>
        </w:rPr>
        <w:t>strong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emphasis on developing independent and reflective learners through self-regulation and self-assessment strategies. The curriculum advocated for formative assessment practices that encourage students to take ownership of their learning and understand how to improve their performance over time. This aligns with the study’s findings that while teachers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recognise</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the benefits of self-assessment, student engagement varies, highlighting the need for a structured approach to ensure consistency in its implementation.</w:t>
      </w:r>
    </w:p>
    <w:p xmlns:wp14="http://schemas.microsoft.com/office/word/2010/wordml" w:rsidP="48E5423E" wp14:paraId="4B76EA96" wp14:textId="1FC9A212">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However, the variation in students’ engagement and perceived benefits </w:t>
      </w:r>
      <w:r w:rsidRPr="48E5423E" w:rsidR="0AC0B808">
        <w:rPr>
          <w:rFonts w:ascii="Aptos" w:hAnsi="Aptos" w:eastAsia="Aptos" w:cs="Aptos"/>
          <w:b w:val="0"/>
          <w:bCs w:val="0"/>
          <w:i w:val="0"/>
          <w:iCs w:val="0"/>
          <w:strike w:val="0"/>
          <w:dstrike w:val="0"/>
          <w:noProof w:val="0"/>
          <w:color w:val="000000" w:themeColor="text1" w:themeTint="FF" w:themeShade="FF"/>
          <w:sz w:val="22"/>
          <w:szCs w:val="22"/>
          <w:u w:val="none"/>
          <w:lang w:val="en-US"/>
        </w:rPr>
        <w:t>reflects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w:t>
      </w:r>
      <w:r w:rsidRPr="48E5423E" w:rsidR="13755C48">
        <w:rPr>
          <w:rFonts w:ascii="Aptos" w:hAnsi="Aptos" w:eastAsia="Aptos" w:cs="Aptos"/>
          <w:b w:val="0"/>
          <w:bCs w:val="0"/>
          <w:i w:val="0"/>
          <w:iCs w:val="0"/>
          <w:strike w:val="0"/>
          <w:dstrike w:val="0"/>
          <w:noProof w:val="0"/>
          <w:color w:val="000000" w:themeColor="text1" w:themeTint="FF" w:themeShade="FF"/>
          <w:sz w:val="22"/>
          <w:szCs w:val="22"/>
          <w:u w:val="none"/>
          <w:lang w:val="en-US"/>
        </w:rPr>
        <w:t>findings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from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previous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research, which highlights that students may require structured guidance to fully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utilise</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self-assessment effectively (Panadero, 2017). The consistency in students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referring back</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to self-assessed feedback suggests that while self-assessment has potential benefits, its effectiveness depends on implementation and student buy-in. The Welsh Curriculum’s focus on “assessment for learning” (Welsh Government, 2022) supports the idea that self-assessment should be an embedded and continuous process rather than an isolated activity, reinforcing the need for further teacher support and student training to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maximise</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its effectiveness.</w:t>
      </w:r>
    </w:p>
    <w:p xmlns:wp14="http://schemas.microsoft.com/office/word/2010/wordml" w:rsidP="48E5423E" wp14:paraId="143AE366" wp14:textId="7814AAD1">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After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analysing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both staff and learner questionnaires, I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picked up on</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three themes. Firstly, teacher advocacy vs. student enthusiasm. While staff overwhelmingly support self-assessment, student enthusiasm is inconsistent. After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analysing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the data, some students actively engage,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whereas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w:t>
      </w:r>
      <w:r w:rsidRPr="48E5423E" w:rsidR="5F0B45C1">
        <w:rPr>
          <w:rFonts w:ascii="Aptos" w:hAnsi="Aptos" w:eastAsia="Aptos" w:cs="Aptos"/>
          <w:b w:val="0"/>
          <w:bCs w:val="0"/>
          <w:i w:val="0"/>
          <w:iCs w:val="0"/>
          <w:strike w:val="0"/>
          <w:dstrike w:val="0"/>
          <w:noProof w:val="0"/>
          <w:color w:val="000000" w:themeColor="text1" w:themeTint="FF" w:themeShade="FF"/>
          <w:sz w:val="22"/>
          <w:szCs w:val="22"/>
          <w:u w:val="none"/>
          <w:lang w:val="en-US"/>
        </w:rPr>
        <w:t>others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perceive it as less beneficial. This suggests a potential gap in students’ understanding of the benefits of self-assessment or a lack of motivation to engage with it meaningfully. As previously mentioned, research suggests that when students perceive assessments as personally beneficial, their engagement increases (Andrade, 2010). Strategies such as peer discussions or gamification of self-assessment could enhance student enthusiasm. Secondly, staff confidence in students’ understanding of self-assessment is moderate,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indicating</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a potential need for further instruction on its purpose and benefits. Students may require explicit teaching on how self-assessment </w:t>
      </w:r>
      <w:r w:rsidRPr="48E5423E" w:rsidR="0EDF3491">
        <w:rPr>
          <w:rFonts w:ascii="Aptos" w:hAnsi="Aptos" w:eastAsia="Aptos" w:cs="Aptos"/>
          <w:b w:val="0"/>
          <w:bCs w:val="0"/>
          <w:i w:val="0"/>
          <w:iCs w:val="0"/>
          <w:strike w:val="0"/>
          <w:dstrike w:val="0"/>
          <w:noProof w:val="0"/>
          <w:color w:val="000000" w:themeColor="text1" w:themeTint="FF" w:themeShade="FF"/>
          <w:sz w:val="22"/>
          <w:szCs w:val="22"/>
          <w:u w:val="none"/>
          <w:lang w:val="en-US"/>
        </w:rPr>
        <w:t>connect</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to their learning progress. Studies show that structured self-assessment training can significantly improve student confidence and accuracy in assessing their own work (Panadero and Jonsson, 2013). This highlights the importance of embedding metacognitive strategies within the curriculum. Lastly, while students engage in self-assessment regularly, their use of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previous</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xml:space="preserve"> feedback to improve learning lacks consistency, which may limit its effectiveness. Effective self-assessment requires students to develop habits of reflection and application. Again, as previously </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stated</w:t>
      </w: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 research suggests that students need repeated exposure and explicit instruction in using feedback to inform future work (Nicol and Macfarlane-Dick, 2006). Encouraging structured self-assessment check-ins or portfolio-based reflection may improve students’ ability to apply feedback consistently.</w:t>
      </w:r>
    </w:p>
    <w:p xmlns:wp14="http://schemas.microsoft.com/office/word/2010/wordml" w:rsidP="48E5423E" wp14:paraId="7D1B248A" wp14:textId="397C4CBB">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Overall, the findings indicate that while teachers recognise the value of self-assessment, student engagement and effectiveness vary. To maxismise benefits, educators may need to provide additional scaffolding and motivation for students to fully embrace self-assessment as a learning tool.</w:t>
      </w:r>
    </w:p>
    <w:p xmlns:wp14="http://schemas.microsoft.com/office/word/2010/wordml" wp14:paraId="5F415F3C" wp14:textId="6C59565E"/>
    <w:p xmlns:wp14="http://schemas.microsoft.com/office/word/2010/wordml" wp14:paraId="420C7B34" wp14:textId="251718A7"/>
    <w:p xmlns:wp14="http://schemas.microsoft.com/office/word/2010/wordml" w:rsidP="48E5423E" wp14:paraId="71290E35" wp14:textId="7A0A551D">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Conclusion</w:t>
      </w:r>
    </w:p>
    <w:p xmlns:wp14="http://schemas.microsoft.com/office/word/2010/wordml" w:rsidP="48E5423E" wp14:paraId="65A3D343" wp14:textId="4FBF3AA8">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This study explored Year 6 staff and learner perceptions of self-assessment, identifying students’ attitude towards self-assessment, containing both strengths and areas for development. The findings indicate that while students generally recognise the value of self-assessment in enhancing their learning, many struggle with accurately evaluating their work. Some students demonstrate confidence and a reflective approach, using self-assessment to set goals and improve performance. However, others find it challenging due to a lack of clear criteria, self-efficacy issues, or limited practice with structured reflection. These variations highlight the need for explicit instruction and scaffolding in self-assessment strategies. The findings have important implications for educational practice. Professional development for teachers should emphasise the integration of self-assessment techniques into everyday classroom activities. Educators can support students by providing clear rubrics, modeling reflective thinking, and encouraging a growth mindset. Additionally, collaborative self-assessment activities, such as peer discussions and guided reflections, may help students develop a more accurate and constructive approach to evaluating their work. Encouraging a classroom culture where mistakes are seen as learning opportunities can also enhance students' confidence in self-assessment.</w:t>
      </w:r>
    </w:p>
    <w:p xmlns:wp14="http://schemas.microsoft.com/office/word/2010/wordml" w:rsidP="48E5423E" wp14:paraId="7B007D9C" wp14:textId="5822ABF7">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Despite these insights, this study has some limitations. The data collected from the questionnaires revealed various perspectives on the use of self-assessment in Year 6 classrooms. Due to unexpected circumstances, only five out of fifteen learners responded to the questionnaire, meaning that a smaller sample size may not fully represent the larger population I intended to study. Therefore, this can make my findings less generalisable and limit how applicable the results are to other research studies. The smaller sample size could also cause potential bias and unrepresentative results, meaning the findings might not reflect the broader population’s views and opinions. Moreover, the lack of sufficient data may make it difficult to draw a meaningful conclusion or detect patterns in the responses, especially as I was aiming to conduct an overall analysis and compare different responses.</w:t>
      </w:r>
    </w:p>
    <w:p xmlns:wp14="http://schemas.microsoft.com/office/word/2010/wordml" w:rsidP="48E5423E" wp14:paraId="0923BD24" wp14:textId="7068187F">
      <w:pPr>
        <w:spacing w:before="0" w:beforeAutospacing="off" w:after="160" w:afterAutospacing="off"/>
      </w:pPr>
      <w:r w:rsidRPr="48E5423E" w:rsidR="0F8BCBB1">
        <w:rPr>
          <w:rFonts w:ascii="Aptos" w:hAnsi="Aptos" w:eastAsia="Aptos" w:cs="Aptos"/>
          <w:b w:val="0"/>
          <w:bCs w:val="0"/>
          <w:i w:val="0"/>
          <w:iCs w:val="0"/>
          <w:strike w:val="0"/>
          <w:dstrike w:val="0"/>
          <w:noProof w:val="0"/>
          <w:color w:val="000000" w:themeColor="text1" w:themeTint="FF" w:themeShade="FF"/>
          <w:sz w:val="22"/>
          <w:szCs w:val="22"/>
          <w:u w:val="none"/>
          <w:lang w:val="en-US"/>
        </w:rPr>
        <w:t>Furthermore, the study was conducted in a specific educational setting, limiting the generalisability of the findings. Future research should examine self-assessment in different educational contexts and age groups, exploring how various teaching methods impact students' self-assessment skills. Longitudinal studies could also provide deeper insights into how self-assessment abilities develop over time and the long-term effects of targeted interventions. By addressing these areas, educators can refine self-assessment strategies, ensuring that students are equipped with the skills needed for independent and lifelong learning.</w:t>
      </w:r>
    </w:p>
    <w:p xmlns:wp14="http://schemas.microsoft.com/office/word/2010/wordml" wp14:paraId="06A22E9E" wp14:textId="1A355FDA"/>
    <w:p xmlns:wp14="http://schemas.microsoft.com/office/word/2010/wordml" wp14:paraId="6369A677" wp14:textId="1B2FC076"/>
    <w:p xmlns:wp14="http://schemas.microsoft.com/office/word/2010/wordml" wp14:paraId="2CEAD249" wp14:textId="244FDA37"/>
    <w:p xmlns:wp14="http://schemas.microsoft.com/office/word/2010/wordml" w:rsidP="48E5423E" wp14:paraId="0AA34FF4" wp14:textId="427D30D7">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1002BB4B" wp14:textId="3E176085">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10126655" wp14:textId="019564C8">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475587F4" wp14:textId="24802E0A">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6EB5BB7F" wp14:textId="5F915852">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3BA97087" wp14:textId="75CF924D">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7742DA9E" wp14:textId="0C1B7630">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1F091C7C" wp14:textId="7966273B">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4A5D19C4" wp14:textId="2404B2F1">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4A17A82F" wp14:textId="28E0FA8F">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3EEE7976" wp14:textId="092E5B82">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0738D8D1" wp14:textId="4ADC860C">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698DE5D7" wp14:textId="0C462549">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1F27B1D5" wp14:paraId="6E3BE11D" wp14:textId="01E45611">
      <w:pPr>
        <w:pStyle w:val="Normal"/>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28"/>
          <w:szCs w:val="28"/>
          <w:u w:val="none"/>
          <w:lang w:val="en-US"/>
        </w:rPr>
      </w:pPr>
      <w:r w:rsidRPr="1F27B1D5"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Reference List</w:t>
      </w:r>
    </w:p>
    <w:p xmlns:wp14="http://schemas.microsoft.com/office/word/2010/wordml" w:rsidP="48E5423E" wp14:paraId="53CEE511" wp14:textId="66FCF5BE">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Andrade, H. (2010). Students as the definitive source of formative assessment: Academic self-assessment and the self-regulation of learning. Theory Into Practice, 49(2), 94-101.</w:t>
      </w:r>
    </w:p>
    <w:p xmlns:wp14="http://schemas.microsoft.com/office/word/2010/wordml" w:rsidP="48E5423E" wp14:paraId="5A0D77E7" wp14:textId="526D5720">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Andrade, H. (2019). A critical review of research on student self-assessment. Frontiers in Education, 4, 87.</w:t>
      </w:r>
    </w:p>
    <w:p xmlns:wp14="http://schemas.microsoft.com/office/word/2010/wordml" w:rsidP="48E5423E" wp14:paraId="5B939923" wp14:textId="530A7EB3">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Andrade, H., &amp; Du, Y. (2007). Student responses to criteria-referenced self-assessment. Assessment &amp; Evaluation in Higher Education, 32(2), 159-181.</w:t>
      </w:r>
    </w:p>
    <w:p xmlns:wp14="http://schemas.microsoft.com/office/word/2010/wordml" w:rsidP="48E5423E" wp14:paraId="62213AC9" wp14:textId="54BA9C57">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Andrade, H., &amp; Valtcheva, A. (2009). Promoting learning and achievement through self-assessment. Theory Into Practice, 48(1), 12-19.</w:t>
      </w:r>
    </w:p>
    <w:p xmlns:wp14="http://schemas.microsoft.com/office/word/2010/wordml" w:rsidP="48E5423E" wp14:paraId="3EF6E060" wp14:textId="1C08A036">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BERA (2018). Ethical guidelines for educational research. 4th edn. London: British Educational Research Association.</w:t>
      </w:r>
    </w:p>
    <w:p xmlns:wp14="http://schemas.microsoft.com/office/word/2010/wordml" w:rsidP="48E5423E" wp14:paraId="67A6D0C4" wp14:textId="46DF84BB">
      <w:pPr>
        <w:spacing w:before="240" w:beforeAutospacing="off" w:after="240" w:afterAutospacing="off"/>
      </w:pPr>
      <w:bookmarkStart w:name="_Int_nNn2KcjK" w:id="1930268505"/>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Black, P., &amp; Wiliam, D. (1998).</w:t>
      </w:r>
      <w:bookmarkEnd w:id="1930268505"/>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 xml:space="preserve"> Assessment and classroom learning. Assessment in Education: Principles, Policy &amp; Practice, 5(1), 7-74.</w:t>
      </w:r>
    </w:p>
    <w:p xmlns:wp14="http://schemas.microsoft.com/office/word/2010/wordml" w:rsidP="48E5423E" wp14:paraId="3C27DFCD" wp14:textId="2D83EC4B">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Black, P., &amp; Wiliam, D. (1998). Inside the Black Box: Raising Standards through Classroom Assessment. London: King’s College London School of Education.</w:t>
      </w:r>
    </w:p>
    <w:p xmlns:wp14="http://schemas.microsoft.com/office/word/2010/wordml" w:rsidP="48E5423E" wp14:paraId="321C81B6" wp14:textId="1F6CFA96">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Boud, D. (1995). Enhancing Learning Through Self-Assessment. London: Routledge.</w:t>
      </w:r>
    </w:p>
    <w:p xmlns:wp14="http://schemas.microsoft.com/office/word/2010/wordml" w:rsidP="48E5423E" wp14:paraId="20563524" wp14:textId="511EEDD3">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Boud, D., &amp; Falchikov, N. (1989). Quantitative studies of self-assessment in higher education: A critical analysis of findings. Higher Education, 18(5), 529-549.</w:t>
      </w:r>
    </w:p>
    <w:p xmlns:wp14="http://schemas.microsoft.com/office/word/2010/wordml" w:rsidP="48E5423E" wp14:paraId="606EAFCE" wp14:textId="78E05AED">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Brookhart, S. M. (2013). How to create and use rubrics for formative assessment and grading. Alexandria, VA: ASCD.</w:t>
      </w:r>
    </w:p>
    <w:p xmlns:wp14="http://schemas.microsoft.com/office/word/2010/wordml" w:rsidP="48E5423E" wp14:paraId="39083761" wp14:textId="5BDFD52E">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Brown, G., &amp; Harris, L. (2013). Student self-assessment. In McMillan, J. H. (ed.) The SAGE Handbook of Research on Classroom Assessment. Thousand Oaks, CA: SAGE, 367-393.</w:t>
      </w:r>
    </w:p>
    <w:p xmlns:wp14="http://schemas.microsoft.com/office/word/2010/wordml" w:rsidP="48E5423E" wp14:paraId="1C83609E" wp14:textId="1C262A5C">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Bryman, A. (2016). Social research methods. 5th edn. Oxford: Oxford University Press.</w:t>
      </w:r>
    </w:p>
    <w:p xmlns:wp14="http://schemas.microsoft.com/office/word/2010/wordml" w:rsidP="48E5423E" wp14:paraId="7116EF4D" wp14:textId="6A5CBC6E">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Creswell, J. W., &amp; Plano Clark, V. L. (2018). Designing and conducting mixed methods research. 3rd edn. Thousand Oaks, CA: Sage.</w:t>
      </w:r>
    </w:p>
    <w:p xmlns:wp14="http://schemas.microsoft.com/office/word/2010/wordml" w:rsidP="48E5423E" wp14:paraId="2F86E526" wp14:textId="0E87A718">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Creswell, J. W., &amp; Poth, C. N. (2018). Qualitative inquiry and research design: Choosing among five approaches. 4th edn. Thousand Oaks, CA: Sage.</w:t>
      </w:r>
    </w:p>
    <w:p xmlns:wp14="http://schemas.microsoft.com/office/word/2010/wordml" w:rsidP="48E5423E" wp14:paraId="0593B924" wp14:textId="6BC8317C">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Department for Education (no date). Support for early career teachers. Available at Effective peer and self-assessment [Accessed on: 2 April 2025].</w:t>
      </w:r>
    </w:p>
    <w:p xmlns:wp14="http://schemas.microsoft.com/office/word/2010/wordml" w:rsidP="48E5423E" wp14:paraId="33A28D54" wp14:textId="0558EB16">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Donaldson, G. (2015). Successful Futures: Independent Review of Curriculum and Assessment Arrangements in Wales. Cardiff: Welsh Government.</w:t>
      </w:r>
    </w:p>
    <w:p xmlns:wp14="http://schemas.microsoft.com/office/word/2010/wordml" w:rsidP="48E5423E" wp14:paraId="745ECCA0" wp14:textId="72D8865C">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Kruger, J., &amp; Dunning, D. (1999). Unskilled and unaware of it: How difficulties in recognizing one’s own incompetence lead to inflated self-assessments. Journal of Personality and Social Psychology, 77(6), 1121-1134.</w:t>
      </w:r>
    </w:p>
    <w:p xmlns:wp14="http://schemas.microsoft.com/office/word/2010/wordml" w:rsidP="48E5423E" wp14:paraId="410D50C3" wp14:textId="079A3FA6">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Merriam, S. B., &amp; Tisdell, E. J. (2016). Qualitative research: A guide to design and implementation. 4th edn. San Francisco, CA: Jossey-Bass.</w:t>
      </w:r>
    </w:p>
    <w:p xmlns:wp14="http://schemas.microsoft.com/office/word/2010/wordml" w:rsidP="48E5423E" wp14:paraId="299E1099" wp14:textId="03176629">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Nicol, D. J., &amp; Macfarlane-Dick, D. (2006). Formative assessment and self-regulated learning: A model and seven principles of good feedback practice. Studies in Higher Education, 31(2), 199-218.</w:t>
      </w:r>
    </w:p>
    <w:p xmlns:wp14="http://schemas.microsoft.com/office/word/2010/wordml" w:rsidP="48E5423E" wp14:paraId="4E3FED5B" wp14:textId="48945EA2">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OECD (2018). The Future of Education and Skills: Education 2030. Paris: OECD Publishing.</w:t>
      </w:r>
    </w:p>
    <w:p xmlns:wp14="http://schemas.microsoft.com/office/word/2010/wordml" w:rsidP="48E5423E" wp14:paraId="3519E09F" wp14:textId="738AC1F7">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Panadero, E. (2017). A review of self-regulated learning: Six models and four directions for research. Frontiers in Psychology, 8, 422.</w:t>
      </w:r>
    </w:p>
    <w:p xmlns:wp14="http://schemas.microsoft.com/office/word/2010/wordml" w:rsidP="48E5423E" wp14:paraId="7E684F28" wp14:textId="7B94C9C9">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Panadero, E., &amp; Jonsson, A. (2013). The use of self-assessment in formative assessment: A review of the literature. Educational Research Review, 9, 129-144.</w:t>
      </w:r>
    </w:p>
    <w:p xmlns:wp14="http://schemas.microsoft.com/office/word/2010/wordml" w:rsidP="48E5423E" wp14:paraId="412474E9" wp14:textId="1DF69AA0">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Tashakkori, A., &amp; Teddlie, C. (2010). SAGE handbook of mixed methods in social and behavioral research. 2nd edn. Thousand Oaks, CA: Sage.</w:t>
      </w:r>
    </w:p>
    <w:p xmlns:wp14="http://schemas.microsoft.com/office/word/2010/wordml" w:rsidP="48E5423E" wp14:paraId="02F810A3" wp14:textId="67944694">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 xml:space="preserve">Welsh Government (2022). The Curriculum for Wales: Guidance. Cardiff: Welsh Government. Available at: </w:t>
      </w:r>
      <w:hyperlink r:id="R52125c7eab65471e">
        <w:r w:rsidRPr="48E5423E" w:rsidR="0F8BCBB1">
          <w:rPr>
            <w:rStyle w:val="Hyperlink"/>
            <w:rFonts w:ascii="Aptos" w:hAnsi="Aptos" w:eastAsia="Aptos" w:cs="Aptos"/>
            <w:b w:val="0"/>
            <w:bCs w:val="0"/>
            <w:i w:val="0"/>
            <w:iCs w:val="0"/>
            <w:strike w:val="0"/>
            <w:dstrike w:val="0"/>
            <w:noProof w:val="0"/>
            <w:sz w:val="28"/>
            <w:szCs w:val="28"/>
            <w:lang w:val="en-US"/>
          </w:rPr>
          <w:t>https://hwb.gov.wales/curriculum-for-wales</w:t>
        </w:r>
      </w:hyperlink>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 xml:space="preserve"> (Accessed: 3 April 2025).</w:t>
      </w:r>
    </w:p>
    <w:p xmlns:wp14="http://schemas.microsoft.com/office/word/2010/wordml" w:rsidP="48E5423E" wp14:paraId="1F4D96FE" wp14:textId="2F2843C7">
      <w:pPr>
        <w:spacing w:before="240" w:beforeAutospacing="off" w:after="240" w:afterAutospacing="off"/>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Zimmerman, B. J. (2002). Becoming a self-regulated learner: An overview. Theory into Practice, 41(2), 64-70.</w:t>
      </w:r>
    </w:p>
    <w:p xmlns:wp14="http://schemas.microsoft.com/office/word/2010/wordml" wp14:paraId="5DF16513" wp14:textId="48EA890F"/>
    <w:p xmlns:wp14="http://schemas.microsoft.com/office/word/2010/wordml" wp14:paraId="26AA85E7" wp14:textId="656E7EBD"/>
    <w:p xmlns:wp14="http://schemas.microsoft.com/office/word/2010/wordml" wp14:paraId="4E04F536" wp14:textId="67D9F030"/>
    <w:p xmlns:wp14="http://schemas.microsoft.com/office/word/2010/wordml" wp14:paraId="08D045DB" wp14:textId="23FC2952"/>
    <w:p xmlns:wp14="http://schemas.microsoft.com/office/word/2010/wordml" wp14:paraId="123E5450" wp14:textId="47CA9B88"/>
    <w:p xmlns:wp14="http://schemas.microsoft.com/office/word/2010/wordml" wp14:paraId="5661BB15" wp14:textId="79EBBF69"/>
    <w:p xmlns:wp14="http://schemas.microsoft.com/office/word/2010/wordml" w:rsidP="48E5423E" wp14:paraId="020804C5" wp14:textId="78F83220">
      <w:pPr>
        <w:pStyle w:val="Normal"/>
        <w:rPr>
          <w:rFonts w:ascii="Aptos" w:hAnsi="Aptos" w:eastAsia="Aptos" w:cs="Aptos"/>
          <w:b w:val="0"/>
          <w:bCs w:val="0"/>
          <w:i w:val="0"/>
          <w:iCs w:val="0"/>
          <w:strike w:val="0"/>
          <w:dstrike w:val="0"/>
          <w:noProof w:val="0"/>
          <w:color w:val="000000" w:themeColor="text1" w:themeTint="FF" w:themeShade="FF"/>
          <w:sz w:val="28"/>
          <w:szCs w:val="28"/>
          <w:u w:val="none"/>
          <w:lang w:val="en-US"/>
        </w:rPr>
      </w:pPr>
    </w:p>
    <w:p xmlns:wp14="http://schemas.microsoft.com/office/word/2010/wordml" w:rsidP="48E5423E" wp14:paraId="36253CD3" wp14:textId="5ED56028">
      <w:pPr>
        <w:pStyle w:val="Normal"/>
      </w:pPr>
      <w:r w:rsidRPr="48E5423E" w:rsidR="0F8BCBB1">
        <w:rPr>
          <w:rFonts w:ascii="Aptos" w:hAnsi="Aptos" w:eastAsia="Aptos" w:cs="Aptos"/>
          <w:b w:val="0"/>
          <w:bCs w:val="0"/>
          <w:i w:val="0"/>
          <w:iCs w:val="0"/>
          <w:strike w:val="0"/>
          <w:dstrike w:val="0"/>
          <w:noProof w:val="0"/>
          <w:color w:val="000000" w:themeColor="text1" w:themeTint="FF" w:themeShade="FF"/>
          <w:sz w:val="28"/>
          <w:szCs w:val="28"/>
          <w:u w:val="none"/>
          <w:lang w:val="en-US"/>
        </w:rPr>
        <w:t>Appendix</w:t>
      </w:r>
    </w:p>
    <w:p xmlns:wp14="http://schemas.microsoft.com/office/word/2010/wordml" w:rsidP="48E5423E" wp14:paraId="4247EB36" wp14:textId="5D44B8C1">
      <w:pPr>
        <w:spacing w:before="0" w:beforeAutospacing="off" w:after="160" w:afterAutospacing="off"/>
      </w:pPr>
      <w:hyperlink r:id="Rf94b688a595e4a41">
        <w:r w:rsidRPr="48E5423E" w:rsidR="0F8BCBB1">
          <w:rPr>
            <w:rStyle w:val="Hyperlink"/>
            <w:rFonts w:ascii="Aptos" w:hAnsi="Aptos" w:eastAsia="Aptos" w:cs="Aptos"/>
            <w:b w:val="0"/>
            <w:bCs w:val="0"/>
            <w:i w:val="0"/>
            <w:iCs w:val="0"/>
            <w:strike w:val="0"/>
            <w:dstrike w:val="0"/>
            <w:noProof w:val="0"/>
            <w:color w:val="1155CC"/>
            <w:sz w:val="28"/>
            <w:szCs w:val="28"/>
            <w:u w:val="none"/>
            <w:lang w:val="en-US"/>
          </w:rPr>
          <w:t>Year 6 Learners' Perceptions of Self-assessment in Improving Learning</w:t>
        </w:r>
      </w:hyperlink>
      <w:r w:rsidRPr="48E5423E" w:rsidR="60CB03C1">
        <w:rPr>
          <w:rFonts w:ascii="Aptos" w:hAnsi="Aptos" w:eastAsia="Aptos" w:cs="Aptos"/>
          <w:b w:val="0"/>
          <w:bCs w:val="0"/>
          <w:i w:val="0"/>
          <w:iCs w:val="0"/>
          <w:strike w:val="0"/>
          <w:dstrike w:val="0"/>
          <w:noProof w:val="0"/>
          <w:color w:val="1155CC"/>
          <w:sz w:val="28"/>
          <w:szCs w:val="28"/>
          <w:u w:val="none"/>
          <w:lang w:val="en-US"/>
        </w:rPr>
        <w:t xml:space="preserve"> Questionnaire</w:t>
      </w:r>
    </w:p>
    <w:p xmlns:wp14="http://schemas.microsoft.com/office/word/2010/wordml" w:rsidP="48E5423E" wp14:paraId="0BF88978" wp14:textId="2ED5201D">
      <w:pPr>
        <w:spacing w:before="0" w:beforeAutospacing="off" w:after="160" w:afterAutospacing="off"/>
      </w:pPr>
      <w:hyperlink r:id="R8f22930fdf894be5">
        <w:r w:rsidRPr="48E5423E" w:rsidR="0F8BCBB1">
          <w:rPr>
            <w:rStyle w:val="Hyperlink"/>
            <w:rFonts w:ascii="Aptos" w:hAnsi="Aptos" w:eastAsia="Aptos" w:cs="Aptos"/>
            <w:b w:val="0"/>
            <w:bCs w:val="0"/>
            <w:i w:val="0"/>
            <w:iCs w:val="0"/>
            <w:strike w:val="0"/>
            <w:dstrike w:val="0"/>
            <w:noProof w:val="0"/>
            <w:color w:val="1155CC"/>
            <w:sz w:val="28"/>
            <w:szCs w:val="28"/>
            <w:u w:val="none"/>
            <w:lang w:val="en-US"/>
          </w:rPr>
          <w:t>Year 6 Staff Perceptions of Self-assessment in Improving Learning</w:t>
        </w:r>
      </w:hyperlink>
      <w:r w:rsidRPr="48E5423E" w:rsidR="28FA2593">
        <w:rPr>
          <w:rFonts w:ascii="Aptos" w:hAnsi="Aptos" w:eastAsia="Aptos" w:cs="Aptos"/>
          <w:b w:val="0"/>
          <w:bCs w:val="0"/>
          <w:i w:val="0"/>
          <w:iCs w:val="0"/>
          <w:strike w:val="0"/>
          <w:dstrike w:val="0"/>
          <w:noProof w:val="0"/>
          <w:color w:val="1155CC"/>
          <w:sz w:val="28"/>
          <w:szCs w:val="28"/>
          <w:u w:val="none"/>
          <w:lang w:val="en-US"/>
        </w:rPr>
        <w:t xml:space="preserve"> Questionnaire</w:t>
      </w:r>
    </w:p>
    <w:p xmlns:wp14="http://schemas.microsoft.com/office/word/2010/wordml" wp14:paraId="2C078E63" wp14:textId="2AD76103">
      <w:r w:rsidR="3A0B98B3">
        <w:drawing>
          <wp:inline xmlns:wp14="http://schemas.microsoft.com/office/word/2010/wordprocessingDrawing" wp14:editId="73EFA6B0" wp14:anchorId="0CA7C489">
            <wp:extent cx="2352400" cy="3143250"/>
            <wp:effectExtent l="0" t="0" r="0" b="0"/>
            <wp:docPr id="275554744" name="" title=""/>
            <wp:cNvGraphicFramePr>
              <a:graphicFrameLocks noChangeAspect="1"/>
            </wp:cNvGraphicFramePr>
            <a:graphic>
              <a:graphicData uri="http://schemas.openxmlformats.org/drawingml/2006/picture">
                <pic:pic>
                  <pic:nvPicPr>
                    <pic:cNvPr id="0" name=""/>
                    <pic:cNvPicPr/>
                  </pic:nvPicPr>
                  <pic:blipFill>
                    <a:blip r:embed="R2fb674ed634c4e57">
                      <a:extLst>
                        <a:ext xmlns:a="http://schemas.openxmlformats.org/drawingml/2006/main" uri="{28A0092B-C50C-407E-A947-70E740481C1C}">
                          <a14:useLocalDpi val="0"/>
                        </a:ext>
                      </a:extLst>
                    </a:blip>
                    <a:stretch>
                      <a:fillRect/>
                    </a:stretch>
                  </pic:blipFill>
                  <pic:spPr>
                    <a:xfrm>
                      <a:off x="0" y="0"/>
                      <a:ext cx="2352400" cy="3143250"/>
                    </a:xfrm>
                    <a:prstGeom prst="rect">
                      <a:avLst/>
                    </a:prstGeom>
                  </pic:spPr>
                </pic:pic>
              </a:graphicData>
            </a:graphic>
          </wp:inline>
        </w:drawing>
      </w:r>
      <w:r w:rsidR="04603891">
        <w:drawing>
          <wp:inline xmlns:wp14="http://schemas.microsoft.com/office/word/2010/wordprocessingDrawing" wp14:editId="184D95B1" wp14:anchorId="2BE536B9">
            <wp:extent cx="2328133" cy="3110825"/>
            <wp:effectExtent l="0" t="0" r="0" b="0"/>
            <wp:docPr id="2105080191" name="" title=""/>
            <wp:cNvGraphicFramePr>
              <a:graphicFrameLocks noChangeAspect="1"/>
            </wp:cNvGraphicFramePr>
            <a:graphic>
              <a:graphicData uri="http://schemas.openxmlformats.org/drawingml/2006/picture">
                <pic:pic>
                  <pic:nvPicPr>
                    <pic:cNvPr id="0" name=""/>
                    <pic:cNvPicPr/>
                  </pic:nvPicPr>
                  <pic:blipFill>
                    <a:blip r:embed="Rae74705083f14e30">
                      <a:extLst>
                        <a:ext xmlns:a="http://schemas.openxmlformats.org/drawingml/2006/main" uri="{28A0092B-C50C-407E-A947-70E740481C1C}">
                          <a14:useLocalDpi val="0"/>
                        </a:ext>
                      </a:extLst>
                    </a:blip>
                    <a:stretch>
                      <a:fillRect/>
                    </a:stretch>
                  </pic:blipFill>
                  <pic:spPr>
                    <a:xfrm>
                      <a:off x="0" y="0"/>
                      <a:ext cx="2328133" cy="3110825"/>
                    </a:xfrm>
                    <a:prstGeom prst="rect">
                      <a:avLst/>
                    </a:prstGeom>
                  </pic:spPr>
                </pic:pic>
              </a:graphicData>
            </a:graphic>
          </wp:inline>
        </w:drawing>
      </w:r>
    </w:p>
    <w:p w:rsidR="48E5423E" w:rsidRDefault="48E5423E" w14:paraId="516225F1" w14:textId="176C0428"/>
    <w:p w:rsidR="3A0B98B3" w:rsidRDefault="3A0B98B3" w14:paraId="657DFE77" w14:textId="042F4297">
      <w:r w:rsidR="3A0B98B3">
        <w:drawing>
          <wp:inline wp14:editId="5411B216" wp14:anchorId="34E65C75">
            <wp:extent cx="2275132" cy="3040005"/>
            <wp:effectExtent l="0" t="0" r="0" b="0"/>
            <wp:docPr id="1827025968" name="" title=""/>
            <wp:cNvGraphicFramePr>
              <a:graphicFrameLocks noChangeAspect="1"/>
            </wp:cNvGraphicFramePr>
            <a:graphic>
              <a:graphicData uri="http://schemas.openxmlformats.org/drawingml/2006/picture">
                <pic:pic>
                  <pic:nvPicPr>
                    <pic:cNvPr id="0" name=""/>
                    <pic:cNvPicPr/>
                  </pic:nvPicPr>
                  <pic:blipFill>
                    <a:blip r:embed="Rc683942a66674b09">
                      <a:extLst>
                        <a:ext xmlns:a="http://schemas.openxmlformats.org/drawingml/2006/main" uri="{28A0092B-C50C-407E-A947-70E740481C1C}">
                          <a14:useLocalDpi val="0"/>
                        </a:ext>
                      </a:extLst>
                    </a:blip>
                    <a:stretch>
                      <a:fillRect/>
                    </a:stretch>
                  </pic:blipFill>
                  <pic:spPr>
                    <a:xfrm>
                      <a:off x="0" y="0"/>
                      <a:ext cx="2275132" cy="3040005"/>
                    </a:xfrm>
                    <a:prstGeom prst="rect">
                      <a:avLst/>
                    </a:prstGeom>
                  </pic:spPr>
                </pic:pic>
              </a:graphicData>
            </a:graphic>
          </wp:inline>
        </w:drawing>
      </w:r>
      <w:r w:rsidR="68586BF7">
        <w:drawing>
          <wp:inline wp14:editId="3913D6B7" wp14:anchorId="3EAAEA12">
            <wp:extent cx="2317102" cy="3096085"/>
            <wp:effectExtent l="0" t="0" r="0" b="0"/>
            <wp:docPr id="966475877" name="" title=""/>
            <wp:cNvGraphicFramePr>
              <a:graphicFrameLocks noChangeAspect="1"/>
            </wp:cNvGraphicFramePr>
            <a:graphic>
              <a:graphicData uri="http://schemas.openxmlformats.org/drawingml/2006/picture">
                <pic:pic>
                  <pic:nvPicPr>
                    <pic:cNvPr id="0" name=""/>
                    <pic:cNvPicPr/>
                  </pic:nvPicPr>
                  <pic:blipFill>
                    <a:blip r:embed="Rddf29284724b4219">
                      <a:extLst>
                        <a:ext xmlns:a="http://schemas.openxmlformats.org/drawingml/2006/main" uri="{28A0092B-C50C-407E-A947-70E740481C1C}">
                          <a14:useLocalDpi val="0"/>
                        </a:ext>
                      </a:extLst>
                    </a:blip>
                    <a:stretch>
                      <a:fillRect/>
                    </a:stretch>
                  </pic:blipFill>
                  <pic:spPr>
                    <a:xfrm>
                      <a:off x="0" y="0"/>
                      <a:ext cx="2317102" cy="3096085"/>
                    </a:xfrm>
                    <a:prstGeom prst="rect">
                      <a:avLst/>
                    </a:prstGeom>
                  </pic:spPr>
                </pic:pic>
              </a:graphicData>
            </a:graphic>
          </wp:inline>
        </w:drawing>
      </w:r>
    </w:p>
    <w:p w:rsidR="48E5423E" w:rsidRDefault="48E5423E" w14:paraId="0A089157" w14:textId="258EEDA0"/>
    <w:p w:rsidR="6EA060B3" w:rsidRDefault="6EA060B3" w14:paraId="793B7FF2" w14:textId="2F40F1EF">
      <w:r w:rsidR="6EA060B3">
        <w:drawing>
          <wp:inline wp14:editId="651986B0" wp14:anchorId="20325179">
            <wp:extent cx="2252774" cy="3010131"/>
            <wp:effectExtent l="0" t="0" r="0" b="0"/>
            <wp:docPr id="776824005" name="" title=""/>
            <wp:cNvGraphicFramePr>
              <a:graphicFrameLocks noChangeAspect="1"/>
            </wp:cNvGraphicFramePr>
            <a:graphic>
              <a:graphicData uri="http://schemas.openxmlformats.org/drawingml/2006/picture">
                <pic:pic>
                  <pic:nvPicPr>
                    <pic:cNvPr id="0" name=""/>
                    <pic:cNvPicPr/>
                  </pic:nvPicPr>
                  <pic:blipFill>
                    <a:blip r:embed="Rd2f7065c71214e6e">
                      <a:extLst>
                        <a:ext xmlns:a="http://schemas.openxmlformats.org/drawingml/2006/main" uri="{28A0092B-C50C-407E-A947-70E740481C1C}">
                          <a14:useLocalDpi val="0"/>
                        </a:ext>
                      </a:extLst>
                    </a:blip>
                    <a:stretch>
                      <a:fillRect/>
                    </a:stretch>
                  </pic:blipFill>
                  <pic:spPr>
                    <a:xfrm>
                      <a:off x="0" y="0"/>
                      <a:ext cx="2252774" cy="3010131"/>
                    </a:xfrm>
                    <a:prstGeom prst="rect">
                      <a:avLst/>
                    </a:prstGeom>
                  </pic:spPr>
                </pic:pic>
              </a:graphicData>
            </a:graphic>
          </wp:inline>
        </w:drawing>
      </w:r>
      <w:r w:rsidR="12A3BED4">
        <w:drawing>
          <wp:inline wp14:editId="2A08F9A1" wp14:anchorId="3229788F">
            <wp:extent cx="2153627" cy="2877652"/>
            <wp:effectExtent l="0" t="0" r="0" b="0"/>
            <wp:docPr id="573462832" name="" title=""/>
            <wp:cNvGraphicFramePr>
              <a:graphicFrameLocks noChangeAspect="1"/>
            </wp:cNvGraphicFramePr>
            <a:graphic>
              <a:graphicData uri="http://schemas.openxmlformats.org/drawingml/2006/picture">
                <pic:pic>
                  <pic:nvPicPr>
                    <pic:cNvPr id="0" name=""/>
                    <pic:cNvPicPr/>
                  </pic:nvPicPr>
                  <pic:blipFill>
                    <a:blip r:embed="R0481d99f77f94796">
                      <a:extLst>
                        <a:ext xmlns:a="http://schemas.openxmlformats.org/drawingml/2006/main" uri="{28A0092B-C50C-407E-A947-70E740481C1C}">
                          <a14:useLocalDpi val="0"/>
                        </a:ext>
                      </a:extLst>
                    </a:blip>
                    <a:stretch>
                      <a:fillRect/>
                    </a:stretch>
                  </pic:blipFill>
                  <pic:spPr>
                    <a:xfrm>
                      <a:off x="0" y="0"/>
                      <a:ext cx="2153627" cy="2877652"/>
                    </a:xfrm>
                    <a:prstGeom prst="rect">
                      <a:avLst/>
                    </a:prstGeom>
                  </pic:spPr>
                </pic:pic>
              </a:graphicData>
            </a:graphic>
          </wp:inline>
        </w:drawing>
      </w:r>
    </w:p>
    <w:p w:rsidR="12A3BED4" w:rsidRDefault="12A3BED4" w14:paraId="5FF18F2E" w14:textId="1FA09F08">
      <w:r w:rsidR="12A3BED4">
        <w:drawing>
          <wp:inline wp14:editId="6CEC610D" wp14:anchorId="69429694">
            <wp:extent cx="1608000" cy="2148591"/>
            <wp:effectExtent l="0" t="0" r="0" b="0"/>
            <wp:docPr id="1227754102" name="" title=""/>
            <wp:cNvGraphicFramePr>
              <a:graphicFrameLocks noChangeAspect="1"/>
            </wp:cNvGraphicFramePr>
            <a:graphic>
              <a:graphicData uri="http://schemas.openxmlformats.org/drawingml/2006/picture">
                <pic:pic>
                  <pic:nvPicPr>
                    <pic:cNvPr id="0" name=""/>
                    <pic:cNvPicPr/>
                  </pic:nvPicPr>
                  <pic:blipFill>
                    <a:blip r:embed="Re9d23684b38d4d43">
                      <a:extLst>
                        <a:ext xmlns:a="http://schemas.openxmlformats.org/drawingml/2006/main" uri="{28A0092B-C50C-407E-A947-70E740481C1C}">
                          <a14:useLocalDpi val="0"/>
                        </a:ext>
                      </a:extLst>
                    </a:blip>
                    <a:stretch>
                      <a:fillRect/>
                    </a:stretch>
                  </pic:blipFill>
                  <pic:spPr>
                    <a:xfrm>
                      <a:off x="0" y="0"/>
                      <a:ext cx="1608000" cy="2148591"/>
                    </a:xfrm>
                    <a:prstGeom prst="rect">
                      <a:avLst/>
                    </a:prstGeom>
                  </pic:spPr>
                </pic:pic>
              </a:graphicData>
            </a:graphic>
          </wp:inline>
        </w:drawing>
      </w:r>
      <w:r w:rsidR="12A3BED4">
        <w:drawing>
          <wp:inline wp14:editId="759F3D07" wp14:anchorId="7D998EE1">
            <wp:extent cx="2160028" cy="2886204"/>
            <wp:effectExtent l="0" t="0" r="0" b="0"/>
            <wp:docPr id="11395857" name="" title=""/>
            <wp:cNvGraphicFramePr>
              <a:graphicFrameLocks noChangeAspect="1"/>
            </wp:cNvGraphicFramePr>
            <a:graphic>
              <a:graphicData uri="http://schemas.openxmlformats.org/drawingml/2006/picture">
                <pic:pic>
                  <pic:nvPicPr>
                    <pic:cNvPr id="0" name=""/>
                    <pic:cNvPicPr/>
                  </pic:nvPicPr>
                  <pic:blipFill>
                    <a:blip r:embed="Rf1903293a50a4e7f">
                      <a:extLst>
                        <a:ext xmlns:a="http://schemas.openxmlformats.org/drawingml/2006/main" uri="{28A0092B-C50C-407E-A947-70E740481C1C}">
                          <a14:useLocalDpi val="0"/>
                        </a:ext>
                      </a:extLst>
                    </a:blip>
                    <a:stretch>
                      <a:fillRect/>
                    </a:stretch>
                  </pic:blipFill>
                  <pic:spPr>
                    <a:xfrm>
                      <a:off x="0" y="0"/>
                      <a:ext cx="2160028" cy="2886204"/>
                    </a:xfrm>
                    <a:prstGeom prst="rect">
                      <a:avLst/>
                    </a:prstGeom>
                  </pic:spPr>
                </pic:pic>
              </a:graphicData>
            </a:graphic>
          </wp:inline>
        </w:drawing>
      </w:r>
      <w:r w:rsidR="12A3BED4">
        <w:drawing>
          <wp:inline wp14:editId="7FDB04BF" wp14:anchorId="02EFA694">
            <wp:extent cx="2196459" cy="2934883"/>
            <wp:effectExtent l="0" t="0" r="0" b="0"/>
            <wp:docPr id="1761518205" name="" title=""/>
            <wp:cNvGraphicFramePr>
              <a:graphicFrameLocks noChangeAspect="1"/>
            </wp:cNvGraphicFramePr>
            <a:graphic>
              <a:graphicData uri="http://schemas.openxmlformats.org/drawingml/2006/picture">
                <pic:pic>
                  <pic:nvPicPr>
                    <pic:cNvPr id="0" name=""/>
                    <pic:cNvPicPr/>
                  </pic:nvPicPr>
                  <pic:blipFill>
                    <a:blip r:embed="Rdc8099773bf947bd">
                      <a:extLst>
                        <a:ext xmlns:a="http://schemas.openxmlformats.org/drawingml/2006/main" uri="{28A0092B-C50C-407E-A947-70E740481C1C}">
                          <a14:useLocalDpi val="0"/>
                        </a:ext>
                      </a:extLst>
                    </a:blip>
                    <a:stretch>
                      <a:fillRect/>
                    </a:stretch>
                  </pic:blipFill>
                  <pic:spPr>
                    <a:xfrm>
                      <a:off x="0" y="0"/>
                      <a:ext cx="2196459" cy="2934883"/>
                    </a:xfrm>
                    <a:prstGeom prst="rect">
                      <a:avLst/>
                    </a:prstGeom>
                  </pic:spPr>
                </pic:pic>
              </a:graphicData>
            </a:graphic>
          </wp:inline>
        </w:drawing>
      </w:r>
    </w:p>
    <w:p w:rsidR="48E5423E" w:rsidRDefault="48E5423E" w14:paraId="7393FA73" w14:textId="51EE8D9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Nn2KcjK" int2:invalidationBookmarkName="" int2:hashCode="+JH/L9/+y1I1Cp" int2:id="GnWNDFZe">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F69133"/>
    <w:rsid w:val="0246B04A"/>
    <w:rsid w:val="02F56511"/>
    <w:rsid w:val="04603891"/>
    <w:rsid w:val="06D24A1C"/>
    <w:rsid w:val="07C93FBC"/>
    <w:rsid w:val="0957C5A9"/>
    <w:rsid w:val="0957C5A9"/>
    <w:rsid w:val="0A2D813B"/>
    <w:rsid w:val="0A2D813B"/>
    <w:rsid w:val="0AC0B808"/>
    <w:rsid w:val="0B5497C4"/>
    <w:rsid w:val="0B5497C4"/>
    <w:rsid w:val="0C7DD04D"/>
    <w:rsid w:val="0EDF3491"/>
    <w:rsid w:val="0F8BCBB1"/>
    <w:rsid w:val="11F69133"/>
    <w:rsid w:val="12A3BED4"/>
    <w:rsid w:val="13755C48"/>
    <w:rsid w:val="141F754E"/>
    <w:rsid w:val="150A0A1D"/>
    <w:rsid w:val="1CC5928D"/>
    <w:rsid w:val="1F27B1D5"/>
    <w:rsid w:val="24129E8E"/>
    <w:rsid w:val="24E3E8AE"/>
    <w:rsid w:val="28FA2593"/>
    <w:rsid w:val="2D12478C"/>
    <w:rsid w:val="2D12478C"/>
    <w:rsid w:val="2EA3B965"/>
    <w:rsid w:val="36257502"/>
    <w:rsid w:val="3A0B98B3"/>
    <w:rsid w:val="3C21E9DD"/>
    <w:rsid w:val="3DAE4DCE"/>
    <w:rsid w:val="40194AB9"/>
    <w:rsid w:val="41292054"/>
    <w:rsid w:val="4452CB0E"/>
    <w:rsid w:val="48E5423E"/>
    <w:rsid w:val="4C4E9619"/>
    <w:rsid w:val="4EB4391E"/>
    <w:rsid w:val="5023F0A3"/>
    <w:rsid w:val="5023F0A3"/>
    <w:rsid w:val="51131CDB"/>
    <w:rsid w:val="55913809"/>
    <w:rsid w:val="567223FC"/>
    <w:rsid w:val="5A0722B7"/>
    <w:rsid w:val="5D3AB5F1"/>
    <w:rsid w:val="5F0B45C1"/>
    <w:rsid w:val="60CB03C1"/>
    <w:rsid w:val="618A534C"/>
    <w:rsid w:val="618A534C"/>
    <w:rsid w:val="66F78EB2"/>
    <w:rsid w:val="68586BF7"/>
    <w:rsid w:val="6D058FEB"/>
    <w:rsid w:val="6DCFA1C3"/>
    <w:rsid w:val="6EA060B3"/>
    <w:rsid w:val="6FFAFDE6"/>
    <w:rsid w:val="736ABF11"/>
    <w:rsid w:val="7E46EF23"/>
    <w:rsid w:val="7EBA88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69133"/>
  <w15:chartTrackingRefBased/>
  <w15:docId w15:val="{6040371D-E8ED-4AE0-9366-BED18421F9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8E5423E"/>
    <w:rPr>
      <w:color w:val="467886"/>
      <w:u w:val="single"/>
    </w:rPr>
  </w:style>
  <w:style w:type="paragraph" w:styleId="ListParagraph">
    <w:uiPriority w:val="34"/>
    <w:name w:val="List Paragraph"/>
    <w:basedOn w:val="Normal"/>
    <w:qFormat/>
    <w:rsid w:val="48E5423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791557fddf44df0" /><Relationship Type="http://schemas.openxmlformats.org/officeDocument/2006/relationships/hyperlink" Target="https://wordcounter.net/" TargetMode="External" Id="Rc6a35724a23744f4" /><Relationship Type="http://schemas.openxmlformats.org/officeDocument/2006/relationships/hyperlink" Target="https://chatgpt.com/" TargetMode="External" Id="R60444bb0bd21449f" /><Relationship Type="http://schemas.openxmlformats.org/officeDocument/2006/relationships/hyperlink" Target="https://hwb.gov.wales/curriculum-for-wales" TargetMode="External" Id="R52125c7eab65471e" /><Relationship Type="http://schemas.openxmlformats.org/officeDocument/2006/relationships/hyperlink" Target="https://forms.office.com/e/7gChR8vPqr" TargetMode="External" Id="Rf94b688a595e4a41" /><Relationship Type="http://schemas.openxmlformats.org/officeDocument/2006/relationships/hyperlink" Target="https://forms.office.com/e/ruXwzwTUt6" TargetMode="External" Id="R8f22930fdf894be5" /><Relationship Type="http://schemas.openxmlformats.org/officeDocument/2006/relationships/image" Target="/media/image2.png" Id="R2fb674ed634c4e57" /><Relationship Type="http://schemas.openxmlformats.org/officeDocument/2006/relationships/image" Target="/media/image3.png" Id="Rae74705083f14e30" /><Relationship Type="http://schemas.openxmlformats.org/officeDocument/2006/relationships/image" Target="/media/image4.png" Id="Rc683942a66674b09" /><Relationship Type="http://schemas.openxmlformats.org/officeDocument/2006/relationships/image" Target="/media/image5.png" Id="Rddf29284724b4219" /><Relationship Type="http://schemas.openxmlformats.org/officeDocument/2006/relationships/image" Target="/media/image6.png" Id="Rd2f7065c71214e6e" /><Relationship Type="http://schemas.openxmlformats.org/officeDocument/2006/relationships/image" Target="/media/image7.png" Id="R0481d99f77f94796" /><Relationship Type="http://schemas.openxmlformats.org/officeDocument/2006/relationships/image" Target="/media/image8.png" Id="Re9d23684b38d4d43" /><Relationship Type="http://schemas.openxmlformats.org/officeDocument/2006/relationships/image" Target="/media/image9.png" Id="Rf1903293a50a4e7f" /><Relationship Type="http://schemas.openxmlformats.org/officeDocument/2006/relationships/image" Target="/media/imagea.png" Id="Rdc8099773bf947bd" /><Relationship Type="http://schemas.microsoft.com/office/2020/10/relationships/intelligence" Target="intelligence2.xml" Id="Re8193a0a3bd746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2025-04-04T19:25:10.5208307Z</dcterms:created>
  <dcterms:modified xsi:type="dcterms:W3CDTF">2025-04-04T19:50:22.3146322Z</dcterms:modified>
  <dc:creator>Rosie Megrath (2205120)</dc:creator>
  <lastModifiedBy>Rosie Megrath (2205120)</lastModifiedBy>
</coreProperties>
</file>