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4367EC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526CD">
              <w:rPr>
                <w:b/>
                <w:color w:val="auto"/>
                <w:sz w:val="32"/>
              </w:rPr>
              <w:t>Ben Willmett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C1A483" w:rsidR="005A1BA3" w:rsidRDefault="009526CD" w:rsidP="00340E9A">
            <w:pPr>
              <w:overflowPunct/>
              <w:autoSpaceDE/>
              <w:autoSpaceDN/>
              <w:adjustRightInd/>
              <w:ind w:right="237"/>
              <w:textAlignment w:val="auto"/>
              <w:rPr>
                <w:b/>
                <w:color w:val="auto"/>
                <w:sz w:val="32"/>
              </w:rPr>
            </w:pPr>
            <w:r>
              <w:rPr>
                <w:b/>
                <w:color w:val="auto"/>
                <w:sz w:val="32"/>
              </w:rPr>
              <w:t>1152440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813B70"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C10CD04" w14:textId="77777777" w:rsidR="00174BF6" w:rsidRPr="00AC693E" w:rsidRDefault="00174BF6" w:rsidP="00174BF6">
      <w:pPr>
        <w:rPr>
          <w:rFonts w:cstheme="minorHAnsi"/>
          <w:sz w:val="24"/>
        </w:rPr>
      </w:pPr>
      <w:r w:rsidRPr="00AC693E">
        <w:rPr>
          <w:rFonts w:cstheme="minorHAnsi"/>
          <w:sz w:val="24"/>
        </w:rPr>
        <w:t xml:space="preserve">This essay will reflect on the impact of organisational </w:t>
      </w:r>
      <w:r>
        <w:rPr>
          <w:rFonts w:cstheme="minorHAnsi"/>
          <w:sz w:val="24"/>
        </w:rPr>
        <w:t>justice</w:t>
      </w:r>
      <w:r w:rsidRPr="00AC693E">
        <w:rPr>
          <w:rFonts w:cstheme="minorHAnsi"/>
          <w:sz w:val="24"/>
        </w:rPr>
        <w:t xml:space="preserve"> has had upon my</w:t>
      </w:r>
      <w:r>
        <w:rPr>
          <w:rFonts w:cstheme="minorHAnsi"/>
          <w:sz w:val="24"/>
        </w:rPr>
        <w:t>self</w:t>
      </w:r>
      <w:r w:rsidRPr="00AC693E">
        <w:rPr>
          <w:rFonts w:cstheme="minorHAnsi"/>
          <w:sz w:val="24"/>
        </w:rPr>
        <w:t xml:space="preserve"> </w:t>
      </w:r>
      <w:r>
        <w:rPr>
          <w:rFonts w:cstheme="minorHAnsi"/>
          <w:sz w:val="24"/>
        </w:rPr>
        <w:t>as a member of the police service.</w:t>
      </w:r>
      <w:r w:rsidRPr="00AC693E">
        <w:rPr>
          <w:rFonts w:cstheme="minorHAnsi"/>
          <w:sz w:val="24"/>
        </w:rPr>
        <w:t xml:space="preserve"> It will consider the </w:t>
      </w:r>
      <w:r>
        <w:rPr>
          <w:rFonts w:cstheme="minorHAnsi"/>
          <w:sz w:val="24"/>
        </w:rPr>
        <w:t>steps that the police service is taking to raise ethical standards.</w:t>
      </w:r>
    </w:p>
    <w:p w14:paraId="0B960133" w14:textId="77777777" w:rsidR="00174BF6" w:rsidRDefault="00174BF6" w:rsidP="00174BF6"/>
    <w:p w14:paraId="14B8C6D7" w14:textId="332D750E" w:rsidR="00174BF6" w:rsidRPr="00681693" w:rsidRDefault="00174BF6" w:rsidP="00174BF6">
      <w:pPr>
        <w:rPr>
          <w:color w:val="auto"/>
          <w:sz w:val="24"/>
          <w:szCs w:val="24"/>
        </w:rPr>
      </w:pPr>
      <w:r w:rsidRPr="00B108E4">
        <w:rPr>
          <w:sz w:val="24"/>
        </w:rPr>
        <w:t>Organisational</w:t>
      </w:r>
      <w:r>
        <w:rPr>
          <w:sz w:val="24"/>
        </w:rPr>
        <w:t xml:space="preserve"> justice was a concept suggested by Greenberg and multiple ideas </w:t>
      </w:r>
      <w:r w:rsidR="00BD4AB3">
        <w:rPr>
          <w:sz w:val="24"/>
        </w:rPr>
        <w:t>contextualised in his journal titled ‘</w:t>
      </w:r>
      <w:r>
        <w:rPr>
          <w:sz w:val="24"/>
        </w:rPr>
        <w:t xml:space="preserve">A Taxonomy of Organizational Justice Theories’ (Greenberg, 1987). The term organisational justice, as explained by Robert Moorman in his titled journal, ‘Relationship Between Organizational Justice and Organizational Citizenship Behaviours: Do Fairness Perceptions Influence Employee Citizenship’ stated that </w:t>
      </w:r>
      <w:r w:rsidRPr="00681693">
        <w:rPr>
          <w:color w:val="auto"/>
          <w:sz w:val="24"/>
          <w:szCs w:val="24"/>
        </w:rPr>
        <w:t xml:space="preserve">‘Organizational justice is the term used to describe the role of fairness as it directly relates to the workplace. Specifically, organizational justice is concerned with the ways in which employees determine if they have been treated fairly in their jobs and the ways in which those determinations influence other work-related variables’ </w:t>
      </w:r>
      <w:r w:rsidRPr="00681693">
        <w:rPr>
          <w:sz w:val="24"/>
          <w:shd w:val="clear" w:color="auto" w:fill="FFFFFF"/>
        </w:rPr>
        <w:t>(Moorman, 1991)</w:t>
      </w:r>
      <w:r>
        <w:rPr>
          <w:sz w:val="24"/>
          <w:shd w:val="clear" w:color="auto" w:fill="FFFFFF"/>
        </w:rPr>
        <w:t>.</w:t>
      </w:r>
    </w:p>
    <w:p w14:paraId="0FB0DA42" w14:textId="77777777" w:rsidR="00174BF6" w:rsidRPr="00681693" w:rsidRDefault="00174BF6" w:rsidP="00174BF6">
      <w:pPr>
        <w:rPr>
          <w:color w:val="auto"/>
          <w:sz w:val="24"/>
          <w:szCs w:val="24"/>
        </w:rPr>
      </w:pPr>
    </w:p>
    <w:p w14:paraId="0EB1D9A4" w14:textId="146EAFA4" w:rsidR="00174BF6" w:rsidRDefault="00174BF6" w:rsidP="00174BF6">
      <w:pPr>
        <w:rPr>
          <w:spacing w:val="3"/>
          <w:sz w:val="24"/>
          <w:szCs w:val="24"/>
        </w:rPr>
      </w:pPr>
      <w:r>
        <w:rPr>
          <w:sz w:val="24"/>
        </w:rPr>
        <w:t xml:space="preserve">Organisational justice encompasses all </w:t>
      </w:r>
      <w:r w:rsidR="00BD4AB3">
        <w:rPr>
          <w:sz w:val="24"/>
        </w:rPr>
        <w:t>workplace culture and behaviour. A</w:t>
      </w:r>
      <w:r>
        <w:rPr>
          <w:sz w:val="24"/>
        </w:rPr>
        <w:t>s a member of the police service the decisions and actions of the service influence me and the way in which I conduct myself. The Code of Ethics, as created by The College of Policing in 2014 is a set of standards each member of the service are defined against. The College of Policing state that the Code of Ethics ‘</w:t>
      </w:r>
      <w:r w:rsidRPr="00C22E31">
        <w:rPr>
          <w:spacing w:val="3"/>
          <w:sz w:val="24"/>
          <w:szCs w:val="24"/>
        </w:rPr>
        <w:t>sets and defines the exemplary standards of behaviour for everyone who works in policing.</w:t>
      </w:r>
      <w:r>
        <w:rPr>
          <w:spacing w:val="3"/>
          <w:sz w:val="24"/>
          <w:szCs w:val="24"/>
        </w:rPr>
        <w:t xml:space="preserve"> </w:t>
      </w:r>
      <w:r w:rsidRPr="00C22E31">
        <w:rPr>
          <w:spacing w:val="3"/>
          <w:sz w:val="24"/>
          <w:szCs w:val="24"/>
        </w:rPr>
        <w:t>It is a supportive, positive, everyday decision-making framework and is a constant reinforcement of the values and stand</w:t>
      </w:r>
      <w:r>
        <w:rPr>
          <w:spacing w:val="3"/>
          <w:sz w:val="24"/>
          <w:szCs w:val="24"/>
        </w:rPr>
        <w:t xml:space="preserve">ards that policing is proud of.’ (College of Policing, ND). The aim of instilling the Code of Ethics and allowing such measures to underpin the values and actions of all members of the police service aid in alleviating any deviation of standards that all police service members are accountable to.  </w:t>
      </w:r>
    </w:p>
    <w:p w14:paraId="57F71CE0" w14:textId="77777777" w:rsidR="00174BF6" w:rsidRDefault="00174BF6" w:rsidP="00174BF6">
      <w:pPr>
        <w:rPr>
          <w:spacing w:val="3"/>
          <w:sz w:val="24"/>
          <w:szCs w:val="24"/>
        </w:rPr>
      </w:pPr>
    </w:p>
    <w:p w14:paraId="3E1BB556" w14:textId="349439A3" w:rsidR="00174BF6" w:rsidRDefault="00174BF6" w:rsidP="00174BF6">
      <w:pPr>
        <w:rPr>
          <w:spacing w:val="3"/>
          <w:sz w:val="24"/>
          <w:szCs w:val="24"/>
        </w:rPr>
      </w:pPr>
      <w:r>
        <w:rPr>
          <w:spacing w:val="3"/>
          <w:sz w:val="24"/>
          <w:szCs w:val="24"/>
        </w:rPr>
        <w:t>Generally, there are three agreed components of Organisational Justice, however there is still some debate about additional components or sub-components. ‘Distributive Justice’ is the first element of Organisational Justice. Simply it is the allocation of rewards</w:t>
      </w:r>
      <w:r w:rsidR="00BD4AB3">
        <w:rPr>
          <w:spacing w:val="3"/>
          <w:sz w:val="24"/>
          <w:szCs w:val="24"/>
        </w:rPr>
        <w:t>, the consequence of such and</w:t>
      </w:r>
      <w:r>
        <w:rPr>
          <w:spacing w:val="3"/>
          <w:sz w:val="24"/>
          <w:szCs w:val="24"/>
        </w:rPr>
        <w:t xml:space="preserve"> the perception of fairness </w:t>
      </w:r>
      <w:r>
        <w:rPr>
          <w:spacing w:val="3"/>
          <w:sz w:val="24"/>
          <w:szCs w:val="24"/>
        </w:rPr>
        <w:lastRenderedPageBreak/>
        <w:t>associated with such allocations. These can range from physical objects such as salary to non-physical</w:t>
      </w:r>
      <w:r w:rsidR="00BD4AB3">
        <w:rPr>
          <w:spacing w:val="3"/>
          <w:sz w:val="24"/>
          <w:szCs w:val="24"/>
        </w:rPr>
        <w:t>,</w:t>
      </w:r>
      <w:r>
        <w:rPr>
          <w:spacing w:val="3"/>
          <w:sz w:val="24"/>
          <w:szCs w:val="24"/>
        </w:rPr>
        <w:t xml:space="preserve"> such as praise or recognition for hard work. Considering this and reflecting upon the effect this has had upon myself within the Police Service, I would say that it has made me somewhat bitter or even resentful at times. As </w:t>
      </w:r>
      <w:r w:rsidR="00BD4AB3">
        <w:rPr>
          <w:spacing w:val="3"/>
          <w:sz w:val="24"/>
          <w:szCs w:val="24"/>
        </w:rPr>
        <w:t>someone who is young in service</w:t>
      </w:r>
      <w:r>
        <w:rPr>
          <w:spacing w:val="3"/>
          <w:sz w:val="24"/>
          <w:szCs w:val="24"/>
        </w:rPr>
        <w:t xml:space="preserve"> the expectation is that I am to work harder, I am to work for longer and I am obliged to undergo certain mundane elements of the role more frequently ove</w:t>
      </w:r>
      <w:r w:rsidR="00BD4AB3">
        <w:rPr>
          <w:spacing w:val="3"/>
          <w:sz w:val="24"/>
          <w:szCs w:val="24"/>
        </w:rPr>
        <w:t>r more senior Police Constables. This is whilst</w:t>
      </w:r>
      <w:r>
        <w:rPr>
          <w:spacing w:val="3"/>
          <w:sz w:val="24"/>
          <w:szCs w:val="24"/>
        </w:rPr>
        <w:t xml:space="preserve"> </w:t>
      </w:r>
      <w:r w:rsidR="00BD4AB3">
        <w:rPr>
          <w:spacing w:val="3"/>
          <w:sz w:val="24"/>
          <w:szCs w:val="24"/>
        </w:rPr>
        <w:t xml:space="preserve">earning </w:t>
      </w:r>
      <w:r>
        <w:rPr>
          <w:spacing w:val="3"/>
          <w:sz w:val="24"/>
          <w:szCs w:val="24"/>
        </w:rPr>
        <w:t>in some instances, half of the money of that of my colleagues. The complacency of some more senior colleagues puts additional work and pressure on myself, often for little or no recognition and no financial gain. I do not consider this fair especially that this is sometimes enabled by supervisory. However, I am acutely aware of the repercussions of a deviation from the standards I am held against within the Code of Ethics and endeavour to co</w:t>
      </w:r>
      <w:r w:rsidR="00BD4AB3">
        <w:rPr>
          <w:spacing w:val="3"/>
          <w:sz w:val="24"/>
          <w:szCs w:val="24"/>
        </w:rPr>
        <w:t>mplete all aspects of the work to</w:t>
      </w:r>
      <w:r>
        <w:rPr>
          <w:spacing w:val="3"/>
          <w:sz w:val="24"/>
          <w:szCs w:val="24"/>
        </w:rPr>
        <w:t xml:space="preserve"> the best of my ability</w:t>
      </w:r>
      <w:r w:rsidR="00BD4AB3">
        <w:rPr>
          <w:spacing w:val="3"/>
          <w:sz w:val="24"/>
          <w:szCs w:val="24"/>
        </w:rPr>
        <w:t xml:space="preserve">. This </w:t>
      </w:r>
      <w:r w:rsidR="00BD4AB3">
        <w:rPr>
          <w:spacing w:val="3"/>
          <w:sz w:val="24"/>
          <w:szCs w:val="24"/>
        </w:rPr>
        <w:t>is despite little or no benefits to that of my colleagues rec</w:t>
      </w:r>
      <w:r w:rsidR="00BD4AB3">
        <w:rPr>
          <w:spacing w:val="3"/>
          <w:sz w:val="24"/>
          <w:szCs w:val="24"/>
        </w:rPr>
        <w:t>eive for considerably less work.</w:t>
      </w:r>
    </w:p>
    <w:p w14:paraId="480876AA" w14:textId="0B4DB18D" w:rsidR="00174BF6" w:rsidRDefault="00174BF6" w:rsidP="00174BF6">
      <w:pPr>
        <w:rPr>
          <w:spacing w:val="3"/>
          <w:sz w:val="24"/>
          <w:szCs w:val="24"/>
        </w:rPr>
      </w:pPr>
    </w:p>
    <w:p w14:paraId="07BD2A1C" w14:textId="0AAD907B" w:rsidR="00174BF6" w:rsidRDefault="003775B2" w:rsidP="00174BF6">
      <w:pPr>
        <w:rPr>
          <w:spacing w:val="3"/>
          <w:sz w:val="24"/>
          <w:szCs w:val="24"/>
        </w:rPr>
      </w:pPr>
      <w:r>
        <w:rPr>
          <w:spacing w:val="3"/>
          <w:sz w:val="24"/>
          <w:szCs w:val="24"/>
        </w:rPr>
        <w:t xml:space="preserve">The second component is </w:t>
      </w:r>
      <w:r w:rsidR="00174BF6">
        <w:rPr>
          <w:spacing w:val="3"/>
          <w:sz w:val="24"/>
          <w:szCs w:val="24"/>
        </w:rPr>
        <w:t>Procedural Justice and highlights that the stages that are responsible for outcomes or decisions are essentially fair. Upon reflection, I would like to think that any decisions made beyond myself are fair and just. However, as a Student Constable, I have little to no influence or say in any decision that extends beyond that of any call I may attend. Any decisions are made by senior leadership and the consequent chain of command</w:t>
      </w:r>
      <w:r>
        <w:rPr>
          <w:spacing w:val="3"/>
          <w:sz w:val="24"/>
          <w:szCs w:val="24"/>
        </w:rPr>
        <w:t>. Even</w:t>
      </w:r>
      <w:r w:rsidR="00174BF6">
        <w:rPr>
          <w:spacing w:val="3"/>
          <w:sz w:val="24"/>
          <w:szCs w:val="24"/>
        </w:rPr>
        <w:t xml:space="preserve"> against more senior Police Officers of the same rank I would have less influence or control over decisions. So I am cautious in my actions and in the belief that anything I decide can be scrutinised against a set of standards, so can the actions of anyone else within the Police Service. </w:t>
      </w:r>
    </w:p>
    <w:p w14:paraId="7F05192F" w14:textId="77777777" w:rsidR="00174BF6" w:rsidRDefault="00174BF6" w:rsidP="00174BF6">
      <w:pPr>
        <w:rPr>
          <w:spacing w:val="3"/>
          <w:sz w:val="24"/>
          <w:szCs w:val="24"/>
        </w:rPr>
      </w:pPr>
    </w:p>
    <w:p w14:paraId="01A415F1" w14:textId="15408178" w:rsidR="00174BF6" w:rsidRDefault="003775B2" w:rsidP="00174BF6">
      <w:pPr>
        <w:rPr>
          <w:spacing w:val="3"/>
          <w:sz w:val="24"/>
          <w:szCs w:val="24"/>
        </w:rPr>
      </w:pPr>
      <w:r>
        <w:rPr>
          <w:spacing w:val="3"/>
          <w:sz w:val="24"/>
          <w:szCs w:val="24"/>
        </w:rPr>
        <w:t>The last component is Interactional Justice</w:t>
      </w:r>
      <w:r w:rsidR="00174BF6">
        <w:rPr>
          <w:spacing w:val="3"/>
          <w:sz w:val="24"/>
          <w:szCs w:val="24"/>
        </w:rPr>
        <w:t xml:space="preserve"> which is suggested to consist of </w:t>
      </w:r>
      <w:r>
        <w:rPr>
          <w:spacing w:val="3"/>
          <w:sz w:val="24"/>
          <w:szCs w:val="24"/>
        </w:rPr>
        <w:t xml:space="preserve">two specific types. The first, named </w:t>
      </w:r>
      <w:r w:rsidR="00174BF6">
        <w:rPr>
          <w:spacing w:val="3"/>
          <w:sz w:val="24"/>
          <w:szCs w:val="24"/>
        </w:rPr>
        <w:t>Interpersonal Justic</w:t>
      </w:r>
      <w:r>
        <w:rPr>
          <w:spacing w:val="3"/>
          <w:sz w:val="24"/>
          <w:szCs w:val="24"/>
        </w:rPr>
        <w:t>e</w:t>
      </w:r>
      <w:r w:rsidR="00174BF6">
        <w:rPr>
          <w:spacing w:val="3"/>
          <w:sz w:val="24"/>
          <w:szCs w:val="24"/>
        </w:rPr>
        <w:t xml:space="preserve"> considers how people are treated with certain dignities and respect by the individuals who determine </w:t>
      </w:r>
      <w:r>
        <w:rPr>
          <w:spacing w:val="3"/>
          <w:sz w:val="24"/>
          <w:szCs w:val="24"/>
        </w:rPr>
        <w:t>outcomes. The second, labelled Informational Justice</w:t>
      </w:r>
      <w:r w:rsidR="00174BF6">
        <w:rPr>
          <w:spacing w:val="3"/>
          <w:sz w:val="24"/>
          <w:szCs w:val="24"/>
        </w:rPr>
        <w:t xml:space="preserve"> considers the explanations provided to people in relation to outcomes or why procedures are used.  Upon reflection, I feel within the police </w:t>
      </w:r>
      <w:r>
        <w:rPr>
          <w:spacing w:val="3"/>
          <w:sz w:val="24"/>
          <w:szCs w:val="24"/>
        </w:rPr>
        <w:t xml:space="preserve">service at a more senior level </w:t>
      </w:r>
      <w:r w:rsidR="00174BF6">
        <w:rPr>
          <w:spacing w:val="3"/>
          <w:sz w:val="24"/>
          <w:szCs w:val="24"/>
        </w:rPr>
        <w:t>outcomes decided are hard to gauge dignities due to being relayed via generic mess</w:t>
      </w:r>
      <w:r>
        <w:rPr>
          <w:spacing w:val="3"/>
          <w:sz w:val="24"/>
          <w:szCs w:val="24"/>
        </w:rPr>
        <w:t>ages or not even relayed at all. I</w:t>
      </w:r>
      <w:r w:rsidR="00174BF6">
        <w:rPr>
          <w:spacing w:val="3"/>
          <w:sz w:val="24"/>
          <w:szCs w:val="24"/>
        </w:rPr>
        <w:t xml:space="preserve">t is simply how things are done and there is no dignity afforded with that and this is what I have learnt to accept. </w:t>
      </w:r>
      <w:r>
        <w:rPr>
          <w:spacing w:val="3"/>
          <w:sz w:val="24"/>
          <w:szCs w:val="24"/>
        </w:rPr>
        <w:t>Outcomes are</w:t>
      </w:r>
      <w:r w:rsidR="00174BF6">
        <w:rPr>
          <w:spacing w:val="3"/>
          <w:sz w:val="24"/>
          <w:szCs w:val="24"/>
        </w:rPr>
        <w:t xml:space="preserve"> something that must happen and if it does not happen then you are not carrying out what is expected of you, so at times I can feel in the dark about bigger scale decisions. However, reflecting on my experiences with local supervisory or colleagues, generally I am afforded dignities when given an outcome or a verdict to what I have done within work or what I need to do and I am often explained why and how such pr</w:t>
      </w:r>
      <w:r>
        <w:rPr>
          <w:spacing w:val="3"/>
          <w:sz w:val="24"/>
          <w:szCs w:val="24"/>
        </w:rPr>
        <w:t>ocedures or decisions are made. This</w:t>
      </w:r>
      <w:r w:rsidR="00174BF6">
        <w:rPr>
          <w:spacing w:val="3"/>
          <w:sz w:val="24"/>
          <w:szCs w:val="24"/>
        </w:rPr>
        <w:t xml:space="preserve"> I feel allows me to learn and create positive working relationships at times.</w:t>
      </w:r>
    </w:p>
    <w:p w14:paraId="0EEA6764" w14:textId="77777777" w:rsidR="00174BF6" w:rsidRDefault="00174BF6" w:rsidP="00174BF6">
      <w:pPr>
        <w:rPr>
          <w:sz w:val="24"/>
        </w:rPr>
      </w:pPr>
    </w:p>
    <w:p w14:paraId="518D1A94" w14:textId="0F442D06" w:rsidR="00174BF6" w:rsidRDefault="00174BF6" w:rsidP="00174BF6">
      <w:pPr>
        <w:rPr>
          <w:sz w:val="24"/>
        </w:rPr>
      </w:pPr>
      <w:r>
        <w:rPr>
          <w:sz w:val="24"/>
        </w:rPr>
        <w:t xml:space="preserve">Finally, I will consider the steps that the Police Service are taking to raise ethical standards. Firstly, there are regular educational releases around expectations or requirements of behaviour or actions within the role. They take various forms such as ‘Training Days’, Intranet releases or are cascaded via emails or through local supervisory. This is to ensure that all members of the police service are working with relevant, up to date information and are adhering to the correct practices. This works </w:t>
      </w:r>
      <w:r>
        <w:rPr>
          <w:sz w:val="24"/>
        </w:rPr>
        <w:lastRenderedPageBreak/>
        <w:t>in theory, however at times messages are cascaded differently or sometimes not at all or not in a timely manner which can be detrimental to operational effectiveness when ensuring blanket ethical standards. Secondly, any member of the police service who’s actions fall below</w:t>
      </w:r>
      <w:bookmarkStart w:id="0" w:name="_GoBack"/>
      <w:bookmarkEnd w:id="0"/>
      <w:r>
        <w:rPr>
          <w:sz w:val="24"/>
        </w:rPr>
        <w:t xml:space="preserve"> the standards that are expected will find their behaviour or any outcomes of such behaviour such as a verdict to a disciplinary hearing is routinely broadcast within the organisation and made rea</w:t>
      </w:r>
      <w:r w:rsidR="003775B2">
        <w:rPr>
          <w:sz w:val="24"/>
        </w:rPr>
        <w:t>dily available for all to rear. For example</w:t>
      </w:r>
      <w:r>
        <w:rPr>
          <w:sz w:val="24"/>
        </w:rPr>
        <w:t xml:space="preserve"> it is shown within the Police Service Intranet page. Whilst this is educational at times and I believe serves as a warning or deterrent. I think sometimes it can be viewed more as a gossip opportunity rather than that of actual educational means. </w:t>
      </w:r>
    </w:p>
    <w:p w14:paraId="2D418E66" w14:textId="77777777" w:rsidR="00174BF6" w:rsidRDefault="00174BF6" w:rsidP="00174BF6">
      <w:pPr>
        <w:rPr>
          <w:sz w:val="24"/>
        </w:rPr>
      </w:pPr>
    </w:p>
    <w:p w14:paraId="4700AD21" w14:textId="6BA755F4" w:rsidR="00174BF6" w:rsidRPr="00B108E4" w:rsidRDefault="00BD4AB3" w:rsidP="00174BF6">
      <w:pPr>
        <w:rPr>
          <w:sz w:val="24"/>
        </w:rPr>
      </w:pPr>
      <w:r>
        <w:rPr>
          <w:sz w:val="24"/>
        </w:rPr>
        <w:t>Word Count - 108</w:t>
      </w:r>
      <w:r w:rsidR="003775B2">
        <w:rPr>
          <w:sz w:val="24"/>
        </w:rPr>
        <w:t>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74BF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AA411F3" w14:textId="77777777" w:rsidR="009526CD" w:rsidRPr="009526CD" w:rsidRDefault="009526CD" w:rsidP="009526CD">
      <w:pPr>
        <w:rPr>
          <w:sz w:val="24"/>
          <w:szCs w:val="24"/>
        </w:rPr>
      </w:pPr>
      <w:r w:rsidRPr="009526CD">
        <w:rPr>
          <w:sz w:val="24"/>
          <w:szCs w:val="24"/>
        </w:rPr>
        <w:t xml:space="preserve">This essay will entail a brief description of a crime related incident attended where I have played a significant role with the victim. It will include social and legislative contexts and any relevant cultural, ethnicity or language issues. It will consider the options made when adopting a multi-agency approach and a rationale for how I decided what the most appropriate option to mitigate or resolve the problem was and how I evaluated the evidence available to me. It will justify my intervention and highlight any potential consequences. </w:t>
      </w:r>
    </w:p>
    <w:p w14:paraId="53515850" w14:textId="77777777" w:rsidR="009526CD" w:rsidRPr="009526CD" w:rsidRDefault="009526CD" w:rsidP="009526CD">
      <w:pPr>
        <w:rPr>
          <w:sz w:val="24"/>
          <w:szCs w:val="24"/>
        </w:rPr>
      </w:pPr>
    </w:p>
    <w:p w14:paraId="72B5E860" w14:textId="77777777" w:rsidR="009526CD" w:rsidRPr="009526CD" w:rsidRDefault="009526CD" w:rsidP="009526CD">
      <w:pPr>
        <w:rPr>
          <w:sz w:val="24"/>
          <w:szCs w:val="24"/>
        </w:rPr>
      </w:pPr>
      <w:r w:rsidRPr="009526CD">
        <w:rPr>
          <w:sz w:val="24"/>
          <w:szCs w:val="24"/>
        </w:rPr>
        <w:t xml:space="preserve">Officers attended a domestic related incident following anonymous reports of a domestic assault taking place at the marital home of a couple with two children. Upon arrival, Officers have activated their Body Worn Video (BWV) in-line with South Wales Police Force policy. Officers made their presence known with tactical communications and could hear a muffled cry in response. Officers have entered through the unsecure front door and have made way into the address. Upon entering into the living room, there were clear signs of a disturbance with furniture overturned and items strewn across the floor. Person A was sat on the floor, they appeared disorientated and they were crying. Person A had a prominent injury to the right side of their temple. Person A also had bruising to their wrists. One Officer remained with Person A whilst other units conducted a search of the property, however the only other persons present were the two young children who had sought to hide from the altercation by hiding in their bedroom. Person B was not found at the property. Person A disclosed there had been a verbal altercation with their partner, Person B over allegations of cheating and it had escalated physically. They explained Person </w:t>
      </w:r>
      <w:r w:rsidRPr="009526CD">
        <w:rPr>
          <w:sz w:val="24"/>
          <w:szCs w:val="24"/>
        </w:rPr>
        <w:lastRenderedPageBreak/>
        <w:t xml:space="preserve">B had overturned furniture and thrown items around the room where one of the children were hit with a flying object before going on to strike Person A with a closed fist several times, causing them to fall to the ground and lose consciousness. Person A showed Officers text messages she had received from Person B whilst in attendance. These outlined their plans to evade Police and pertained threats of violence toward Person A and to pour petrol through the letter box. Additional units were then sent to conduct arrest enquiries at places of interest for Person B which were subsequently positive and Person B was arrested. There were no cultural, ethnicity or language issues identified during the attendance of the call or the dealings with Person A or B. </w:t>
      </w:r>
    </w:p>
    <w:p w14:paraId="47A0999E" w14:textId="77777777" w:rsidR="009526CD" w:rsidRPr="009526CD" w:rsidRDefault="009526CD" w:rsidP="009526CD">
      <w:pPr>
        <w:rPr>
          <w:sz w:val="24"/>
          <w:szCs w:val="24"/>
        </w:rPr>
      </w:pPr>
    </w:p>
    <w:p w14:paraId="77322E38" w14:textId="77777777" w:rsidR="009526CD" w:rsidRPr="009526CD" w:rsidRDefault="009526CD" w:rsidP="009526CD">
      <w:pPr>
        <w:rPr>
          <w:sz w:val="24"/>
          <w:szCs w:val="24"/>
          <w:shd w:val="clear" w:color="auto" w:fill="FFFFFF"/>
        </w:rPr>
      </w:pPr>
      <w:r w:rsidRPr="009526CD">
        <w:rPr>
          <w:sz w:val="24"/>
          <w:szCs w:val="24"/>
        </w:rPr>
        <w:t xml:space="preserve">Given the nature of the events, I considered that this incident would require a multi-agency approach and engage the expertise of various agencies. A multi-agency approach is when multiple agencies work in tandem and communicate to share information and manage risk. This can potentially reduce criminality as suggested in the journal titled ‘’Policing in Partnership: a case study in crime prevention’’ by Barton and Valero-Silva who stated </w:t>
      </w:r>
      <w:r w:rsidRPr="009526CD">
        <w:rPr>
          <w:color w:val="auto"/>
          <w:sz w:val="24"/>
          <w:szCs w:val="24"/>
        </w:rPr>
        <w:t>‘</w:t>
      </w:r>
      <w:r w:rsidRPr="009526CD">
        <w:rPr>
          <w:color w:val="auto"/>
          <w:sz w:val="24"/>
          <w:szCs w:val="24"/>
          <w:shd w:val="clear" w:color="auto" w:fill="FFFFFF"/>
        </w:rPr>
        <w:t>the present case study demonstrates the ways in which effective partnership working has a positive impact on reducing levels of criminality within local communities.’</w:t>
      </w:r>
      <w:r w:rsidRPr="009526CD">
        <w:rPr>
          <w:sz w:val="24"/>
          <w:szCs w:val="24"/>
        </w:rPr>
        <w:t xml:space="preserve"> </w:t>
      </w:r>
      <w:r w:rsidRPr="009526CD">
        <w:rPr>
          <w:sz w:val="24"/>
          <w:szCs w:val="24"/>
          <w:shd w:val="clear" w:color="auto" w:fill="FFFFFF"/>
        </w:rPr>
        <w:t xml:space="preserve">(Barton and Valero-Silva, 2013). </w:t>
      </w:r>
    </w:p>
    <w:p w14:paraId="5B2402CB" w14:textId="77777777" w:rsidR="009526CD" w:rsidRPr="009526CD" w:rsidRDefault="009526CD" w:rsidP="009526CD">
      <w:pPr>
        <w:rPr>
          <w:sz w:val="24"/>
          <w:szCs w:val="24"/>
          <w:shd w:val="clear" w:color="auto" w:fill="FFFFFF"/>
        </w:rPr>
      </w:pPr>
    </w:p>
    <w:p w14:paraId="0F8C07AE" w14:textId="77777777" w:rsidR="009526CD" w:rsidRPr="009526CD" w:rsidRDefault="009526CD" w:rsidP="009526CD">
      <w:pPr>
        <w:rPr>
          <w:sz w:val="24"/>
          <w:szCs w:val="24"/>
          <w:shd w:val="clear" w:color="auto" w:fill="FFFFFF"/>
        </w:rPr>
      </w:pPr>
      <w:r w:rsidRPr="009526CD">
        <w:rPr>
          <w:sz w:val="24"/>
          <w:szCs w:val="24"/>
        </w:rPr>
        <w:t>Due to the severity of injuries to Person A and that they had lost consciousness they were required to attend hospital. This meant both children who were under 16 years of age had nowhere to go as there were no family in the locality and I needed to consider the immediate care and safeguarding of them. Whilst they could have remained with Police temporarily, I considered that Social Services would be a more appropriate environment as the children were young and had already been through a distressing time. I did not feel it was appropriate to exaggerate this by spending time at a Police station. Additionally I have considered the submission of a high risk Public Protection notification (PPN), this is a report compiled by Police which features a series of risk management questions based to gauge the risk to the victim from the perpetrator and is subsequently shared with partner agencies such as Social Services, Education, Health and Housing to collaborate and share information to effectively work together and mitigate risk.</w:t>
      </w:r>
      <w:r w:rsidRPr="009526CD">
        <w:rPr>
          <w:sz w:val="24"/>
          <w:szCs w:val="24"/>
          <w:shd w:val="clear" w:color="auto" w:fill="FFFFFF"/>
        </w:rPr>
        <w:t xml:space="preserve"> </w:t>
      </w:r>
      <w:r w:rsidRPr="009526CD">
        <w:rPr>
          <w:sz w:val="24"/>
          <w:szCs w:val="24"/>
        </w:rPr>
        <w:t>Furthermore, taking into consideration the threats outlined by Person B, the submission of a ‘’Target Hardening’’ referral was considered which engages partner agencies to participle in ensuring measures are put in place to reduce criminal opportunities, increase safety and will engage with Person A to offer educational advice.</w:t>
      </w:r>
      <w:r w:rsidRPr="009526CD">
        <w:rPr>
          <w:b/>
          <w:sz w:val="24"/>
          <w:szCs w:val="24"/>
        </w:rPr>
        <w:t xml:space="preserve">  </w:t>
      </w:r>
      <w:r w:rsidRPr="009526CD">
        <w:rPr>
          <w:sz w:val="24"/>
          <w:szCs w:val="24"/>
        </w:rPr>
        <w:t>Lastly, as there had been clear offences committed by Person B, I recognised immediately that Officers had a power of arrest under Section 24 of the Police and Criminal Evidence Act. Section 24 a s</w:t>
      </w:r>
      <w:r w:rsidRPr="009526CD">
        <w:rPr>
          <w:rStyle w:val="legsubstitution"/>
          <w:sz w:val="24"/>
          <w:szCs w:val="24"/>
        </w:rPr>
        <w:t xml:space="preserve">tates ‘A constable may arrest without a warrant: (3) If an offence has been committed, a constable may arrest without a warrant— (a) anyone who is guilty of the offence; (b) anyone whom he has reasonable grounds for suspecting to be guilty of it’ </w:t>
      </w:r>
      <w:r w:rsidRPr="009526CD">
        <w:rPr>
          <w:sz w:val="24"/>
          <w:szCs w:val="24"/>
          <w:shd w:val="clear" w:color="auto" w:fill="FFFFFF"/>
        </w:rPr>
        <w:t xml:space="preserve">(legislation.gov.uk, nd) and a necessity to do so under PACE Code G. The arrest of Person B would be the start of the criminal justice process and allow the interventions of safeguarding measures such as bail conditions to aid in the multi-agency approach to mitigating risk in this incident and the individuals involved. </w:t>
      </w:r>
    </w:p>
    <w:p w14:paraId="0A0F6133" w14:textId="77777777" w:rsidR="009526CD" w:rsidRPr="009526CD" w:rsidRDefault="009526CD" w:rsidP="009526CD">
      <w:pPr>
        <w:rPr>
          <w:sz w:val="24"/>
          <w:szCs w:val="24"/>
        </w:rPr>
      </w:pPr>
    </w:p>
    <w:p w14:paraId="0B10A3D8" w14:textId="77777777" w:rsidR="009526CD" w:rsidRPr="009526CD" w:rsidRDefault="009526CD" w:rsidP="009526CD">
      <w:pPr>
        <w:rPr>
          <w:sz w:val="24"/>
          <w:szCs w:val="24"/>
        </w:rPr>
      </w:pPr>
      <w:r w:rsidRPr="009526CD">
        <w:rPr>
          <w:sz w:val="24"/>
          <w:szCs w:val="24"/>
        </w:rPr>
        <w:t xml:space="preserve">When reviewing details of the incident I considered all the available evidence in order to decide on the most appropriate options to resolve the problems before me. </w:t>
      </w:r>
      <w:r w:rsidRPr="009526CD">
        <w:rPr>
          <w:sz w:val="24"/>
          <w:szCs w:val="24"/>
        </w:rPr>
        <w:lastRenderedPageBreak/>
        <w:t xml:space="preserve">This included what evidence was captured at the scene, inclusive of the BWV highlighting the disturbance, the injuries sustained by Person A and the subsequent disclosure. I considered the threats to Person A made from Person B and took consideration to the clear escalation of domestic abuse that was occurring within the relationship, even whilst their children had been present and falling victim during altercation. I considered the risk of escalation and the importance of safeguarding for Person A and the children and the intervention required for Person B. I took time to interrogate Police computer systems to look at the relevant warning markers and any historical incidents between the two parties prior and post attendance of the incident to establish an intelligence picture of the circumstances, people involved and any subsequent history to aid in decision making to ensure the appropriate actions were taken to mitigate risk and resolve the problems at hand. </w:t>
      </w:r>
    </w:p>
    <w:p w14:paraId="186A3F6E" w14:textId="77777777" w:rsidR="009526CD" w:rsidRPr="009526CD" w:rsidRDefault="009526CD" w:rsidP="009526CD">
      <w:pPr>
        <w:rPr>
          <w:sz w:val="24"/>
          <w:szCs w:val="24"/>
        </w:rPr>
      </w:pPr>
    </w:p>
    <w:p w14:paraId="3F102E03" w14:textId="77777777" w:rsidR="009526CD" w:rsidRPr="009526CD" w:rsidRDefault="009526CD" w:rsidP="009526CD">
      <w:pPr>
        <w:rPr>
          <w:sz w:val="24"/>
          <w:szCs w:val="24"/>
        </w:rPr>
      </w:pPr>
      <w:r w:rsidRPr="009526CD">
        <w:rPr>
          <w:sz w:val="24"/>
          <w:szCs w:val="24"/>
        </w:rPr>
        <w:t xml:space="preserve">I believe the intervention made by Officers was justified and ensured the immediate safeguarding of a victim of a domestic related crime. It allowed for the submission of a high risk ‘’Target Hardening’’ referral engaging partner agencies such as the Fire Service to offer safety advice and make adjustments to the property, such as fire proof bags attached to the letter box ensuring an immediate contingent to the threat of arson. The engagement with Social Services allowed the children to be safeguarded in an appropriate environment whilst Person A sought appropriate medical attention. Additionally, the submission of a high risk PPN highlighted the risks to the victim and children which was then with partner agencies to ensure the family and the offender are supported by the various partner agencies within their specific area of expertise. </w:t>
      </w:r>
    </w:p>
    <w:p w14:paraId="6AC1F4C4" w14:textId="77777777" w:rsidR="009526CD" w:rsidRPr="009526CD" w:rsidRDefault="009526CD" w:rsidP="009526CD">
      <w:pPr>
        <w:rPr>
          <w:sz w:val="24"/>
          <w:szCs w:val="24"/>
        </w:rPr>
      </w:pPr>
    </w:p>
    <w:p w14:paraId="2DD7EE94" w14:textId="77777777" w:rsidR="009526CD" w:rsidRPr="009526CD" w:rsidRDefault="009526CD" w:rsidP="009526CD">
      <w:pPr>
        <w:rPr>
          <w:sz w:val="24"/>
          <w:szCs w:val="24"/>
        </w:rPr>
      </w:pPr>
      <w:r w:rsidRPr="009526CD">
        <w:rPr>
          <w:sz w:val="24"/>
          <w:szCs w:val="24"/>
        </w:rPr>
        <w:t xml:space="preserve">Failure to engage with multiple agencies within this incident could have resulted in serious injury, death to persons involved or even or damage to property without the appropriate measures put in place as a result of the referrals made by Officers. The intervention from Officers employed the engagement of multiple agencies and may have prevented the domestic related abuse between the two parties and further opportunities for gradual escalation of events, which would have put all parties at risk including the children. The subsequent intervention from Officers would put Person B through the criminal justice system which may have a positive consequence and mitigate escalation or any further reoffending. </w:t>
      </w:r>
      <w:r w:rsidRPr="009526CD">
        <w:rPr>
          <w:sz w:val="24"/>
          <w:szCs w:val="24"/>
        </w:rPr>
        <w:br/>
      </w:r>
      <w:r w:rsidRPr="009526CD">
        <w:rPr>
          <w:sz w:val="24"/>
          <w:szCs w:val="24"/>
        </w:rPr>
        <w:br/>
        <w:t>Word Count - 1291</w:t>
      </w:r>
    </w:p>
    <w:p w14:paraId="79C6F38B" w14:textId="77777777" w:rsidR="00AA666E" w:rsidRPr="009526CD" w:rsidRDefault="00AA666E" w:rsidP="00340E9A">
      <w:pPr>
        <w:ind w:right="237"/>
        <w:jc w:val="both"/>
        <w:rPr>
          <w:sz w:val="24"/>
          <w:szCs w:val="24"/>
        </w:rPr>
      </w:pPr>
    </w:p>
    <w:p w14:paraId="607A0D29" w14:textId="77777777" w:rsidR="00AA666E" w:rsidRPr="009526CD"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5FC151DC" w14:textId="77777777" w:rsidR="00BA35BE" w:rsidRPr="00BA35BE" w:rsidRDefault="00BA35BE" w:rsidP="00BA35BE">
      <w:pPr>
        <w:rPr>
          <w:color w:val="000000" w:themeColor="text1"/>
          <w:sz w:val="24"/>
          <w:szCs w:val="24"/>
          <w:lang w:val="en-US"/>
        </w:rPr>
      </w:pPr>
      <w:r w:rsidRPr="00BA35BE">
        <w:rPr>
          <w:sz w:val="24"/>
          <w:szCs w:val="24"/>
        </w:rPr>
        <w:t>This essay will entail a brief description of a crime related incident attended where I have played a significant role with the victim. It will include social and legislative contexts and any relevant cultural, ethnicity or language issues. It will e</w:t>
      </w:r>
      <w:r w:rsidRPr="00BA35BE">
        <w:rPr>
          <w:color w:val="000000" w:themeColor="text1"/>
          <w:sz w:val="24"/>
          <w:szCs w:val="24"/>
          <w:lang w:val="en-US"/>
        </w:rPr>
        <w:t>valuate the appropriateness of different approaches (by professionals and the police) in supporting or managing vulnerable people or people at risk of harm. Finally, it will evaluate what works well in relation to tackling repeat victimisation and repeat offending.</w:t>
      </w:r>
    </w:p>
    <w:p w14:paraId="166E40C9" w14:textId="77777777" w:rsidR="00BA35BE" w:rsidRPr="00BA35BE" w:rsidRDefault="00BA35BE" w:rsidP="00BA35BE">
      <w:pPr>
        <w:rPr>
          <w:color w:val="000000" w:themeColor="text1"/>
          <w:sz w:val="24"/>
          <w:szCs w:val="24"/>
          <w:lang w:val="en-US"/>
        </w:rPr>
      </w:pPr>
    </w:p>
    <w:p w14:paraId="1EB82D06" w14:textId="77777777" w:rsidR="00BA35BE" w:rsidRPr="00BA35BE" w:rsidRDefault="00BA35BE" w:rsidP="00BA35BE">
      <w:pPr>
        <w:rPr>
          <w:color w:val="000000" w:themeColor="text1"/>
          <w:sz w:val="24"/>
          <w:szCs w:val="24"/>
          <w:lang w:val="en-US"/>
        </w:rPr>
      </w:pPr>
      <w:r w:rsidRPr="00BA35BE">
        <w:rPr>
          <w:color w:val="000000" w:themeColor="text1"/>
          <w:sz w:val="24"/>
          <w:szCs w:val="24"/>
          <w:lang w:val="en-US"/>
        </w:rPr>
        <w:t>Officers attended the premises of victim of anti-social behavior (ASB) and criminal damage. Person A was a shop owner, running both a food take-away establishment and a small convenience shop side by side in adjacent buildings. Person A had reported that a rear door to the premises had been damaged and there was the remains of a fire that had been lit on the side wall of the property, damaging part of the roof. He also reported large amounts of litter left. Person A reports they are often left with large amounts of litter and minor damage to the premises as youths tend to congregate to the rear of their shop.  Prior to Officer attendance I have utilised my Police issued mobile device and interrogated Police Systems such as Police National Computer (PNC) and NICHE, which act as record management systems and intelligence databases to conduct the necessary checks on the premises and individuals involved. This aided my decision making beforehand as I was able to build an intelligence picture and could see that Person A and his premises are repeat victims of ASB and crime.</w:t>
      </w:r>
    </w:p>
    <w:p w14:paraId="1AA3F608" w14:textId="77777777" w:rsidR="00BA35BE" w:rsidRPr="00BA35BE" w:rsidRDefault="00BA35BE" w:rsidP="00BA35BE">
      <w:pPr>
        <w:rPr>
          <w:color w:val="000000" w:themeColor="text1"/>
          <w:sz w:val="24"/>
          <w:szCs w:val="24"/>
          <w:lang w:val="en-US"/>
        </w:rPr>
      </w:pPr>
    </w:p>
    <w:p w14:paraId="1F2242E3" w14:textId="77777777" w:rsidR="00BA35BE" w:rsidRPr="00BA35BE" w:rsidRDefault="00BA35BE" w:rsidP="00BA35BE">
      <w:pPr>
        <w:rPr>
          <w:color w:val="000000" w:themeColor="text1"/>
          <w:sz w:val="24"/>
          <w:szCs w:val="24"/>
          <w:lang w:val="en-US"/>
        </w:rPr>
      </w:pPr>
      <w:r w:rsidRPr="00BA35BE">
        <w:rPr>
          <w:color w:val="000000" w:themeColor="text1"/>
          <w:sz w:val="24"/>
          <w:szCs w:val="24"/>
          <w:lang w:val="en-US"/>
        </w:rPr>
        <w:t xml:space="preserve">Upon attendance Officers have liaised with Person A. Person A was visibly upset and frustrated, however, Person A was of Turkish descent and their use of the English language was limited. This became apparent when I began to discuss the </w:t>
      </w:r>
      <w:r w:rsidRPr="00BA35BE">
        <w:rPr>
          <w:color w:val="000000" w:themeColor="text1"/>
          <w:sz w:val="24"/>
          <w:szCs w:val="24"/>
          <w:lang w:val="en-US"/>
        </w:rPr>
        <w:lastRenderedPageBreak/>
        <w:t xml:space="preserve">incident in detail with Person A. Person A however had a friend who was fluent in English who was able to attend and convey the initial details. Taking into consideration the limitations surrounding Person A language ability in English, arrangements were made to mitigate this with a translator arranged to assist in taking a statement from Person A. Whilst in attendance, the other Golden Hour enquiries were completed with photographs of the damage obtained and CCTV from surrounding businesses collected. </w:t>
      </w:r>
    </w:p>
    <w:p w14:paraId="006CB7DD" w14:textId="77777777" w:rsidR="00BA35BE" w:rsidRPr="00BA35BE" w:rsidRDefault="00BA35BE" w:rsidP="00BA35BE">
      <w:pPr>
        <w:rPr>
          <w:color w:val="000000" w:themeColor="text1"/>
          <w:sz w:val="24"/>
          <w:szCs w:val="24"/>
          <w:lang w:val="en-US"/>
        </w:rPr>
      </w:pPr>
    </w:p>
    <w:p w14:paraId="65D65201" w14:textId="77777777" w:rsidR="00BA35BE" w:rsidRPr="00BA35BE" w:rsidRDefault="00BA35BE" w:rsidP="00BA35BE">
      <w:pPr>
        <w:rPr>
          <w:color w:val="000000" w:themeColor="text1"/>
          <w:sz w:val="24"/>
          <w:szCs w:val="24"/>
          <w:lang w:val="en-US"/>
        </w:rPr>
      </w:pPr>
      <w:r w:rsidRPr="00BA35BE">
        <w:rPr>
          <w:color w:val="000000" w:themeColor="text1"/>
          <w:sz w:val="24"/>
          <w:szCs w:val="24"/>
          <w:lang w:val="en-US"/>
        </w:rPr>
        <w:t xml:space="preserve">Upon reflection, the subsequent attendance and investigative process into the incident was successful. I admit that initially the attendance at this call and the upset I could see Person A was experiencing resided with me. Person A was highly emotional and I think personally this was made worse due to his limited English language capabilities. Especially when dealing with Police and the repeat incidents that Person A continued to fall victim too. However, following the initial investigative procedures, three individuals were positively identified through CCTV enquiries and subsequently arrested.  Although aggrieved with the events as they were a repeat victim, I think Person A felt gratitude when I took to the time to discuss measures I was putting in place, such as engaging the Neighborhood Policing Team (NPT) to conduct regular patrols and reassurance visits to the referral to target hardening and victim support. These measures ensured that a victim of crime was adequately supported and measures were put in place to prevent repeat victimisation and reoffending in this specific area. There were no cultural or ethnicity issues identified initially, however upon reflection there may have been some cultural sensitives on Person’s A initial reluctance to engage entirely with Officers when they were present. This may be down to Person A having a different perception of Police due to this cultural difference.  </w:t>
      </w:r>
    </w:p>
    <w:p w14:paraId="6A14DD75" w14:textId="77777777" w:rsidR="00BA35BE" w:rsidRPr="00BA35BE" w:rsidRDefault="00BA35BE" w:rsidP="00BA35BE">
      <w:pPr>
        <w:rPr>
          <w:color w:val="000000" w:themeColor="text1"/>
          <w:sz w:val="24"/>
          <w:szCs w:val="24"/>
          <w:lang w:val="en-US"/>
        </w:rPr>
      </w:pPr>
    </w:p>
    <w:p w14:paraId="3D80C8CA" w14:textId="77777777" w:rsidR="00BA35BE" w:rsidRPr="00BA35BE" w:rsidRDefault="00BA35BE" w:rsidP="00BA35BE">
      <w:pPr>
        <w:rPr>
          <w:color w:val="000000" w:themeColor="text1"/>
          <w:sz w:val="24"/>
          <w:szCs w:val="24"/>
          <w:lang w:val="en-US"/>
        </w:rPr>
      </w:pPr>
    </w:p>
    <w:p w14:paraId="10A3CDD2" w14:textId="77777777" w:rsidR="00BA35BE" w:rsidRPr="00BA35BE" w:rsidRDefault="00BA35BE" w:rsidP="00BA35BE">
      <w:pPr>
        <w:rPr>
          <w:sz w:val="24"/>
          <w:szCs w:val="24"/>
        </w:rPr>
      </w:pPr>
      <w:r w:rsidRPr="00BA35BE">
        <w:rPr>
          <w:color w:val="000000" w:themeColor="text1"/>
          <w:sz w:val="24"/>
          <w:szCs w:val="24"/>
          <w:lang w:val="en-US"/>
        </w:rPr>
        <w:t xml:space="preserve">The Police service generally deal with societies most vulnerable and those at risk at harm. Therefore officers when attending incidents must be diligence to the needs of the service users. </w:t>
      </w:r>
      <w:r w:rsidRPr="00BA35BE">
        <w:rPr>
          <w:sz w:val="24"/>
          <w:szCs w:val="24"/>
        </w:rPr>
        <w:t xml:space="preserve">Offering the appropriate support when dealing with victims, especially in this instance or any other is important as it encourages their support when instigating Police action. Referring Person A to Victim Support Services, which is a service run by volunteers and are completely independent of the Police who are able to offer support, information and confidential advice. This is unique in that, whilst going through the criminal justice system as a victim, the fact you can speak to a service independent of the Police I believe is welcomed. Additionally, as per the victims charter, ensuring that victims are kept regularly updated whilst they proceed through the criminal justice system helps support them and prevent them feeling isolated. The police service are able to put in place measures such as through public protection notifications where the needs of a vulnerable person or a person are at risk can be addressed by being shared with partner agencies. These partner agencies can then collectively share information to manage subsequent risk and put measures in place to support that person with their vulnerability and to manage risk. These shared agencies include Social Services, Housing and Health. Additionally, there are </w:t>
      </w:r>
      <w:r w:rsidRPr="00BA35BE">
        <w:rPr>
          <w:color w:val="000000" w:themeColor="text1"/>
          <w:sz w:val="24"/>
          <w:szCs w:val="24"/>
          <w:lang w:val="en-US"/>
        </w:rPr>
        <w:t xml:space="preserve">other professionals who are able to assist within their specific remit to support and aid vulnerable people. These include professionals such as independent domestic violence advisors work alongside police and other agencies and primarily focus support for victims of domestic abuse. IDVA will usually work with individuals </w:t>
      </w:r>
      <w:r w:rsidRPr="00BA35BE">
        <w:rPr>
          <w:color w:val="000000" w:themeColor="text1"/>
          <w:sz w:val="24"/>
          <w:szCs w:val="24"/>
          <w:lang w:val="en-US"/>
        </w:rPr>
        <w:lastRenderedPageBreak/>
        <w:t xml:space="preserve">and their children who are at a high risk of domestic abuse. They will work to assess the risk to the victim and their children and develop safety plans in conjunction with Police. This will help support those most at risk of harm and are vulnerable by mitigating factors that could lead to harm. </w:t>
      </w:r>
    </w:p>
    <w:p w14:paraId="771B9BFF" w14:textId="77777777" w:rsidR="00BA35BE" w:rsidRPr="00BA35BE" w:rsidRDefault="00BA35BE" w:rsidP="00BA35BE">
      <w:pPr>
        <w:rPr>
          <w:b/>
          <w:sz w:val="24"/>
          <w:szCs w:val="24"/>
        </w:rPr>
      </w:pPr>
    </w:p>
    <w:p w14:paraId="793C7401" w14:textId="77777777" w:rsidR="00BA35BE" w:rsidRPr="00BA35BE" w:rsidRDefault="00BA35BE" w:rsidP="00BA35BE">
      <w:pPr>
        <w:rPr>
          <w:sz w:val="24"/>
          <w:szCs w:val="24"/>
        </w:rPr>
      </w:pPr>
      <w:r w:rsidRPr="00BA35BE">
        <w:rPr>
          <w:sz w:val="24"/>
          <w:szCs w:val="24"/>
        </w:rPr>
        <w:t xml:space="preserve">When evaluating what works in relation to tackling repeat victimisation and repeat offending I have taken into consideration the Problem Analysis Triangle, which basically outlines that there must be three things present in order for a crime to take place. An offender, a victim and a place. So the removal of one element of the triangle may result in no crime or ASB taking place. It is a part of a Problem Orientated Policing response which looks to eradicate a problem to prevent crime based on particular research and analysis. This can be considered when tackling repeat victimisation and repeat offending. </w:t>
      </w:r>
    </w:p>
    <w:p w14:paraId="1F3B39A2" w14:textId="77777777" w:rsidR="00BA35BE" w:rsidRPr="00BA35BE" w:rsidRDefault="00BA35BE" w:rsidP="00BA35BE">
      <w:pPr>
        <w:rPr>
          <w:sz w:val="24"/>
          <w:szCs w:val="24"/>
        </w:rPr>
      </w:pPr>
    </w:p>
    <w:p w14:paraId="3E1ECBA7" w14:textId="77777777" w:rsidR="00BA35BE" w:rsidRPr="00BA35BE" w:rsidRDefault="00BA35BE" w:rsidP="00BA35BE">
      <w:pPr>
        <w:rPr>
          <w:sz w:val="24"/>
          <w:szCs w:val="24"/>
        </w:rPr>
      </w:pPr>
      <w:r w:rsidRPr="00BA35BE">
        <w:rPr>
          <w:sz w:val="24"/>
          <w:szCs w:val="24"/>
        </w:rPr>
        <w:t xml:space="preserve">In the incident highlighted I referred Person A to Target Hardening which engages the expertise of other partner agencies to make physical installations or changes to the premises such as installation of security lights, CCTV cameras, alarms or fire proofing certain aspects of the property. This I believe works well in reducing criminal opportunities and acts as a deterrent to safeguard the premises and make it less likely to be a target preventing the place or the person becoming a repeat victim. Furthermore, engaging with the community through Neighbourhood Policing Teams (NPT) who can conduct regular reassurance patrols can act as a deterrent and enhance the relationship between the public and the Police. Additionally the subsequent arrest of any suspects and their processing through the criminal justice system can alleviate repeat offending and victimisation. Orders that can be imposed such as bail conditions can prevent any contact with any victims or imposed restrictions from attending certain locations would remove the offender. This would again prevent any repeat victimisation and subsequent repeat offending. Further to this, any additional conditions imposed as a result of any charges brought to offenders can bring about specific orders to be imposed such as community orders, restraining orders or protection from harassment orders. These can bring about specific geographical restrictions for offenders or prohibit certain actions for a set period of time or for an indefinite period of time. This would again remove prevent repeat offending and repeat victimisation by offering protection to the victims. However, although these sorts of orders do offer a significant deterrent, not all persons abide by them in my experience. However, most of these orders will come with a power to arrest which when made aware, the Police can act accordingly.  </w:t>
      </w:r>
    </w:p>
    <w:p w14:paraId="3E778A4D" w14:textId="77777777" w:rsidR="00BA35BE" w:rsidRPr="00BA35BE" w:rsidRDefault="00BA35BE" w:rsidP="00BA35BE">
      <w:pPr>
        <w:rPr>
          <w:sz w:val="24"/>
          <w:szCs w:val="24"/>
        </w:rPr>
      </w:pPr>
    </w:p>
    <w:p w14:paraId="0B019480" w14:textId="77777777" w:rsidR="00BA35BE" w:rsidRPr="00BA35BE" w:rsidRDefault="00BA35BE" w:rsidP="00BA35BE">
      <w:pPr>
        <w:rPr>
          <w:sz w:val="24"/>
          <w:szCs w:val="24"/>
          <w:lang w:val="en-US"/>
        </w:rPr>
      </w:pPr>
      <w:r w:rsidRPr="00BA35BE">
        <w:rPr>
          <w:color w:val="000000" w:themeColor="text1"/>
          <w:sz w:val="24"/>
          <w:szCs w:val="24"/>
          <w:lang w:val="en-US"/>
        </w:rPr>
        <w:t>Word Count - 1324</w:t>
      </w:r>
    </w:p>
    <w:p w14:paraId="56AAB4E3" w14:textId="77777777" w:rsidR="00BA35BE" w:rsidRDefault="00BA35BE" w:rsidP="00BA35BE">
      <w:pPr>
        <w:rPr>
          <w:rFonts w:asciiTheme="minorHAnsi" w:hAnsiTheme="minorHAnsi"/>
          <w:sz w:val="24"/>
          <w:szCs w:val="24"/>
          <w:lang w:val="en-US"/>
        </w:rPr>
      </w:pPr>
    </w:p>
    <w:p w14:paraId="6DEA3FC1" w14:textId="77777777" w:rsidR="00BA35BE" w:rsidRDefault="00BA35BE" w:rsidP="00BA35BE">
      <w:pPr>
        <w:rPr>
          <w:rFonts w:asciiTheme="minorHAnsi" w:hAnsiTheme="minorHAnsi"/>
          <w:sz w:val="24"/>
          <w:szCs w:val="24"/>
          <w:lang w:val="en-US"/>
        </w:rPr>
      </w:pPr>
    </w:p>
    <w:p w14:paraId="4E9CC067" w14:textId="77777777" w:rsidR="00BA35BE" w:rsidRDefault="00BA35BE" w:rsidP="00BA35BE">
      <w:pPr>
        <w:rPr>
          <w:rFonts w:asciiTheme="minorHAnsi" w:hAnsiTheme="minorHAnsi"/>
          <w:sz w:val="24"/>
          <w:szCs w:val="24"/>
          <w:lang w:val="en-US"/>
        </w:rPr>
      </w:pPr>
    </w:p>
    <w:p w14:paraId="6E8E21D5" w14:textId="77777777" w:rsidR="00BA35BE" w:rsidRDefault="00BA35BE" w:rsidP="00BA35BE">
      <w:pPr>
        <w:rPr>
          <w:rFonts w:asciiTheme="minorHAnsi" w:hAnsiTheme="minorHAnsi"/>
          <w:sz w:val="24"/>
          <w:szCs w:val="24"/>
          <w:lang w:val="en-US"/>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239C6D8" w14:textId="77777777" w:rsidR="00FB4478" w:rsidRPr="00B54ACC" w:rsidRDefault="00FB4478" w:rsidP="00B54ACC">
      <w:pPr>
        <w:rPr>
          <w:rFonts w:eastAsia="Arial"/>
          <w:color w:val="000000" w:themeColor="text1"/>
          <w:sz w:val="24"/>
          <w:szCs w:val="24"/>
        </w:rPr>
      </w:pPr>
      <w:r w:rsidRPr="00B54ACC">
        <w:rPr>
          <w:sz w:val="24"/>
          <w:szCs w:val="24"/>
        </w:rPr>
        <w:t xml:space="preserve">This essay will entail a brief description of a crime related incident attended where I have played a significant role with a victim. It will include social and legislative contexts and any relevant cultural, ethnicity or language issues. It will consider how I have gathered, analysed and evaluated relevant information or intelligence from a range of sources as appropriate to the policing incident. It will identify how I have developed the information and intelligence for the purpose of informing the tasking and co-ordination process. It will focus on how I have made use of the addition sources of intelligence obtained through the investigation and explain how I have applied learning from previous investigations. My reflection will illustrate my </w:t>
      </w:r>
      <w:r w:rsidRPr="00B54ACC">
        <w:rPr>
          <w:rFonts w:eastAsia="Arial"/>
          <w:color w:val="000000" w:themeColor="text1"/>
          <w:sz w:val="24"/>
          <w:szCs w:val="24"/>
        </w:rPr>
        <w:t>application of core principles of ethics, equality, diversity and human rights, as well as any relevant Code of Practice considerations.</w:t>
      </w:r>
    </w:p>
    <w:p w14:paraId="5D8E3EE2" w14:textId="77777777" w:rsidR="00FB4478" w:rsidRPr="00B54ACC" w:rsidRDefault="00FB4478" w:rsidP="00B54ACC">
      <w:pPr>
        <w:rPr>
          <w:rFonts w:eastAsia="Arial"/>
          <w:color w:val="000000" w:themeColor="text1"/>
          <w:sz w:val="24"/>
          <w:szCs w:val="24"/>
        </w:rPr>
      </w:pPr>
    </w:p>
    <w:p w14:paraId="350F4BF4" w14:textId="77777777" w:rsidR="00FB4478" w:rsidRPr="00B54ACC" w:rsidRDefault="00FB4478" w:rsidP="00B54ACC">
      <w:pPr>
        <w:rPr>
          <w:rFonts w:eastAsia="Arial"/>
          <w:color w:val="000000" w:themeColor="text1"/>
          <w:sz w:val="24"/>
          <w:szCs w:val="24"/>
        </w:rPr>
      </w:pPr>
      <w:r w:rsidRPr="00B54ACC">
        <w:rPr>
          <w:rFonts w:eastAsia="Arial"/>
          <w:color w:val="000000" w:themeColor="text1"/>
          <w:sz w:val="24"/>
          <w:szCs w:val="24"/>
        </w:rPr>
        <w:t xml:space="preserve">Officers have attended a crime related incident following reports of a residential burglary that had taken place. Person A had reported that after returning to their address following going out earlier in the evening, they had returned to find that the patio door glass pane had been smashed and entry had been gained into property by opening the door from the inside. This was possible as the key was in the lock. Person A reported that the inside of their property had been ransacked. Person A stated each of the rooms had items damaged and there appeared to be valuables </w:t>
      </w:r>
      <w:r w:rsidRPr="00B54ACC">
        <w:rPr>
          <w:rFonts w:eastAsia="Arial"/>
          <w:color w:val="000000" w:themeColor="text1"/>
          <w:sz w:val="24"/>
          <w:szCs w:val="24"/>
        </w:rPr>
        <w:lastRenderedPageBreak/>
        <w:t xml:space="preserve">missing, including a large amount of jewellery. They explained that it appears the person responsible they believe has entered the property via the back garden by jumping over the rear wall as it backs onto a public footpath. Person A stated that there was a foreign object left at the scene which they believed to belong to the perpetrator. Person A was suitably advised about contaminating the foreign object with their own DNA or compromising evidence and was instructed not to touch or remove what they had come across within their property. </w:t>
      </w:r>
    </w:p>
    <w:p w14:paraId="26E1A00A" w14:textId="77777777" w:rsidR="00FB4478" w:rsidRPr="00B54ACC" w:rsidRDefault="00FB4478" w:rsidP="00B54ACC">
      <w:pPr>
        <w:rPr>
          <w:rFonts w:eastAsia="Arial"/>
          <w:b/>
          <w:color w:val="000000" w:themeColor="text1"/>
          <w:sz w:val="24"/>
          <w:szCs w:val="24"/>
        </w:rPr>
      </w:pPr>
    </w:p>
    <w:p w14:paraId="38C575A7" w14:textId="77777777" w:rsidR="00FB4478" w:rsidRPr="00B54ACC" w:rsidRDefault="00FB4478" w:rsidP="00B54ACC">
      <w:pPr>
        <w:rPr>
          <w:sz w:val="24"/>
          <w:szCs w:val="24"/>
          <w:shd w:val="clear" w:color="auto" w:fill="FFFFFF"/>
        </w:rPr>
      </w:pPr>
      <w:r w:rsidRPr="00B54ACC">
        <w:rPr>
          <w:rFonts w:eastAsia="Arial"/>
          <w:color w:val="000000" w:themeColor="text1"/>
          <w:sz w:val="24"/>
          <w:szCs w:val="24"/>
        </w:rPr>
        <w:t xml:space="preserve">Prior to attendance at the property I have taken into the consideration the nature of the disclosure given by Person A and have utilised my Police issue mobile device to interrogate Police systems to build an intelligence picture by conducting the relevant checks on the address and persons involved. I have also taken the time to look if there were any other reported incidents of the same nature within the locality, giving consideration to incidents which may carry the same Modus Operandi (MO) occurring before or after the reported incident. An MO as explained by the website Britannica is </w:t>
      </w:r>
      <w:r w:rsidRPr="00B54ACC">
        <w:rPr>
          <w:rStyle w:val="Strong"/>
          <w:b w:val="0"/>
          <w:color w:val="1A1A1A"/>
          <w:sz w:val="24"/>
          <w:szCs w:val="24"/>
          <w:shd w:val="clear" w:color="auto" w:fill="FFFFFF"/>
        </w:rPr>
        <w:t>a</w:t>
      </w:r>
      <w:r w:rsidRPr="00B54ACC">
        <w:rPr>
          <w:color w:val="1A1A1A"/>
          <w:sz w:val="24"/>
          <w:szCs w:val="24"/>
          <w:shd w:val="clear" w:color="auto" w:fill="FFFFFF"/>
        </w:rPr>
        <w:t xml:space="preserve"> ‘distinct pattern or manner of working that comes to be associated with a particular criminal</w:t>
      </w:r>
      <w:r w:rsidRPr="00B54ACC">
        <w:rPr>
          <w:sz w:val="24"/>
          <w:szCs w:val="24"/>
          <w:shd w:val="clear" w:color="auto" w:fill="FFFFFF"/>
        </w:rPr>
        <w:t>’ (Encyclopedia Britannica, n.d.). However, there was nothing further reported at that time.</w:t>
      </w:r>
    </w:p>
    <w:p w14:paraId="0A3F4F3A" w14:textId="77777777" w:rsidR="00FB4478" w:rsidRPr="00B54ACC" w:rsidRDefault="00FB4478" w:rsidP="00B54ACC">
      <w:pPr>
        <w:rPr>
          <w:sz w:val="24"/>
          <w:szCs w:val="24"/>
          <w:shd w:val="clear" w:color="auto" w:fill="FFFFFF"/>
        </w:rPr>
      </w:pPr>
    </w:p>
    <w:p w14:paraId="39CF2974" w14:textId="77777777" w:rsidR="00FB4478" w:rsidRPr="00B54ACC" w:rsidRDefault="00FB4478" w:rsidP="00B54ACC">
      <w:pPr>
        <w:rPr>
          <w:sz w:val="24"/>
          <w:szCs w:val="24"/>
          <w:shd w:val="clear" w:color="auto" w:fill="FFFFFF"/>
        </w:rPr>
      </w:pPr>
      <w:r w:rsidRPr="00B54ACC">
        <w:rPr>
          <w:sz w:val="24"/>
          <w:szCs w:val="24"/>
          <w:shd w:val="clear" w:color="auto" w:fill="FFFFFF"/>
        </w:rPr>
        <w:t>Upon attendance at the property belonging to Person A, I have identified and adopted a common approach path at the side entrance of the property. This is the approach into the crime scene that all Officers will now follow. This is to be the least likely path that the perpetrator would have taken and to prevent disturbance to the crime scene and the collection of any evidence. After liaising with Person A and discussing matters at length we identified a window to which the incident could have occurred and discussed what they believed was missing from the property. We additionally identified that there was some footwear indentations identified on the flowerbed situated below the back wall to the rear garden of the property.</w:t>
      </w:r>
    </w:p>
    <w:p w14:paraId="5B76289F" w14:textId="77777777" w:rsidR="00FB4478" w:rsidRPr="00B54ACC" w:rsidRDefault="00FB4478" w:rsidP="00B54ACC">
      <w:pPr>
        <w:rPr>
          <w:sz w:val="24"/>
          <w:szCs w:val="24"/>
          <w:shd w:val="clear" w:color="auto" w:fill="FFFFFF"/>
        </w:rPr>
      </w:pPr>
    </w:p>
    <w:p w14:paraId="5F0141AA" w14:textId="77777777" w:rsidR="00FB4478" w:rsidRPr="00B54ACC" w:rsidRDefault="00FB4478" w:rsidP="00B54ACC">
      <w:pPr>
        <w:rPr>
          <w:sz w:val="24"/>
          <w:szCs w:val="24"/>
          <w:shd w:val="clear" w:color="auto" w:fill="FFFFFF"/>
        </w:rPr>
      </w:pPr>
      <w:r w:rsidRPr="00B54ACC">
        <w:rPr>
          <w:sz w:val="24"/>
          <w:szCs w:val="24"/>
        </w:rPr>
        <w:t>I was aware that all criminal investigations have to comply with the Criminal Procedure and Investigations Act 1996 (CPIA) and there is a Code of Practice issued under part II of the act. These encompass provisions when gathering information or material and carrying out the investigative process</w:t>
      </w:r>
      <w:r w:rsidRPr="00B54ACC">
        <w:rPr>
          <w:sz w:val="24"/>
          <w:szCs w:val="24"/>
          <w:shd w:val="clear" w:color="auto" w:fill="FFFFFF"/>
        </w:rPr>
        <w:t>.  The gov.uk website states ‘</w:t>
      </w:r>
      <w:r w:rsidRPr="00B54ACC">
        <w:rPr>
          <w:sz w:val="24"/>
          <w:szCs w:val="24"/>
        </w:rPr>
        <w:t>It sets out the manner in which police officers are to record, retain and reveal to the prosecutor material obtained in a criminal investigation and which may be relevant to the investigation, and related matters.’</w:t>
      </w:r>
    </w:p>
    <w:p w14:paraId="4E40F1CC" w14:textId="77777777" w:rsidR="00FB4478" w:rsidRPr="00B54ACC" w:rsidRDefault="00FB4478" w:rsidP="00B54ACC">
      <w:pPr>
        <w:rPr>
          <w:sz w:val="24"/>
          <w:szCs w:val="24"/>
          <w:shd w:val="clear" w:color="auto" w:fill="FFFFFF"/>
        </w:rPr>
      </w:pPr>
      <w:r w:rsidRPr="00B54ACC">
        <w:rPr>
          <w:sz w:val="24"/>
          <w:szCs w:val="24"/>
          <w:shd w:val="clear" w:color="auto" w:fill="FFFFFF"/>
        </w:rPr>
        <w:t>(Criminal Procedure and Investigations Act 1996 (section 23(1)), 2015). With that in consideration, I was aware I needed to secure, identify and obtain all reasonable lines of enquiry.</w:t>
      </w:r>
    </w:p>
    <w:p w14:paraId="2C88ED30" w14:textId="77777777" w:rsidR="00FB4478" w:rsidRPr="00B54ACC" w:rsidRDefault="00FB4478" w:rsidP="00B54ACC">
      <w:pPr>
        <w:rPr>
          <w:sz w:val="24"/>
          <w:szCs w:val="24"/>
          <w:shd w:val="clear" w:color="auto" w:fill="FFFFFF"/>
        </w:rPr>
      </w:pPr>
    </w:p>
    <w:p w14:paraId="1C000842" w14:textId="77777777" w:rsidR="00FB4478" w:rsidRPr="00B54ACC" w:rsidRDefault="00FB4478" w:rsidP="00B54ACC">
      <w:pPr>
        <w:rPr>
          <w:rFonts w:eastAsia="Arial"/>
          <w:b/>
          <w:color w:val="000000" w:themeColor="text1"/>
          <w:sz w:val="24"/>
          <w:szCs w:val="24"/>
        </w:rPr>
      </w:pPr>
      <w:r w:rsidRPr="00B54ACC">
        <w:rPr>
          <w:sz w:val="24"/>
          <w:szCs w:val="24"/>
          <w:shd w:val="clear" w:color="auto" w:fill="FFFFFF"/>
        </w:rPr>
        <w:t xml:space="preserve">I have then liaised with the on duty Crime Scene Investigators, these are expert matters in the collection of forensic evidence and scene preservations. They offered advice on scene preservation and the level of scene protection that was required. They agreed to attend to photograph the scene, seize the foreign object, examine for finger prints and take photographs of the footprints left at the bottom of the garden. </w:t>
      </w:r>
    </w:p>
    <w:p w14:paraId="484979D5" w14:textId="77777777" w:rsidR="00FB4478" w:rsidRPr="00B54ACC" w:rsidRDefault="00FB4478" w:rsidP="00B54ACC">
      <w:pPr>
        <w:rPr>
          <w:sz w:val="24"/>
          <w:szCs w:val="24"/>
          <w:shd w:val="clear" w:color="auto" w:fill="FFFFFF"/>
        </w:rPr>
      </w:pPr>
    </w:p>
    <w:p w14:paraId="45D3C083" w14:textId="77777777" w:rsidR="00FB4478" w:rsidRPr="00B54ACC" w:rsidRDefault="00FB4478" w:rsidP="00B54ACC">
      <w:pPr>
        <w:rPr>
          <w:sz w:val="24"/>
          <w:szCs w:val="24"/>
          <w:shd w:val="clear" w:color="auto" w:fill="FFFFFF"/>
        </w:rPr>
      </w:pPr>
      <w:r w:rsidRPr="00B54ACC">
        <w:rPr>
          <w:sz w:val="24"/>
          <w:szCs w:val="24"/>
          <w:shd w:val="clear" w:color="auto" w:fill="FFFFFF"/>
        </w:rPr>
        <w:t xml:space="preserve">Following the attendance of CSI, I have obtained a statement from Person A. The statement detailed the events from their perspective, pertaining time scales and actions taken when they returned home. The statement outlined what was damaged </w:t>
      </w:r>
      <w:r w:rsidRPr="00B54ACC">
        <w:rPr>
          <w:sz w:val="24"/>
          <w:szCs w:val="24"/>
          <w:shd w:val="clear" w:color="auto" w:fill="FFFFFF"/>
        </w:rPr>
        <w:lastRenderedPageBreak/>
        <w:t>and the estimated value. It included what they believed was taken from their premises and described the items in the detail to secure as much information as possible about what was lost. I was later also able to obtain photos of some of the missing jewellery that Person A had via various photos on their mobile device.</w:t>
      </w:r>
    </w:p>
    <w:p w14:paraId="678D3D26" w14:textId="77777777" w:rsidR="00FB4478" w:rsidRPr="00B54ACC" w:rsidRDefault="00FB4478" w:rsidP="00B54ACC">
      <w:pPr>
        <w:rPr>
          <w:rFonts w:eastAsia="Arial"/>
          <w:color w:val="000000" w:themeColor="text1"/>
          <w:sz w:val="24"/>
          <w:szCs w:val="24"/>
        </w:rPr>
      </w:pPr>
    </w:p>
    <w:p w14:paraId="306FD9A9" w14:textId="77777777" w:rsidR="00FB4478" w:rsidRPr="00B54ACC" w:rsidRDefault="00FB4478" w:rsidP="00B54ACC">
      <w:pPr>
        <w:rPr>
          <w:rFonts w:eastAsia="Arial"/>
          <w:color w:val="000000" w:themeColor="text1"/>
          <w:sz w:val="24"/>
          <w:szCs w:val="24"/>
        </w:rPr>
      </w:pPr>
      <w:r w:rsidRPr="00B54ACC">
        <w:rPr>
          <w:rFonts w:eastAsia="Arial"/>
          <w:color w:val="000000" w:themeColor="text1"/>
          <w:sz w:val="24"/>
          <w:szCs w:val="24"/>
        </w:rPr>
        <w:t>I then I ensured the immediate retrieval of Closed Circuit Television (CCTV). Upon review, there were no Local Authority CCTV cameras situated on the street. However, I then conducted a CCTV trawl of private CCTV located on neighbouring premises. The trawl was positive and following enquiries a number of properties had CCTV, including two properties that covered the entry and exit points of the footpath that runs adjacent to the rear of Person A’s property. This was secured and exhibited appropriately to aid with the investigative process.</w:t>
      </w:r>
    </w:p>
    <w:p w14:paraId="4DFDEFBA" w14:textId="77777777" w:rsidR="00FB4478" w:rsidRPr="00B54ACC" w:rsidRDefault="00FB4478" w:rsidP="00B54ACC">
      <w:pPr>
        <w:rPr>
          <w:rFonts w:eastAsia="Arial"/>
          <w:b/>
          <w:color w:val="000000" w:themeColor="text1"/>
          <w:sz w:val="24"/>
          <w:szCs w:val="24"/>
        </w:rPr>
      </w:pPr>
    </w:p>
    <w:p w14:paraId="21E2896A" w14:textId="77777777" w:rsidR="00FB4478" w:rsidRPr="00B54ACC" w:rsidRDefault="00FB4478" w:rsidP="00B54ACC">
      <w:pPr>
        <w:rPr>
          <w:rFonts w:eastAsia="Arial"/>
          <w:color w:val="000000" w:themeColor="text1"/>
          <w:sz w:val="24"/>
          <w:szCs w:val="24"/>
        </w:rPr>
      </w:pPr>
      <w:r w:rsidRPr="00B54ACC">
        <w:rPr>
          <w:rFonts w:eastAsia="Arial"/>
          <w:color w:val="000000" w:themeColor="text1"/>
          <w:sz w:val="24"/>
          <w:szCs w:val="24"/>
        </w:rPr>
        <w:t>I have then conducted house to house (H2H) enquiries, these involved visiting surrounding occupants of buildings or dwellings within the locality of the incident or any approaches to any from the incident. They involve asking if they had witnessed anything pertinent or relevant to the investigation. I recognised this is an opportunity that can lead to the identification of witnesses and was able to identifying a witness who has later provided a statement.</w:t>
      </w:r>
    </w:p>
    <w:p w14:paraId="0ABE6EFE" w14:textId="77777777" w:rsidR="00FB4478" w:rsidRPr="00B54ACC" w:rsidRDefault="00FB4478" w:rsidP="00B54ACC">
      <w:pPr>
        <w:rPr>
          <w:rFonts w:eastAsia="Arial"/>
          <w:b/>
          <w:color w:val="000000" w:themeColor="text1"/>
          <w:sz w:val="24"/>
          <w:szCs w:val="24"/>
        </w:rPr>
      </w:pPr>
    </w:p>
    <w:p w14:paraId="46B4C4B0" w14:textId="77777777" w:rsidR="00FB4478" w:rsidRPr="00B54ACC" w:rsidRDefault="00FB4478" w:rsidP="00B54ACC">
      <w:pPr>
        <w:rPr>
          <w:rFonts w:eastAsia="Arial"/>
          <w:color w:val="000000" w:themeColor="text1"/>
          <w:sz w:val="24"/>
          <w:szCs w:val="24"/>
        </w:rPr>
      </w:pPr>
      <w:r w:rsidRPr="00B54ACC">
        <w:rPr>
          <w:rFonts w:eastAsia="Arial"/>
          <w:color w:val="000000" w:themeColor="text1"/>
          <w:sz w:val="24"/>
          <w:szCs w:val="24"/>
        </w:rPr>
        <w:t>After collecting information from multiple sources at the scene such as the H2H enquiries, the CCTV enquiries and the subsequent statements including that of Person A describing the items that were taken. I took time to corroborate the sources of information I had obtained and from this   I was able to develop an MO to this particular incident displayed the suspect. I was also able to identify what items had been taken and obtained descriptions and photos of such. I was able to identify a time scale for the incident and identified through CCTV and H2H an additional witness and footage of a potential suspect. I was then able to develop what I had found and by disseminating it up the appropriate channels, for example circulating a description via officers personal radios of the potential suspect and sending a still image taken from the CCTV of the potential suspect for automated facial recognition (AFR) processing.</w:t>
      </w:r>
    </w:p>
    <w:p w14:paraId="1FEA798B" w14:textId="77777777" w:rsidR="00FB4478" w:rsidRPr="00B54ACC" w:rsidRDefault="00FB4478" w:rsidP="00B54ACC">
      <w:pPr>
        <w:rPr>
          <w:rFonts w:eastAsia="Arial"/>
          <w:color w:val="000000" w:themeColor="text1"/>
          <w:sz w:val="24"/>
          <w:szCs w:val="24"/>
        </w:rPr>
      </w:pPr>
    </w:p>
    <w:p w14:paraId="014588AA" w14:textId="77777777" w:rsidR="00FB4478" w:rsidRPr="00B54ACC" w:rsidRDefault="00FB4478" w:rsidP="00B54ACC">
      <w:pPr>
        <w:rPr>
          <w:rFonts w:eastAsia="Arial"/>
          <w:color w:val="000000" w:themeColor="text1"/>
          <w:sz w:val="24"/>
          <w:szCs w:val="24"/>
        </w:rPr>
      </w:pPr>
      <w:r w:rsidRPr="00B54ACC">
        <w:rPr>
          <w:rFonts w:eastAsia="Arial"/>
          <w:color w:val="000000" w:themeColor="text1"/>
          <w:sz w:val="24"/>
          <w:szCs w:val="24"/>
        </w:rPr>
        <w:t xml:space="preserve">Following the initial investigation and the collection and analysis of various sources of information and intelligence I have given consideration to the MO of this particular Burglary and the information gathered from the various sources and gave thought to whether it had any resemblance to previous incidents of a similar nature I had attended. However, despite no resemblance to previous incidents I had attended, I applied the learning I had obtained whilst conducting the investigative process. This meant I paid particular attention to enquiries conducted during the ‘’Golden Hour’’ and ensured that I liaised with CSI swiftly to ensure that forensic evidence was secured appropriate as it would potentially be pertinent in identifying a suspect. </w:t>
      </w:r>
    </w:p>
    <w:p w14:paraId="639899F4" w14:textId="77777777" w:rsidR="00FB4478" w:rsidRPr="00B54ACC" w:rsidRDefault="00FB4478" w:rsidP="00B54ACC">
      <w:pPr>
        <w:rPr>
          <w:rFonts w:eastAsia="Arial"/>
          <w:color w:val="000000" w:themeColor="text1"/>
          <w:sz w:val="24"/>
          <w:szCs w:val="24"/>
        </w:rPr>
      </w:pPr>
    </w:p>
    <w:p w14:paraId="70570852" w14:textId="77777777" w:rsidR="00FB4478" w:rsidRPr="00B54ACC" w:rsidRDefault="00FB4478" w:rsidP="00B54ACC">
      <w:pPr>
        <w:rPr>
          <w:rFonts w:eastAsia="Arial"/>
          <w:color w:val="000000" w:themeColor="text1"/>
          <w:sz w:val="24"/>
          <w:szCs w:val="24"/>
        </w:rPr>
      </w:pPr>
      <w:r w:rsidRPr="00B54ACC">
        <w:rPr>
          <w:rFonts w:eastAsia="Arial"/>
          <w:color w:val="000000" w:themeColor="text1"/>
          <w:sz w:val="24"/>
          <w:szCs w:val="24"/>
        </w:rPr>
        <w:t xml:space="preserve">I recognised that such crimes generally attract the interest of the local community so understood that it was important to maintain public confidence by carrying out the investigation with professionalism and ethically. This was done by maintaining a professional approach to the investigation, collection of material and dealings with the victim. This may have assisted when additional enquiries, such as CCTV and </w:t>
      </w:r>
      <w:r w:rsidRPr="00B54ACC">
        <w:rPr>
          <w:rFonts w:eastAsia="Arial"/>
          <w:color w:val="000000" w:themeColor="text1"/>
          <w:sz w:val="24"/>
          <w:szCs w:val="24"/>
        </w:rPr>
        <w:lastRenderedPageBreak/>
        <w:t xml:space="preserve">H2H were met with a helpful response from the surrounding community members who were rallying in support of Police action. </w:t>
      </w:r>
    </w:p>
    <w:p w14:paraId="55E71F8F" w14:textId="77777777" w:rsidR="00FB4478" w:rsidRPr="00B54ACC" w:rsidRDefault="00FB4478" w:rsidP="00B54ACC">
      <w:pPr>
        <w:rPr>
          <w:sz w:val="24"/>
          <w:szCs w:val="24"/>
        </w:rPr>
      </w:pPr>
    </w:p>
    <w:p w14:paraId="1EB28ED6" w14:textId="77777777" w:rsidR="00FB4478" w:rsidRPr="00B54ACC" w:rsidRDefault="00FB4478" w:rsidP="00B54ACC">
      <w:pPr>
        <w:rPr>
          <w:sz w:val="24"/>
          <w:szCs w:val="24"/>
        </w:rPr>
      </w:pPr>
      <w:r w:rsidRPr="00B54ACC">
        <w:rPr>
          <w:sz w:val="24"/>
          <w:szCs w:val="24"/>
        </w:rPr>
        <w:t>Word Count - 1368</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6BE2BC7" w14:textId="77777777" w:rsidR="0059269B" w:rsidRPr="00BA6468" w:rsidRDefault="0059269B" w:rsidP="0059269B">
      <w:pPr>
        <w:rPr>
          <w:rFonts w:asciiTheme="minorHAnsi" w:hAnsiTheme="minorHAnsi" w:cstheme="minorHAnsi"/>
          <w:sz w:val="24"/>
        </w:rPr>
      </w:pPr>
    </w:p>
    <w:p w14:paraId="68A24536" w14:textId="77777777" w:rsidR="0059269B" w:rsidRPr="0059269B" w:rsidRDefault="0059269B" w:rsidP="0059269B">
      <w:pPr>
        <w:rPr>
          <w:sz w:val="24"/>
        </w:rPr>
      </w:pPr>
      <w:r w:rsidRPr="0059269B">
        <w:rPr>
          <w:sz w:val="24"/>
        </w:rPr>
        <w:t xml:space="preserve">This essay will detail an incident I attended involving digital technologies and reflect on how I provided an appropriate initial policing response. It will explain the immediate actions that I took to reduce the risk of harm caused by the incident. It will then finally detail who may be more vulnerable to this type of incident. </w:t>
      </w:r>
    </w:p>
    <w:p w14:paraId="3446133E" w14:textId="77777777" w:rsidR="0059269B" w:rsidRPr="0059269B" w:rsidRDefault="0059269B" w:rsidP="0059269B">
      <w:pPr>
        <w:rPr>
          <w:sz w:val="24"/>
        </w:rPr>
      </w:pPr>
    </w:p>
    <w:p w14:paraId="7F5CF734" w14:textId="77777777" w:rsidR="0059269B" w:rsidRPr="0059269B" w:rsidRDefault="0059269B" w:rsidP="0059269B">
      <w:pPr>
        <w:rPr>
          <w:sz w:val="24"/>
        </w:rPr>
      </w:pPr>
      <w:r w:rsidRPr="0059269B">
        <w:rPr>
          <w:sz w:val="24"/>
        </w:rPr>
        <w:t>Officers attended a domestic related incident of Harassment involving Person A and Person B who were former partners. They had experienced a breakdown in their relationship and had separated. Since the separation, Person B had been subjecting Person A to a barrage of phone calls, messages on multiple social media platforms and emails. Prior to attendance I utilised my police issued mobile device to conduct the necessary checks on the address and the individuals involved to establish an intelligence picture of the circumstances and the people involved including any warning markers prior to attendance to aid my decision making. From interrogation of such systems I could see a previous incident of the same nature already reported to which Person B was suitably warned about their conduct. Therefore, I already considered that this method of disposal would not be appropriate again and a different initial response would be required.</w:t>
      </w:r>
    </w:p>
    <w:p w14:paraId="2C84833F" w14:textId="77777777" w:rsidR="0059269B" w:rsidRPr="0059269B" w:rsidRDefault="0059269B" w:rsidP="0059269B">
      <w:pPr>
        <w:rPr>
          <w:sz w:val="24"/>
        </w:rPr>
      </w:pPr>
    </w:p>
    <w:p w14:paraId="72ABDD61" w14:textId="77777777" w:rsidR="0059269B" w:rsidRPr="0059269B" w:rsidRDefault="0059269B" w:rsidP="0059269B">
      <w:pPr>
        <w:rPr>
          <w:sz w:val="24"/>
        </w:rPr>
      </w:pPr>
      <w:r w:rsidRPr="0059269B">
        <w:rPr>
          <w:sz w:val="24"/>
        </w:rPr>
        <w:t xml:space="preserve">Upon arrival at the address of Person A, Officers have activated their Body Worn Video (BWV) in-line with South Wales Police Force policy. Whilst speaking to Person A they disclosed that despite Officers attending previously and offering suitable words of advice to Person B, they had continued with their course of conduct and continued to subject Person A with persistent calls and messages across various platforms. Person A went on to inform Officers despite efforts to block any new social media accounts or numbers that Person B was using, they continued to contact off different numbers, emails or by creating new social media accounts. The nature of such messages ranged from being verbally abusive to pleading for Person A to reconsider the separation and rekindle the relationship. Upon speaking to Person A at length, Person A was fully supportive of a prosecution and provided a statement in relation to the events. I recognised that certain applications installed on smart phones allow messages that have already been sent to be deleted or unsent from the person who sent them, so I recognised immediately that it was imperative that </w:t>
      </w:r>
      <w:r w:rsidRPr="0059269B">
        <w:rPr>
          <w:sz w:val="24"/>
        </w:rPr>
        <w:lastRenderedPageBreak/>
        <w:t>the ‘’Golden Hour’’ enquiries were completely in a timely manner to preserve evidence. Therefore, I took photographs via my Police issue mobile device of the messages, emails and calls ensuring I captured the telephone numbers and account names used. They were then appropriately exhibited.</w:t>
      </w:r>
    </w:p>
    <w:p w14:paraId="4658B5BE" w14:textId="77777777" w:rsidR="0059269B" w:rsidRPr="0059269B" w:rsidRDefault="0059269B" w:rsidP="0059269B">
      <w:pPr>
        <w:rPr>
          <w:sz w:val="24"/>
        </w:rPr>
      </w:pPr>
    </w:p>
    <w:p w14:paraId="54411C41" w14:textId="77777777" w:rsidR="0059269B" w:rsidRPr="0059269B" w:rsidRDefault="0059269B" w:rsidP="0059269B">
      <w:pPr>
        <w:rPr>
          <w:color w:val="auto"/>
          <w:sz w:val="24"/>
          <w:shd w:val="clear" w:color="auto" w:fill="FFFFFF"/>
        </w:rPr>
      </w:pPr>
      <w:r w:rsidRPr="0059269B">
        <w:rPr>
          <w:sz w:val="24"/>
        </w:rPr>
        <w:t xml:space="preserve">As there were clear offences apparent committed by Person B, I recognised immediately that Officers had a power of arrest under Section 24 of the Police and Criminal Evidence Act. </w:t>
      </w:r>
      <w:r w:rsidRPr="0059269B">
        <w:rPr>
          <w:sz w:val="24"/>
          <w:szCs w:val="24"/>
        </w:rPr>
        <w:t>Section 24a s</w:t>
      </w:r>
      <w:r w:rsidRPr="0059269B">
        <w:rPr>
          <w:rStyle w:val="legsubstitution"/>
          <w:sz w:val="24"/>
          <w:szCs w:val="24"/>
        </w:rPr>
        <w:t xml:space="preserve">tates ‘A constable may arrest without a warrant: (3) If an offence has been committed, a constable may arrest without a warrant— (a) anyone who is guilty of the offence; (b) anyone whom he has reasonable grounds for suspecting to be guilty of it’ </w:t>
      </w:r>
      <w:r w:rsidRPr="0059269B">
        <w:rPr>
          <w:sz w:val="24"/>
          <w:szCs w:val="24"/>
          <w:shd w:val="clear" w:color="auto" w:fill="FFFFFF"/>
        </w:rPr>
        <w:t xml:space="preserve">(legislation.gov.uk, nd) and a necessity to arrest under </w:t>
      </w:r>
      <w:r w:rsidRPr="0059269B">
        <w:rPr>
          <w:color w:val="auto"/>
          <w:sz w:val="24"/>
          <w:szCs w:val="24"/>
          <w:shd w:val="clear" w:color="auto" w:fill="FFFFFF"/>
        </w:rPr>
        <w:t xml:space="preserve">PACE Code (G). </w:t>
      </w:r>
    </w:p>
    <w:p w14:paraId="60E5C879" w14:textId="77777777" w:rsidR="0059269B" w:rsidRPr="0059269B" w:rsidRDefault="0059269B" w:rsidP="0059269B">
      <w:pPr>
        <w:rPr>
          <w:color w:val="auto"/>
          <w:sz w:val="24"/>
          <w:shd w:val="clear" w:color="auto" w:fill="FFFFFF"/>
        </w:rPr>
      </w:pPr>
    </w:p>
    <w:p w14:paraId="6A48A225" w14:textId="77777777" w:rsidR="0059269B" w:rsidRPr="0059269B" w:rsidRDefault="0059269B" w:rsidP="0059269B">
      <w:pPr>
        <w:rPr>
          <w:sz w:val="24"/>
        </w:rPr>
      </w:pPr>
      <w:r w:rsidRPr="0059269B">
        <w:rPr>
          <w:color w:val="auto"/>
          <w:sz w:val="24"/>
          <w:shd w:val="clear" w:color="auto" w:fill="FFFFFF"/>
        </w:rPr>
        <w:t>I considered the significance of evidence held on the devices belonging to Person B. I took careful consideration to the fact that these devices are pertinent in proving the offence and that such devices can be quickly erased or locked, either locally, such as erasing them manually by hand or remotely such as utilising cellular or internet connectivity to communicate with them remotely and erase them. I considered that the abstraction of evidence from such devices seized would require the assistance of a ‘’Digital Media Investigator (DMI)’’, their role as explained by the College of Policing highlights that a DMI</w:t>
      </w:r>
      <w:r w:rsidRPr="0059269B">
        <w:rPr>
          <w:sz w:val="24"/>
        </w:rPr>
        <w:t xml:space="preserve"> ‘supports major crime, incidents, operations or any investigation that requires specialist digital investigative assistance. They provide assistance and advice in support of live incidents, investigations, gathering intelligence and conducting proactive/reactive investigations where digital technology and data acquisition opportunities exist.’ </w:t>
      </w:r>
      <w:r w:rsidRPr="0059269B">
        <w:rPr>
          <w:sz w:val="24"/>
          <w:shd w:val="clear" w:color="auto" w:fill="FFFFFF"/>
        </w:rPr>
        <w:t xml:space="preserve">(Digital Media Investigator - College of Policing, 2021). DMI’s have the ability to download a phones content and can provide reports of any form of multimedia that has been sent or received from a telephone.  </w:t>
      </w:r>
    </w:p>
    <w:p w14:paraId="7F815D9F" w14:textId="77777777" w:rsidR="0059269B" w:rsidRPr="0059269B" w:rsidRDefault="0059269B" w:rsidP="0059269B">
      <w:pPr>
        <w:rPr>
          <w:color w:val="auto"/>
          <w:sz w:val="24"/>
          <w:shd w:val="clear" w:color="auto" w:fill="FFFFFF"/>
        </w:rPr>
      </w:pPr>
    </w:p>
    <w:p w14:paraId="20F1AA74" w14:textId="77777777" w:rsidR="0059269B" w:rsidRPr="0059269B" w:rsidRDefault="0059269B" w:rsidP="0059269B">
      <w:pPr>
        <w:rPr>
          <w:b/>
          <w:color w:val="auto"/>
          <w:sz w:val="24"/>
          <w:shd w:val="clear" w:color="auto" w:fill="FFFFFF"/>
        </w:rPr>
      </w:pPr>
      <w:r w:rsidRPr="0059269B">
        <w:rPr>
          <w:sz w:val="24"/>
          <w:shd w:val="clear" w:color="auto" w:fill="FFFFFF"/>
        </w:rPr>
        <w:t xml:space="preserve">Officers have then attended the address of Person B to conduct arrest enquiries. The arrest enquiries were positive and Person B was arrested with careful consideration taken to effect an arrest and secure Person B in handcuffs as quick as possible to prevent them tampering with any potential evidence. As Person B was arrested at their home address, Officers utilised Section 32 of PACE to effect a search of the property. Section 32 gives a Constable the power to search a dwelling in which the Person arrested was present at the time of arrest or immediately before.  Officers recovered three mobile phones and a laptop at the address which were subsequently seized under Section 19 of PACE. Section 19 of PACE states ‘a constable may </w:t>
      </w:r>
      <w:r w:rsidRPr="0059269B">
        <w:rPr>
          <w:rStyle w:val="legds"/>
          <w:sz w:val="24"/>
        </w:rPr>
        <w:t>seize anything which is on the premises if he has reasonable grounds for believing—</w:t>
      </w:r>
      <w:r w:rsidRPr="0059269B">
        <w:rPr>
          <w:sz w:val="24"/>
        </w:rPr>
        <w:t xml:space="preserve"> </w:t>
      </w:r>
      <w:r w:rsidRPr="0059269B">
        <w:rPr>
          <w:rStyle w:val="legds"/>
          <w:sz w:val="24"/>
        </w:rPr>
        <w:t>(a) that it is evidence in relation to an offence which he is investigating or any other offence; and</w:t>
      </w:r>
      <w:r w:rsidRPr="0059269B">
        <w:rPr>
          <w:sz w:val="24"/>
        </w:rPr>
        <w:t xml:space="preserve"> </w:t>
      </w:r>
      <w:r w:rsidRPr="0059269B">
        <w:rPr>
          <w:rStyle w:val="legds"/>
          <w:sz w:val="24"/>
        </w:rPr>
        <w:t xml:space="preserve">(b) that it is necessary to seize it in order to prevent the evidence being concealed, lost, altered or destroyed’ </w:t>
      </w:r>
      <w:r w:rsidRPr="0059269B">
        <w:rPr>
          <w:sz w:val="24"/>
          <w:shd w:val="clear" w:color="auto" w:fill="FFFFFF"/>
        </w:rPr>
        <w:t>(Legislation.gov.uk, nd).</w:t>
      </w:r>
      <w:r w:rsidRPr="0059269B">
        <w:rPr>
          <w:sz w:val="24"/>
        </w:rPr>
        <w:t xml:space="preserve"> </w:t>
      </w:r>
      <w:r w:rsidRPr="0059269B">
        <w:rPr>
          <w:color w:val="auto"/>
          <w:sz w:val="24"/>
          <w:shd w:val="clear" w:color="auto" w:fill="FFFFFF"/>
        </w:rPr>
        <w:t>Officers, upon a positive find of the devices quickly acted to place the devices in a power off state or in ‘’airplane mode’’ which turns off connectivity to the phone to prevent remote connectivity. They were then appropriately packaged by Officers for transit in ‘’Faraday’’ bags. These are pouches that devices are placed in which block any signal transmissions between the device and anything else.</w:t>
      </w:r>
      <w:r w:rsidRPr="0059269B">
        <w:rPr>
          <w:b/>
          <w:color w:val="auto"/>
          <w:sz w:val="24"/>
          <w:shd w:val="clear" w:color="auto" w:fill="FFFFFF"/>
        </w:rPr>
        <w:t xml:space="preserve"> </w:t>
      </w:r>
    </w:p>
    <w:p w14:paraId="7224EA32" w14:textId="77777777" w:rsidR="0059269B" w:rsidRPr="0059269B" w:rsidRDefault="0059269B" w:rsidP="0059269B">
      <w:pPr>
        <w:rPr>
          <w:b/>
          <w:color w:val="auto"/>
          <w:sz w:val="24"/>
          <w:shd w:val="clear" w:color="auto" w:fill="FFFFFF"/>
        </w:rPr>
      </w:pPr>
    </w:p>
    <w:p w14:paraId="0D397A00" w14:textId="77777777" w:rsidR="0059269B" w:rsidRPr="0059269B" w:rsidRDefault="0059269B" w:rsidP="0059269B">
      <w:pPr>
        <w:rPr>
          <w:color w:val="auto"/>
          <w:sz w:val="24"/>
          <w:shd w:val="clear" w:color="auto" w:fill="FFFFFF"/>
        </w:rPr>
      </w:pPr>
      <w:r w:rsidRPr="0059269B">
        <w:rPr>
          <w:color w:val="auto"/>
          <w:sz w:val="24"/>
          <w:shd w:val="clear" w:color="auto" w:fill="FFFFFF"/>
        </w:rPr>
        <w:lastRenderedPageBreak/>
        <w:t>Upon reflection, I believe the initial policing response safeguarded a victim of domestic related harassment and adequately supported her through the criminal justice system. There was a clear escalation of events with Person B continuing their course of conduct by harassing Person A through digital communications despite previously being warned by Police. I believe careful consideration to the digital sensitivities of the evidence meant evidence was preserved and secured appropriately within the ‘’Golden Hour’’ enquiries and the seizure of devices from Person B. These considerations catered for the unique elements of digital evidence such as being remotely deleted. The engagement of a DMI would allow for the expert interrogation and extraction of evidence secured from Person B.</w:t>
      </w:r>
    </w:p>
    <w:p w14:paraId="710A12F6" w14:textId="77777777" w:rsidR="0059269B" w:rsidRPr="0059269B" w:rsidRDefault="0059269B" w:rsidP="0059269B">
      <w:pPr>
        <w:rPr>
          <w:sz w:val="24"/>
        </w:rPr>
      </w:pPr>
    </w:p>
    <w:p w14:paraId="2A8653B7" w14:textId="77777777" w:rsidR="0059269B" w:rsidRPr="0059269B" w:rsidRDefault="0059269B" w:rsidP="0059269B">
      <w:pPr>
        <w:rPr>
          <w:sz w:val="24"/>
        </w:rPr>
      </w:pPr>
      <w:r w:rsidRPr="0059269B">
        <w:rPr>
          <w:sz w:val="24"/>
        </w:rPr>
        <w:t xml:space="preserve">Upon attending and speaking with Person A it was apparent the bombardment of contact had a profound effect on their wellbeing as they appeared dejected and frustrated. In light of such, I encouraged Person A to engage with ‘’Victim Support’’, which is an organisation run by volunteers and independent of the Police and could offer Person A support as a victim of crime. Additionally, a high risk public protection notification was submitted and shared with partner agencies who would be able to offer Person A the relevant support within their specific area of expertise. </w:t>
      </w:r>
    </w:p>
    <w:p w14:paraId="7E466021" w14:textId="77777777" w:rsidR="0059269B" w:rsidRPr="0059269B" w:rsidRDefault="0059269B" w:rsidP="0059269B">
      <w:pPr>
        <w:rPr>
          <w:sz w:val="24"/>
        </w:rPr>
      </w:pPr>
    </w:p>
    <w:p w14:paraId="6CE2CB38" w14:textId="2E2A7637" w:rsidR="0059269B" w:rsidRPr="0059269B" w:rsidRDefault="00756D4C" w:rsidP="0059269B">
      <w:pPr>
        <w:rPr>
          <w:sz w:val="24"/>
        </w:rPr>
      </w:pPr>
      <w:r>
        <w:rPr>
          <w:sz w:val="24"/>
        </w:rPr>
        <w:t xml:space="preserve">To conclude I will detail who may be more vulnerable to these types of incidents. </w:t>
      </w:r>
      <w:r w:rsidR="0059269B" w:rsidRPr="0059269B">
        <w:rPr>
          <w:sz w:val="24"/>
        </w:rPr>
        <w:t xml:space="preserve">As technology has become more abundant and readily available, I believe that there are more opportunities for people to regularly contact other people via various platforms </w:t>
      </w:r>
      <w:r>
        <w:rPr>
          <w:sz w:val="24"/>
        </w:rPr>
        <w:t xml:space="preserve">such as social media, email or messaging apps. This is </w:t>
      </w:r>
      <w:r w:rsidR="0059269B" w:rsidRPr="0059269B">
        <w:rPr>
          <w:sz w:val="24"/>
        </w:rPr>
        <w:t>at</w:t>
      </w:r>
      <w:r>
        <w:rPr>
          <w:sz w:val="24"/>
        </w:rPr>
        <w:t xml:space="preserve"> complete</w:t>
      </w:r>
      <w:r w:rsidR="0059269B" w:rsidRPr="0059269B">
        <w:rPr>
          <w:sz w:val="24"/>
        </w:rPr>
        <w:t xml:space="preserve"> ease </w:t>
      </w:r>
      <w:r>
        <w:rPr>
          <w:sz w:val="24"/>
        </w:rPr>
        <w:t xml:space="preserve">and convenience to do </w:t>
      </w:r>
      <w:r w:rsidR="0059269B" w:rsidRPr="0059269B">
        <w:rPr>
          <w:sz w:val="24"/>
        </w:rPr>
        <w:t>digitally</w:t>
      </w:r>
      <w:r>
        <w:rPr>
          <w:sz w:val="24"/>
        </w:rPr>
        <w:t>. This</w:t>
      </w:r>
      <w:r w:rsidR="0059269B" w:rsidRPr="0059269B">
        <w:rPr>
          <w:sz w:val="24"/>
        </w:rPr>
        <w:t xml:space="preserve"> I consider has created more vulnerability for people who are more susceptible to these types of incidents</w:t>
      </w:r>
      <w:r w:rsidR="003F6905">
        <w:rPr>
          <w:sz w:val="24"/>
        </w:rPr>
        <w:t xml:space="preserve"> such as younger people who are from a generation where their lifestyle is more orientated the use of digital technologies or communicational devices</w:t>
      </w:r>
      <w:r w:rsidR="0059269B" w:rsidRPr="0059269B">
        <w:rPr>
          <w:sz w:val="24"/>
        </w:rPr>
        <w:t>. Additionally, digi</w:t>
      </w:r>
      <w:r>
        <w:rPr>
          <w:sz w:val="24"/>
        </w:rPr>
        <w:t>tal capabilities creates opportunities</w:t>
      </w:r>
      <w:r w:rsidR="0059269B" w:rsidRPr="0059269B">
        <w:rPr>
          <w:sz w:val="24"/>
        </w:rPr>
        <w:t xml:space="preserve"> for other cyber or digital facilitated crimes such as hacking or internet scams. Elderly people may be more susceptible to crime involving digital technologies such as phishing scams</w:t>
      </w:r>
      <w:r>
        <w:rPr>
          <w:sz w:val="24"/>
        </w:rPr>
        <w:t xml:space="preserve"> for example. This may be because </w:t>
      </w:r>
      <w:r w:rsidR="0059269B" w:rsidRPr="0059269B">
        <w:rPr>
          <w:sz w:val="24"/>
        </w:rPr>
        <w:t>they are from a different generation and may not be up to date or proficient in identifying such scams or in the use of certain</w:t>
      </w:r>
      <w:r>
        <w:rPr>
          <w:sz w:val="24"/>
        </w:rPr>
        <w:t xml:space="preserve"> digital technology</w:t>
      </w:r>
      <w:r w:rsidR="0059269B" w:rsidRPr="0059269B">
        <w:rPr>
          <w:sz w:val="24"/>
        </w:rPr>
        <w:t xml:space="preserve">.  </w:t>
      </w:r>
    </w:p>
    <w:p w14:paraId="539B1FA6" w14:textId="77777777" w:rsidR="0059269B" w:rsidRPr="0059269B" w:rsidRDefault="0059269B" w:rsidP="0059269B">
      <w:pPr>
        <w:rPr>
          <w:sz w:val="24"/>
        </w:rPr>
      </w:pPr>
    </w:p>
    <w:p w14:paraId="011A0A56" w14:textId="018FE662" w:rsidR="0059269B" w:rsidRPr="0059269B" w:rsidRDefault="003F6905" w:rsidP="0059269B">
      <w:pPr>
        <w:rPr>
          <w:sz w:val="24"/>
        </w:rPr>
      </w:pPr>
      <w:r>
        <w:rPr>
          <w:sz w:val="24"/>
        </w:rPr>
        <w:t>Word Count - 1318</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174BF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41E3544C" w:rsidR="6E85A413" w:rsidRDefault="0019376D" w:rsidP="00DD7FFD">
      <w:pPr>
        <w:keepNext/>
        <w:ind w:right="237"/>
        <w:rPr>
          <w:shd w:val="clear" w:color="auto" w:fill="FFFFFF"/>
        </w:rPr>
      </w:pPr>
      <w:r>
        <w:rPr>
          <w:shd w:val="clear" w:color="auto" w:fill="FFFFFF"/>
        </w:rPr>
        <w:t>Barton, H. and Valero-Silva, N., 2013. Policing in partnership: a case study in crime prevention. </w:t>
      </w:r>
      <w:r>
        <w:rPr>
          <w:i/>
          <w:iCs/>
          <w:shd w:val="clear" w:color="auto" w:fill="FFFFFF"/>
        </w:rPr>
        <w:t>International Journal of Public Sector Management</w:t>
      </w:r>
      <w:r>
        <w:rPr>
          <w:shd w:val="clear" w:color="auto" w:fill="FFFFFF"/>
        </w:rPr>
        <w:t>, 26(7), pp.543-553.</w:t>
      </w:r>
    </w:p>
    <w:p w14:paraId="4925D142" w14:textId="00C9CD54" w:rsidR="0019376D" w:rsidRDefault="0019376D" w:rsidP="00DD7FFD">
      <w:pPr>
        <w:keepNext/>
        <w:ind w:right="237"/>
        <w:rPr>
          <w:shd w:val="clear" w:color="auto" w:fill="FFFFFF"/>
        </w:rPr>
      </w:pPr>
    </w:p>
    <w:p w14:paraId="58D6C83C" w14:textId="696C963A" w:rsidR="0019376D" w:rsidRDefault="0019376D" w:rsidP="00DD7FFD">
      <w:pPr>
        <w:keepNext/>
        <w:ind w:right="237"/>
        <w:rPr>
          <w:shd w:val="clear" w:color="auto" w:fill="FFFFFF"/>
        </w:rPr>
      </w:pPr>
      <w:r>
        <w:rPr>
          <w:shd w:val="clear" w:color="auto" w:fill="FFFFFF"/>
        </w:rPr>
        <w:t>College of Policing. 2021. </w:t>
      </w:r>
      <w:r>
        <w:rPr>
          <w:i/>
          <w:iCs/>
          <w:shd w:val="clear" w:color="auto" w:fill="FFFFFF"/>
        </w:rPr>
        <w:t>Code of Ethics | College of Policing</w:t>
      </w:r>
      <w:r>
        <w:rPr>
          <w:shd w:val="clear" w:color="auto" w:fill="FFFFFF"/>
        </w:rPr>
        <w:t>. [online] Available at: &lt;https://www.college.police.uk/ethics/code-of-ethics&gt; [Accessed 28 May 2021].</w:t>
      </w:r>
    </w:p>
    <w:p w14:paraId="05CC29F5" w14:textId="449BE306" w:rsidR="0019376D" w:rsidRDefault="0019376D" w:rsidP="00DD7FFD">
      <w:pPr>
        <w:keepNext/>
        <w:ind w:right="237"/>
        <w:rPr>
          <w:shd w:val="clear" w:color="auto" w:fill="FFFFFF"/>
        </w:rPr>
      </w:pPr>
    </w:p>
    <w:p w14:paraId="2B613EAA" w14:textId="7921CC6C" w:rsidR="0019376D" w:rsidRDefault="0019376D" w:rsidP="00DD7FFD">
      <w:pPr>
        <w:keepNext/>
        <w:ind w:right="237"/>
        <w:rPr>
          <w:shd w:val="clear" w:color="auto" w:fill="FFFFFF"/>
        </w:rPr>
      </w:pPr>
      <w:r>
        <w:rPr>
          <w:shd w:val="clear" w:color="auto" w:fill="FFFFFF"/>
        </w:rPr>
        <w:t>GOV.UK. 2020. </w:t>
      </w:r>
      <w:r>
        <w:rPr>
          <w:i/>
          <w:iCs/>
          <w:shd w:val="clear" w:color="auto" w:fill="FFFFFF"/>
        </w:rPr>
        <w:t>Criminal Procedure and Investigations Act 1996 (section 23(1)) Code of Practice</w:t>
      </w:r>
      <w:r>
        <w:rPr>
          <w:shd w:val="clear" w:color="auto" w:fill="FFFFFF"/>
        </w:rPr>
        <w:t>. [online] Available at: &lt;https://www.gov.uk/government/publications/criminal-procedure-and-investigations-act-1996-section-231-code-of-practice&gt; [Accessed 31 May 2021].</w:t>
      </w:r>
    </w:p>
    <w:p w14:paraId="20AC55A1" w14:textId="76562F24" w:rsidR="0019376D" w:rsidRDefault="0019376D" w:rsidP="00DD7FFD">
      <w:pPr>
        <w:keepNext/>
        <w:ind w:right="237"/>
        <w:rPr>
          <w:shd w:val="clear" w:color="auto" w:fill="FFFFFF"/>
        </w:rPr>
      </w:pPr>
    </w:p>
    <w:p w14:paraId="635B6433" w14:textId="3B6FCD39" w:rsidR="0019376D" w:rsidRDefault="0019376D" w:rsidP="00DD7FFD">
      <w:pPr>
        <w:keepNext/>
        <w:ind w:right="237"/>
        <w:rPr>
          <w:shd w:val="clear" w:color="auto" w:fill="FFFFFF"/>
        </w:rPr>
      </w:pPr>
      <w:r>
        <w:rPr>
          <w:shd w:val="clear" w:color="auto" w:fill="FFFFFF"/>
        </w:rPr>
        <w:t>College of Policing. 2021. </w:t>
      </w:r>
      <w:r>
        <w:rPr>
          <w:i/>
          <w:iCs/>
          <w:shd w:val="clear" w:color="auto" w:fill="FFFFFF"/>
        </w:rPr>
        <w:t>Digital Media Investigator - College of Policing</w:t>
      </w:r>
      <w:r>
        <w:rPr>
          <w:shd w:val="clear" w:color="auto" w:fill="FFFFFF"/>
        </w:rPr>
        <w:t>. [online] Available at: &lt;https://profdev.college.police.uk/professional-profile/digital-media-investigator/&gt; [Accessed 30 May 2021].</w:t>
      </w:r>
    </w:p>
    <w:p w14:paraId="4B20D827" w14:textId="72C65780" w:rsidR="0019376D" w:rsidRDefault="0019376D" w:rsidP="00DD7FFD">
      <w:pPr>
        <w:keepNext/>
        <w:ind w:right="237"/>
        <w:rPr>
          <w:shd w:val="clear" w:color="auto" w:fill="FFFFFF"/>
        </w:rPr>
      </w:pPr>
    </w:p>
    <w:p w14:paraId="3E17C91A" w14:textId="52DB335F" w:rsidR="0019376D" w:rsidRDefault="0019376D" w:rsidP="00DD7FFD">
      <w:pPr>
        <w:keepNext/>
        <w:ind w:right="237"/>
        <w:rPr>
          <w:shd w:val="clear" w:color="auto" w:fill="FFFFFF"/>
        </w:rPr>
      </w:pPr>
      <w:r>
        <w:rPr>
          <w:shd w:val="clear" w:color="auto" w:fill="FFFFFF"/>
        </w:rPr>
        <w:t>Modus Operandi. n.d. </w:t>
      </w:r>
      <w:r>
        <w:rPr>
          <w:i/>
          <w:iCs/>
          <w:shd w:val="clear" w:color="auto" w:fill="FFFFFF"/>
        </w:rPr>
        <w:t>Encyclopedia Britannica</w:t>
      </w:r>
      <w:r>
        <w:rPr>
          <w:shd w:val="clear" w:color="auto" w:fill="FFFFFF"/>
        </w:rPr>
        <w:t>. [online] Available at: &lt;https://www.britannica.com/topic/modus-operandi&gt; [Accessed 30 May 2021].</w:t>
      </w:r>
    </w:p>
    <w:p w14:paraId="3E4EA345" w14:textId="68497DA4" w:rsidR="0019376D" w:rsidRDefault="0019376D" w:rsidP="00DD7FFD">
      <w:pPr>
        <w:keepNext/>
        <w:ind w:right="237"/>
        <w:rPr>
          <w:shd w:val="clear" w:color="auto" w:fill="FFFFFF"/>
        </w:rPr>
      </w:pPr>
    </w:p>
    <w:p w14:paraId="6665E63A" w14:textId="34DF495A" w:rsidR="0019376D" w:rsidRDefault="0019376D" w:rsidP="00DD7FFD">
      <w:pPr>
        <w:keepNext/>
        <w:ind w:right="237"/>
        <w:rPr>
          <w:shd w:val="clear" w:color="auto" w:fill="FFFFFF"/>
        </w:rPr>
      </w:pPr>
      <w:r>
        <w:rPr>
          <w:shd w:val="clear" w:color="auto" w:fill="FFFFFF"/>
        </w:rPr>
        <w:t>Greenberg, J., 1987. A Taxonomy of Organizational Justice Theories. </w:t>
      </w:r>
      <w:r>
        <w:rPr>
          <w:i/>
          <w:iCs/>
          <w:shd w:val="clear" w:color="auto" w:fill="FFFFFF"/>
        </w:rPr>
        <w:t>Academy of Management Review</w:t>
      </w:r>
      <w:r>
        <w:rPr>
          <w:shd w:val="clear" w:color="auto" w:fill="FFFFFF"/>
        </w:rPr>
        <w:t>, 12(1), pp.9-22.</w:t>
      </w:r>
    </w:p>
    <w:p w14:paraId="750DC295" w14:textId="06A15EA3" w:rsidR="0019376D" w:rsidRDefault="0019376D" w:rsidP="00DD7FFD">
      <w:pPr>
        <w:keepNext/>
        <w:ind w:right="237"/>
        <w:rPr>
          <w:shd w:val="clear" w:color="auto" w:fill="FFFFFF"/>
        </w:rPr>
      </w:pPr>
    </w:p>
    <w:p w14:paraId="77B848A3" w14:textId="356B89F2" w:rsidR="0019376D" w:rsidRDefault="0019376D" w:rsidP="00DD7FFD">
      <w:pPr>
        <w:keepNext/>
        <w:ind w:right="237"/>
        <w:rPr>
          <w:shd w:val="clear" w:color="auto" w:fill="FFFFFF"/>
        </w:rPr>
      </w:pPr>
      <w:r>
        <w:rPr>
          <w:shd w:val="clear" w:color="auto" w:fill="FFFFFF"/>
        </w:rPr>
        <w:t>Moorman, R., 1991. Relationship between organizational justice and organizational citizenship behaviors: Do fairness perceptions influence employee citizenship?. </w:t>
      </w:r>
      <w:r>
        <w:rPr>
          <w:i/>
          <w:iCs/>
          <w:shd w:val="clear" w:color="auto" w:fill="FFFFFF"/>
        </w:rPr>
        <w:t>Journal of Applied Psychology</w:t>
      </w:r>
      <w:r>
        <w:rPr>
          <w:shd w:val="clear" w:color="auto" w:fill="FFFFFF"/>
        </w:rPr>
        <w:t>, 76(6), pp.845-855.</w:t>
      </w:r>
    </w:p>
    <w:p w14:paraId="7997DB08" w14:textId="161AA0E5" w:rsidR="0019376D" w:rsidRDefault="0019376D" w:rsidP="00DD7FFD">
      <w:pPr>
        <w:keepNext/>
        <w:ind w:right="237"/>
        <w:rPr>
          <w:shd w:val="clear" w:color="auto" w:fill="FFFFFF"/>
        </w:rPr>
      </w:pPr>
    </w:p>
    <w:p w14:paraId="169B233F" w14:textId="6C3DBB1A" w:rsidR="0019376D" w:rsidRPr="00DD7FFD" w:rsidRDefault="0019376D" w:rsidP="00DD7FFD">
      <w:pPr>
        <w:keepNext/>
        <w:ind w:right="237"/>
        <w:rPr>
          <w:b/>
          <w:sz w:val="24"/>
          <w:szCs w:val="24"/>
          <w:highlight w:val="yellow"/>
        </w:rPr>
      </w:pPr>
      <w:r>
        <w:rPr>
          <w:shd w:val="clear" w:color="auto" w:fill="FFFFFF"/>
        </w:rPr>
        <w:t>Legislation.gov.uk. 2021. </w:t>
      </w:r>
      <w:r>
        <w:rPr>
          <w:i/>
          <w:iCs/>
          <w:shd w:val="clear" w:color="auto" w:fill="FFFFFF"/>
        </w:rPr>
        <w:t>Police and Criminal Evidence Act 1984</w:t>
      </w:r>
      <w:r>
        <w:rPr>
          <w:shd w:val="clear" w:color="auto" w:fill="FFFFFF"/>
        </w:rPr>
        <w:t>. [online] Available at: &lt;https://www.legislation.gov.uk/ukpga/1984/60/section/19&gt; [Accessed 30 May 2021].</w:t>
      </w:r>
    </w:p>
    <w:sectPr w:rsidR="0019376D" w:rsidRPr="00DD7FFD" w:rsidSect="00174BF6">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A7401" w14:textId="3537A750" w:rsidR="00174BF6" w:rsidRDefault="00B54ACC" w:rsidP="00B54ACC">
    <w:pPr>
      <w:pStyle w:val="Footer"/>
      <w:rPr>
        <w:sz w:val="17"/>
      </w:rPr>
    </w:pPr>
    <w:bookmarkStart w:id="3" w:name="TITUS1FooterEvenPages"/>
    <w:r>
      <w:rPr>
        <w:sz w:val="17"/>
      </w:rPr>
      <w:t> </w:t>
    </w:r>
  </w:p>
  <w:bookmarkEnd w:id="3"/>
  <w:p w14:paraId="6BC3F13B" w14:textId="792894E7" w:rsidR="00174BF6" w:rsidRDefault="00174BF6" w:rsidP="00174BF6">
    <w:pPr>
      <w:pStyle w:val="Footer"/>
      <w:jc w:val="right"/>
    </w:pPr>
    <w:r>
      <w:fldChar w:fldCharType="begin"/>
    </w:r>
    <w:r>
      <w:instrText xml:space="preserve"> PAGE   \* MERGEFORMAT </w:instrText>
    </w:r>
    <w:r>
      <w:fldChar w:fldCharType="separate"/>
    </w:r>
    <w:r w:rsidR="00813B70">
      <w:rPr>
        <w:noProof/>
      </w:rPr>
      <w:t>6</w:t>
    </w:r>
    <w:r>
      <w:rPr>
        <w:noProof/>
      </w:rPr>
      <w:fldChar w:fldCharType="end"/>
    </w:r>
  </w:p>
  <w:p w14:paraId="570A4C82" w14:textId="77777777" w:rsidR="00174BF6" w:rsidRPr="00BB5EAA" w:rsidRDefault="00174BF6" w:rsidP="00174BF6">
    <w:pPr>
      <w:pStyle w:val="Footer"/>
      <w:ind w:right="360"/>
      <w:jc w:val="center"/>
    </w:pPr>
  </w:p>
  <w:p w14:paraId="20B538F9" w14:textId="77777777" w:rsidR="00174BF6" w:rsidRDefault="00174B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44AE8" w14:textId="786B4754" w:rsidR="00174BF6" w:rsidRDefault="00B54ACC" w:rsidP="00B54ACC">
    <w:pPr>
      <w:pStyle w:val="Footer"/>
      <w:rPr>
        <w:sz w:val="17"/>
      </w:rPr>
    </w:pPr>
    <w:bookmarkStart w:id="4" w:name="TITUS1FooterPrimary"/>
    <w:r>
      <w:rPr>
        <w:sz w:val="17"/>
      </w:rPr>
      <w:t> </w:t>
    </w:r>
  </w:p>
  <w:bookmarkEnd w:id="4"/>
  <w:p w14:paraId="50521BFA" w14:textId="510BC089" w:rsidR="00F6513F" w:rsidRDefault="00F6513F">
    <w:pPr>
      <w:pStyle w:val="Footer"/>
      <w:jc w:val="right"/>
    </w:pPr>
    <w:r>
      <w:fldChar w:fldCharType="begin"/>
    </w:r>
    <w:r>
      <w:instrText xml:space="preserve"> PAGE   \* MERGEFORMAT </w:instrText>
    </w:r>
    <w:r>
      <w:fldChar w:fldCharType="separate"/>
    </w:r>
    <w:r w:rsidR="00813B70">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CDC94" w14:textId="0F33B154" w:rsidR="00174BF6" w:rsidRDefault="00B54ACC" w:rsidP="00B54ACC">
    <w:pPr>
      <w:pStyle w:val="Footer"/>
      <w:rPr>
        <w:sz w:val="17"/>
      </w:rPr>
    </w:pPr>
    <w:bookmarkStart w:id="6" w:name="TITUS1FooterFirstPage"/>
    <w:r>
      <w:rPr>
        <w:sz w:val="17"/>
      </w:rPr>
      <w:t> </w:t>
    </w:r>
  </w:p>
  <w:bookmarkEnd w:id="6"/>
  <w:p w14:paraId="716F4193" w14:textId="39E5F3DA" w:rsidR="00174BF6" w:rsidRDefault="00174BF6" w:rsidP="00174BF6">
    <w:pPr>
      <w:pStyle w:val="Footer"/>
      <w:jc w:val="right"/>
    </w:pPr>
    <w:r>
      <w:fldChar w:fldCharType="begin"/>
    </w:r>
    <w:r>
      <w:instrText xml:space="preserve"> PAGE   \* MERGEFORMAT </w:instrText>
    </w:r>
    <w:r>
      <w:fldChar w:fldCharType="separate"/>
    </w:r>
    <w:r w:rsidR="00813B70">
      <w:rPr>
        <w:noProof/>
      </w:rPr>
      <w:t>1</w:t>
    </w:r>
    <w:r>
      <w:rPr>
        <w:noProof/>
      </w:rPr>
      <w:fldChar w:fldCharType="end"/>
    </w:r>
  </w:p>
  <w:p w14:paraId="54338D4D" w14:textId="77777777" w:rsidR="00174BF6" w:rsidRPr="00BB5EAA" w:rsidRDefault="00174BF6" w:rsidP="00174BF6">
    <w:pPr>
      <w:pStyle w:val="Footer"/>
      <w:ind w:right="360"/>
      <w:jc w:val="center"/>
    </w:pPr>
  </w:p>
  <w:p w14:paraId="5A9A747A" w14:textId="77777777" w:rsidR="00174BF6" w:rsidRDefault="00174B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03FEE" w14:textId="63831749" w:rsidR="00174BF6" w:rsidRDefault="00B54ACC" w:rsidP="00B54ACC">
    <w:pPr>
      <w:pStyle w:val="Footer"/>
      <w:rPr>
        <w:sz w:val="17"/>
      </w:rPr>
    </w:pPr>
    <w:bookmarkStart w:id="9" w:name="TITUS2FooterEvenPages"/>
    <w:r>
      <w:rPr>
        <w:sz w:val="17"/>
      </w:rPr>
      <w:t> </w:t>
    </w:r>
  </w:p>
  <w:bookmarkEnd w:id="9"/>
  <w:p w14:paraId="1C49BD6D" w14:textId="77777777" w:rsidR="00174BF6" w:rsidRDefault="00174BF6" w:rsidP="00174BF6">
    <w:pPr>
      <w:pStyle w:val="Footer"/>
      <w:jc w:val="right"/>
    </w:pPr>
  </w:p>
  <w:p w14:paraId="30915877" w14:textId="63FD7B84" w:rsidR="00174BF6" w:rsidRDefault="00174BF6" w:rsidP="00174BF6">
    <w:pPr>
      <w:pStyle w:val="Footer"/>
      <w:jc w:val="right"/>
    </w:pPr>
    <w:r>
      <w:fldChar w:fldCharType="begin"/>
    </w:r>
    <w:r>
      <w:instrText xml:space="preserve"> PAGE   \* MERGEFORMAT </w:instrText>
    </w:r>
    <w:r>
      <w:fldChar w:fldCharType="separate"/>
    </w:r>
    <w:r w:rsidR="00813B70">
      <w:rPr>
        <w:noProof/>
      </w:rPr>
      <w:t>20</w:t>
    </w:r>
    <w:r>
      <w:rPr>
        <w:noProof/>
      </w:rPr>
      <w:fldChar w:fldCharType="end"/>
    </w:r>
  </w:p>
  <w:p w14:paraId="52FBA040" w14:textId="77777777" w:rsidR="00174BF6" w:rsidRPr="00BB5EAA" w:rsidRDefault="00174BF6" w:rsidP="00174BF6">
    <w:pPr>
      <w:pStyle w:val="Footer"/>
      <w:ind w:right="360"/>
      <w:jc w:val="center"/>
    </w:pPr>
  </w:p>
  <w:p w14:paraId="1A3F9AFB" w14:textId="77777777" w:rsidR="00174BF6" w:rsidRDefault="00174BF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B9DF3" w14:textId="1F41D21D" w:rsidR="00174BF6" w:rsidRDefault="00B54ACC" w:rsidP="00B54ACC">
    <w:pPr>
      <w:pStyle w:val="Footer"/>
      <w:rPr>
        <w:sz w:val="17"/>
      </w:rPr>
    </w:pPr>
    <w:bookmarkStart w:id="10" w:name="TITUS2FooterPrimary"/>
    <w:r>
      <w:rPr>
        <w:sz w:val="17"/>
      </w:rPr>
      <w:t> </w:t>
    </w:r>
  </w:p>
  <w:bookmarkEnd w:id="10"/>
  <w:p w14:paraId="3B8734B4" w14:textId="77777777" w:rsidR="00174BF6" w:rsidRDefault="00174BF6">
    <w:pPr>
      <w:pStyle w:val="Footer"/>
      <w:jc w:val="right"/>
    </w:pPr>
  </w:p>
  <w:p w14:paraId="00973777" w14:textId="6A6F1A9B" w:rsidR="00174BF6" w:rsidRDefault="00174BF6">
    <w:pPr>
      <w:pStyle w:val="Footer"/>
      <w:jc w:val="right"/>
    </w:pPr>
    <w:r>
      <w:fldChar w:fldCharType="begin"/>
    </w:r>
    <w:r>
      <w:instrText xml:space="preserve"> PAGE   \* MERGEFORMAT </w:instrText>
    </w:r>
    <w:r>
      <w:fldChar w:fldCharType="separate"/>
    </w:r>
    <w:r w:rsidR="00813B70">
      <w:rPr>
        <w:noProof/>
      </w:rPr>
      <w:t>21</w:t>
    </w:r>
    <w:r>
      <w:rPr>
        <w:noProof/>
      </w:rPr>
      <w:fldChar w:fldCharType="end"/>
    </w:r>
  </w:p>
  <w:p w14:paraId="44378EF2" w14:textId="77777777" w:rsidR="00174BF6" w:rsidRPr="00BB5EAA" w:rsidRDefault="00174BF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D607D" w14:textId="415D813E" w:rsidR="00174BF6" w:rsidRDefault="00B54ACC" w:rsidP="00B54ACC">
    <w:pPr>
      <w:pStyle w:val="Footer"/>
      <w:rPr>
        <w:sz w:val="17"/>
      </w:rPr>
    </w:pPr>
    <w:bookmarkStart w:id="12" w:name="TITUS2FooterFirstPage"/>
    <w:r>
      <w:rPr>
        <w:sz w:val="17"/>
      </w:rPr>
      <w:t> </w:t>
    </w:r>
  </w:p>
  <w:bookmarkEnd w:id="12"/>
  <w:p w14:paraId="092CDA2D" w14:textId="77777777" w:rsidR="00174BF6" w:rsidRDefault="00174BF6" w:rsidP="00174BF6">
    <w:pPr>
      <w:pStyle w:val="Footer"/>
      <w:jc w:val="right"/>
    </w:pPr>
  </w:p>
  <w:p w14:paraId="535B7D6A" w14:textId="345B8DDD" w:rsidR="00174BF6" w:rsidRDefault="00174BF6" w:rsidP="00174BF6">
    <w:pPr>
      <w:pStyle w:val="Footer"/>
      <w:jc w:val="right"/>
    </w:pPr>
    <w:r>
      <w:fldChar w:fldCharType="begin"/>
    </w:r>
    <w:r>
      <w:instrText xml:space="preserve"> PAGE   \* MERGEFORMAT </w:instrText>
    </w:r>
    <w:r>
      <w:fldChar w:fldCharType="separate"/>
    </w:r>
    <w:r w:rsidR="00813B70">
      <w:rPr>
        <w:noProof/>
      </w:rPr>
      <w:t>9</w:t>
    </w:r>
    <w:r>
      <w:rPr>
        <w:noProof/>
      </w:rPr>
      <w:fldChar w:fldCharType="end"/>
    </w:r>
  </w:p>
  <w:p w14:paraId="77E73BD2" w14:textId="77777777" w:rsidR="00174BF6" w:rsidRPr="00BB5EAA" w:rsidRDefault="00174BF6" w:rsidP="00174BF6">
    <w:pPr>
      <w:pStyle w:val="Footer"/>
      <w:ind w:right="360"/>
      <w:jc w:val="center"/>
    </w:pPr>
  </w:p>
  <w:p w14:paraId="09303D91" w14:textId="77777777" w:rsidR="00174BF6" w:rsidRDefault="00174BF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BEA35" w14:textId="55B88B08" w:rsidR="00174BF6" w:rsidRDefault="00B54ACC" w:rsidP="00B54ACC">
    <w:pPr>
      <w:pStyle w:val="Footer"/>
      <w:rPr>
        <w:sz w:val="17"/>
      </w:rPr>
    </w:pPr>
    <w:bookmarkStart w:id="15" w:name="TITUS3FooterEvenPages"/>
    <w:r>
      <w:rPr>
        <w:sz w:val="17"/>
      </w:rPr>
      <w:t> </w:t>
    </w:r>
  </w:p>
  <w:bookmarkEnd w:id="15"/>
  <w:p w14:paraId="6CE41BA6" w14:textId="77777777" w:rsidR="00174BF6" w:rsidRDefault="00174BF6" w:rsidP="00174BF6">
    <w:pPr>
      <w:pStyle w:val="Footer"/>
      <w:jc w:val="right"/>
    </w:pPr>
  </w:p>
  <w:p w14:paraId="1744BB0A" w14:textId="77777777" w:rsidR="00174BF6" w:rsidRDefault="00174BF6" w:rsidP="00174BF6">
    <w:pPr>
      <w:pStyle w:val="Footer"/>
      <w:jc w:val="right"/>
    </w:pPr>
    <w:r>
      <w:fldChar w:fldCharType="begin"/>
    </w:r>
    <w:r>
      <w:instrText xml:space="preserve"> PAGE   \* MERGEFORMAT </w:instrText>
    </w:r>
    <w:r>
      <w:fldChar w:fldCharType="separate"/>
    </w:r>
    <w:r>
      <w:rPr>
        <w:noProof/>
      </w:rPr>
      <w:t>8</w:t>
    </w:r>
    <w:r>
      <w:rPr>
        <w:noProof/>
      </w:rPr>
      <w:fldChar w:fldCharType="end"/>
    </w:r>
  </w:p>
  <w:p w14:paraId="42C8228F" w14:textId="77777777" w:rsidR="00174BF6" w:rsidRPr="00BB5EAA" w:rsidRDefault="00174BF6" w:rsidP="00174BF6">
    <w:pPr>
      <w:pStyle w:val="Footer"/>
      <w:ind w:right="360"/>
      <w:jc w:val="center"/>
    </w:pPr>
  </w:p>
  <w:p w14:paraId="12E29D12" w14:textId="77777777" w:rsidR="00174BF6" w:rsidRDefault="00174BF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0978" w14:textId="3CD91056" w:rsidR="00174BF6" w:rsidRDefault="00B54ACC" w:rsidP="00B54ACC">
    <w:pPr>
      <w:pStyle w:val="Footer"/>
      <w:rPr>
        <w:sz w:val="17"/>
      </w:rPr>
    </w:pPr>
    <w:bookmarkStart w:id="16" w:name="TITUS3FooterPrimary"/>
    <w:r>
      <w:rPr>
        <w:sz w:val="17"/>
      </w:rPr>
      <w:t> </w:t>
    </w:r>
  </w:p>
  <w:bookmarkEnd w:id="16"/>
  <w:p w14:paraId="62FB27E5" w14:textId="77777777" w:rsidR="00174BF6" w:rsidRDefault="00174BF6">
    <w:pPr>
      <w:pStyle w:val="Footer"/>
      <w:jc w:val="right"/>
    </w:pPr>
  </w:p>
  <w:p w14:paraId="756336C1" w14:textId="77777777" w:rsidR="00174BF6" w:rsidRDefault="00174BF6">
    <w:pPr>
      <w:pStyle w:val="Footer"/>
      <w:jc w:val="right"/>
    </w:pPr>
    <w:r>
      <w:fldChar w:fldCharType="begin"/>
    </w:r>
    <w:r>
      <w:instrText xml:space="preserve"> PAGE   \* MERGEFORMAT </w:instrText>
    </w:r>
    <w:r>
      <w:fldChar w:fldCharType="separate"/>
    </w:r>
    <w:r>
      <w:rPr>
        <w:noProof/>
      </w:rPr>
      <w:t>7</w:t>
    </w:r>
    <w:r>
      <w:rPr>
        <w:noProof/>
      </w:rPr>
      <w:fldChar w:fldCharType="end"/>
    </w:r>
  </w:p>
  <w:p w14:paraId="7A38752F" w14:textId="77777777" w:rsidR="00174BF6" w:rsidRPr="00BB5EAA" w:rsidRDefault="00174BF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0DE59" w14:textId="49D47C8F" w:rsidR="00174BF6" w:rsidRDefault="00B54ACC" w:rsidP="00B54ACC">
    <w:pPr>
      <w:pStyle w:val="Footer"/>
      <w:rPr>
        <w:sz w:val="17"/>
      </w:rPr>
    </w:pPr>
    <w:bookmarkStart w:id="18" w:name="TITUS3FooterFirstPage"/>
    <w:r>
      <w:rPr>
        <w:sz w:val="17"/>
      </w:rPr>
      <w:t> </w:t>
    </w:r>
  </w:p>
  <w:bookmarkEnd w:id="18"/>
  <w:p w14:paraId="236FDCDF" w14:textId="77777777" w:rsidR="00174BF6" w:rsidRDefault="00174BF6" w:rsidP="00174BF6">
    <w:pPr>
      <w:pStyle w:val="Footer"/>
      <w:jc w:val="right"/>
    </w:pPr>
  </w:p>
  <w:p w14:paraId="22AEEB3A" w14:textId="3E11DDC7" w:rsidR="00174BF6" w:rsidRDefault="00174BF6" w:rsidP="00174BF6">
    <w:pPr>
      <w:pStyle w:val="Footer"/>
      <w:jc w:val="right"/>
    </w:pPr>
    <w:r>
      <w:fldChar w:fldCharType="begin"/>
    </w:r>
    <w:r>
      <w:instrText xml:space="preserve"> PAGE   \* MERGEFORMAT </w:instrText>
    </w:r>
    <w:r>
      <w:fldChar w:fldCharType="separate"/>
    </w:r>
    <w:r w:rsidR="00813B70">
      <w:rPr>
        <w:noProof/>
      </w:rPr>
      <w:t>22</w:t>
    </w:r>
    <w:r>
      <w:rPr>
        <w:noProof/>
      </w:rPr>
      <w:fldChar w:fldCharType="end"/>
    </w:r>
  </w:p>
  <w:p w14:paraId="2B82E351" w14:textId="77777777" w:rsidR="00174BF6" w:rsidRPr="00BB5EAA" w:rsidRDefault="00174BF6" w:rsidP="00174BF6">
    <w:pPr>
      <w:pStyle w:val="Footer"/>
      <w:ind w:right="360"/>
      <w:jc w:val="center"/>
    </w:pPr>
  </w:p>
  <w:p w14:paraId="371BA199" w14:textId="77777777" w:rsidR="00174BF6" w:rsidRDefault="00174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79F9E" w14:textId="58D8F34E" w:rsidR="009526CD" w:rsidRDefault="00B54ACC" w:rsidP="00B54ACC">
    <w:pPr>
      <w:pStyle w:val="Header"/>
      <w:rPr>
        <w:sz w:val="17"/>
      </w:rPr>
    </w:pPr>
    <w:bookmarkStart w:id="1" w:name="TITUS1HeaderEvenPages"/>
    <w:r>
      <w:rPr>
        <w:sz w:val="17"/>
      </w:rPr>
      <w:t> </w:t>
    </w:r>
  </w:p>
  <w:bookmarkEnd w:id="1"/>
  <w:p w14:paraId="771E4563" w14:textId="77777777" w:rsidR="009526CD" w:rsidRDefault="009526CD" w:rsidP="009526CD">
    <w:pPr>
      <w:pStyle w:val="Header"/>
    </w:pPr>
  </w:p>
  <w:p w14:paraId="4E5451D0" w14:textId="77777777" w:rsidR="00174BF6" w:rsidRDefault="00174B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0D741" w14:textId="54646677" w:rsidR="00174BF6" w:rsidRDefault="00B54ACC" w:rsidP="00B54ACC">
    <w:pPr>
      <w:pStyle w:val="Header"/>
      <w:rPr>
        <w:sz w:val="17"/>
      </w:rPr>
    </w:pPr>
    <w:bookmarkStart w:id="2" w:name="TITUS1HeaderPrimary"/>
    <w:r>
      <w:rPr>
        <w:sz w:val="17"/>
      </w:rPr>
      <w:t> </w:t>
    </w:r>
  </w:p>
  <w:bookmarkEnd w:id="2"/>
  <w:p w14:paraId="7CFE04D9" w14:textId="77777777" w:rsidR="00174BF6" w:rsidRDefault="00174B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3A44A" w14:textId="68A852AB" w:rsidR="00174BF6" w:rsidRDefault="00B54ACC" w:rsidP="00B54ACC">
    <w:pPr>
      <w:pStyle w:val="Header"/>
      <w:rPr>
        <w:sz w:val="17"/>
      </w:rPr>
    </w:pPr>
    <w:bookmarkStart w:id="5" w:name="TITUS1HeaderFirstPage"/>
    <w:r>
      <w:rPr>
        <w:sz w:val="17"/>
      </w:rPr>
      <w:t> </w:t>
    </w:r>
  </w:p>
  <w:bookmarkEnd w:id="5"/>
  <w:p w14:paraId="4DF8D9E6" w14:textId="77777777" w:rsidR="00174BF6" w:rsidRDefault="00174B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463D5" w14:textId="669E9FCE" w:rsidR="00174BF6" w:rsidRDefault="00B54ACC" w:rsidP="00B54ACC">
    <w:pPr>
      <w:pStyle w:val="Header"/>
      <w:rPr>
        <w:sz w:val="17"/>
      </w:rPr>
    </w:pPr>
    <w:bookmarkStart w:id="7" w:name="TITUS2HeaderEvenPages"/>
    <w:r>
      <w:rPr>
        <w:sz w:val="17"/>
      </w:rPr>
      <w:t> </w:t>
    </w:r>
  </w:p>
  <w:bookmarkEnd w:id="7"/>
  <w:p w14:paraId="407206FC" w14:textId="77777777" w:rsidR="00174BF6" w:rsidRDefault="00174BF6" w:rsidP="00174BF6">
    <w:pPr>
      <w:pStyle w:val="Header"/>
    </w:pPr>
  </w:p>
  <w:p w14:paraId="0EF8AFC1" w14:textId="77777777" w:rsidR="00174BF6" w:rsidRDefault="00174BF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6D0AD" w14:textId="735746DA" w:rsidR="00174BF6" w:rsidRDefault="00B54ACC" w:rsidP="00B54ACC">
    <w:pPr>
      <w:pStyle w:val="Header"/>
      <w:rPr>
        <w:sz w:val="17"/>
      </w:rPr>
    </w:pPr>
    <w:bookmarkStart w:id="8" w:name="TITUS2HeaderPrimary"/>
    <w:r>
      <w:rPr>
        <w:sz w:val="17"/>
      </w:rPr>
      <w:t> </w:t>
    </w:r>
  </w:p>
  <w:bookmarkEnd w:id="8"/>
  <w:p w14:paraId="07BB2FD0" w14:textId="77777777" w:rsidR="00174BF6" w:rsidRDefault="00174BF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03949" w14:textId="5C4C1670" w:rsidR="00174BF6" w:rsidRDefault="00B54ACC" w:rsidP="00B54ACC">
    <w:pPr>
      <w:pStyle w:val="Header"/>
      <w:rPr>
        <w:sz w:val="17"/>
      </w:rPr>
    </w:pPr>
    <w:bookmarkStart w:id="11" w:name="TITUS2HeaderFirstPage"/>
    <w:r>
      <w:rPr>
        <w:sz w:val="17"/>
      </w:rPr>
      <w:t> </w:t>
    </w:r>
  </w:p>
  <w:bookmarkEnd w:id="11"/>
  <w:p w14:paraId="04423607" w14:textId="77777777" w:rsidR="00174BF6" w:rsidRDefault="00174BF6" w:rsidP="00174BF6">
    <w:pPr>
      <w:pStyle w:val="Header"/>
    </w:pPr>
  </w:p>
  <w:p w14:paraId="4A8FEDAD" w14:textId="77777777" w:rsidR="00174BF6" w:rsidRDefault="00174BF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DA8BF" w14:textId="209275A5" w:rsidR="00174BF6" w:rsidRDefault="00B54ACC" w:rsidP="00B54ACC">
    <w:pPr>
      <w:pStyle w:val="Header"/>
      <w:rPr>
        <w:sz w:val="17"/>
      </w:rPr>
    </w:pPr>
    <w:bookmarkStart w:id="13" w:name="TITUS3HeaderEvenPages"/>
    <w:r>
      <w:rPr>
        <w:sz w:val="17"/>
      </w:rPr>
      <w:t> </w:t>
    </w:r>
  </w:p>
  <w:bookmarkEnd w:id="13"/>
  <w:p w14:paraId="068C3D76" w14:textId="77777777" w:rsidR="00174BF6" w:rsidRDefault="00174BF6" w:rsidP="00174BF6">
    <w:pPr>
      <w:pStyle w:val="Header"/>
    </w:pPr>
  </w:p>
  <w:p w14:paraId="773F75AF" w14:textId="77777777" w:rsidR="00174BF6" w:rsidRDefault="00174BF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FBCB4" w14:textId="79A42231" w:rsidR="00174BF6" w:rsidRDefault="00B54ACC" w:rsidP="00B54ACC">
    <w:pPr>
      <w:pStyle w:val="Header"/>
      <w:rPr>
        <w:sz w:val="17"/>
      </w:rPr>
    </w:pPr>
    <w:bookmarkStart w:id="14" w:name="TITUS3HeaderPrimary"/>
    <w:r>
      <w:rPr>
        <w:sz w:val="17"/>
      </w:rPr>
      <w:t> </w:t>
    </w:r>
  </w:p>
  <w:bookmarkEnd w:id="14"/>
  <w:p w14:paraId="4C04BECF" w14:textId="77777777" w:rsidR="00174BF6" w:rsidRDefault="00174BF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A286" w14:textId="5D5808D7" w:rsidR="00174BF6" w:rsidRDefault="00B54ACC" w:rsidP="00B54ACC">
    <w:pPr>
      <w:pStyle w:val="Header"/>
      <w:rPr>
        <w:sz w:val="17"/>
      </w:rPr>
    </w:pPr>
    <w:bookmarkStart w:id="17" w:name="TITUS3HeaderFirstPage"/>
    <w:r>
      <w:rPr>
        <w:sz w:val="17"/>
      </w:rPr>
      <w:t> </w:t>
    </w:r>
  </w:p>
  <w:bookmarkEnd w:id="17"/>
  <w:p w14:paraId="25C0B891" w14:textId="77777777" w:rsidR="00174BF6" w:rsidRDefault="00174BF6" w:rsidP="00174BF6">
    <w:pPr>
      <w:pStyle w:val="Header"/>
    </w:pPr>
  </w:p>
  <w:p w14:paraId="30652324" w14:textId="77777777" w:rsidR="00174BF6" w:rsidRDefault="00174B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80A"/>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4BF6"/>
    <w:rsid w:val="00190913"/>
    <w:rsid w:val="0019376D"/>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775B2"/>
    <w:rsid w:val="003853FC"/>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F6905"/>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269B"/>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6D4C"/>
    <w:rsid w:val="0075704F"/>
    <w:rsid w:val="00763B2D"/>
    <w:rsid w:val="00772924"/>
    <w:rsid w:val="00784EC4"/>
    <w:rsid w:val="007872F2"/>
    <w:rsid w:val="007874BC"/>
    <w:rsid w:val="007908E0"/>
    <w:rsid w:val="00793EB3"/>
    <w:rsid w:val="00794205"/>
    <w:rsid w:val="00794864"/>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B70"/>
    <w:rsid w:val="00813CEC"/>
    <w:rsid w:val="0081534C"/>
    <w:rsid w:val="008171E4"/>
    <w:rsid w:val="008208EA"/>
    <w:rsid w:val="00820B00"/>
    <w:rsid w:val="00824E67"/>
    <w:rsid w:val="00825349"/>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66C9"/>
    <w:rsid w:val="009526CD"/>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ACC"/>
    <w:rsid w:val="00B558EB"/>
    <w:rsid w:val="00B577D3"/>
    <w:rsid w:val="00B60466"/>
    <w:rsid w:val="00B6548F"/>
    <w:rsid w:val="00B7502A"/>
    <w:rsid w:val="00B77305"/>
    <w:rsid w:val="00B82CC2"/>
    <w:rsid w:val="00B84A89"/>
    <w:rsid w:val="00B92BEF"/>
    <w:rsid w:val="00B9689A"/>
    <w:rsid w:val="00BA1FFA"/>
    <w:rsid w:val="00BA358B"/>
    <w:rsid w:val="00BA35BE"/>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D4AB3"/>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4478"/>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legsubstitution">
    <w:name w:val="legsubstitution"/>
    <w:basedOn w:val="DefaultParagraphFont"/>
    <w:rsid w:val="009526CD"/>
  </w:style>
  <w:style w:type="character" w:customStyle="1" w:styleId="legds">
    <w:name w:val="legds"/>
    <w:basedOn w:val="DefaultParagraphFont"/>
    <w:rsid w:val="0059269B"/>
  </w:style>
  <w:style w:type="character" w:styleId="Strong">
    <w:name w:val="Strong"/>
    <w:basedOn w:val="DefaultParagraphFont"/>
    <w:uiPriority w:val="22"/>
    <w:qFormat/>
    <w:rsid w:val="00FB4478"/>
    <w:rPr>
      <w:b/>
      <w:bCs/>
    </w:rPr>
  </w:style>
  <w:style w:type="paragraph" w:styleId="NoSpacing">
    <w:name w:val="No Spacing"/>
    <w:uiPriority w:val="1"/>
    <w:qFormat/>
    <w:rsid w:val="00FB4478"/>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078583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569CC2-4A12-4FA7-9035-05634646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7894</Words>
  <Characters>43227</Characters>
  <Application>Microsoft Office Word</Application>
  <DocSecurity>0</DocSecurity>
  <Lines>360</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Willmett,Benjamin swp6550</cp:lastModifiedBy>
  <cp:revision>2</cp:revision>
  <cp:lastPrinted>2014-08-26T08:55:00Z</cp:lastPrinted>
  <dcterms:created xsi:type="dcterms:W3CDTF">2021-05-31T21:18:00Z</dcterms:created>
  <dcterms:modified xsi:type="dcterms:W3CDTF">2021-05-31T21:18:00Z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7ae67dcc-bd28-4d53-9f2a-ac9189acd88a</vt:lpwstr>
  </property>
  <property fmtid="{D5CDD505-2E9C-101B-9397-08002B2CF9AE}" pid="4" name="Classification">
    <vt:lpwstr>OFFICIAL</vt:lpwstr>
  </property>
  <property fmtid="{D5CDD505-2E9C-101B-9397-08002B2CF9AE}" pid="5" name="Visibility">
    <vt:lpwstr>NOT VISIBLE</vt:lpwstr>
  </property>
</Properties>
</file>