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59203876"/>
        <w:docPartObj>
          <w:docPartGallery w:val="Cover Pages"/>
          <w:docPartUnique/>
        </w:docPartObj>
      </w:sdtPr>
      <w:sdtContent>
        <w:p w:rsidR="00CD693E" w:rsidRDefault="00CD693E"/>
        <w:p w:rsidR="00CD693E" w:rsidRDefault="00406B38">
          <w:r>
            <w:rPr>
              <w:noProof/>
              <w:lang w:eastAsia="zh-TW"/>
            </w:rPr>
            <w:pict>
              <v:group 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567;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CD693E" w:rsidRPr="002630D6" w:rsidRDefault="00CD693E">
                        <w:pPr>
                          <w:spacing w:after="0"/>
                          <w:rPr>
                            <w:rFonts w:ascii="Arial" w:hAnsi="Arial" w:cs="Arial"/>
                            <w:b/>
                            <w:bCs/>
                            <w:color w:val="808080" w:themeColor="text1" w:themeTint="7F"/>
                            <w:sz w:val="32"/>
                            <w:szCs w:val="32"/>
                            <w:lang w:val="en-GB"/>
                          </w:rPr>
                        </w:pPr>
                        <w:r w:rsidRPr="002630D6">
                          <w:rPr>
                            <w:rFonts w:ascii="Arial" w:hAnsi="Arial" w:cs="Arial"/>
                            <w:b/>
                            <w:bCs/>
                            <w:color w:val="808080" w:themeColor="text1" w:themeTint="7F"/>
                            <w:sz w:val="32"/>
                            <w:szCs w:val="32"/>
                            <w:lang w:val="en-GB"/>
                          </w:rPr>
                          <w:t xml:space="preserve">BSc health and social care/care management </w:t>
                        </w:r>
                      </w:p>
                    </w:txbxContent>
                  </v:textbox>
                </v:rect>
                <v:rect id="_x0000_s1039" style="position:absolute;left:6494;top:11160;width:4998;height:1692;mso-position-horizontal-relative:margin;mso-position-vertical-relative:margin" filled="f" stroked="f">
                  <v:textbox style="mso-next-textbox:#_x0000_s1039;mso-fit-shape-to-text:t">
                    <w:txbxContent>
                      <w:sdt>
                        <w:sdtPr>
                          <w:rPr>
                            <w:sz w:val="96"/>
                            <w:szCs w:val="96"/>
                          </w:rPr>
                          <w:alias w:val="Year"/>
                          <w:id w:val="18366977"/>
                          <w:placeholder>
                            <w:docPart w:val="8E21B3AA03554C5C857B6822191A7C5B"/>
                          </w:placeholder>
                          <w:dataBinding w:prefixMappings="xmlns:ns0='http://schemas.microsoft.com/office/2006/coverPageProps'" w:xpath="/ns0:CoverPageProperties[1]/ns0:PublishDate[1]" w:storeItemID="{55AF091B-3C7A-41E3-B477-F2FDAA23CFDA}"/>
                          <w:date w:fullDate="2021-08-06T00:00:00Z">
                            <w:dateFormat w:val="yy"/>
                            <w:lid w:val="en-US"/>
                            <w:storeMappedDataAs w:val="dateTime"/>
                            <w:calendar w:val="gregorian"/>
                          </w:date>
                        </w:sdtPr>
                        <w:sdtContent>
                          <w:p w:rsidR="00CD693E" w:rsidRDefault="002630D6">
                            <w:pPr>
                              <w:jc w:val="right"/>
                              <w:rPr>
                                <w:sz w:val="96"/>
                                <w:szCs w:val="96"/>
                              </w:rPr>
                            </w:pPr>
                            <w:r>
                              <w:rPr>
                                <w:sz w:val="96"/>
                                <w:szCs w:val="96"/>
                              </w:rPr>
                              <w:t>21</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rFonts w:ascii="Arial" w:hAnsi="Arial" w:cs="Arial"/>
                            <w:b/>
                            <w:bCs/>
                            <w:color w:val="1F497D" w:themeColor="text2"/>
                            <w:sz w:val="52"/>
                            <w:szCs w:val="52"/>
                          </w:rPr>
                          <w:alias w:val="Title"/>
                          <w:id w:val="15866532"/>
                          <w:placeholder>
                            <w:docPart w:val="F9AD006159C24AD999AA074258658586"/>
                          </w:placeholder>
                          <w:dataBinding w:prefixMappings="xmlns:ns0='http://schemas.openxmlformats.org/package/2006/metadata/core-properties' xmlns:ns1='http://purl.org/dc/elements/1.1/'" w:xpath="/ns0:coreProperties[1]/ns1:title[1]" w:storeItemID="{6C3C8BC8-F283-45AE-878A-BAB7291924A1}"/>
                          <w:text/>
                        </w:sdtPr>
                        <w:sdtContent>
                          <w:p w:rsidR="00CD693E" w:rsidRDefault="009F3440">
                            <w:pPr>
                              <w:spacing w:after="0"/>
                              <w:rPr>
                                <w:b/>
                                <w:bCs/>
                                <w:color w:val="1F497D" w:themeColor="text2"/>
                                <w:sz w:val="72"/>
                                <w:szCs w:val="72"/>
                              </w:rPr>
                            </w:pPr>
                            <w:r>
                              <w:rPr>
                                <w:rFonts w:ascii="Arial" w:hAnsi="Arial" w:cs="Arial"/>
                                <w:b/>
                                <w:bCs/>
                                <w:color w:val="1F497D" w:themeColor="text2"/>
                                <w:sz w:val="52"/>
                                <w:szCs w:val="52"/>
                                <w:lang w:val="en-GB"/>
                              </w:rPr>
                              <w:t>Children, young people and families</w:t>
                            </w:r>
                          </w:p>
                        </w:sdtContent>
                      </w:sdt>
                      <w:sdt>
                        <w:sdtPr>
                          <w:rPr>
                            <w:rFonts w:ascii="Arial" w:hAnsi="Arial" w:cs="Arial"/>
                            <w:b/>
                            <w:bCs/>
                            <w:color w:val="4F81BD" w:themeColor="accent1"/>
                            <w:sz w:val="40"/>
                            <w:szCs w:val="40"/>
                          </w:rPr>
                          <w:alias w:val="Subtitle"/>
                          <w:id w:val="15866538"/>
                          <w:placeholder>
                            <w:docPart w:val="FF6B0D074B7F4F8EAB008CECD1E40D79"/>
                          </w:placeholder>
                          <w:dataBinding w:prefixMappings="xmlns:ns0='http://schemas.openxmlformats.org/package/2006/metadata/core-properties' xmlns:ns1='http://purl.org/dc/elements/1.1/'" w:xpath="/ns0:coreProperties[1]/ns1:subject[1]" w:storeItemID="{6C3C8BC8-F283-45AE-878A-BAB7291924A1}"/>
                          <w:text/>
                        </w:sdtPr>
                        <w:sdtContent>
                          <w:p w:rsidR="00CD693E" w:rsidRPr="002630D6" w:rsidRDefault="00CD693E">
                            <w:pPr>
                              <w:rPr>
                                <w:rFonts w:ascii="Arial" w:hAnsi="Arial" w:cs="Arial"/>
                                <w:b/>
                                <w:bCs/>
                                <w:color w:val="4F81BD" w:themeColor="accent1"/>
                                <w:sz w:val="40"/>
                                <w:szCs w:val="40"/>
                              </w:rPr>
                            </w:pPr>
                            <w:r w:rsidRPr="002630D6">
                              <w:rPr>
                                <w:rFonts w:ascii="Arial" w:hAnsi="Arial" w:cs="Arial"/>
                                <w:b/>
                                <w:bCs/>
                                <w:color w:val="4F81BD" w:themeColor="accent1"/>
                                <w:sz w:val="40"/>
                                <w:szCs w:val="40"/>
                              </w:rPr>
                              <w:t>Name: Petea-kaye Davis</w:t>
                            </w:r>
                          </w:p>
                        </w:sdtContent>
                      </w:sdt>
                      <w:p w:rsidR="00CD693E" w:rsidRPr="002630D6" w:rsidRDefault="00CD693E">
                        <w:pPr>
                          <w:rPr>
                            <w:rFonts w:ascii="Arial" w:hAnsi="Arial" w:cs="Arial"/>
                            <w:b/>
                            <w:bCs/>
                            <w:color w:val="4F81BD" w:themeColor="accent1"/>
                            <w:sz w:val="40"/>
                            <w:szCs w:val="40"/>
                          </w:rPr>
                        </w:pPr>
                        <w:r w:rsidRPr="002630D6">
                          <w:rPr>
                            <w:rFonts w:ascii="Arial" w:hAnsi="Arial" w:cs="Arial"/>
                            <w:b/>
                            <w:bCs/>
                            <w:color w:val="4F81BD" w:themeColor="accent1"/>
                            <w:sz w:val="40"/>
                            <w:szCs w:val="40"/>
                          </w:rPr>
                          <w:t>Student I.D 1911491</w:t>
                        </w:r>
                      </w:p>
                      <w:p w:rsidR="00CD693E" w:rsidRPr="002630D6" w:rsidRDefault="00CD693E">
                        <w:pPr>
                          <w:rPr>
                            <w:rFonts w:ascii="Arial" w:hAnsi="Arial" w:cs="Arial"/>
                            <w:b/>
                            <w:bCs/>
                            <w:color w:val="4F81BD" w:themeColor="accent1"/>
                            <w:sz w:val="40"/>
                            <w:szCs w:val="40"/>
                          </w:rPr>
                        </w:pPr>
                        <w:r w:rsidRPr="002630D6">
                          <w:rPr>
                            <w:rFonts w:ascii="Arial" w:hAnsi="Arial" w:cs="Arial"/>
                            <w:b/>
                            <w:bCs/>
                            <w:color w:val="4F81BD" w:themeColor="accent1"/>
                            <w:sz w:val="40"/>
                            <w:szCs w:val="40"/>
                          </w:rPr>
                          <w:t>Module: BMHP5004</w:t>
                        </w:r>
                        <w:r w:rsidR="002630D6" w:rsidRPr="002630D6">
                          <w:rPr>
                            <w:rFonts w:ascii="Arial" w:hAnsi="Arial" w:cs="Arial"/>
                            <w:b/>
                            <w:bCs/>
                            <w:color w:val="4F81BD" w:themeColor="accent1"/>
                            <w:sz w:val="40"/>
                            <w:szCs w:val="40"/>
                          </w:rPr>
                          <w:t>-BIRM</w:t>
                        </w:r>
                      </w:p>
                      <w:p w:rsidR="002630D6" w:rsidRPr="002630D6" w:rsidRDefault="002630D6">
                        <w:pPr>
                          <w:rPr>
                            <w:rFonts w:ascii="Arial" w:hAnsi="Arial" w:cs="Arial"/>
                            <w:b/>
                            <w:bCs/>
                            <w:color w:val="4F81BD" w:themeColor="accent1"/>
                            <w:sz w:val="40"/>
                            <w:szCs w:val="40"/>
                          </w:rPr>
                        </w:pPr>
                        <w:r w:rsidRPr="002630D6">
                          <w:rPr>
                            <w:rFonts w:ascii="Arial" w:hAnsi="Arial" w:cs="Arial"/>
                            <w:b/>
                            <w:bCs/>
                            <w:color w:val="4F81BD" w:themeColor="accent1"/>
                            <w:sz w:val="40"/>
                            <w:szCs w:val="40"/>
                          </w:rPr>
                          <w:t>Assignment Tile: Essay</w:t>
                        </w:r>
                      </w:p>
                      <w:p w:rsidR="002630D6" w:rsidRPr="002630D6" w:rsidRDefault="002630D6">
                        <w:pPr>
                          <w:rPr>
                            <w:rFonts w:ascii="Arial" w:hAnsi="Arial" w:cs="Arial"/>
                            <w:b/>
                            <w:bCs/>
                            <w:color w:val="4F81BD" w:themeColor="accent1"/>
                            <w:sz w:val="40"/>
                            <w:szCs w:val="40"/>
                          </w:rPr>
                        </w:pPr>
                        <w:r w:rsidRPr="002630D6">
                          <w:rPr>
                            <w:rFonts w:ascii="Arial" w:hAnsi="Arial" w:cs="Arial"/>
                            <w:b/>
                            <w:bCs/>
                            <w:color w:val="4F81BD" w:themeColor="accent1"/>
                            <w:sz w:val="40"/>
                            <w:szCs w:val="40"/>
                          </w:rPr>
                          <w:t>Lecture: Dr.Crisford Chogugudza</w:t>
                        </w:r>
                      </w:p>
                      <w:sdt>
                        <w:sdtPr>
                          <w:rPr>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CD693E" w:rsidRDefault="002630D6">
                            <w:pPr>
                              <w:rPr>
                                <w:b/>
                                <w:bCs/>
                                <w:color w:val="808080" w:themeColor="text1" w:themeTint="7F"/>
                                <w:sz w:val="32"/>
                                <w:szCs w:val="32"/>
                              </w:rPr>
                            </w:pPr>
                            <w:r>
                              <w:rPr>
                                <w:b/>
                                <w:bCs/>
                                <w:color w:val="808080" w:themeColor="text1" w:themeTint="7F"/>
                                <w:sz w:val="32"/>
                                <w:szCs w:val="32"/>
                                <w:lang w:val="en-GB"/>
                              </w:rPr>
                              <w:t>Petea-kaye Davis</w:t>
                            </w:r>
                          </w:p>
                        </w:sdtContent>
                      </w:sdt>
                      <w:p w:rsidR="00CD693E" w:rsidRDefault="00CD693E">
                        <w:pPr>
                          <w:rPr>
                            <w:b/>
                            <w:bCs/>
                            <w:color w:val="808080" w:themeColor="text1" w:themeTint="7F"/>
                            <w:sz w:val="32"/>
                            <w:szCs w:val="32"/>
                          </w:rPr>
                        </w:pPr>
                      </w:p>
                    </w:txbxContent>
                  </v:textbox>
                </v:rect>
                <w10:wrap anchorx="page" anchory="margin"/>
              </v:group>
            </w:pict>
          </w:r>
        </w:p>
        <w:p w:rsidR="00CD693E" w:rsidRDefault="00CD693E">
          <w:r>
            <w:br w:type="page"/>
          </w:r>
        </w:p>
      </w:sdtContent>
    </w:sdt>
    <w:p w:rsidR="005B68F2" w:rsidRDefault="005B68F2" w:rsidP="002630D6">
      <w:pPr>
        <w:rPr>
          <w:rFonts w:ascii="Arial" w:hAnsi="Arial" w:cs="Arial"/>
          <w:b/>
        </w:rPr>
      </w:pPr>
      <w:r>
        <w:rPr>
          <w:rFonts w:ascii="Arial" w:hAnsi="Arial" w:cs="Arial"/>
          <w:b/>
        </w:rPr>
        <w:lastRenderedPageBreak/>
        <w:t xml:space="preserve">Considering historical and present- day perspectives, discuss the advantages and dis advantages of multiagency working in safeguarding children, policies, and young people, and families. </w:t>
      </w:r>
    </w:p>
    <w:p w:rsidR="005B68F2" w:rsidRDefault="005B68F2" w:rsidP="002630D6">
      <w:pPr>
        <w:rPr>
          <w:rFonts w:ascii="Arial" w:hAnsi="Arial" w:cs="Arial"/>
          <w:b/>
        </w:rPr>
      </w:pPr>
    </w:p>
    <w:p w:rsidR="002630D6" w:rsidRPr="002630D6" w:rsidRDefault="002630D6" w:rsidP="002630D6">
      <w:pPr>
        <w:rPr>
          <w:rFonts w:ascii="Arial" w:hAnsi="Arial" w:cs="Arial"/>
        </w:rPr>
      </w:pPr>
      <w:r w:rsidRPr="002630D6">
        <w:rPr>
          <w:rFonts w:ascii="Arial" w:hAnsi="Arial" w:cs="Arial"/>
          <w:b/>
        </w:rPr>
        <w:t>Multi-Agency working:</w:t>
      </w:r>
      <w:r w:rsidRPr="002630D6">
        <w:rPr>
          <w:rFonts w:ascii="Arial" w:hAnsi="Arial" w:cs="Arial"/>
          <w:b/>
        </w:rPr>
        <w:br/>
      </w:r>
      <w:r w:rsidRPr="002630D6">
        <w:rPr>
          <w:rFonts w:ascii="Arial" w:hAnsi="Arial" w:cs="Arial"/>
        </w:rPr>
        <w:t xml:space="preserve">It is an efficient strategy of being support for children and families with special needs and achieving substantial changes in their life outcomes. According to the Green Paper - “Every Child Matters” (Sept 2003), Multi-agency working is commonly working for youth justice, voluntary and community sector, health, youth work, and many other tasks that provide services for children. These agencies join other forces </w:t>
      </w:r>
      <w:r w:rsidR="005B68F2" w:rsidRPr="002630D6">
        <w:rPr>
          <w:rFonts w:ascii="Arial" w:hAnsi="Arial" w:cs="Arial"/>
        </w:rPr>
        <w:t>that</w:t>
      </w:r>
      <w:r w:rsidRPr="002630D6">
        <w:rPr>
          <w:rFonts w:ascii="Arial" w:hAnsi="Arial" w:cs="Arial"/>
        </w:rPr>
        <w:t xml:space="preserve"> have identical goals as theirs. They collaborate on a preventative agenda and work for the goodwill of children and youth. It is the involvement of different forces working together to elimina</w:t>
      </w:r>
      <w:r w:rsidR="005B68F2">
        <w:rPr>
          <w:rFonts w:ascii="Arial" w:hAnsi="Arial" w:cs="Arial"/>
        </w:rPr>
        <w:t xml:space="preserve">te vital problems of society. </w:t>
      </w:r>
      <w:r w:rsidRPr="002630D6">
        <w:rPr>
          <w:rFonts w:ascii="Arial" w:hAnsi="Arial" w:cs="Arial"/>
        </w:rPr>
        <w:t>A range of different services which have some overlapping or shared interests and objectives, brought together to work collaborative</w:t>
      </w:r>
      <w:r w:rsidR="005B68F2">
        <w:rPr>
          <w:rFonts w:ascii="Arial" w:hAnsi="Arial" w:cs="Arial"/>
        </w:rPr>
        <w:t>ly towards some common purposes</w:t>
      </w:r>
      <w:r w:rsidRPr="002630D6">
        <w:rPr>
          <w:rFonts w:ascii="Arial" w:hAnsi="Arial" w:cs="Arial"/>
        </w:rPr>
        <w:t xml:space="preserve"> (Wigfall and Moss, 2001)</w:t>
      </w:r>
      <w:r w:rsidR="005B68F2">
        <w:rPr>
          <w:rFonts w:ascii="Arial" w:hAnsi="Arial" w:cs="Arial"/>
        </w:rPr>
        <w:t>.</w:t>
      </w:r>
    </w:p>
    <w:p w:rsidR="002630D6" w:rsidRDefault="002630D6" w:rsidP="002630D6">
      <w:r w:rsidRPr="002630D6">
        <w:rPr>
          <w:rFonts w:ascii="Arial" w:hAnsi="Arial" w:cs="Arial"/>
        </w:rPr>
        <w:t xml:space="preserve"> Bringing various professions together to understand a particular problem or experience. In this sense, they afford different perspectives on issues at hand, just as one sees different facets of a crystal by turning it (Clark 1993)</w:t>
      </w:r>
      <w:r w:rsidR="005B68F2">
        <w:rPr>
          <w:rFonts w:ascii="Arial" w:hAnsi="Arial" w:cs="Arial"/>
        </w:rPr>
        <w:t>.</w:t>
      </w:r>
      <w:r>
        <w:rPr>
          <w:rFonts w:ascii="Arial" w:hAnsi="Arial" w:cs="Arial"/>
        </w:rPr>
        <w:br/>
      </w:r>
      <w:r w:rsidRPr="002630D6">
        <w:rPr>
          <w:rFonts w:ascii="Arial" w:hAnsi="Arial" w:cs="Arial"/>
        </w:rPr>
        <w:t xml:space="preserve">Multi-agency working is key to effective safeguarding and child protection (Sidebotham et al, 2016). </w:t>
      </w:r>
      <w:r w:rsidRPr="002630D6">
        <w:t>Anything or any purpose, even if it has a good goal, has advantages and disadvantages. Down below are discussed the advantages and disadv</w:t>
      </w:r>
      <w:r>
        <w:t>antages of multi-agency working.</w:t>
      </w:r>
    </w:p>
    <w:p w:rsidR="005B68F2" w:rsidRDefault="00F16E72" w:rsidP="00F16E72">
      <w:pPr>
        <w:rPr>
          <w:rFonts w:ascii="Arial" w:hAnsi="Arial" w:cs="Arial"/>
          <w:b/>
        </w:rPr>
      </w:pPr>
      <w:r w:rsidRPr="00F16E72">
        <w:rPr>
          <w:rFonts w:ascii="Arial" w:hAnsi="Arial" w:cs="Arial"/>
          <w:b/>
        </w:rPr>
        <w:t>Advantages or Characteristics of Multi-agency working:</w:t>
      </w:r>
      <w:r w:rsidRPr="00F16E72">
        <w:rPr>
          <w:rFonts w:ascii="Arial" w:hAnsi="Arial" w:cs="Arial"/>
          <w:b/>
        </w:rPr>
        <w:br/>
      </w:r>
      <w:r w:rsidRPr="00F16E72">
        <w:rPr>
          <w:rFonts w:ascii="Arial" w:hAnsi="Arial" w:cs="Arial"/>
        </w:rPr>
        <w:t>Following are the advantages mentioned of multi-agency working.</w:t>
      </w:r>
      <w:r w:rsidRPr="00F16E72">
        <w:rPr>
          <w:rFonts w:ascii="Arial" w:hAnsi="Arial" w:cs="Arial"/>
        </w:rPr>
        <w:br/>
      </w:r>
      <w:r w:rsidRPr="00F16E72">
        <w:rPr>
          <w:rFonts w:ascii="Arial" w:hAnsi="Arial" w:cs="Arial"/>
        </w:rPr>
        <w:br/>
        <w:t>1- Enables protective elements around abused children, young people, and their families while increasing their courage to take responsibility for their own life, assuring them about their rights and safety no matter what.</w:t>
      </w:r>
      <w:r w:rsidRPr="00F16E72">
        <w:rPr>
          <w:rFonts w:ascii="Arial" w:hAnsi="Arial" w:cs="Arial"/>
        </w:rPr>
        <w:br/>
        <w:t>2- Considering children as full individuals rather than considering them as a fraction of a person. A child is someone who might grow into an important individual and deserves all the respect and attention.</w:t>
      </w:r>
      <w:r w:rsidRPr="00F16E72">
        <w:rPr>
          <w:rFonts w:ascii="Arial" w:hAnsi="Arial" w:cs="Arial"/>
        </w:rPr>
        <w:br/>
        <w:t>3- Providing support from many agencies around a child or family in response to analyses of what their needs are and when they require them.</w:t>
      </w:r>
      <w:r w:rsidRPr="00F16E72">
        <w:rPr>
          <w:rFonts w:ascii="Arial" w:hAnsi="Arial" w:cs="Arial"/>
        </w:rPr>
        <w:br/>
        <w:t>4- Following a young person and seeing them in their everyday activities, as well as learning about their hobbies and preferences, in order to determine whether or not a child or young person will be capable of managing their own lives in the future.</w:t>
      </w:r>
      <w:r w:rsidRPr="00F16E72">
        <w:rPr>
          <w:rFonts w:ascii="Arial" w:hAnsi="Arial" w:cs="Arial"/>
        </w:rPr>
        <w:br/>
        <w:t xml:space="preserve">5- Talking purposefully about the child and their confidence to other professionals. </w:t>
      </w:r>
      <w:r w:rsidRPr="00F16E72">
        <w:rPr>
          <w:rFonts w:ascii="Arial" w:hAnsi="Arial" w:cs="Arial"/>
        </w:rPr>
        <w:br/>
        <w:t xml:space="preserve">6- Creating new relationships and systems on the basis of trust to provide benefit to the goal. </w:t>
      </w:r>
      <w:r w:rsidRPr="00F16E72">
        <w:rPr>
          <w:rFonts w:ascii="Arial" w:hAnsi="Arial" w:cs="Arial"/>
        </w:rPr>
        <w:br/>
        <w:t xml:space="preserve">7- Leading onto joint funding projects to help children, young people, and families in need. </w:t>
      </w:r>
      <w:r w:rsidRPr="00F16E72">
        <w:rPr>
          <w:rFonts w:ascii="Arial" w:hAnsi="Arial" w:cs="Arial"/>
        </w:rPr>
        <w:br/>
        <w:t>8- Learning from the point of view of others to work better and smarter for the cause</w:t>
      </w:r>
      <w:r w:rsidR="002630D6" w:rsidRPr="00F16E72">
        <w:rPr>
          <w:rFonts w:ascii="Arial" w:hAnsi="Arial" w:cs="Arial"/>
        </w:rPr>
        <w:br/>
      </w:r>
      <w:r w:rsidR="002630D6" w:rsidRPr="00F16E72">
        <w:rPr>
          <w:rFonts w:ascii="Arial" w:hAnsi="Arial" w:cs="Arial"/>
        </w:rPr>
        <w:br/>
      </w:r>
    </w:p>
    <w:p w:rsidR="00F16E72" w:rsidRPr="00F16E72" w:rsidRDefault="00F16E72" w:rsidP="00F16E72">
      <w:pPr>
        <w:rPr>
          <w:rFonts w:ascii="Arial" w:hAnsi="Arial" w:cs="Arial"/>
        </w:rPr>
      </w:pPr>
      <w:r w:rsidRPr="00F16E72">
        <w:rPr>
          <w:rFonts w:ascii="Arial" w:hAnsi="Arial" w:cs="Arial"/>
          <w:b/>
        </w:rPr>
        <w:lastRenderedPageBreak/>
        <w:t>Disadvantages of multi-agency working:</w:t>
      </w:r>
      <w:r w:rsidRPr="00F16E72">
        <w:rPr>
          <w:rFonts w:ascii="Arial" w:hAnsi="Arial" w:cs="Arial"/>
          <w:b/>
        </w:rPr>
        <w:br/>
      </w:r>
      <w:r w:rsidRPr="00F16E72">
        <w:rPr>
          <w:rFonts w:ascii="Arial" w:hAnsi="Arial" w:cs="Arial"/>
        </w:rPr>
        <w:t>Following are the disadvantages mentioned of multi-agency working.</w:t>
      </w:r>
    </w:p>
    <w:p w:rsidR="005B68F2" w:rsidRDefault="00F16E72" w:rsidP="00F16E72">
      <w:pPr>
        <w:rPr>
          <w:rFonts w:ascii="Arial" w:hAnsi="Arial" w:cs="Arial"/>
          <w:b/>
        </w:rPr>
      </w:pPr>
      <w:r w:rsidRPr="00F16E72">
        <w:rPr>
          <w:rFonts w:ascii="Arial" w:hAnsi="Arial" w:cs="Arial"/>
        </w:rPr>
        <w:t>1- Difference in core functions, practices, and culture between agencies. Officials' differing viewpoints and a plethora of options cause everyone to hold opposing views.</w:t>
      </w:r>
      <w:r w:rsidRPr="00F16E72">
        <w:rPr>
          <w:rFonts w:ascii="Arial" w:hAnsi="Arial" w:cs="Arial"/>
        </w:rPr>
        <w:br/>
        <w:t>2- Lack of clarity about why agencies are participating, as well as a lack of knowledge about the true aims of agencies, can occasionally cause damage to the goal that multi-agency is working on, causing the cause to lose all of its genuine significance.</w:t>
      </w:r>
      <w:r w:rsidRPr="00F16E72">
        <w:rPr>
          <w:rFonts w:ascii="Arial" w:hAnsi="Arial" w:cs="Arial"/>
        </w:rPr>
        <w:br/>
        <w:t>3- Previous or current jealousy elements between agencies seeking their advantage first and disregarding the true reason, as well as being rivals, eliminate the working for needy families, children, and youth.</w:t>
      </w:r>
      <w:r w:rsidRPr="00F16E72">
        <w:rPr>
          <w:rFonts w:ascii="Arial" w:hAnsi="Arial" w:cs="Arial"/>
        </w:rPr>
        <w:br/>
        <w:t>4- Lack of clarity in authority and decision-making, such as who will head the multi-agency working group and whose decisions must be followed, and occasionally favoritism amongst the agencies destroys the job.</w:t>
      </w:r>
      <w:r w:rsidRPr="00F16E72">
        <w:rPr>
          <w:rFonts w:ascii="Arial" w:hAnsi="Arial" w:cs="Arial"/>
        </w:rPr>
        <w:br/>
        <w:t>5- Not responding to any changes properly that occur to the assisting plan, including those that do not relate to them, due to a lack of facilities and pressure in delivering services to the needy. Even though it is a collaborative process, non-collaborative components occur.</w:t>
      </w:r>
      <w:r w:rsidRPr="00F16E72">
        <w:rPr>
          <w:rFonts w:ascii="Arial" w:hAnsi="Arial" w:cs="Arial"/>
        </w:rPr>
        <w:br/>
        <w:t>6- The members are forced to rely only on existing resources, which implies that all of the team's proposals may not be executed at the same time. Minimal resources generate disputes in the team and constitute an issue for those who want immediate assistance.</w:t>
      </w:r>
      <w:r w:rsidRPr="00F16E72">
        <w:rPr>
          <w:rFonts w:ascii="Arial" w:hAnsi="Arial" w:cs="Arial"/>
        </w:rPr>
        <w:br/>
        <w:t>7- Incomplete knowledge on the instances results in insufficient descriptions. This generates issues for both the victims and the team. Complete information access, including surveys and other unique data points, is required. Without this knowledge, the team's actions will be unable to optimize the possible advantages that the sufferers may require.</w:t>
      </w:r>
      <w:r w:rsidRPr="00F16E72">
        <w:rPr>
          <w:rFonts w:ascii="Arial" w:hAnsi="Arial" w:cs="Arial"/>
        </w:rPr>
        <w:br/>
      </w:r>
      <w:r w:rsidRPr="00F16E72">
        <w:rPr>
          <w:rFonts w:ascii="Arial" w:hAnsi="Arial" w:cs="Arial"/>
        </w:rPr>
        <w:br/>
        <w:t xml:space="preserve">When everyone works together to attain a goal, great things can happen. The advantages and disadvantages of multi-agency collaboration create a system through which needy families, children, and youth can obtain more effective care and assistance. The level of multi-agency collaboration is determined by the resources available from the community, benefactors, and those looking up to aid the victims. Collaborative work for a greater cause brings goodwill to the sufferers. </w:t>
      </w:r>
      <w:r w:rsidRPr="00F16E72">
        <w:rPr>
          <w:rFonts w:ascii="Arial" w:hAnsi="Arial" w:cs="Arial"/>
        </w:rPr>
        <w:br/>
      </w:r>
    </w:p>
    <w:p w:rsidR="005B68F2" w:rsidRDefault="00F16E72" w:rsidP="00F16E72">
      <w:pPr>
        <w:rPr>
          <w:rFonts w:ascii="Arial" w:hAnsi="Arial" w:cs="Arial"/>
          <w:b/>
        </w:rPr>
      </w:pPr>
      <w:r w:rsidRPr="00F16E72">
        <w:rPr>
          <w:rFonts w:ascii="Arial" w:hAnsi="Arial" w:cs="Arial"/>
          <w:b/>
        </w:rPr>
        <w:t>Working of different agencies for the safeguard of children :</w:t>
      </w:r>
      <w:r w:rsidRPr="00F16E72">
        <w:rPr>
          <w:rFonts w:ascii="Arial" w:hAnsi="Arial" w:cs="Arial"/>
          <w:b/>
        </w:rPr>
        <w:br/>
      </w:r>
      <w:r w:rsidRPr="00F16E72">
        <w:rPr>
          <w:rFonts w:ascii="Arial" w:hAnsi="Arial" w:cs="Arial"/>
        </w:rPr>
        <w:t xml:space="preserve">Every agency working for the welfare of children and people is obligated to provide adequate care for them. When a child's name is placed into the protection register, agencies working for the welfare of children are obligated to remember that they are responsible for protecting the child via their plan. When various agencies collaborate to share accurate information about vulnerable children, they can support and protect them more effectively, ensuring their well-being. There are specific duties of multi-agency authorizations to protect children in need, in harm, or the children who are suffering by any means regardless of the fact about where the children are found as mentioned in sections 17 and 47 of the children act 1989. </w:t>
      </w:r>
      <w:r w:rsidRPr="00F16E72">
        <w:rPr>
          <w:rFonts w:ascii="Arial" w:hAnsi="Arial" w:cs="Arial"/>
        </w:rPr>
        <w:br/>
        <w:t xml:space="preserve">As multi agencies play role in the safeguard of children local authorities also have this duty to play a lead role in safeguarding children, protecting them from any possible harm, and working for their welfare. No matter who you are if you have contact with suffering children and families </w:t>
      </w:r>
      <w:r w:rsidRPr="00F16E72">
        <w:rPr>
          <w:rFonts w:ascii="Arial" w:hAnsi="Arial" w:cs="Arial"/>
        </w:rPr>
        <w:lastRenderedPageBreak/>
        <w:t>you are required to play your role as a responsible individual of society. According to the Children and social work act, 2017, agencies must collaborate and make police, practitioners, and local authorities make ways and work together with other local partners for the safeguard and promotion of the welfare of children residing in their area.</w:t>
      </w:r>
      <w:r w:rsidRPr="00F16E72">
        <w:rPr>
          <w:rFonts w:ascii="Arial" w:hAnsi="Arial" w:cs="Arial"/>
        </w:rPr>
        <w:br/>
        <w:t xml:space="preserve">Safeguarding children is everyone’s responsibility. Whether it is the police, social workers, NGOs, practitioners, a local of the city, midwives, nurses, health visitors, youth workers, Accident and Emergency staff, pediatricians, voluntary and community workers, etc.  These authorities together make a multi-agency get working for the welfare of children, families, and youth. Each one of them has to take care of their respective duties according to their role in the profession and make sure the children are safe. Anyone working for children should understand their concerns about their safety and should know that they want to be respected and want to be heard. People working for children should see their concerns and should speak to the child about what they are feeling and take their concerns seriously. Working with their families and knowing the proper background helps in the welfare of children. Multi agencies provide early help as soon as the problem arises rather than waiting for some real damage to happen, it helps prevent any further problems to arise. The partners collaborated to form an agency for the welfare of children look into different types of assessments and services to be delivered to the suffering children who may have been victims of sexual abuse, radicalized, etc. It also includes services for the handy or disabled children. Anyone concerned about some abnormal activities regarding children when reaches to the multiagency for help multi agencies must look into the matter and provide as immediate help as possible. Sharing of information between the practitioners and the multi agencies is beneficial for the identification of the needs of the children who may need help, providing information at the right time saves children from severe consequences. When information is provided regarding any missing child or is in any insecure state, multi agencies look into the matter deeply and work on it with all the authorities until any solution is derived. As practitioners are also the part of multi-agency, they are obliged to analyze any child who’s under their checkup to look if they’re physically abused and examine children about their mental health status because not every child has this audacity to speak about the bad happening to them, and practitioners have their professional ways to determine if the child is doing okay physically and mentally. Remember sometimes a child is being victimized at his/her own home too. If a child must be removed from their home, a multi-agency does that instantly following the guidelines of the authorities if a child’s safety is at high risk. Social workers, NGO’s and everyone who is responsible and is participating in a multi-agency working are obliged to take good care of a child by any means possible until he/she is an adult. Multi agencies tend to make children and their families believe that they have someone who got their back anytime they need a hand to hold. Every child matters. In any case of child-related emergency, abuse, or conflict multi agencies work their best until they resolve the matter to make sure the child is in safe hands. From rescuing them to providing them good medical care and arranging engaging programs for them so they can turn into better individuals multi agencies work hard in the cause of wellbeing of the children. </w:t>
      </w:r>
      <w:r w:rsidRPr="00F16E72">
        <w:rPr>
          <w:rFonts w:ascii="Arial" w:hAnsi="Arial" w:cs="Arial"/>
        </w:rPr>
        <w:br/>
      </w:r>
    </w:p>
    <w:p w:rsidR="005B68F2" w:rsidRDefault="005B68F2" w:rsidP="00F16E72">
      <w:pPr>
        <w:rPr>
          <w:rFonts w:ascii="Arial" w:hAnsi="Arial" w:cs="Arial"/>
          <w:b/>
        </w:rPr>
      </w:pPr>
    </w:p>
    <w:p w:rsidR="002236BE" w:rsidRPr="00F16E72" w:rsidRDefault="00F16E72" w:rsidP="00F16E72">
      <w:pPr>
        <w:rPr>
          <w:rFonts w:ascii="Arial" w:hAnsi="Arial" w:cs="Arial"/>
        </w:rPr>
      </w:pPr>
      <w:r w:rsidRPr="00F16E72">
        <w:rPr>
          <w:rFonts w:ascii="Arial" w:hAnsi="Arial" w:cs="Arial"/>
          <w:b/>
        </w:rPr>
        <w:lastRenderedPageBreak/>
        <w:t>Covid and multi-agency working:</w:t>
      </w:r>
      <w:r w:rsidRPr="00F16E72">
        <w:rPr>
          <w:rFonts w:ascii="Arial" w:hAnsi="Arial" w:cs="Arial"/>
          <w:b/>
        </w:rPr>
        <w:br/>
      </w:r>
      <w:r w:rsidRPr="00F16E72">
        <w:rPr>
          <w:rFonts w:ascii="Arial" w:hAnsi="Arial" w:cs="Arial"/>
        </w:rPr>
        <w:t>The global pandemic of Covid-19 affected the practices of multi-agencies a lot. However, ways were found to work effectively for the goodwill of children, families, and youth amid covid-19 and other problematic circumstances. Researches were conducted in 2020 regarding the work of such agencies for the betterment of children and families and it was concluded after the researches that many multiagency supported schools played an outstanding role in being the support of vulnerable and needy families and children. Most of the interactions were made online keeping in mind the SOP’s, while there were benefits,  concerns were also shown about the disadvantaged families and children. The researchers and officials in charge talked about the increased risks to children and questions were raised about the group of children who might be under any risky circumstances. As a result, social workers’ access to families to evaluate risk, they came to rely on other professionals who were having more contact with children and families, including teachers. However, officials have made online platforms for children to keep them connected with the world productively. Empowering children online, providing support to parents and caregivers to help children stay safe online, providing a safe online learning system for students, making online</w:t>
      </w:r>
      <w:r w:rsidRPr="00F16E72">
        <w:rPr>
          <w:rFonts w:ascii="Arial" w:hAnsi="Arial" w:cs="Arial"/>
        </w:rPr>
        <w:br/>
        <w:t xml:space="preserve">platforms safe for children and students while strengthening national prevention, response, and support services is what multi agencies worked, and are still working for. An increased online activity where offers learning-based onto also puts children at high risk of cyberbullying, online sexual exploitation, Potentially harmful content, Inappropriate collection, use, and sharing of data, and limited child safeguard online to which officials and agencies should look into, to provide a safeguard for children online and offline. </w:t>
      </w:r>
      <w:r w:rsidRPr="00F16E72">
        <w:rPr>
          <w:rFonts w:ascii="Arial" w:hAnsi="Arial" w:cs="Arial"/>
        </w:rPr>
        <w:br/>
      </w:r>
      <w:r w:rsidRPr="00F16E72">
        <w:rPr>
          <w:rFonts w:ascii="Arial" w:hAnsi="Arial" w:cs="Arial"/>
        </w:rPr>
        <w:br/>
      </w:r>
      <w:r w:rsidRPr="00F16E72">
        <w:rPr>
          <w:rFonts w:ascii="Arial" w:hAnsi="Arial" w:cs="Arial"/>
          <w:b/>
        </w:rPr>
        <w:t xml:space="preserve">Role of multi agencies in and Baby P.’s case according to a serious case review: </w:t>
      </w:r>
      <w:r w:rsidRPr="00F16E72">
        <w:rPr>
          <w:rFonts w:ascii="Arial" w:hAnsi="Arial" w:cs="Arial"/>
          <w:b/>
        </w:rPr>
        <w:br/>
      </w:r>
      <w:r w:rsidRPr="00F16E72">
        <w:rPr>
          <w:rFonts w:ascii="Arial" w:hAnsi="Arial" w:cs="Arial"/>
        </w:rPr>
        <w:t xml:space="preserve">Peter Connelley is also known as Baby P. died in august 2007 aged just 17 months, in the home due to constant abuse for months. And details of his case’s publication showed the incompetency and ignorance of doctors, lawyers, social workers, and police. Baby P’s mother and boyfriend were accused of the death of poor peter. While the kid died suffering from more than 50 injuries he had been visited 60 times by the childcare authorities before his death for 8 months! According to the serious case review, it was said that all the majorities were incompetent and the death of baby P could, and should have been prevented. The report criticized peter’s GP for not showing any concerns when he found bruises and injuries on his chest and head that was claimed to have happened because he fell from the stairs, while non of the social workers seriously thought that he had been getting harmed intentionally and is at serious risk. Serious case reviews determined that there were multiple failings in baby P’s case and that publishing of serious case review isn’t acting on upon any blame game rather it is looking up to achieving greater transparency in child protection from the multi agencies and authorities. </w:t>
      </w:r>
      <w:r w:rsidRPr="00F16E72">
        <w:rPr>
          <w:rFonts w:ascii="Arial" w:hAnsi="Arial" w:cs="Arial"/>
          <w:b/>
        </w:rPr>
        <w:br/>
      </w:r>
    </w:p>
    <w:p w:rsidR="00F16E72" w:rsidRDefault="00F16E72" w:rsidP="00F16E72">
      <w:r>
        <w:rPr>
          <w:b/>
        </w:rPr>
        <w:t xml:space="preserve">Role of multi agencies in and Victoria Climbie’s case according to a serious case review: </w:t>
      </w:r>
      <w:r>
        <w:rPr>
          <w:b/>
        </w:rPr>
        <w:br/>
      </w:r>
      <w:r>
        <w:t xml:space="preserve">Victoria Climbie died in February 2000, aged just 8 years old. She went through terrible abuse for several months by her aunt to which she was sent by her family 18 months before her death. She was sent to her aunt so she could get better education and lifestyle but the opposite of it happened. Poor Victoria </w:t>
      </w:r>
      <w:r>
        <w:lastRenderedPageBreak/>
        <w:t>was hit with a bicycle chain, burnt with cigarettes, and kept in a cold bathroom in a plastic bag! Evidence of a bus driver was taken by police in the court hearing in which the driver told that victoria would not cry or weep and she would just sit quietly bearing the pain. The driver felt sorry for Victoria’s disgraceful death and her suffering could hardly be ascribed to child protective agencies.</w:t>
      </w:r>
      <w:r>
        <w:br/>
      </w:r>
      <w:r>
        <w:br/>
        <w:t xml:space="preserve"> Victoria’s social services failed her. Her appointed social worker was dismissed by the council of Haringey. Victoria’s social worker Ms. Aurthurworrey was condemned to neglect in the case of Victoria Climbie and ignoring protection and support of a child's condition under her treatment. The doctor that examined Victoria for her injuries was convinced by her aunt that the injuries on Victoria are self-inflicted. During the case investigation, they were also held accountable for not rising any concern about Victoria’s condition. </w:t>
      </w:r>
      <w:r>
        <w:br/>
      </w:r>
      <w:r>
        <w:br/>
        <w:t>Another doctor who looked after Victoria Discharged her from the hospital later on although she knew that the little girl was abused. PC Karen Jones also refused to inquire about Victoria’s aunt and believed that the wounds and injuries in little girl were self-inflicted and the house girl was living in was not inspected out of the fear of scabies ignoring the fact that Victoria's psychiatrist told them about the marks on Victoria’s body were induced by belt buckles. But still, the police officer believed that there was no proves that Victoria was being abused by her aunt.</w:t>
      </w:r>
    </w:p>
    <w:p w:rsidR="00F16E72" w:rsidRDefault="009F3440" w:rsidP="00F16E72">
      <w:pPr>
        <w:rPr>
          <w:rFonts w:ascii="Arial" w:hAnsi="Arial" w:cs="Arial"/>
        </w:rPr>
      </w:pPr>
      <w:r>
        <w:t xml:space="preserve">An awful report was written by Chief detective inspector Wheeler describing the organization of  Haringey involved in the case of the girl as </w:t>
      </w:r>
      <w:r>
        <w:rPr>
          <w:i/>
        </w:rPr>
        <w:t>"bereft"</w:t>
      </w:r>
      <w:r>
        <w:t xml:space="preserve"> and</w:t>
      </w:r>
      <w:r>
        <w:rPr>
          <w:i/>
        </w:rPr>
        <w:t xml:space="preserve"> "totally unacceptable". </w:t>
      </w:r>
      <w:r>
        <w:t xml:space="preserve">The poor African girl was starved and tortured by her aunt and her aunt’s boyfriend and even though she had visited the hospital with her injuries and visible sufferings no serious help was intended to provide in Victoria’s favor. The condition of the poor 8-year-old girl was completely neglected despite being known to four London boroughs, two hospitals, two police child protection teams, and the National Society for the Prevention of Cruelty to Children. A report was published in Jan 2003 concluding that the child system protection has failed by the top-of-the-line staff and most importantly the managers who failed to take responsibility for their organizations. </w:t>
      </w:r>
      <w:r>
        <w:br/>
      </w:r>
    </w:p>
    <w:p w:rsidR="009F3440" w:rsidRDefault="009F3440" w:rsidP="009F3440">
      <w:pPr>
        <w:rPr>
          <w:b/>
        </w:rPr>
      </w:pPr>
    </w:p>
    <w:p w:rsidR="009F3440" w:rsidRDefault="009F3440" w:rsidP="009F3440">
      <w:pPr>
        <w:rPr>
          <w:b/>
        </w:rPr>
      </w:pPr>
    </w:p>
    <w:p w:rsidR="009F3440" w:rsidRDefault="009F3440" w:rsidP="009F3440">
      <w:pPr>
        <w:rPr>
          <w:b/>
        </w:rPr>
      </w:pPr>
    </w:p>
    <w:p w:rsidR="009F3440" w:rsidRDefault="009F3440" w:rsidP="009F3440">
      <w:pPr>
        <w:rPr>
          <w:b/>
        </w:rPr>
      </w:pPr>
    </w:p>
    <w:p w:rsidR="009F3440" w:rsidRDefault="009F3440" w:rsidP="009F3440">
      <w:pPr>
        <w:rPr>
          <w:b/>
        </w:rPr>
      </w:pPr>
    </w:p>
    <w:p w:rsidR="009F3440" w:rsidRDefault="009F3440" w:rsidP="009F3440">
      <w:pPr>
        <w:rPr>
          <w:b/>
        </w:rPr>
      </w:pPr>
    </w:p>
    <w:p w:rsidR="009F3440" w:rsidRDefault="009F3440" w:rsidP="009F3440">
      <w:pPr>
        <w:rPr>
          <w:b/>
        </w:rPr>
      </w:pPr>
    </w:p>
    <w:p w:rsidR="009F3440" w:rsidRDefault="009F3440" w:rsidP="009F3440">
      <w:pPr>
        <w:rPr>
          <w:b/>
        </w:rPr>
      </w:pPr>
    </w:p>
    <w:p w:rsidR="009F3440" w:rsidRPr="005B68F2" w:rsidRDefault="009F3440" w:rsidP="009F3440">
      <w:pPr>
        <w:rPr>
          <w:rFonts w:ascii="Arial" w:hAnsi="Arial" w:cs="Arial"/>
          <w:color w:val="3F3F42"/>
        </w:rPr>
      </w:pPr>
      <w:r w:rsidRPr="005B68F2">
        <w:rPr>
          <w:rFonts w:ascii="Arial" w:hAnsi="Arial" w:cs="Arial"/>
          <w:b/>
        </w:rPr>
        <w:lastRenderedPageBreak/>
        <w:t>REFERENCES:</w:t>
      </w:r>
      <w:r w:rsidRPr="005B68F2">
        <w:rPr>
          <w:rFonts w:ascii="Arial" w:hAnsi="Arial" w:cs="Arial"/>
          <w:b/>
        </w:rPr>
        <w:br/>
      </w:r>
      <w:r w:rsidRPr="005B68F2">
        <w:rPr>
          <w:rFonts w:ascii="Arial" w:hAnsi="Arial" w:cs="Arial"/>
          <w:highlight w:val="white"/>
        </w:rPr>
        <w:t xml:space="preserve">Working Together to Safeguard Children 2018, retrieved from: </w:t>
      </w:r>
      <w:r w:rsidRPr="005B68F2">
        <w:rPr>
          <w:rFonts w:ascii="Arial" w:hAnsi="Arial" w:cs="Arial"/>
        </w:rPr>
        <w:br/>
      </w:r>
      <w:hyperlink r:id="rId7">
        <w:r w:rsidRPr="005B68F2">
          <w:rPr>
            <w:rFonts w:ascii="Arial" w:hAnsi="Arial" w:cs="Arial"/>
            <w:color w:val="1155CC"/>
            <w:u w:val="single"/>
          </w:rPr>
          <w:t>/uploads/attachment_data/file/942454/Working_together_to_safeguard_children_inter_agency_guidance.pdf</w:t>
        </w:r>
      </w:hyperlink>
      <w:r w:rsidR="003216ED">
        <w:rPr>
          <w:rFonts w:ascii="Arial" w:hAnsi="Arial" w:cs="Arial"/>
        </w:rPr>
        <w:t xml:space="preserve"> (Accessed on 12th July</w:t>
      </w:r>
      <w:r w:rsidRPr="005B68F2">
        <w:rPr>
          <w:rFonts w:ascii="Arial" w:hAnsi="Arial" w:cs="Arial"/>
        </w:rPr>
        <w:t xml:space="preserve"> 2021)</w:t>
      </w:r>
      <w:r w:rsidRPr="005B68F2">
        <w:rPr>
          <w:rFonts w:ascii="Arial" w:hAnsi="Arial" w:cs="Arial"/>
        </w:rPr>
        <w:br/>
      </w:r>
      <w:r w:rsidRPr="005B68F2">
        <w:rPr>
          <w:rFonts w:ascii="Arial" w:hAnsi="Arial" w:cs="Arial"/>
        </w:rPr>
        <w:br/>
        <w:t xml:space="preserve">Nathan Loyens. (2014). "Multi-agency working and the influence of the EYFS". Retrieved from : </w:t>
      </w:r>
      <w:r w:rsidRPr="005B68F2">
        <w:rPr>
          <w:rFonts w:ascii="Arial" w:hAnsi="Arial" w:cs="Arial"/>
        </w:rPr>
        <w:br/>
      </w:r>
      <w:hyperlink r:id="rId8">
        <w:r w:rsidRPr="005B68F2">
          <w:rPr>
            <w:rFonts w:ascii="Arial" w:hAnsi="Arial" w:cs="Arial"/>
            <w:color w:val="1155CC"/>
            <w:u w:val="single"/>
          </w:rPr>
          <w:t>https://www.slideshare.net/NathanLoynes/leeds-trinity-multiagency-working-and-the-influence-of-the-eyfs</w:t>
        </w:r>
      </w:hyperlink>
      <w:r w:rsidR="003216ED">
        <w:rPr>
          <w:rFonts w:ascii="Arial" w:hAnsi="Arial" w:cs="Arial"/>
        </w:rPr>
        <w:t xml:space="preserve"> ( Accessed on 14th July</w:t>
      </w:r>
      <w:r w:rsidRPr="005B68F2">
        <w:rPr>
          <w:rFonts w:ascii="Arial" w:hAnsi="Arial" w:cs="Arial"/>
        </w:rPr>
        <w:t xml:space="preserve"> 2021)</w:t>
      </w:r>
      <w:r w:rsidRPr="005B68F2">
        <w:rPr>
          <w:rFonts w:ascii="Arial" w:hAnsi="Arial" w:cs="Arial"/>
        </w:rPr>
        <w:br/>
      </w:r>
      <w:r w:rsidRPr="005B68F2">
        <w:rPr>
          <w:rFonts w:ascii="Arial" w:hAnsi="Arial" w:cs="Arial"/>
        </w:rPr>
        <w:br/>
        <w:t xml:space="preserve">Protecting children from criminal exploitation, human trafficking and modern slavery: an addendum. Retrieved from: </w:t>
      </w:r>
      <w:r w:rsidRPr="005B68F2">
        <w:rPr>
          <w:rFonts w:ascii="Arial" w:hAnsi="Arial" w:cs="Arial"/>
        </w:rPr>
        <w:br/>
      </w:r>
      <w:hyperlink r:id="rId9">
        <w:r w:rsidRPr="005B68F2">
          <w:rPr>
            <w:rFonts w:ascii="Arial" w:hAnsi="Arial" w:cs="Arial"/>
            <w:color w:val="1155CC"/>
            <w:u w:val="single"/>
          </w:rPr>
          <w:t>https://assets.publishing.service.gov.uk/government/uploads/system/uploads/attachment_data/file/756031/Protecting_children_from_criminal_exploitation_human_trafficking_modern_slavery_addendum_141118.pdf</w:t>
        </w:r>
      </w:hyperlink>
      <w:r w:rsidR="003216ED">
        <w:rPr>
          <w:rFonts w:ascii="Arial" w:hAnsi="Arial" w:cs="Arial"/>
        </w:rPr>
        <w:t xml:space="preserve"> ( Accessed on 15th July</w:t>
      </w:r>
      <w:r w:rsidRPr="005B68F2">
        <w:rPr>
          <w:rFonts w:ascii="Arial" w:hAnsi="Arial" w:cs="Arial"/>
        </w:rPr>
        <w:t xml:space="preserve"> 2021) </w:t>
      </w:r>
      <w:r w:rsidRPr="005B68F2">
        <w:rPr>
          <w:rFonts w:ascii="Arial" w:hAnsi="Arial" w:cs="Arial"/>
        </w:rPr>
        <w:br/>
      </w:r>
      <w:r w:rsidRPr="005B68F2">
        <w:rPr>
          <w:rFonts w:ascii="Arial" w:hAnsi="Arial" w:cs="Arial"/>
        </w:rPr>
        <w:br/>
        <w:t xml:space="preserve">Anne Edwards. (2004). "New multi-agency working: collaborating to prevent the social exclusion of children and families". </w:t>
      </w:r>
      <w:r w:rsidRPr="005B68F2">
        <w:rPr>
          <w:rFonts w:ascii="Arial" w:hAnsi="Arial" w:cs="Arial"/>
          <w:i/>
        </w:rPr>
        <w:t xml:space="preserve">International journalof integrated care </w:t>
      </w:r>
      <w:r w:rsidRPr="005B68F2">
        <w:rPr>
          <w:rFonts w:ascii="Arial" w:hAnsi="Arial" w:cs="Arial"/>
        </w:rPr>
        <w:t>12(5): 3-9</w:t>
      </w:r>
      <w:r w:rsidRPr="005B68F2">
        <w:rPr>
          <w:rFonts w:ascii="Arial" w:hAnsi="Arial" w:cs="Arial"/>
          <w:color w:val="111111"/>
        </w:rPr>
        <w:t>.</w:t>
      </w:r>
      <w:r w:rsidRPr="005B68F2">
        <w:rPr>
          <w:rFonts w:ascii="Arial" w:hAnsi="Arial" w:cs="Arial"/>
          <w:color w:val="111111"/>
        </w:rPr>
        <w:br/>
      </w:r>
      <w:r w:rsidRPr="005B68F2">
        <w:rPr>
          <w:rFonts w:ascii="Arial" w:hAnsi="Arial" w:cs="Arial"/>
          <w:color w:val="111111"/>
        </w:rPr>
        <w:br/>
        <w:t xml:space="preserve">Julie Shaw, Sarah Greenhow, (December 2020), “Advantages and challenges of multi-agency working”. In the book: </w:t>
      </w:r>
      <w:r w:rsidRPr="005B68F2">
        <w:rPr>
          <w:rFonts w:ascii="Arial" w:hAnsi="Arial" w:cs="Arial"/>
          <w:i/>
        </w:rPr>
        <w:t xml:space="preserve">The Criminalisation and Exploitation of Children in Care </w:t>
      </w:r>
      <w:r w:rsidRPr="005B68F2">
        <w:rPr>
          <w:rFonts w:ascii="Arial" w:hAnsi="Arial" w:cs="Arial"/>
        </w:rPr>
        <w:t>(pp.27-43) -</w:t>
      </w:r>
      <w:r w:rsidRPr="005B68F2">
        <w:rPr>
          <w:rFonts w:ascii="Arial" w:hAnsi="Arial" w:cs="Arial"/>
          <w:color w:val="111111"/>
        </w:rPr>
        <w:t>.</w:t>
      </w:r>
      <w:r w:rsidRPr="005B68F2">
        <w:rPr>
          <w:rFonts w:ascii="Arial" w:hAnsi="Arial" w:cs="Arial"/>
          <w:color w:val="111111"/>
        </w:rPr>
        <w:br/>
      </w:r>
      <w:r w:rsidRPr="005B68F2">
        <w:rPr>
          <w:rFonts w:ascii="Arial" w:hAnsi="Arial" w:cs="Arial"/>
          <w:color w:val="111111"/>
        </w:rPr>
        <w:br/>
        <w:t xml:space="preserve">Multi Agency working between children's social care and schools during COVID-19: case study experiences from English local authorities and international reflections. Retrieved from: </w:t>
      </w:r>
      <w:r w:rsidRPr="005B68F2">
        <w:rPr>
          <w:rFonts w:ascii="Arial" w:hAnsi="Arial" w:cs="Arial"/>
          <w:color w:val="111111"/>
        </w:rPr>
        <w:br/>
      </w:r>
      <w:hyperlink r:id="rId10">
        <w:r w:rsidRPr="005B68F2">
          <w:rPr>
            <w:rFonts w:ascii="Arial" w:hAnsi="Arial" w:cs="Arial"/>
            <w:color w:val="1155CC"/>
            <w:u w:val="single"/>
          </w:rPr>
          <w:t>https://www.emerald.com/insight/content/doi/10.1108/JICA-01-2021-0004/full/html</w:t>
        </w:r>
      </w:hyperlink>
      <w:r w:rsidRPr="005B68F2">
        <w:rPr>
          <w:rFonts w:ascii="Arial" w:hAnsi="Arial" w:cs="Arial"/>
          <w:color w:val="111111"/>
        </w:rPr>
        <w:t xml:space="preserve"> (Accessed on  18th June 2021)</w:t>
      </w:r>
      <w:r w:rsidRPr="005B68F2">
        <w:rPr>
          <w:rFonts w:ascii="Arial" w:hAnsi="Arial" w:cs="Arial"/>
          <w:color w:val="111111"/>
        </w:rPr>
        <w:br/>
      </w:r>
      <w:r w:rsidRPr="005B68F2">
        <w:rPr>
          <w:rFonts w:ascii="Arial" w:hAnsi="Arial" w:cs="Arial"/>
          <w:color w:val="111111"/>
        </w:rPr>
        <w:br/>
        <w:t xml:space="preserve">Multi-agency safeguarding arrangements: overcoming the challenges of Covid-19 measures. Retrieved from: </w:t>
      </w:r>
      <w:hyperlink r:id="rId11">
        <w:r w:rsidRPr="005B68F2">
          <w:rPr>
            <w:rFonts w:ascii="Arial" w:hAnsi="Arial" w:cs="Arial"/>
            <w:color w:val="1155CC"/>
            <w:u w:val="single"/>
          </w:rPr>
          <w:t>https://www.emerald.com/insight/content/doi/10.1108/JCS-07-2020-0035/full/html</w:t>
        </w:r>
      </w:hyperlink>
      <w:r w:rsidR="003216ED">
        <w:rPr>
          <w:rFonts w:ascii="Arial" w:hAnsi="Arial" w:cs="Arial"/>
          <w:color w:val="111111"/>
        </w:rPr>
        <w:t xml:space="preserve"> (Accessed on 8th July</w:t>
      </w:r>
      <w:r w:rsidRPr="005B68F2">
        <w:rPr>
          <w:rFonts w:ascii="Arial" w:hAnsi="Arial" w:cs="Arial"/>
          <w:color w:val="111111"/>
        </w:rPr>
        <w:t>2021)</w:t>
      </w:r>
      <w:r w:rsidRPr="005B68F2">
        <w:rPr>
          <w:rFonts w:ascii="Arial" w:hAnsi="Arial" w:cs="Arial"/>
          <w:color w:val="111111"/>
        </w:rPr>
        <w:br/>
      </w:r>
      <w:r w:rsidRPr="005B68F2">
        <w:rPr>
          <w:rFonts w:ascii="Arial" w:hAnsi="Arial" w:cs="Arial"/>
          <w:color w:val="111111"/>
        </w:rPr>
        <w:br/>
      </w:r>
      <w:r w:rsidRPr="005B68F2">
        <w:rPr>
          <w:rFonts w:ascii="Arial" w:hAnsi="Arial" w:cs="Arial"/>
          <w:color w:val="3F3F42"/>
        </w:rPr>
        <w:t xml:space="preserve">Baby Peter 'was failed by all agencies', Retrieved from: </w:t>
      </w:r>
      <w:r w:rsidRPr="005B68F2">
        <w:rPr>
          <w:rFonts w:ascii="Arial" w:hAnsi="Arial" w:cs="Arial"/>
          <w:color w:val="3F3F42"/>
        </w:rPr>
        <w:br/>
      </w:r>
      <w:hyperlink r:id="rId12">
        <w:r w:rsidRPr="005B68F2">
          <w:rPr>
            <w:rFonts w:ascii="Arial" w:hAnsi="Arial" w:cs="Arial"/>
            <w:color w:val="1155CC"/>
            <w:u w:val="single"/>
          </w:rPr>
          <w:t>https://www.bbc.com/news/education-11621391</w:t>
        </w:r>
      </w:hyperlink>
      <w:r w:rsidR="003216ED">
        <w:rPr>
          <w:rFonts w:ascii="Arial" w:hAnsi="Arial" w:cs="Arial"/>
          <w:color w:val="3F3F42"/>
        </w:rPr>
        <w:t xml:space="preserve"> (Accessed on 20th July</w:t>
      </w:r>
      <w:r w:rsidRPr="005B68F2">
        <w:rPr>
          <w:rFonts w:ascii="Arial" w:hAnsi="Arial" w:cs="Arial"/>
          <w:color w:val="3F3F42"/>
        </w:rPr>
        <w:t xml:space="preserve"> 2021) </w:t>
      </w:r>
      <w:r w:rsidRPr="005B68F2">
        <w:rPr>
          <w:rFonts w:ascii="Arial" w:hAnsi="Arial" w:cs="Arial"/>
          <w:color w:val="3F3F42"/>
        </w:rPr>
        <w:br/>
      </w:r>
      <w:r w:rsidRPr="005B68F2">
        <w:rPr>
          <w:rFonts w:ascii="Arial" w:hAnsi="Arial" w:cs="Arial"/>
          <w:color w:val="3F3F42"/>
        </w:rPr>
        <w:br/>
        <w:t>The Case of Victoria Climbie - Child Death. Retrieved from:</w:t>
      </w:r>
      <w:r w:rsidRPr="005B68F2">
        <w:rPr>
          <w:rFonts w:ascii="Arial" w:hAnsi="Arial" w:cs="Arial"/>
          <w:color w:val="3F3F42"/>
        </w:rPr>
        <w:br/>
      </w:r>
      <w:hyperlink r:id="rId13">
        <w:r w:rsidRPr="005B68F2">
          <w:rPr>
            <w:rFonts w:ascii="Arial" w:hAnsi="Arial" w:cs="Arial"/>
            <w:color w:val="1155CC"/>
            <w:u w:val="single"/>
          </w:rPr>
          <w:t>https://www.assignmentace.co.uk/samples/ACE-Critical-Analysis-of-Serious-Case-Reviews.pdf</w:t>
        </w:r>
      </w:hyperlink>
      <w:r w:rsidRPr="005B68F2">
        <w:rPr>
          <w:rFonts w:ascii="Arial" w:hAnsi="Arial" w:cs="Arial"/>
          <w:color w:val="3F3F42"/>
        </w:rPr>
        <w:t xml:space="preserve"> (Accessed on 18th June 2021)</w:t>
      </w:r>
      <w:r w:rsidRPr="005B68F2">
        <w:rPr>
          <w:rFonts w:ascii="Arial" w:hAnsi="Arial" w:cs="Arial"/>
          <w:color w:val="3F3F42"/>
        </w:rPr>
        <w:br/>
      </w:r>
      <w:r w:rsidRPr="005B68F2">
        <w:rPr>
          <w:rFonts w:ascii="Arial" w:hAnsi="Arial" w:cs="Arial"/>
          <w:color w:val="3F3F42"/>
        </w:rPr>
        <w:br/>
        <w:t>COVID-19 and its implications for protecting children online. Retrieved from:</w:t>
      </w:r>
      <w:r w:rsidRPr="005B68F2">
        <w:rPr>
          <w:rFonts w:ascii="Arial" w:hAnsi="Arial" w:cs="Arial"/>
          <w:color w:val="3F3F42"/>
        </w:rPr>
        <w:br/>
      </w:r>
      <w:hyperlink r:id="rId14">
        <w:r w:rsidRPr="005B68F2">
          <w:rPr>
            <w:rFonts w:ascii="Arial" w:hAnsi="Arial" w:cs="Arial"/>
            <w:color w:val="1155CC"/>
            <w:u w:val="single"/>
          </w:rPr>
          <w:t>https://www.itu.int/en/ITU-D/Cybersecurity/Documents/COP/COVID-19%20and%20Its%20Implications%20for%20Protecting%20Children%20Online.pdf</w:t>
        </w:r>
      </w:hyperlink>
      <w:r w:rsidR="003216ED">
        <w:rPr>
          <w:rFonts w:ascii="Arial" w:hAnsi="Arial" w:cs="Arial"/>
          <w:color w:val="3F3F42"/>
        </w:rPr>
        <w:t xml:space="preserve"> (Accessed on 15th July</w:t>
      </w:r>
      <w:r w:rsidRPr="005B68F2">
        <w:rPr>
          <w:rFonts w:ascii="Arial" w:hAnsi="Arial" w:cs="Arial"/>
          <w:color w:val="3F3F42"/>
        </w:rPr>
        <w:t xml:space="preserve"> 2021)</w:t>
      </w:r>
    </w:p>
    <w:p w:rsidR="009F3440" w:rsidRPr="005B68F2" w:rsidRDefault="009F3440" w:rsidP="009F3440">
      <w:pPr>
        <w:rPr>
          <w:rFonts w:ascii="Arial" w:hAnsi="Arial" w:cs="Arial"/>
          <w:color w:val="111111"/>
        </w:rPr>
      </w:pPr>
    </w:p>
    <w:p w:rsidR="009F3440" w:rsidRPr="005B68F2" w:rsidRDefault="009F3440" w:rsidP="009F3440">
      <w:pPr>
        <w:rPr>
          <w:rFonts w:ascii="Arial" w:hAnsi="Arial" w:cs="Arial"/>
          <w:color w:val="111111"/>
        </w:rPr>
      </w:pPr>
    </w:p>
    <w:p w:rsidR="009F3440" w:rsidRPr="005B68F2" w:rsidRDefault="009F3440" w:rsidP="00F16E72">
      <w:pPr>
        <w:rPr>
          <w:rFonts w:ascii="Arial" w:hAnsi="Arial" w:cs="Arial"/>
        </w:rPr>
      </w:pPr>
    </w:p>
    <w:sectPr w:rsidR="009F3440" w:rsidRPr="005B68F2" w:rsidSect="009F3440">
      <w:headerReference w:type="default" r:id="rId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3786" w:rsidRDefault="00283786" w:rsidP="009F3440">
      <w:pPr>
        <w:spacing w:after="0" w:line="240" w:lineRule="auto"/>
      </w:pPr>
      <w:r>
        <w:separator/>
      </w:r>
    </w:p>
  </w:endnote>
  <w:endnote w:type="continuationSeparator" w:id="1">
    <w:p w:rsidR="00283786" w:rsidRDefault="00283786" w:rsidP="009F34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3786" w:rsidRDefault="00283786" w:rsidP="009F3440">
      <w:pPr>
        <w:spacing w:after="0" w:line="240" w:lineRule="auto"/>
      </w:pPr>
      <w:r>
        <w:separator/>
      </w:r>
    </w:p>
  </w:footnote>
  <w:footnote w:type="continuationSeparator" w:id="1">
    <w:p w:rsidR="00283786" w:rsidRDefault="00283786" w:rsidP="009F34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9203898"/>
      <w:docPartObj>
        <w:docPartGallery w:val="Page Numbers (Top of Page)"/>
        <w:docPartUnique/>
      </w:docPartObj>
    </w:sdtPr>
    <w:sdtContent>
      <w:p w:rsidR="009F3440" w:rsidRDefault="00406B38">
        <w:pPr>
          <w:pStyle w:val="Header"/>
          <w:jc w:val="center"/>
        </w:pPr>
        <w:fldSimple w:instr=" PAGE   \* MERGEFORMAT ">
          <w:r w:rsidR="003216ED">
            <w:rPr>
              <w:noProof/>
            </w:rPr>
            <w:t>8</w:t>
          </w:r>
        </w:fldSimple>
      </w:p>
    </w:sdtContent>
  </w:sdt>
  <w:p w:rsidR="009F3440" w:rsidRDefault="009F344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D693E"/>
    <w:rsid w:val="002236BE"/>
    <w:rsid w:val="002630D6"/>
    <w:rsid w:val="00283786"/>
    <w:rsid w:val="003216ED"/>
    <w:rsid w:val="00406B38"/>
    <w:rsid w:val="005B68F2"/>
    <w:rsid w:val="009F3440"/>
    <w:rsid w:val="00BA0DFB"/>
    <w:rsid w:val="00CD693E"/>
    <w:rsid w:val="00F16E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6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69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93E"/>
    <w:rPr>
      <w:rFonts w:ascii="Tahoma" w:hAnsi="Tahoma" w:cs="Tahoma"/>
      <w:sz w:val="16"/>
      <w:szCs w:val="16"/>
    </w:rPr>
  </w:style>
  <w:style w:type="paragraph" w:styleId="Header">
    <w:name w:val="header"/>
    <w:basedOn w:val="Normal"/>
    <w:link w:val="HeaderChar"/>
    <w:uiPriority w:val="99"/>
    <w:unhideWhenUsed/>
    <w:rsid w:val="009F34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440"/>
  </w:style>
  <w:style w:type="paragraph" w:styleId="Footer">
    <w:name w:val="footer"/>
    <w:basedOn w:val="Normal"/>
    <w:link w:val="FooterChar"/>
    <w:uiPriority w:val="99"/>
    <w:semiHidden/>
    <w:unhideWhenUsed/>
    <w:rsid w:val="009F344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F344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lideshare.net/NathanLoynes/leeds-trinity-multiagency-working-and-the-influence-of-the-eyfs" TargetMode="External"/><Relationship Id="rId13" Type="http://schemas.openxmlformats.org/officeDocument/2006/relationships/hyperlink" Target="https://www.assignmentace.co.uk/samples/ACE-Critical-Analysis-of-Serious-Case-Review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42454/Working_together_to_safeguard_children_inter_agency_guidance.pdf" TargetMode="External"/><Relationship Id="rId12" Type="http://schemas.openxmlformats.org/officeDocument/2006/relationships/hyperlink" Target="https://www.bbc.com/news/education-11621391"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JCS-07-2020-0035/full/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merald.com/insight/content/doi/10.1108/JICA-01-2021-0004/full/html"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14" Type="http://schemas.openxmlformats.org/officeDocument/2006/relationships/hyperlink" Target="https://www.itu.int/en/ITU-D/Cybersecurity/Documents/COP/COVID-19%20and%20Its%20Implications%20for%20Protecting%20Children%20Onlin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E21B3AA03554C5C857B6822191A7C5B"/>
        <w:category>
          <w:name w:val="General"/>
          <w:gallery w:val="placeholder"/>
        </w:category>
        <w:types>
          <w:type w:val="bbPlcHdr"/>
        </w:types>
        <w:behaviors>
          <w:behavior w:val="content"/>
        </w:behaviors>
        <w:guid w:val="{B5E08A7D-14F6-4454-9A9D-A9954756F43F}"/>
      </w:docPartPr>
      <w:docPartBody>
        <w:p w:rsidR="0041403C" w:rsidRDefault="00D6477F" w:rsidP="00D6477F">
          <w:pPr>
            <w:pStyle w:val="8E21B3AA03554C5C857B6822191A7C5B"/>
          </w:pPr>
          <w:r>
            <w:rPr>
              <w:sz w:val="96"/>
              <w:szCs w:val="9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6477F"/>
    <w:rsid w:val="0041403C"/>
    <w:rsid w:val="008E281D"/>
    <w:rsid w:val="00D647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0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2F251B0E944BAEBDDFE8F2EA95F272">
    <w:name w:val="2D2F251B0E944BAEBDDFE8F2EA95F272"/>
    <w:rsid w:val="00D6477F"/>
  </w:style>
  <w:style w:type="paragraph" w:customStyle="1" w:styleId="8E21B3AA03554C5C857B6822191A7C5B">
    <w:name w:val="8E21B3AA03554C5C857B6822191A7C5B"/>
    <w:rsid w:val="00D6477F"/>
  </w:style>
  <w:style w:type="paragraph" w:customStyle="1" w:styleId="F9AD006159C24AD999AA074258658586">
    <w:name w:val="F9AD006159C24AD999AA074258658586"/>
    <w:rsid w:val="00D6477F"/>
  </w:style>
  <w:style w:type="paragraph" w:customStyle="1" w:styleId="FF6B0D074B7F4F8EAB008CECD1E40D79">
    <w:name w:val="FF6B0D074B7F4F8EAB008CECD1E40D79"/>
    <w:rsid w:val="00D6477F"/>
  </w:style>
  <w:style w:type="paragraph" w:customStyle="1" w:styleId="3FE64A1078A949C08593D5C315B76E1F">
    <w:name w:val="3FE64A1078A949C08593D5C315B76E1F"/>
    <w:rsid w:val="00D6477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2021-08-06T00:00:00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2865</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Children, young people and families</vt:lpstr>
    </vt:vector>
  </TitlesOfParts>
  <Company>Children, young people and families</Company>
  <LinksUpToDate>false</LinksUpToDate>
  <CharactersWithSpaces>19164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subject>Name: Petea-kaye Davis</dc:subject>
  <dc:creator>Petea-kaye Davis</dc:creator>
  <cp:lastModifiedBy>Windows User</cp:lastModifiedBy>
  <cp:revision>2</cp:revision>
  <dcterms:created xsi:type="dcterms:W3CDTF">2021-08-05T23:50:00Z</dcterms:created>
  <dcterms:modified xsi:type="dcterms:W3CDTF">2021-08-06T06:28:00Z</dcterms:modified>
</cp:coreProperties>
</file>