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6CEE6" w14:textId="77777777" w:rsidR="004F3C6B" w:rsidRDefault="004F3C6B">
      <w:pPr>
        <w:spacing w:line="480" w:lineRule="auto"/>
        <w:jc w:val="center"/>
        <w:rPr>
          <w:rFonts w:ascii="Arial" w:hAnsi="Arial"/>
          <w:sz w:val="24"/>
          <w:szCs w:val="24"/>
        </w:rPr>
      </w:pPr>
    </w:p>
    <w:p w14:paraId="350C40CC" w14:textId="77777777" w:rsidR="004F3C6B" w:rsidRDefault="004F3C6B">
      <w:pPr>
        <w:spacing w:line="480" w:lineRule="auto"/>
        <w:jc w:val="center"/>
        <w:rPr>
          <w:rFonts w:ascii="Arial" w:hAnsi="Arial"/>
          <w:sz w:val="24"/>
          <w:szCs w:val="24"/>
        </w:rPr>
      </w:pPr>
    </w:p>
    <w:p w14:paraId="321E93AC" w14:textId="77777777" w:rsidR="004F3C6B" w:rsidRDefault="004F3C6B">
      <w:pPr>
        <w:spacing w:line="480" w:lineRule="auto"/>
        <w:jc w:val="center"/>
        <w:rPr>
          <w:rFonts w:ascii="Arial" w:hAnsi="Arial"/>
          <w:sz w:val="24"/>
          <w:szCs w:val="24"/>
        </w:rPr>
      </w:pPr>
    </w:p>
    <w:p w14:paraId="5A1404D9" w14:textId="77777777" w:rsidR="004F3C6B" w:rsidRDefault="004F3C6B">
      <w:pPr>
        <w:spacing w:line="480" w:lineRule="auto"/>
        <w:jc w:val="center"/>
        <w:rPr>
          <w:rFonts w:ascii="Arial" w:hAnsi="Arial"/>
          <w:sz w:val="24"/>
          <w:szCs w:val="24"/>
        </w:rPr>
      </w:pPr>
    </w:p>
    <w:p w14:paraId="4D0AF117" w14:textId="77777777" w:rsidR="004F3C6B" w:rsidRDefault="004F3C6B">
      <w:pPr>
        <w:spacing w:line="480" w:lineRule="auto"/>
        <w:jc w:val="center"/>
        <w:rPr>
          <w:rFonts w:ascii="Arial" w:hAnsi="Arial"/>
          <w:sz w:val="24"/>
          <w:szCs w:val="24"/>
        </w:rPr>
      </w:pPr>
    </w:p>
    <w:p w14:paraId="37CFEDA7" w14:textId="77777777" w:rsidR="004F3C6B" w:rsidRDefault="004F3C6B">
      <w:pPr>
        <w:spacing w:line="480" w:lineRule="auto"/>
        <w:jc w:val="center"/>
        <w:rPr>
          <w:rFonts w:ascii="Arial" w:hAnsi="Arial"/>
          <w:sz w:val="24"/>
          <w:szCs w:val="24"/>
        </w:rPr>
      </w:pPr>
    </w:p>
    <w:p w14:paraId="3EDCE188" w14:textId="77777777" w:rsidR="004F3C6B" w:rsidRDefault="004F3C6B">
      <w:pPr>
        <w:spacing w:line="480" w:lineRule="auto"/>
        <w:jc w:val="center"/>
        <w:rPr>
          <w:rFonts w:ascii="Arial" w:hAnsi="Arial"/>
          <w:sz w:val="24"/>
          <w:szCs w:val="24"/>
        </w:rPr>
      </w:pPr>
    </w:p>
    <w:p w14:paraId="3AC4EB49" w14:textId="77777777" w:rsidR="004F3C6B" w:rsidRDefault="004F3C6B">
      <w:pPr>
        <w:spacing w:line="480" w:lineRule="auto"/>
        <w:jc w:val="center"/>
        <w:rPr>
          <w:rFonts w:ascii="Arial" w:hAnsi="Arial"/>
          <w:sz w:val="24"/>
          <w:szCs w:val="24"/>
        </w:rPr>
      </w:pPr>
    </w:p>
    <w:p w14:paraId="2F8310EF" w14:textId="77777777" w:rsidR="004F3C6B" w:rsidRDefault="00000000">
      <w:pPr>
        <w:spacing w:line="480" w:lineRule="auto"/>
        <w:jc w:val="center"/>
        <w:rPr>
          <w:rFonts w:ascii="Arial" w:hAnsi="Arial"/>
          <w:b/>
          <w:bCs/>
          <w:sz w:val="24"/>
          <w:szCs w:val="24"/>
        </w:rPr>
      </w:pPr>
      <w:r>
        <w:rPr>
          <w:rFonts w:ascii="Arial" w:hAnsi="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22D6A41" w14:textId="77777777" w:rsidR="004F3C6B" w:rsidRDefault="004F3C6B">
      <w:pPr>
        <w:rPr>
          <w:rFonts w:ascii="Arial" w:hAnsi="Arial"/>
          <w:b/>
          <w:bCs/>
          <w:sz w:val="24"/>
          <w:szCs w:val="24"/>
        </w:rPr>
      </w:pPr>
    </w:p>
    <w:p w14:paraId="335219C1" w14:textId="77777777" w:rsidR="004F3C6B" w:rsidRDefault="004F3C6B">
      <w:pPr>
        <w:rPr>
          <w:rFonts w:ascii="Arial" w:hAnsi="Arial"/>
          <w:b/>
          <w:bCs/>
          <w:sz w:val="24"/>
          <w:szCs w:val="24"/>
        </w:rPr>
      </w:pPr>
    </w:p>
    <w:p w14:paraId="6FB2C84B" w14:textId="77777777" w:rsidR="004F3C6B" w:rsidRDefault="004F3C6B">
      <w:pPr>
        <w:rPr>
          <w:rFonts w:ascii="Arial" w:hAnsi="Arial"/>
          <w:b/>
          <w:bCs/>
          <w:sz w:val="24"/>
          <w:szCs w:val="24"/>
        </w:rPr>
      </w:pPr>
    </w:p>
    <w:p w14:paraId="38BAD484" w14:textId="77777777" w:rsidR="004F3C6B" w:rsidRDefault="004F3C6B">
      <w:pPr>
        <w:rPr>
          <w:rFonts w:ascii="Arial" w:hAnsi="Arial"/>
          <w:b/>
          <w:bCs/>
          <w:sz w:val="24"/>
          <w:szCs w:val="24"/>
        </w:rPr>
      </w:pPr>
    </w:p>
    <w:p w14:paraId="72779BC0" w14:textId="77777777" w:rsidR="004F3C6B" w:rsidRDefault="004F3C6B">
      <w:pPr>
        <w:rPr>
          <w:rFonts w:ascii="Arial" w:hAnsi="Arial"/>
          <w:b/>
          <w:bCs/>
          <w:sz w:val="24"/>
          <w:szCs w:val="24"/>
        </w:rPr>
      </w:pPr>
    </w:p>
    <w:p w14:paraId="719EFFBF" w14:textId="77777777" w:rsidR="004F3C6B" w:rsidRDefault="004F3C6B">
      <w:pPr>
        <w:rPr>
          <w:rFonts w:ascii="Arial" w:hAnsi="Arial"/>
          <w:b/>
          <w:bCs/>
          <w:sz w:val="24"/>
          <w:szCs w:val="24"/>
        </w:rPr>
      </w:pPr>
    </w:p>
    <w:p w14:paraId="7BC62AE9" w14:textId="77777777" w:rsidR="004F3C6B" w:rsidRDefault="004F3C6B">
      <w:pPr>
        <w:rPr>
          <w:rFonts w:ascii="Arial" w:hAnsi="Arial"/>
          <w:b/>
          <w:bCs/>
          <w:sz w:val="24"/>
          <w:szCs w:val="24"/>
        </w:rPr>
      </w:pPr>
    </w:p>
    <w:p w14:paraId="7C691577" w14:textId="77777777" w:rsidR="004F3C6B" w:rsidRDefault="004F3C6B">
      <w:pPr>
        <w:rPr>
          <w:rFonts w:ascii="Arial" w:hAnsi="Arial"/>
          <w:b/>
          <w:bCs/>
          <w:sz w:val="24"/>
          <w:szCs w:val="24"/>
        </w:rPr>
      </w:pPr>
    </w:p>
    <w:p w14:paraId="66697AED" w14:textId="77777777" w:rsidR="004F3C6B" w:rsidRDefault="004F3C6B">
      <w:pPr>
        <w:rPr>
          <w:rFonts w:ascii="Arial" w:hAnsi="Arial"/>
          <w:b/>
          <w:bCs/>
          <w:sz w:val="24"/>
          <w:szCs w:val="24"/>
        </w:rPr>
      </w:pPr>
    </w:p>
    <w:p w14:paraId="779DCA4F" w14:textId="77777777" w:rsidR="004F3C6B" w:rsidRDefault="004F3C6B">
      <w:pPr>
        <w:rPr>
          <w:rFonts w:ascii="Arial" w:hAnsi="Arial"/>
          <w:b/>
          <w:bCs/>
          <w:sz w:val="24"/>
          <w:szCs w:val="24"/>
        </w:rPr>
      </w:pPr>
    </w:p>
    <w:p w14:paraId="7B672E55" w14:textId="77777777" w:rsidR="004F3C6B" w:rsidRDefault="004F3C6B">
      <w:pPr>
        <w:rPr>
          <w:rFonts w:ascii="Arial" w:hAnsi="Arial"/>
          <w:b/>
          <w:bCs/>
          <w:sz w:val="24"/>
          <w:szCs w:val="24"/>
        </w:rPr>
      </w:pPr>
    </w:p>
    <w:p w14:paraId="406979FA" w14:textId="77777777" w:rsidR="004F3C6B" w:rsidRDefault="004F3C6B">
      <w:pPr>
        <w:rPr>
          <w:rFonts w:ascii="Arial" w:hAnsi="Arial"/>
          <w:b/>
          <w:bCs/>
          <w:sz w:val="24"/>
          <w:szCs w:val="24"/>
        </w:rPr>
      </w:pPr>
    </w:p>
    <w:p w14:paraId="2979327B" w14:textId="77777777" w:rsidR="004F3C6B" w:rsidRDefault="004F3C6B">
      <w:pPr>
        <w:rPr>
          <w:rFonts w:ascii="Arial" w:hAnsi="Arial"/>
          <w:b/>
          <w:bCs/>
          <w:sz w:val="24"/>
          <w:szCs w:val="24"/>
        </w:rPr>
      </w:pPr>
    </w:p>
    <w:p w14:paraId="2992572D" w14:textId="77777777" w:rsidR="004F3C6B" w:rsidRDefault="00000000">
      <w:pPr>
        <w:spacing w:line="480" w:lineRule="auto"/>
        <w:jc w:val="center"/>
        <w:rPr>
          <w:rFonts w:ascii="Arial" w:hAnsi="Arial"/>
          <w:b/>
          <w:bCs/>
          <w:sz w:val="24"/>
          <w:szCs w:val="24"/>
        </w:rPr>
      </w:pPr>
      <w:r>
        <w:rPr>
          <w:rFonts w:ascii="Arial" w:hAnsi="Arial"/>
          <w:b/>
          <w:bCs/>
          <w:sz w:val="24"/>
          <w:szCs w:val="24"/>
        </w:rPr>
        <w:lastRenderedPageBreak/>
        <w:t>Consider the expansion of asylums during the eighteenth and nineteenth centuries and discuss why so many people were committed during this period.</w:t>
      </w:r>
    </w:p>
    <w:p w14:paraId="6E271F8E" w14:textId="77777777" w:rsidR="004F3C6B" w:rsidRDefault="00000000">
      <w:pPr>
        <w:spacing w:line="480" w:lineRule="auto"/>
        <w:ind w:firstLine="720"/>
        <w:rPr>
          <w:rFonts w:ascii="Arial" w:hAnsi="Arial"/>
          <w:sz w:val="24"/>
          <w:szCs w:val="24"/>
        </w:rPr>
      </w:pPr>
      <w:r>
        <w:rPr>
          <w:rFonts w:ascii="Arial" w:hAnsi="Arial"/>
          <w:sz w:val="24"/>
          <w:szCs w:val="24"/>
        </w:rPr>
        <w:t xml:space="preserve">This essay will discuss the rapid expansion of asylums in the eighteenth and nineteenth centuries and why so many people were committed during this period. </w:t>
      </w:r>
    </w:p>
    <w:p w14:paraId="6DF26BFE" w14:textId="603305E4" w:rsidR="004F3C6B" w:rsidRDefault="00000000">
      <w:pPr>
        <w:spacing w:line="480" w:lineRule="auto"/>
        <w:ind w:firstLine="720"/>
        <w:rPr>
          <w:rFonts w:ascii="Arial" w:hAnsi="Arial"/>
          <w:sz w:val="24"/>
          <w:szCs w:val="24"/>
        </w:rPr>
      </w:pPr>
      <w:r>
        <w:rPr>
          <w:rFonts w:ascii="Arial" w:hAnsi="Arial"/>
          <w:sz w:val="24"/>
          <w:szCs w:val="24"/>
        </w:rPr>
        <w:t xml:space="preserve">The eighteenth and nineteenth centuries saw a transformation of how society viewed and treated mental illness. Across western culture </w:t>
      </w:r>
      <w:r w:rsidR="00253432">
        <w:rPr>
          <w:rFonts w:ascii="Arial" w:hAnsi="Arial"/>
          <w:sz w:val="24"/>
          <w:szCs w:val="24"/>
        </w:rPr>
        <w:t>individuals, that</w:t>
      </w:r>
      <w:r>
        <w:rPr>
          <w:rFonts w:ascii="Arial" w:hAnsi="Arial"/>
          <w:sz w:val="24"/>
          <w:szCs w:val="24"/>
        </w:rPr>
        <w:t xml:space="preserve"> would have once been cared for by </w:t>
      </w:r>
      <w:r w:rsidR="00131F76">
        <w:rPr>
          <w:rFonts w:ascii="Arial" w:hAnsi="Arial"/>
          <w:sz w:val="24"/>
          <w:szCs w:val="24"/>
        </w:rPr>
        <w:t xml:space="preserve">their </w:t>
      </w:r>
      <w:r>
        <w:rPr>
          <w:rFonts w:ascii="Arial" w:hAnsi="Arial"/>
          <w:sz w:val="24"/>
          <w:szCs w:val="24"/>
        </w:rPr>
        <w:t xml:space="preserve">family or the local parish were confined in </w:t>
      </w:r>
      <w:proofErr w:type="gramStart"/>
      <w:r>
        <w:rPr>
          <w:rFonts w:ascii="Arial" w:hAnsi="Arial"/>
          <w:sz w:val="24"/>
          <w:szCs w:val="24"/>
        </w:rPr>
        <w:t>purpose</w:t>
      </w:r>
      <w:r w:rsidR="00131F76">
        <w:rPr>
          <w:rFonts w:ascii="Arial" w:hAnsi="Arial"/>
          <w:sz w:val="24"/>
          <w:szCs w:val="24"/>
        </w:rPr>
        <w:t xml:space="preserve"> </w:t>
      </w:r>
      <w:r>
        <w:rPr>
          <w:rFonts w:ascii="Arial" w:hAnsi="Arial"/>
          <w:sz w:val="24"/>
          <w:szCs w:val="24"/>
        </w:rPr>
        <w:t>built</w:t>
      </w:r>
      <w:proofErr w:type="gramEnd"/>
      <w:r>
        <w:rPr>
          <w:rFonts w:ascii="Arial" w:hAnsi="Arial"/>
          <w:sz w:val="24"/>
          <w:szCs w:val="24"/>
        </w:rPr>
        <w:t xml:space="preserve"> asylums. The scale of the institutionalisation has prompted continuing debate among historians. Early analysis interpreted asylums as a place of enlightenment and scientific progress, highlighting the work of William Tuke and Philippe Pinel (Pinel, 1806; Tuke, 1813). Later scholars, however, disputed this narrative. Scull (1993) argued that asylums operated as a way of social control and created a hierarchal system of welfare.</w:t>
      </w:r>
    </w:p>
    <w:p w14:paraId="0825CE36" w14:textId="03328AB0" w:rsidR="004F3C6B" w:rsidRDefault="00000000">
      <w:pPr>
        <w:spacing w:line="480" w:lineRule="auto"/>
        <w:ind w:firstLine="720"/>
        <w:rPr>
          <w:rFonts w:ascii="Arial" w:hAnsi="Arial"/>
          <w:sz w:val="24"/>
          <w:szCs w:val="24"/>
        </w:rPr>
      </w:pPr>
      <w:r>
        <w:rPr>
          <w:rFonts w:ascii="Arial" w:hAnsi="Arial"/>
          <w:sz w:val="24"/>
          <w:szCs w:val="24"/>
        </w:rPr>
        <w:t xml:space="preserve">Before public asylums emerged, the burden of care for “madness” fell to the families, private madhouses, parishes and charitable hospitals. Hospitals such as Bethlem in London were infamous for </w:t>
      </w:r>
      <w:proofErr w:type="gramStart"/>
      <w:r w:rsidR="00253432">
        <w:rPr>
          <w:rFonts w:ascii="Arial" w:hAnsi="Arial"/>
          <w:sz w:val="24"/>
          <w:szCs w:val="24"/>
        </w:rPr>
        <w:t>neglect, yet</w:t>
      </w:r>
      <w:proofErr w:type="gramEnd"/>
      <w:r>
        <w:rPr>
          <w:rFonts w:ascii="Arial" w:hAnsi="Arial"/>
          <w:sz w:val="24"/>
          <w:szCs w:val="24"/>
        </w:rPr>
        <w:t xml:space="preserve"> also showed early efforts to manage insanity within a structured environment (Scull, 1993). The Enlightenment’s faith in rationality and progress encouraged a new approach to mental disorder, rousing the late eighteenth century movement for “moral treatment”</w:t>
      </w:r>
      <w:r w:rsidR="009A7186">
        <w:rPr>
          <w:rFonts w:ascii="Arial" w:hAnsi="Arial"/>
          <w:sz w:val="24"/>
          <w:szCs w:val="24"/>
        </w:rPr>
        <w:t>.</w:t>
      </w:r>
      <w:r>
        <w:rPr>
          <w:rFonts w:ascii="Arial" w:hAnsi="Arial"/>
          <w:sz w:val="24"/>
          <w:szCs w:val="24"/>
        </w:rPr>
        <w:t xml:space="preserve"> William Tuke founded York</w:t>
      </w:r>
      <w:r w:rsidR="00253432">
        <w:rPr>
          <w:rFonts w:ascii="Arial" w:hAnsi="Arial"/>
          <w:sz w:val="24"/>
          <w:szCs w:val="24"/>
        </w:rPr>
        <w:t xml:space="preserve"> Asylum</w:t>
      </w:r>
      <w:r>
        <w:rPr>
          <w:rFonts w:ascii="Arial" w:hAnsi="Arial"/>
          <w:sz w:val="24"/>
          <w:szCs w:val="24"/>
        </w:rPr>
        <w:t xml:space="preserve"> in 1976, embodied this philosophy, by encouraging routine, self-discipline and kindness rather than physical restraint (Digby, 1985). The Madhouse Act of 1774 and the County Asylums Act of 1808 were pieces of legislation that authorised local authorities to build public </w:t>
      </w:r>
      <w:r w:rsidR="00253432">
        <w:rPr>
          <w:rFonts w:ascii="Arial" w:hAnsi="Arial"/>
          <w:sz w:val="24"/>
          <w:szCs w:val="24"/>
        </w:rPr>
        <w:t>asylums and</w:t>
      </w:r>
      <w:r>
        <w:rPr>
          <w:rFonts w:ascii="Arial" w:hAnsi="Arial"/>
          <w:sz w:val="24"/>
          <w:szCs w:val="24"/>
        </w:rPr>
        <w:t xml:space="preserve"> established the regulation of the asylums.</w:t>
      </w:r>
    </w:p>
    <w:p w14:paraId="2D64A67D" w14:textId="77777777" w:rsidR="004F3C6B" w:rsidRDefault="00000000">
      <w:pPr>
        <w:spacing w:line="480" w:lineRule="auto"/>
        <w:ind w:firstLine="720"/>
        <w:rPr>
          <w:rFonts w:ascii="Arial" w:hAnsi="Arial"/>
          <w:sz w:val="24"/>
          <w:szCs w:val="24"/>
        </w:rPr>
      </w:pPr>
      <w:r>
        <w:rPr>
          <w:rFonts w:ascii="Arial" w:hAnsi="Arial"/>
          <w:sz w:val="24"/>
          <w:szCs w:val="24"/>
        </w:rPr>
        <w:lastRenderedPageBreak/>
        <w:t>Foucault (1967) argued that although developments were framed as humanitarian reform, historians questioned their motives. The “Great Confinement” of the mad reflected society’s desire to inflict discipline, order and productivity, instead of it being from genuine concern for the insane. A view which was later examined by Scull (1993). In contrast Porter (1987) highlighted the sincerity of the reformers’ and increasing medical understanding of mental illness. In practice, moral treatment combined philanthropy with control. It demanded control and conformity to ideals of self-restraint and labour while still offering care. Early asylums were built on moral rules that later shaped their use for both helping and controlling patients.</w:t>
      </w:r>
    </w:p>
    <w:p w14:paraId="0953DE15" w14:textId="77777777" w:rsidR="004F3C6B" w:rsidRDefault="00000000">
      <w:pPr>
        <w:spacing w:line="480" w:lineRule="auto"/>
        <w:ind w:firstLine="720"/>
        <w:rPr>
          <w:rFonts w:ascii="Arial" w:hAnsi="Arial"/>
          <w:sz w:val="24"/>
          <w:szCs w:val="24"/>
        </w:rPr>
      </w:pPr>
      <w:r>
        <w:rPr>
          <w:rFonts w:ascii="Arial" w:hAnsi="Arial"/>
          <w:sz w:val="24"/>
          <w:szCs w:val="24"/>
        </w:rPr>
        <w:t>The nineteenth century witnessed the consolidation of medicine’s authority over insanity. As the professional field grew, madness became a condition requiring treatment of a specialised nature. The rise of the psychiatrist, formerly known as the “mad doctor,” established the asylums authority as an institution of scientific medicine (Scull, 1993). The categories of diagnosis expanded. For example, terms such as “monomania” or “moral insanity” broadened the boundaries of mental illness, enabling more people to be diagnosed as insane (Rosenberg, 1979).</w:t>
      </w:r>
    </w:p>
    <w:p w14:paraId="717B88D8" w14:textId="6C17C9D8" w:rsidR="004F3C6B" w:rsidRDefault="00000000">
      <w:pPr>
        <w:spacing w:line="480" w:lineRule="auto"/>
        <w:ind w:firstLine="720"/>
        <w:rPr>
          <w:rFonts w:ascii="Arial" w:hAnsi="Arial"/>
          <w:sz w:val="24"/>
          <w:szCs w:val="24"/>
        </w:rPr>
      </w:pPr>
      <w:r>
        <w:rPr>
          <w:rFonts w:ascii="Arial" w:hAnsi="Arial"/>
          <w:sz w:val="24"/>
          <w:szCs w:val="24"/>
        </w:rPr>
        <w:t xml:space="preserve">The Lunacy Acts of 1845 marked change in Britain, creating the lunacy commission who oversaw asylums and mandated that every county provide one. This structure advanced the status of </w:t>
      </w:r>
      <w:r w:rsidR="00253432">
        <w:rPr>
          <w:rFonts w:ascii="Arial" w:hAnsi="Arial"/>
          <w:sz w:val="24"/>
          <w:szCs w:val="24"/>
        </w:rPr>
        <w:t>psychiatry, but</w:t>
      </w:r>
      <w:r>
        <w:rPr>
          <w:rFonts w:ascii="Arial" w:hAnsi="Arial"/>
          <w:sz w:val="24"/>
          <w:szCs w:val="24"/>
        </w:rPr>
        <w:t xml:space="preserve"> </w:t>
      </w:r>
      <w:r w:rsidR="00253432">
        <w:rPr>
          <w:rFonts w:ascii="Arial" w:hAnsi="Arial"/>
          <w:sz w:val="24"/>
          <w:szCs w:val="24"/>
        </w:rPr>
        <w:t>in turn</w:t>
      </w:r>
      <w:r>
        <w:rPr>
          <w:rFonts w:ascii="Arial" w:hAnsi="Arial"/>
          <w:sz w:val="24"/>
          <w:szCs w:val="24"/>
        </w:rPr>
        <w:t xml:space="preserve"> deepened the dominance of medical systems. Scull (1979) argued that institutional authority was used by alienists to gather status in the expanding medical community while the reality of patients’ lives became increasingly shaped and silenced by routines institutionalised by the medical authority. Roy Porter (2002) however, advised against labelling doctors as oppressors, he suggested that many searched for humane treatments within the academic limits of their time.</w:t>
      </w:r>
    </w:p>
    <w:p w14:paraId="2B3DAFAB" w14:textId="1B5712DB" w:rsidR="004F3C6B" w:rsidRDefault="00000000">
      <w:pPr>
        <w:spacing w:line="480" w:lineRule="auto"/>
        <w:ind w:firstLine="720"/>
        <w:rPr>
          <w:rFonts w:ascii="Arial" w:hAnsi="Arial"/>
          <w:sz w:val="24"/>
          <w:szCs w:val="24"/>
        </w:rPr>
      </w:pPr>
      <w:r>
        <w:rPr>
          <w:rFonts w:ascii="Arial" w:hAnsi="Arial"/>
          <w:sz w:val="24"/>
          <w:szCs w:val="24"/>
        </w:rPr>
        <w:lastRenderedPageBreak/>
        <w:t xml:space="preserve">Nonetheless, by presenting madness as a medical issue the Government could legitimise confinement as </w:t>
      </w:r>
      <w:r w:rsidR="00253432">
        <w:rPr>
          <w:rFonts w:ascii="Arial" w:hAnsi="Arial"/>
          <w:sz w:val="24"/>
          <w:szCs w:val="24"/>
        </w:rPr>
        <w:t>care, as</w:t>
      </w:r>
      <w:r>
        <w:rPr>
          <w:rFonts w:ascii="Arial" w:hAnsi="Arial"/>
          <w:sz w:val="24"/>
          <w:szCs w:val="24"/>
        </w:rPr>
        <w:t xml:space="preserve"> opposed to coercion. Thus, asylums became a place where moral and scientific vocabulary came together, granting doctors control over both care and punishment.</w:t>
      </w:r>
    </w:p>
    <w:p w14:paraId="78890DDB" w14:textId="6B02322C" w:rsidR="004F3C6B" w:rsidRDefault="00000000">
      <w:pPr>
        <w:spacing w:line="480" w:lineRule="auto"/>
        <w:ind w:firstLine="720"/>
        <w:rPr>
          <w:rFonts w:ascii="Arial" w:hAnsi="Arial"/>
          <w:sz w:val="24"/>
          <w:szCs w:val="24"/>
        </w:rPr>
      </w:pPr>
      <w:r>
        <w:rPr>
          <w:rFonts w:ascii="Arial" w:hAnsi="Arial"/>
          <w:sz w:val="24"/>
          <w:szCs w:val="24"/>
        </w:rPr>
        <w:t xml:space="preserve">Industrial and urban transformation in the nineteenth century Britain brought new anxieties of disorder and poverty. Traditional systems of family or parish care broke </w:t>
      </w:r>
      <w:r w:rsidR="00253432">
        <w:rPr>
          <w:rFonts w:ascii="Arial" w:hAnsi="Arial"/>
          <w:sz w:val="24"/>
          <w:szCs w:val="24"/>
        </w:rPr>
        <w:t>down, as</w:t>
      </w:r>
      <w:r>
        <w:rPr>
          <w:rFonts w:ascii="Arial" w:hAnsi="Arial"/>
          <w:sz w:val="24"/>
          <w:szCs w:val="24"/>
        </w:rPr>
        <w:t xml:space="preserve"> rural populations migrated to the cities. Authorities were confronted by growing amounts of poor, unemployed and socially disruptive people. From this standpoint, asylums appeared to be a logical solution to manage deviance.</w:t>
      </w:r>
    </w:p>
    <w:p w14:paraId="3CE5897D" w14:textId="77777777" w:rsidR="004F3C6B" w:rsidRDefault="00000000">
      <w:pPr>
        <w:spacing w:line="480" w:lineRule="auto"/>
        <w:ind w:firstLine="720"/>
        <w:rPr>
          <w:rFonts w:ascii="Arial" w:hAnsi="Arial"/>
          <w:sz w:val="24"/>
          <w:szCs w:val="24"/>
        </w:rPr>
      </w:pPr>
      <w:r>
        <w:rPr>
          <w:rFonts w:ascii="Arial" w:hAnsi="Arial"/>
          <w:sz w:val="24"/>
          <w:szCs w:val="24"/>
        </w:rPr>
        <w:t>Foucault (1995) interpreted this shift as a larger project of discipline, in which prisons, workhouses and asylums moulded obedient individuals to the needs of industrial society. Scull (1979) built on this by suggesting that the expansion of asylums served the middle class, who imposed psychiatric power to inflict moral order on the poor. The asylum echoed the workplace, valuing self-control, punctuality and sobriety while labour and routine were used as moral treatment.</w:t>
      </w:r>
    </w:p>
    <w:p w14:paraId="4CD84EDC" w14:textId="77777777" w:rsidR="004F3C6B" w:rsidRDefault="00000000">
      <w:pPr>
        <w:spacing w:line="480" w:lineRule="auto"/>
        <w:ind w:firstLine="720"/>
        <w:rPr>
          <w:rFonts w:ascii="Arial" w:hAnsi="Arial"/>
          <w:sz w:val="24"/>
          <w:szCs w:val="24"/>
        </w:rPr>
      </w:pPr>
      <w:r>
        <w:rPr>
          <w:rFonts w:ascii="Arial" w:hAnsi="Arial"/>
          <w:sz w:val="24"/>
          <w:szCs w:val="24"/>
        </w:rPr>
        <w:t>However other scholars take a more pragmatic approach. Porter (1987) and Wright (1997) assert that families often turned to asylums out of necessity rather than ideological conviction, as the care of mentally ill family members became unmanageable in overcrowded environments. Therefore, asylums represented a form of relief, but also a tool for regulating industrial society, representing its conflicted response to madness.</w:t>
      </w:r>
    </w:p>
    <w:p w14:paraId="21562E95" w14:textId="77777777" w:rsidR="004F3C6B" w:rsidRDefault="004F3C6B">
      <w:pPr>
        <w:spacing w:line="480" w:lineRule="auto"/>
        <w:ind w:firstLine="720"/>
        <w:rPr>
          <w:rFonts w:ascii="Arial" w:hAnsi="Arial"/>
          <w:sz w:val="24"/>
          <w:szCs w:val="24"/>
        </w:rPr>
      </w:pPr>
    </w:p>
    <w:p w14:paraId="0245C9BF" w14:textId="77777777" w:rsidR="004F3C6B" w:rsidRDefault="004F3C6B">
      <w:pPr>
        <w:spacing w:line="480" w:lineRule="auto"/>
        <w:ind w:firstLine="720"/>
        <w:rPr>
          <w:rFonts w:ascii="Arial" w:hAnsi="Arial"/>
          <w:sz w:val="24"/>
          <w:szCs w:val="24"/>
        </w:rPr>
      </w:pPr>
    </w:p>
    <w:p w14:paraId="4A596008" w14:textId="46E1F12C" w:rsidR="004F3C6B" w:rsidRDefault="00000000">
      <w:pPr>
        <w:spacing w:line="480" w:lineRule="auto"/>
        <w:ind w:firstLine="720"/>
        <w:rPr>
          <w:rFonts w:ascii="Arial" w:hAnsi="Arial"/>
          <w:sz w:val="24"/>
          <w:szCs w:val="24"/>
        </w:rPr>
      </w:pPr>
      <w:r>
        <w:rPr>
          <w:rFonts w:ascii="Arial" w:hAnsi="Arial"/>
          <w:sz w:val="24"/>
          <w:szCs w:val="24"/>
        </w:rPr>
        <w:lastRenderedPageBreak/>
        <w:t xml:space="preserve">Patterns of committal expose how asylums reinforced moral and gender norms. A disproportionate </w:t>
      </w:r>
      <w:r w:rsidR="00253432">
        <w:rPr>
          <w:rFonts w:ascii="Arial" w:hAnsi="Arial"/>
          <w:sz w:val="24"/>
          <w:szCs w:val="24"/>
        </w:rPr>
        <w:t>number</w:t>
      </w:r>
      <w:r>
        <w:rPr>
          <w:rFonts w:ascii="Arial" w:hAnsi="Arial"/>
          <w:sz w:val="24"/>
          <w:szCs w:val="24"/>
        </w:rPr>
        <w:t xml:space="preserve"> of women were committed, often for their behaviour that transgressed violence or sexual desire. Medicalised labels such as “hysteria” or “moral insanity” </w:t>
      </w:r>
      <w:proofErr w:type="spellStart"/>
      <w:r>
        <w:rPr>
          <w:rFonts w:ascii="Arial" w:hAnsi="Arial"/>
          <w:sz w:val="24"/>
          <w:szCs w:val="24"/>
        </w:rPr>
        <w:t>recategorised</w:t>
      </w:r>
      <w:proofErr w:type="spellEnd"/>
      <w:r>
        <w:rPr>
          <w:rFonts w:ascii="Arial" w:hAnsi="Arial"/>
          <w:sz w:val="24"/>
          <w:szCs w:val="24"/>
        </w:rPr>
        <w:t xml:space="preserve"> nonconformity as mental disorders (Showalter, 1987). Studies of asylums in the nineteenth century demonstrates that women may have been committed for ailments such as reading novels or even postnatal depression (Wallis, 2020).</w:t>
      </w:r>
    </w:p>
    <w:p w14:paraId="61C5DCDC" w14:textId="77777777" w:rsidR="004F3C6B" w:rsidRDefault="00000000">
      <w:pPr>
        <w:spacing w:line="480" w:lineRule="auto"/>
        <w:ind w:firstLine="720"/>
        <w:rPr>
          <w:rFonts w:ascii="Arial" w:hAnsi="Arial"/>
          <w:sz w:val="24"/>
          <w:szCs w:val="24"/>
        </w:rPr>
      </w:pPr>
      <w:r>
        <w:rPr>
          <w:rFonts w:ascii="Arial" w:hAnsi="Arial"/>
          <w:sz w:val="24"/>
          <w:szCs w:val="24"/>
        </w:rPr>
        <w:t>For men, insanity was more often linked to overindulgence or failure to fulfil what was considered normal social roles. Asylums functioned more as institutions to discipline both men and women according to the ideals of the middle-class. Showalter (1987) argued gender regulation reflected the wider Victorian attempt to strengthen families alongside social order amid the industrial revolution.</w:t>
      </w:r>
    </w:p>
    <w:p w14:paraId="7EB6DF7A" w14:textId="77777777" w:rsidR="004F3C6B" w:rsidRDefault="00000000">
      <w:pPr>
        <w:spacing w:line="480" w:lineRule="auto"/>
        <w:ind w:firstLine="720"/>
        <w:rPr>
          <w:rFonts w:ascii="Arial" w:hAnsi="Arial"/>
          <w:sz w:val="24"/>
          <w:szCs w:val="24"/>
        </w:rPr>
      </w:pPr>
      <w:r>
        <w:rPr>
          <w:rFonts w:ascii="Arial" w:hAnsi="Arial"/>
          <w:sz w:val="24"/>
          <w:szCs w:val="24"/>
        </w:rPr>
        <w:t>Although some physicians saw confinement as a form of protection, it often enforced patriarchal authority. Medical certifications made it possible for families to silence troubled relatives – particularly women who challenged their domestic expectations. Asylums operated as an instrument for nineteenth century gender ideology (Wallis, 2020).</w:t>
      </w:r>
    </w:p>
    <w:p w14:paraId="48A83951" w14:textId="77777777" w:rsidR="004F3C6B" w:rsidRDefault="00000000">
      <w:pPr>
        <w:spacing w:line="480" w:lineRule="auto"/>
        <w:ind w:firstLine="720"/>
        <w:rPr>
          <w:rFonts w:ascii="Arial" w:hAnsi="Arial"/>
          <w:sz w:val="24"/>
          <w:szCs w:val="24"/>
        </w:rPr>
      </w:pPr>
      <w:r>
        <w:rPr>
          <w:rFonts w:ascii="Arial" w:hAnsi="Arial"/>
          <w:sz w:val="24"/>
          <w:szCs w:val="24"/>
        </w:rPr>
        <w:t>The Lunacy Acts of 1845 made a national system of inspection and standardisation of procedures such as record keeping and inspection which changed madness into a government managed category (Bartlett, 1999). Yearly reports recorded deaths, admissions, and recoveries which portrayed insanity as a public health matter.</w:t>
      </w:r>
    </w:p>
    <w:p w14:paraId="78ABA4C6" w14:textId="77777777" w:rsidR="004F3C6B" w:rsidRDefault="00000000">
      <w:pPr>
        <w:spacing w:line="480" w:lineRule="auto"/>
        <w:ind w:firstLine="720"/>
        <w:rPr>
          <w:rFonts w:ascii="Arial" w:hAnsi="Arial"/>
          <w:sz w:val="24"/>
          <w:szCs w:val="24"/>
        </w:rPr>
      </w:pPr>
      <w:r>
        <w:rPr>
          <w:rFonts w:ascii="Arial" w:hAnsi="Arial"/>
          <w:sz w:val="24"/>
          <w:szCs w:val="24"/>
        </w:rPr>
        <w:t xml:space="preserve">This bureaucratic rational reinforced the legitimacy of asylums. Facing pressure under the Poor Law, local authorities discovered that moving pauper </w:t>
      </w:r>
      <w:r>
        <w:rPr>
          <w:rFonts w:ascii="Arial" w:hAnsi="Arial"/>
          <w:sz w:val="24"/>
          <w:szCs w:val="24"/>
        </w:rPr>
        <w:lastRenderedPageBreak/>
        <w:t>lunatics to asylums was convenient financially. Asylums grew in numbers, housing people for the benefit of economic convenience rather than necessity (Wright, 1997). The expanding power of the state to classify and confine deviance echoed the consolidation of surveillance systems and welfare. While appearing medical, the asylum system exemplified what Nikolas Rose (1999) terms “the psychology of governing” – using knowledge and expertise to manage people – is clearly reflected in the asylum system. In the late nineteenth century confinement became a normal part of social administration. A symbol of scientific and government power.</w:t>
      </w:r>
    </w:p>
    <w:p w14:paraId="6BDD43A7" w14:textId="77777777" w:rsidR="004F3C6B" w:rsidRDefault="00000000">
      <w:pPr>
        <w:spacing w:line="480" w:lineRule="auto"/>
        <w:ind w:firstLine="720"/>
        <w:rPr>
          <w:rFonts w:ascii="Arial" w:hAnsi="Arial"/>
          <w:sz w:val="24"/>
          <w:szCs w:val="24"/>
        </w:rPr>
      </w:pPr>
      <w:r>
        <w:rPr>
          <w:rFonts w:ascii="Arial" w:hAnsi="Arial"/>
          <w:sz w:val="24"/>
          <w:szCs w:val="24"/>
        </w:rPr>
        <w:t>The optimism that surrounded asylums had largely disappeared towards the end of the nineteenth century. Increasing populations soared far beyond the capacity design, making institutions overcrowded. Statistics revealed that recovery rates declined, suggesting moral treatment did not deliver cures as it had once promised (Scull, 1993).</w:t>
      </w:r>
    </w:p>
    <w:p w14:paraId="22794419" w14:textId="11E0B235" w:rsidR="004F3C6B" w:rsidRDefault="00000000">
      <w:pPr>
        <w:spacing w:line="480" w:lineRule="auto"/>
        <w:ind w:firstLine="720"/>
        <w:rPr>
          <w:rFonts w:ascii="Arial" w:hAnsi="Arial"/>
          <w:sz w:val="24"/>
          <w:szCs w:val="24"/>
        </w:rPr>
      </w:pPr>
      <w:r>
        <w:rPr>
          <w:rFonts w:ascii="Arial" w:hAnsi="Arial"/>
          <w:sz w:val="24"/>
          <w:szCs w:val="24"/>
        </w:rPr>
        <w:t xml:space="preserve">Neglect exposed by public inquiries, meant reformers began to advocate for community approaches. Despite </w:t>
      </w:r>
      <w:r w:rsidR="00131F76">
        <w:rPr>
          <w:rFonts w:ascii="Arial" w:hAnsi="Arial"/>
          <w:sz w:val="24"/>
          <w:szCs w:val="24"/>
        </w:rPr>
        <w:t xml:space="preserve">the </w:t>
      </w:r>
      <w:r>
        <w:rPr>
          <w:rFonts w:ascii="Arial" w:hAnsi="Arial"/>
          <w:sz w:val="24"/>
          <w:szCs w:val="24"/>
        </w:rPr>
        <w:t>growing criticisms, the legacy of the asylums persisted: its medical hierarchies and physical infrastructure created the foundation for modern psychiatry. Despite later discharge, asylum’s logic – segregating those who challenge</w:t>
      </w:r>
      <w:r w:rsidR="00131F76">
        <w:rPr>
          <w:rFonts w:ascii="Arial" w:hAnsi="Arial"/>
          <w:sz w:val="24"/>
          <w:szCs w:val="24"/>
        </w:rPr>
        <w:t>d</w:t>
      </w:r>
      <w:r>
        <w:rPr>
          <w:rFonts w:ascii="Arial" w:hAnsi="Arial"/>
          <w:sz w:val="24"/>
          <w:szCs w:val="24"/>
        </w:rPr>
        <w:t xml:space="preserve"> social norms – remains in mental health policy (Brown, 2006).</w:t>
      </w:r>
    </w:p>
    <w:p w14:paraId="21363240" w14:textId="1DF61F7B" w:rsidR="004F3C6B" w:rsidRDefault="00000000">
      <w:pPr>
        <w:spacing w:line="480" w:lineRule="auto"/>
        <w:ind w:firstLine="720"/>
        <w:rPr>
          <w:rFonts w:ascii="Arial" w:hAnsi="Arial"/>
          <w:sz w:val="24"/>
          <w:szCs w:val="24"/>
        </w:rPr>
      </w:pPr>
      <w:r>
        <w:rPr>
          <w:rFonts w:ascii="Arial" w:hAnsi="Arial"/>
          <w:sz w:val="24"/>
          <w:szCs w:val="24"/>
        </w:rPr>
        <w:t xml:space="preserve">Asylums of the nineteenth century stand as both a cautionary tale and </w:t>
      </w:r>
      <w:r w:rsidR="003F395E">
        <w:rPr>
          <w:rFonts w:ascii="Arial" w:hAnsi="Arial"/>
          <w:sz w:val="24"/>
          <w:szCs w:val="24"/>
        </w:rPr>
        <w:t xml:space="preserve">a </w:t>
      </w:r>
      <w:r>
        <w:rPr>
          <w:rFonts w:ascii="Arial" w:hAnsi="Arial"/>
          <w:sz w:val="24"/>
          <w:szCs w:val="24"/>
        </w:rPr>
        <w:t>humanitarian experiment. They represented the bureaucratic constraints of industrial society, but also compassion, exposing reform limits within the institutions.</w:t>
      </w:r>
    </w:p>
    <w:p w14:paraId="37327972" w14:textId="2C608A79" w:rsidR="004F3C6B" w:rsidRDefault="00000000">
      <w:pPr>
        <w:spacing w:line="480" w:lineRule="auto"/>
        <w:ind w:firstLine="720"/>
        <w:rPr>
          <w:rFonts w:ascii="Arial" w:hAnsi="Arial"/>
          <w:sz w:val="24"/>
          <w:szCs w:val="24"/>
        </w:rPr>
      </w:pPr>
      <w:r>
        <w:rPr>
          <w:rFonts w:ascii="Arial" w:hAnsi="Arial"/>
          <w:sz w:val="24"/>
          <w:szCs w:val="24"/>
        </w:rPr>
        <w:t xml:space="preserve">The rise of Asylums in the eighteenth and nineteenth centuries cannot be attributed to an individual cause or ideology. It came from the </w:t>
      </w:r>
      <w:r w:rsidR="003F395E">
        <w:rPr>
          <w:rFonts w:ascii="Arial" w:hAnsi="Arial"/>
          <w:sz w:val="24"/>
          <w:szCs w:val="24"/>
        </w:rPr>
        <w:t>amalgamations</w:t>
      </w:r>
      <w:r>
        <w:rPr>
          <w:rFonts w:ascii="Arial" w:hAnsi="Arial"/>
          <w:sz w:val="24"/>
          <w:szCs w:val="24"/>
        </w:rPr>
        <w:t xml:space="preserve"> of enlightenment humanitarian ideals, industrial discipline, medical professionalisation, </w:t>
      </w:r>
      <w:r>
        <w:rPr>
          <w:rFonts w:ascii="Arial" w:hAnsi="Arial"/>
          <w:sz w:val="24"/>
          <w:szCs w:val="24"/>
        </w:rPr>
        <w:lastRenderedPageBreak/>
        <w:t xml:space="preserve">rationalising ambitions of the state, and gendered morality. Reformers aim was to protect and heal, but their asylums also functioned to control and detain. Medicalisation of madness provided coercion with the cover of legitimacy. While </w:t>
      </w:r>
      <w:r w:rsidR="003F395E">
        <w:rPr>
          <w:rFonts w:ascii="Arial" w:hAnsi="Arial"/>
          <w:sz w:val="24"/>
          <w:szCs w:val="24"/>
        </w:rPr>
        <w:t xml:space="preserve">the </w:t>
      </w:r>
      <w:r>
        <w:rPr>
          <w:rFonts w:ascii="Arial" w:hAnsi="Arial"/>
          <w:sz w:val="24"/>
          <w:szCs w:val="24"/>
        </w:rPr>
        <w:t xml:space="preserve">governmental expansion made confinement a routine part of social rule instead of, a tool, to be used in extreme measures. The asylum essentially represented </w:t>
      </w:r>
      <w:r w:rsidR="003F395E">
        <w:rPr>
          <w:rFonts w:ascii="Arial" w:hAnsi="Arial"/>
          <w:sz w:val="24"/>
          <w:szCs w:val="24"/>
        </w:rPr>
        <w:t xml:space="preserve">the </w:t>
      </w:r>
      <w:r>
        <w:rPr>
          <w:rFonts w:ascii="Arial" w:hAnsi="Arial"/>
          <w:sz w:val="24"/>
          <w:szCs w:val="24"/>
        </w:rPr>
        <w:t>dual impulse; to care but also control. History showed that institutions that were founded on compassion, could also advance the imperatives of order, conformity, and efficiency. Acknowledging this tension is imperative, not only to understand the past but also to ask how modern societies continue to define and oversee mental differences.</w:t>
      </w:r>
    </w:p>
    <w:p w14:paraId="2669ED19" w14:textId="77777777" w:rsidR="004F3C6B" w:rsidRDefault="004F3C6B">
      <w:pPr>
        <w:spacing w:line="480" w:lineRule="auto"/>
        <w:ind w:firstLine="720"/>
        <w:rPr>
          <w:rFonts w:ascii="Arial" w:hAnsi="Arial"/>
          <w:sz w:val="24"/>
          <w:szCs w:val="24"/>
        </w:rPr>
      </w:pPr>
    </w:p>
    <w:p w14:paraId="48B99406" w14:textId="77777777" w:rsidR="004F3C6B" w:rsidRDefault="004F3C6B">
      <w:pPr>
        <w:spacing w:line="480" w:lineRule="auto"/>
        <w:ind w:firstLine="720"/>
        <w:rPr>
          <w:rFonts w:ascii="Arial" w:hAnsi="Arial"/>
          <w:sz w:val="24"/>
          <w:szCs w:val="24"/>
        </w:rPr>
      </w:pPr>
    </w:p>
    <w:p w14:paraId="12709003" w14:textId="77777777" w:rsidR="004F3C6B" w:rsidRDefault="004F3C6B">
      <w:pPr>
        <w:spacing w:line="480" w:lineRule="auto"/>
        <w:rPr>
          <w:rFonts w:ascii="Arial" w:hAnsi="Arial"/>
          <w:sz w:val="24"/>
          <w:szCs w:val="24"/>
        </w:rPr>
      </w:pPr>
    </w:p>
    <w:p w14:paraId="61FB130B" w14:textId="77777777" w:rsidR="003F395E" w:rsidRDefault="003F395E">
      <w:pPr>
        <w:jc w:val="center"/>
        <w:rPr>
          <w:rFonts w:ascii="Arial" w:hAnsi="Arial"/>
          <w:b/>
          <w:bCs/>
          <w:sz w:val="24"/>
          <w:szCs w:val="24"/>
        </w:rPr>
      </w:pPr>
    </w:p>
    <w:p w14:paraId="103FDCBA" w14:textId="77777777" w:rsidR="003F395E" w:rsidRDefault="003F395E">
      <w:pPr>
        <w:jc w:val="center"/>
        <w:rPr>
          <w:rFonts w:ascii="Arial" w:hAnsi="Arial"/>
          <w:b/>
          <w:bCs/>
          <w:sz w:val="24"/>
          <w:szCs w:val="24"/>
        </w:rPr>
      </w:pPr>
    </w:p>
    <w:p w14:paraId="090E4DF8" w14:textId="77777777" w:rsidR="003F395E" w:rsidRDefault="003F395E">
      <w:pPr>
        <w:jc w:val="center"/>
        <w:rPr>
          <w:rFonts w:ascii="Arial" w:hAnsi="Arial"/>
          <w:b/>
          <w:bCs/>
          <w:sz w:val="24"/>
          <w:szCs w:val="24"/>
        </w:rPr>
      </w:pPr>
    </w:p>
    <w:p w14:paraId="7F9A824C" w14:textId="77777777" w:rsidR="003F395E" w:rsidRDefault="003F395E">
      <w:pPr>
        <w:jc w:val="center"/>
        <w:rPr>
          <w:rFonts w:ascii="Arial" w:hAnsi="Arial"/>
          <w:b/>
          <w:bCs/>
          <w:sz w:val="24"/>
          <w:szCs w:val="24"/>
        </w:rPr>
      </w:pPr>
    </w:p>
    <w:p w14:paraId="4FB3E0F3" w14:textId="77777777" w:rsidR="003F395E" w:rsidRDefault="003F395E">
      <w:pPr>
        <w:jc w:val="center"/>
        <w:rPr>
          <w:rFonts w:ascii="Arial" w:hAnsi="Arial"/>
          <w:b/>
          <w:bCs/>
          <w:sz w:val="24"/>
          <w:szCs w:val="24"/>
        </w:rPr>
      </w:pPr>
    </w:p>
    <w:p w14:paraId="4E61B0C8" w14:textId="77777777" w:rsidR="003F395E" w:rsidRDefault="003F395E">
      <w:pPr>
        <w:jc w:val="center"/>
        <w:rPr>
          <w:rFonts w:ascii="Arial" w:hAnsi="Arial"/>
          <w:b/>
          <w:bCs/>
          <w:sz w:val="24"/>
          <w:szCs w:val="24"/>
        </w:rPr>
      </w:pPr>
    </w:p>
    <w:p w14:paraId="51AACF35" w14:textId="77777777" w:rsidR="003F395E" w:rsidRDefault="003F395E">
      <w:pPr>
        <w:jc w:val="center"/>
        <w:rPr>
          <w:rFonts w:ascii="Arial" w:hAnsi="Arial"/>
          <w:b/>
          <w:bCs/>
          <w:sz w:val="24"/>
          <w:szCs w:val="24"/>
        </w:rPr>
      </w:pPr>
    </w:p>
    <w:p w14:paraId="3610E977" w14:textId="77777777" w:rsidR="003F395E" w:rsidRDefault="003F395E">
      <w:pPr>
        <w:jc w:val="center"/>
        <w:rPr>
          <w:rFonts w:ascii="Arial" w:hAnsi="Arial"/>
          <w:b/>
          <w:bCs/>
          <w:sz w:val="24"/>
          <w:szCs w:val="24"/>
        </w:rPr>
      </w:pPr>
    </w:p>
    <w:p w14:paraId="477E3F1A" w14:textId="77777777" w:rsidR="003F395E" w:rsidRDefault="003F395E">
      <w:pPr>
        <w:jc w:val="center"/>
        <w:rPr>
          <w:rFonts w:ascii="Arial" w:hAnsi="Arial"/>
          <w:b/>
          <w:bCs/>
          <w:sz w:val="24"/>
          <w:szCs w:val="24"/>
        </w:rPr>
      </w:pPr>
    </w:p>
    <w:p w14:paraId="442C7C10" w14:textId="77777777" w:rsidR="003F395E" w:rsidRDefault="003F395E">
      <w:pPr>
        <w:jc w:val="center"/>
        <w:rPr>
          <w:rFonts w:ascii="Arial" w:hAnsi="Arial"/>
          <w:b/>
          <w:bCs/>
          <w:sz w:val="24"/>
          <w:szCs w:val="24"/>
        </w:rPr>
      </w:pPr>
    </w:p>
    <w:p w14:paraId="14D3BF3B" w14:textId="77777777" w:rsidR="003F395E" w:rsidRDefault="003F395E">
      <w:pPr>
        <w:jc w:val="center"/>
        <w:rPr>
          <w:rFonts w:ascii="Arial" w:hAnsi="Arial"/>
          <w:b/>
          <w:bCs/>
          <w:sz w:val="24"/>
          <w:szCs w:val="24"/>
        </w:rPr>
      </w:pPr>
    </w:p>
    <w:p w14:paraId="56E1F15D" w14:textId="77777777" w:rsidR="003F395E" w:rsidRDefault="003F395E">
      <w:pPr>
        <w:jc w:val="center"/>
        <w:rPr>
          <w:rFonts w:ascii="Arial" w:hAnsi="Arial"/>
          <w:b/>
          <w:bCs/>
          <w:sz w:val="24"/>
          <w:szCs w:val="24"/>
        </w:rPr>
      </w:pPr>
    </w:p>
    <w:p w14:paraId="43C10185" w14:textId="77777777" w:rsidR="003F395E" w:rsidRDefault="003F395E">
      <w:pPr>
        <w:jc w:val="center"/>
        <w:rPr>
          <w:rFonts w:ascii="Arial" w:hAnsi="Arial"/>
          <w:b/>
          <w:bCs/>
          <w:sz w:val="24"/>
          <w:szCs w:val="24"/>
        </w:rPr>
      </w:pPr>
    </w:p>
    <w:p w14:paraId="035170CD" w14:textId="34F55B6C" w:rsidR="004F3C6B" w:rsidRDefault="00000000">
      <w:pPr>
        <w:jc w:val="center"/>
        <w:rPr>
          <w:rFonts w:ascii="Arial" w:hAnsi="Arial"/>
          <w:b/>
          <w:bCs/>
          <w:sz w:val="24"/>
          <w:szCs w:val="24"/>
        </w:rPr>
      </w:pPr>
      <w:r>
        <w:rPr>
          <w:rFonts w:ascii="Arial" w:hAnsi="Arial"/>
          <w:b/>
          <w:bCs/>
          <w:sz w:val="24"/>
          <w:szCs w:val="24"/>
        </w:rPr>
        <w:lastRenderedPageBreak/>
        <w:t>Reference List</w:t>
      </w:r>
    </w:p>
    <w:p w14:paraId="6661144E" w14:textId="77777777" w:rsidR="004F3C6B" w:rsidRDefault="00000000">
      <w:pPr>
        <w:spacing w:line="480" w:lineRule="auto"/>
        <w:ind w:left="720" w:hanging="720"/>
        <w:rPr>
          <w:rFonts w:ascii="Arial" w:hAnsi="Arial"/>
          <w:sz w:val="24"/>
          <w:szCs w:val="24"/>
        </w:rPr>
      </w:pPr>
      <w:r>
        <w:rPr>
          <w:rFonts w:ascii="Arial" w:hAnsi="Arial"/>
          <w:sz w:val="24"/>
          <w:szCs w:val="24"/>
        </w:rPr>
        <w:t xml:space="preserve">Bartlett, P. (1999). </w:t>
      </w:r>
      <w:r>
        <w:rPr>
          <w:rFonts w:ascii="Arial" w:hAnsi="Arial"/>
          <w:i/>
          <w:iCs/>
          <w:sz w:val="24"/>
          <w:szCs w:val="24"/>
        </w:rPr>
        <w:t>The poor law of lunacy: The administration of pauper lunatics in mid-nineteenth-century England</w:t>
      </w:r>
      <w:r>
        <w:rPr>
          <w:rFonts w:ascii="Arial" w:hAnsi="Arial"/>
          <w:sz w:val="24"/>
          <w:szCs w:val="24"/>
        </w:rPr>
        <w:t>. Leicester University Press.</w:t>
      </w:r>
    </w:p>
    <w:p w14:paraId="3554D825" w14:textId="77777777" w:rsidR="004F3C6B" w:rsidRDefault="00000000">
      <w:pPr>
        <w:spacing w:line="480" w:lineRule="auto"/>
        <w:ind w:left="720" w:hanging="720"/>
        <w:rPr>
          <w:rFonts w:ascii="Arial" w:hAnsi="Arial"/>
          <w:sz w:val="24"/>
          <w:szCs w:val="24"/>
        </w:rPr>
      </w:pPr>
      <w:r>
        <w:rPr>
          <w:rFonts w:ascii="Arial" w:hAnsi="Arial"/>
          <w:sz w:val="24"/>
          <w:szCs w:val="24"/>
        </w:rPr>
        <w:t>Digby, A. (1985). </w:t>
      </w:r>
      <w:r>
        <w:rPr>
          <w:rFonts w:ascii="Arial" w:hAnsi="Arial"/>
          <w:i/>
          <w:iCs/>
          <w:sz w:val="24"/>
          <w:szCs w:val="24"/>
        </w:rPr>
        <w:t xml:space="preserve">Madness, morality and </w:t>
      </w:r>
      <w:proofErr w:type="gramStart"/>
      <w:r>
        <w:rPr>
          <w:rFonts w:ascii="Arial" w:hAnsi="Arial"/>
          <w:i/>
          <w:iCs/>
          <w:sz w:val="24"/>
          <w:szCs w:val="24"/>
        </w:rPr>
        <w:t>medicine :</w:t>
      </w:r>
      <w:proofErr w:type="gramEnd"/>
      <w:r>
        <w:rPr>
          <w:rFonts w:ascii="Arial" w:hAnsi="Arial"/>
          <w:i/>
          <w:iCs/>
          <w:sz w:val="24"/>
          <w:szCs w:val="24"/>
        </w:rPr>
        <w:t xml:space="preserve"> a study of the York Retreat, 1796-1914</w:t>
      </w:r>
      <w:r>
        <w:rPr>
          <w:rFonts w:ascii="Arial" w:hAnsi="Arial"/>
          <w:sz w:val="24"/>
          <w:szCs w:val="24"/>
        </w:rPr>
        <w:t>. Cambridge University Press.</w:t>
      </w:r>
    </w:p>
    <w:p w14:paraId="12F4CBD3" w14:textId="77777777" w:rsidR="004F3C6B" w:rsidRDefault="00000000">
      <w:pPr>
        <w:spacing w:line="480" w:lineRule="auto"/>
        <w:ind w:left="720" w:hanging="720"/>
        <w:rPr>
          <w:rFonts w:ascii="Arial" w:hAnsi="Arial"/>
          <w:sz w:val="24"/>
          <w:szCs w:val="24"/>
        </w:rPr>
      </w:pPr>
      <w:r>
        <w:rPr>
          <w:rFonts w:ascii="Arial" w:hAnsi="Arial"/>
          <w:sz w:val="24"/>
          <w:szCs w:val="24"/>
        </w:rPr>
        <w:t xml:space="preserve">Foucault, M. (1967). </w:t>
      </w:r>
      <w:r>
        <w:rPr>
          <w:rFonts w:ascii="Arial" w:hAnsi="Arial"/>
          <w:i/>
          <w:iCs/>
          <w:sz w:val="24"/>
          <w:szCs w:val="24"/>
        </w:rPr>
        <w:t>Madness and civilization: A history of insanity in the Age of Reason</w:t>
      </w:r>
      <w:r>
        <w:rPr>
          <w:rFonts w:ascii="Arial" w:hAnsi="Arial"/>
          <w:sz w:val="24"/>
          <w:szCs w:val="24"/>
        </w:rPr>
        <w:t xml:space="preserve"> (Original work published 1961).</w:t>
      </w:r>
    </w:p>
    <w:p w14:paraId="543C22F6" w14:textId="77777777" w:rsidR="004F3C6B" w:rsidRDefault="00000000">
      <w:pPr>
        <w:spacing w:line="480" w:lineRule="auto"/>
        <w:ind w:left="720" w:hanging="720"/>
        <w:rPr>
          <w:rFonts w:ascii="Arial" w:hAnsi="Arial"/>
          <w:sz w:val="24"/>
          <w:szCs w:val="24"/>
        </w:rPr>
      </w:pPr>
      <w:r>
        <w:rPr>
          <w:rFonts w:ascii="Arial" w:hAnsi="Arial"/>
          <w:sz w:val="24"/>
          <w:szCs w:val="24"/>
        </w:rPr>
        <w:t xml:space="preserve">Foucault, M. (1995). </w:t>
      </w:r>
      <w:r>
        <w:rPr>
          <w:rFonts w:ascii="Arial" w:hAnsi="Arial"/>
          <w:i/>
          <w:iCs/>
          <w:sz w:val="24"/>
          <w:szCs w:val="24"/>
        </w:rPr>
        <w:t>Discipline and punish: The birth of the prison</w:t>
      </w:r>
      <w:r>
        <w:rPr>
          <w:rFonts w:ascii="Arial" w:hAnsi="Arial"/>
          <w:sz w:val="24"/>
          <w:szCs w:val="24"/>
        </w:rPr>
        <w:t xml:space="preserve"> (A. Sheridan, Trans.). Vintage Books. (Original work published 1975)</w:t>
      </w:r>
    </w:p>
    <w:p w14:paraId="221611E2" w14:textId="77777777" w:rsidR="004F3C6B" w:rsidRDefault="00000000">
      <w:pPr>
        <w:spacing w:line="480" w:lineRule="auto"/>
        <w:ind w:left="720" w:hanging="720"/>
        <w:rPr>
          <w:rFonts w:ascii="Arial" w:hAnsi="Arial"/>
          <w:sz w:val="24"/>
          <w:szCs w:val="24"/>
        </w:rPr>
      </w:pPr>
      <w:r>
        <w:rPr>
          <w:rFonts w:ascii="Arial" w:hAnsi="Arial"/>
          <w:sz w:val="24"/>
          <w:szCs w:val="24"/>
        </w:rPr>
        <w:t>Humphris, R. (2022). Legacies of British Imperialism in the Contemporary UK Asylum–Welfare Nexus. </w:t>
      </w:r>
      <w:r>
        <w:rPr>
          <w:rFonts w:ascii="Arial" w:hAnsi="Arial"/>
          <w:i/>
          <w:iCs/>
          <w:sz w:val="24"/>
          <w:szCs w:val="24"/>
        </w:rPr>
        <w:t>Social Sciences</w:t>
      </w:r>
      <w:r>
        <w:rPr>
          <w:rFonts w:ascii="Arial" w:hAnsi="Arial"/>
          <w:sz w:val="24"/>
          <w:szCs w:val="24"/>
        </w:rPr>
        <w:t>, </w:t>
      </w:r>
      <w:r>
        <w:rPr>
          <w:rFonts w:ascii="Arial" w:hAnsi="Arial"/>
          <w:i/>
          <w:iCs/>
          <w:sz w:val="24"/>
          <w:szCs w:val="24"/>
        </w:rPr>
        <w:t>11</w:t>
      </w:r>
      <w:r>
        <w:rPr>
          <w:rFonts w:ascii="Arial" w:hAnsi="Arial"/>
          <w:sz w:val="24"/>
          <w:szCs w:val="24"/>
        </w:rPr>
        <w:t xml:space="preserve">(10), 432. </w:t>
      </w:r>
      <w:hyperlink r:id="rId6" w:history="1">
        <w:r w:rsidR="004F3C6B">
          <w:rPr>
            <w:rStyle w:val="Hyperlink"/>
            <w:rFonts w:ascii="Arial" w:hAnsi="Arial"/>
            <w:sz w:val="24"/>
            <w:szCs w:val="24"/>
          </w:rPr>
          <w:t>https://doi.org/10.3390/socsci11100432</w:t>
        </w:r>
      </w:hyperlink>
    </w:p>
    <w:p w14:paraId="43B8CEC3" w14:textId="77777777" w:rsidR="004F3C6B" w:rsidRDefault="00000000">
      <w:pPr>
        <w:spacing w:line="480" w:lineRule="auto"/>
        <w:ind w:left="720" w:hanging="720"/>
        <w:rPr>
          <w:rFonts w:ascii="Arial" w:hAnsi="Arial"/>
          <w:sz w:val="24"/>
          <w:szCs w:val="24"/>
        </w:rPr>
      </w:pPr>
      <w:r>
        <w:rPr>
          <w:rFonts w:ascii="Arial" w:hAnsi="Arial"/>
          <w:sz w:val="24"/>
          <w:szCs w:val="24"/>
        </w:rPr>
        <w:t xml:space="preserve">Pinel, P. (1806). </w:t>
      </w:r>
      <w:r>
        <w:rPr>
          <w:rFonts w:ascii="Arial" w:hAnsi="Arial"/>
          <w:i/>
          <w:iCs/>
          <w:sz w:val="24"/>
          <w:szCs w:val="24"/>
        </w:rPr>
        <w:t>A treatise on insanity: In which are contained the principles of a new and more practical nosology of maniacal disorders than has yet been offered to the public</w:t>
      </w:r>
      <w:r>
        <w:rPr>
          <w:rFonts w:ascii="Arial" w:hAnsi="Arial"/>
          <w:sz w:val="24"/>
          <w:szCs w:val="24"/>
        </w:rPr>
        <w:t xml:space="preserve"> (D. D. David, Trans.). Cadell &amp; Davies. (Original work published 1801). Available from Internet Archive: </w:t>
      </w:r>
      <w:hyperlink r:id="rId7" w:history="1">
        <w:r w:rsidR="004F3C6B">
          <w:rPr>
            <w:rStyle w:val="Hyperlink"/>
            <w:rFonts w:ascii="Arial" w:hAnsi="Arial"/>
            <w:sz w:val="24"/>
            <w:szCs w:val="24"/>
          </w:rPr>
          <w:t>https://archive.org/details/treatiseoninsani00pine</w:t>
        </w:r>
      </w:hyperlink>
    </w:p>
    <w:p w14:paraId="23E0E981" w14:textId="77777777" w:rsidR="004F3C6B" w:rsidRDefault="00000000">
      <w:pPr>
        <w:spacing w:line="480" w:lineRule="auto"/>
        <w:ind w:left="720" w:hanging="720"/>
        <w:rPr>
          <w:rFonts w:ascii="Arial" w:hAnsi="Arial"/>
          <w:sz w:val="24"/>
          <w:szCs w:val="24"/>
        </w:rPr>
      </w:pPr>
      <w:r>
        <w:rPr>
          <w:rFonts w:ascii="Arial" w:hAnsi="Arial"/>
          <w:sz w:val="24"/>
          <w:szCs w:val="24"/>
        </w:rPr>
        <w:t xml:space="preserve">Porter, R. (2002). </w:t>
      </w:r>
      <w:r>
        <w:rPr>
          <w:rFonts w:ascii="Arial" w:hAnsi="Arial"/>
          <w:i/>
          <w:iCs/>
          <w:sz w:val="24"/>
          <w:szCs w:val="24"/>
        </w:rPr>
        <w:t>Madness: A brief history.</w:t>
      </w:r>
      <w:r>
        <w:rPr>
          <w:rFonts w:ascii="Arial" w:hAnsi="Arial"/>
          <w:sz w:val="24"/>
          <w:szCs w:val="24"/>
        </w:rPr>
        <w:t xml:space="preserve"> Oxford University Press.</w:t>
      </w:r>
    </w:p>
    <w:p w14:paraId="066ACB77" w14:textId="77777777" w:rsidR="004F3C6B" w:rsidRDefault="00000000">
      <w:pPr>
        <w:spacing w:line="480" w:lineRule="auto"/>
        <w:ind w:left="720" w:hanging="720"/>
        <w:rPr>
          <w:rFonts w:ascii="Arial" w:hAnsi="Arial"/>
          <w:sz w:val="24"/>
          <w:szCs w:val="24"/>
        </w:rPr>
      </w:pPr>
      <w:r>
        <w:rPr>
          <w:rFonts w:ascii="Arial" w:hAnsi="Arial"/>
          <w:sz w:val="24"/>
          <w:szCs w:val="24"/>
        </w:rPr>
        <w:t xml:space="preserve">Porter, </w:t>
      </w:r>
      <w:proofErr w:type="spellStart"/>
      <w:proofErr w:type="gramStart"/>
      <w:r>
        <w:rPr>
          <w:rFonts w:ascii="Arial" w:hAnsi="Arial"/>
          <w:sz w:val="24"/>
          <w:szCs w:val="24"/>
        </w:rPr>
        <w:t>R.,&amp;</w:t>
      </w:r>
      <w:proofErr w:type="gramEnd"/>
      <w:r>
        <w:rPr>
          <w:rFonts w:ascii="Arial" w:hAnsi="Arial"/>
          <w:sz w:val="24"/>
          <w:szCs w:val="24"/>
        </w:rPr>
        <w:t>American</w:t>
      </w:r>
      <w:proofErr w:type="spellEnd"/>
      <w:r>
        <w:rPr>
          <w:rFonts w:ascii="Arial" w:hAnsi="Arial"/>
          <w:sz w:val="24"/>
          <w:szCs w:val="24"/>
        </w:rPr>
        <w:t xml:space="preserve"> Council of Learned Societies. (1987). </w:t>
      </w:r>
      <w:r>
        <w:rPr>
          <w:rFonts w:ascii="Arial" w:hAnsi="Arial"/>
          <w:i/>
          <w:iCs/>
          <w:sz w:val="24"/>
          <w:szCs w:val="24"/>
        </w:rPr>
        <w:t>Mind-</w:t>
      </w:r>
      <w:proofErr w:type="spellStart"/>
      <w:r>
        <w:rPr>
          <w:rFonts w:ascii="Arial" w:hAnsi="Arial"/>
          <w:i/>
          <w:iCs/>
          <w:sz w:val="24"/>
          <w:szCs w:val="24"/>
        </w:rPr>
        <w:t>forg’d</w:t>
      </w:r>
      <w:proofErr w:type="spellEnd"/>
      <w:r>
        <w:rPr>
          <w:rFonts w:ascii="Arial" w:hAnsi="Arial"/>
          <w:i/>
          <w:iCs/>
          <w:sz w:val="24"/>
          <w:szCs w:val="24"/>
        </w:rPr>
        <w:t xml:space="preserve"> </w:t>
      </w:r>
      <w:proofErr w:type="gramStart"/>
      <w:r>
        <w:rPr>
          <w:rFonts w:ascii="Arial" w:hAnsi="Arial"/>
          <w:i/>
          <w:iCs/>
          <w:sz w:val="24"/>
          <w:szCs w:val="24"/>
        </w:rPr>
        <w:t>manacles :</w:t>
      </w:r>
      <w:proofErr w:type="gramEnd"/>
      <w:r>
        <w:rPr>
          <w:rFonts w:ascii="Arial" w:hAnsi="Arial"/>
          <w:i/>
          <w:iCs/>
          <w:sz w:val="24"/>
          <w:szCs w:val="24"/>
        </w:rPr>
        <w:t xml:space="preserve"> a history of madness in England from the Restoration to the Regency</w:t>
      </w:r>
      <w:r>
        <w:rPr>
          <w:rFonts w:ascii="Arial" w:hAnsi="Arial"/>
          <w:sz w:val="24"/>
          <w:szCs w:val="24"/>
        </w:rPr>
        <w:t>. Harvard University Press.</w:t>
      </w:r>
    </w:p>
    <w:p w14:paraId="4A0C404A" w14:textId="77777777" w:rsidR="004F3C6B" w:rsidRDefault="00000000">
      <w:pPr>
        <w:spacing w:line="480" w:lineRule="auto"/>
        <w:ind w:left="720" w:hanging="720"/>
        <w:rPr>
          <w:rFonts w:ascii="Arial" w:hAnsi="Arial"/>
          <w:sz w:val="24"/>
          <w:szCs w:val="24"/>
        </w:rPr>
      </w:pPr>
      <w:r>
        <w:rPr>
          <w:rFonts w:ascii="Arial" w:hAnsi="Arial"/>
          <w:sz w:val="24"/>
          <w:szCs w:val="24"/>
        </w:rPr>
        <w:t xml:space="preserve">Rose, N. (1999). </w:t>
      </w:r>
      <w:r>
        <w:rPr>
          <w:rFonts w:ascii="Arial" w:hAnsi="Arial"/>
          <w:i/>
          <w:iCs/>
          <w:sz w:val="24"/>
          <w:szCs w:val="24"/>
        </w:rPr>
        <w:t>Governing the soul: The shaping of the private self</w:t>
      </w:r>
      <w:r>
        <w:rPr>
          <w:rFonts w:ascii="Arial" w:hAnsi="Arial"/>
          <w:sz w:val="24"/>
          <w:szCs w:val="24"/>
        </w:rPr>
        <w:t xml:space="preserve"> (2nd ed.). Routledge.</w:t>
      </w:r>
    </w:p>
    <w:p w14:paraId="530B293A" w14:textId="77777777" w:rsidR="004F3C6B" w:rsidRDefault="00000000">
      <w:pPr>
        <w:spacing w:line="480" w:lineRule="auto"/>
        <w:ind w:left="720" w:hanging="720"/>
        <w:rPr>
          <w:rFonts w:ascii="Arial" w:hAnsi="Arial"/>
          <w:sz w:val="24"/>
          <w:szCs w:val="24"/>
        </w:rPr>
      </w:pPr>
      <w:r>
        <w:rPr>
          <w:rFonts w:ascii="Arial" w:hAnsi="Arial"/>
          <w:sz w:val="24"/>
          <w:szCs w:val="24"/>
        </w:rPr>
        <w:lastRenderedPageBreak/>
        <w:t>Rosenberg, C. (1977). </w:t>
      </w:r>
      <w:r>
        <w:rPr>
          <w:rFonts w:ascii="Arial" w:hAnsi="Arial"/>
          <w:i/>
          <w:iCs/>
          <w:sz w:val="24"/>
          <w:szCs w:val="24"/>
        </w:rPr>
        <w:t>The Therapeutic Revolution: Medicine, Meaning and Social Change in Nineteenth</w:t>
      </w:r>
      <w:r>
        <w:rPr>
          <w:rFonts w:ascii="Arial" w:hAnsi="Arial"/>
          <w:i/>
          <w:iCs/>
          <w:sz w:val="24"/>
          <w:szCs w:val="24"/>
        </w:rPr>
        <w:noBreakHyphen/>
        <w:t>Century America</w:t>
      </w:r>
      <w:r>
        <w:rPr>
          <w:rFonts w:ascii="Arial" w:hAnsi="Arial"/>
          <w:sz w:val="24"/>
          <w:szCs w:val="24"/>
        </w:rPr>
        <w:t xml:space="preserve">. </w:t>
      </w:r>
      <w:hyperlink r:id="rId8" w:history="1">
        <w:r w:rsidR="004F3C6B">
          <w:rPr>
            <w:rStyle w:val="Hyperlink"/>
            <w:rFonts w:ascii="Arial" w:hAnsi="Arial"/>
            <w:sz w:val="24"/>
            <w:szCs w:val="24"/>
          </w:rPr>
          <w:t>https://doi.org/10.1353/pbm.1977.0040</w:t>
        </w:r>
      </w:hyperlink>
    </w:p>
    <w:p w14:paraId="6E3987CF" w14:textId="77777777" w:rsidR="004F3C6B" w:rsidRDefault="00000000">
      <w:pPr>
        <w:spacing w:line="480" w:lineRule="auto"/>
        <w:ind w:left="720" w:hanging="720"/>
        <w:rPr>
          <w:rFonts w:ascii="Arial" w:hAnsi="Arial"/>
          <w:sz w:val="24"/>
          <w:szCs w:val="24"/>
        </w:rPr>
      </w:pPr>
      <w:r>
        <w:rPr>
          <w:rFonts w:ascii="Arial" w:hAnsi="Arial"/>
          <w:sz w:val="24"/>
          <w:szCs w:val="24"/>
        </w:rPr>
        <w:t xml:space="preserve">Scull, A. (1979). </w:t>
      </w:r>
      <w:r>
        <w:rPr>
          <w:rFonts w:ascii="Arial" w:hAnsi="Arial"/>
          <w:i/>
          <w:iCs/>
          <w:sz w:val="24"/>
          <w:szCs w:val="24"/>
        </w:rPr>
        <w:t>Museums of madness: The social organization of insanity in nineteenth-century England</w:t>
      </w:r>
      <w:r>
        <w:rPr>
          <w:rFonts w:ascii="Arial" w:hAnsi="Arial"/>
          <w:sz w:val="24"/>
          <w:szCs w:val="24"/>
        </w:rPr>
        <w:t>. Allen Lane</w:t>
      </w:r>
    </w:p>
    <w:p w14:paraId="301C0610" w14:textId="77777777" w:rsidR="004F3C6B" w:rsidRDefault="00000000">
      <w:pPr>
        <w:spacing w:line="480" w:lineRule="auto"/>
        <w:ind w:left="720" w:hanging="720"/>
        <w:rPr>
          <w:rFonts w:ascii="Arial" w:hAnsi="Arial"/>
          <w:sz w:val="24"/>
          <w:szCs w:val="24"/>
        </w:rPr>
      </w:pPr>
      <w:r>
        <w:rPr>
          <w:rFonts w:ascii="Arial" w:hAnsi="Arial"/>
          <w:sz w:val="24"/>
          <w:szCs w:val="24"/>
        </w:rPr>
        <w:t xml:space="preserve">Scull, A. (1993). </w:t>
      </w:r>
      <w:r>
        <w:rPr>
          <w:rFonts w:ascii="Arial" w:hAnsi="Arial"/>
          <w:i/>
          <w:iCs/>
          <w:sz w:val="24"/>
          <w:szCs w:val="24"/>
        </w:rPr>
        <w:t xml:space="preserve">The most solitary of </w:t>
      </w:r>
      <w:proofErr w:type="gramStart"/>
      <w:r>
        <w:rPr>
          <w:rFonts w:ascii="Arial" w:hAnsi="Arial"/>
          <w:i/>
          <w:iCs/>
          <w:sz w:val="24"/>
          <w:szCs w:val="24"/>
        </w:rPr>
        <w:t>afflictions :</w:t>
      </w:r>
      <w:proofErr w:type="gramEnd"/>
      <w:r>
        <w:rPr>
          <w:rFonts w:ascii="Arial" w:hAnsi="Arial"/>
          <w:i/>
          <w:iCs/>
          <w:sz w:val="24"/>
          <w:szCs w:val="24"/>
        </w:rPr>
        <w:t xml:space="preserve"> Madness and society in Britain 1700-1900</w:t>
      </w:r>
      <w:r>
        <w:rPr>
          <w:rFonts w:ascii="Arial" w:hAnsi="Arial"/>
          <w:sz w:val="24"/>
          <w:szCs w:val="24"/>
        </w:rPr>
        <w:t>. Yale U. P.</w:t>
      </w:r>
    </w:p>
    <w:p w14:paraId="3E216303" w14:textId="77777777" w:rsidR="004F3C6B" w:rsidRDefault="00000000">
      <w:pPr>
        <w:spacing w:line="480" w:lineRule="auto"/>
        <w:ind w:left="720" w:hanging="720"/>
        <w:rPr>
          <w:rFonts w:ascii="Arial" w:hAnsi="Arial"/>
          <w:sz w:val="24"/>
          <w:szCs w:val="24"/>
        </w:rPr>
      </w:pPr>
      <w:r>
        <w:rPr>
          <w:rFonts w:ascii="Arial" w:hAnsi="Arial"/>
          <w:sz w:val="24"/>
          <w:szCs w:val="24"/>
        </w:rPr>
        <w:t>Showalter, E. (1987). </w:t>
      </w:r>
      <w:r>
        <w:rPr>
          <w:rFonts w:ascii="Arial" w:hAnsi="Arial"/>
          <w:i/>
          <w:iCs/>
          <w:sz w:val="24"/>
          <w:szCs w:val="24"/>
        </w:rPr>
        <w:t xml:space="preserve">The female </w:t>
      </w:r>
      <w:proofErr w:type="gramStart"/>
      <w:r>
        <w:rPr>
          <w:rFonts w:ascii="Arial" w:hAnsi="Arial"/>
          <w:i/>
          <w:iCs/>
          <w:sz w:val="24"/>
          <w:szCs w:val="24"/>
        </w:rPr>
        <w:t>malady :</w:t>
      </w:r>
      <w:proofErr w:type="gramEnd"/>
      <w:r>
        <w:rPr>
          <w:rFonts w:ascii="Arial" w:hAnsi="Arial"/>
          <w:i/>
          <w:iCs/>
          <w:sz w:val="24"/>
          <w:szCs w:val="24"/>
        </w:rPr>
        <w:t xml:space="preserve"> women, madness, and English culture, 1830-1980</w:t>
      </w:r>
      <w:r>
        <w:rPr>
          <w:rFonts w:ascii="Arial" w:hAnsi="Arial"/>
          <w:sz w:val="24"/>
          <w:szCs w:val="24"/>
        </w:rPr>
        <w:t>. Virago.</w:t>
      </w:r>
    </w:p>
    <w:p w14:paraId="21E043B5" w14:textId="77777777" w:rsidR="004F3C6B" w:rsidRDefault="00000000">
      <w:pPr>
        <w:spacing w:line="480" w:lineRule="auto"/>
        <w:ind w:left="720" w:hanging="720"/>
        <w:rPr>
          <w:rFonts w:ascii="Arial" w:hAnsi="Arial"/>
          <w:sz w:val="24"/>
          <w:szCs w:val="24"/>
        </w:rPr>
      </w:pPr>
      <w:r>
        <w:rPr>
          <w:rFonts w:ascii="Arial" w:hAnsi="Arial"/>
          <w:sz w:val="24"/>
          <w:szCs w:val="24"/>
        </w:rPr>
        <w:t xml:space="preserve">Tuke, S. (1813). </w:t>
      </w:r>
      <w:r>
        <w:rPr>
          <w:rFonts w:ascii="Arial" w:hAnsi="Arial"/>
          <w:i/>
          <w:iCs/>
          <w:sz w:val="24"/>
          <w:szCs w:val="24"/>
        </w:rPr>
        <w:t>Description of the Retreat, an institution near York, for insane persons of the Society of Friends: Containing an account of its origin and progress, the modes of treatment, and a statement of cases.</w:t>
      </w:r>
      <w:r>
        <w:rPr>
          <w:rFonts w:ascii="Arial" w:hAnsi="Arial"/>
          <w:sz w:val="24"/>
          <w:szCs w:val="24"/>
        </w:rPr>
        <w:t xml:space="preserve"> Isaac Peirce. (First published in York, England, 1813). Full text available from the Internet Archive: </w:t>
      </w:r>
      <w:hyperlink r:id="rId9" w:history="1">
        <w:r w:rsidR="004F3C6B">
          <w:rPr>
            <w:rStyle w:val="Hyperlink"/>
            <w:rFonts w:ascii="Arial" w:hAnsi="Arial"/>
            <w:sz w:val="24"/>
            <w:szCs w:val="24"/>
          </w:rPr>
          <w:t>Description of the Retreat, an institution near York, for insane persons of the Society of Friends : containing an account of its origin and progress, the modes of treatment, and a statement of cases : Tuke, Samuel, 1784-1857 : Free Download, Borrow, and Streaming : Internet Archive</w:t>
        </w:r>
      </w:hyperlink>
    </w:p>
    <w:p w14:paraId="33923386" w14:textId="77777777" w:rsidR="004F3C6B" w:rsidRDefault="00000000">
      <w:pPr>
        <w:spacing w:line="480" w:lineRule="auto"/>
        <w:ind w:left="720" w:hanging="720"/>
        <w:rPr>
          <w:rFonts w:ascii="Arial" w:hAnsi="Arial"/>
          <w:sz w:val="24"/>
          <w:szCs w:val="24"/>
        </w:rPr>
      </w:pPr>
      <w:r>
        <w:rPr>
          <w:rFonts w:ascii="Arial" w:hAnsi="Arial"/>
          <w:sz w:val="24"/>
          <w:szCs w:val="24"/>
        </w:rPr>
        <w:t xml:space="preserve">Wallis, A. (2020). </w:t>
      </w:r>
      <w:r>
        <w:rPr>
          <w:rFonts w:ascii="Arial" w:hAnsi="Arial"/>
          <w:i/>
          <w:iCs/>
          <w:sz w:val="24"/>
          <w:szCs w:val="24"/>
        </w:rPr>
        <w:t>Unnatural womanhood: Moral treatment, puerperal insanity and the female patients at the Fremantle Lunatic Asylum, 1858–1908.</w:t>
      </w:r>
      <w:r>
        <w:rPr>
          <w:rFonts w:ascii="Arial" w:hAnsi="Arial"/>
          <w:sz w:val="24"/>
          <w:szCs w:val="24"/>
        </w:rPr>
        <w:t xml:space="preserve"> Lilith: A Feminist History Journal, 26, 171-195.</w:t>
      </w:r>
    </w:p>
    <w:p w14:paraId="0ACF5B13" w14:textId="77777777" w:rsidR="004F3C6B" w:rsidRDefault="00000000">
      <w:pPr>
        <w:spacing w:line="480" w:lineRule="auto"/>
        <w:ind w:left="720" w:hanging="720"/>
        <w:rPr>
          <w:rFonts w:ascii="Arial" w:hAnsi="Arial"/>
          <w:sz w:val="24"/>
          <w:szCs w:val="24"/>
        </w:rPr>
      </w:pPr>
      <w:r>
        <w:rPr>
          <w:rFonts w:ascii="Arial" w:hAnsi="Arial"/>
          <w:sz w:val="24"/>
          <w:szCs w:val="24"/>
        </w:rPr>
        <w:t xml:space="preserve">Wright, D. (1997). Getting out of the asylum: Understanding the confinement of the insane in the nineteenth century. </w:t>
      </w:r>
      <w:r>
        <w:rPr>
          <w:rFonts w:ascii="Arial" w:hAnsi="Arial"/>
          <w:i/>
          <w:iCs/>
          <w:sz w:val="24"/>
          <w:szCs w:val="24"/>
        </w:rPr>
        <w:t>Social History of Medicine, 10</w:t>
      </w:r>
      <w:r>
        <w:rPr>
          <w:rFonts w:ascii="Arial" w:hAnsi="Arial"/>
          <w:sz w:val="24"/>
          <w:szCs w:val="24"/>
        </w:rPr>
        <w:t>(1), 137–155. https://doi.org/10.1093/shm/10.1.137</w:t>
      </w:r>
    </w:p>
    <w:p w14:paraId="4FE58EA4" w14:textId="77777777" w:rsidR="004F3C6B" w:rsidRDefault="00000000">
      <w:pPr>
        <w:spacing w:line="480" w:lineRule="auto"/>
        <w:ind w:left="720" w:hanging="720"/>
        <w:rPr>
          <w:rFonts w:ascii="Arial" w:hAnsi="Arial"/>
          <w:sz w:val="24"/>
          <w:szCs w:val="24"/>
        </w:rPr>
      </w:pPr>
      <w:r>
        <w:rPr>
          <w:rFonts w:ascii="Arial" w:hAnsi="Arial"/>
          <w:sz w:val="24"/>
          <w:szCs w:val="24"/>
        </w:rPr>
        <w:lastRenderedPageBreak/>
        <w:t>WRIGHT, D. (1997). Getting Out of the Asylum: Understanding the Confinement of the Insane in the Nineteenth Century. </w:t>
      </w:r>
      <w:r>
        <w:rPr>
          <w:rFonts w:ascii="Arial" w:hAnsi="Arial"/>
          <w:i/>
          <w:iCs/>
          <w:sz w:val="24"/>
          <w:szCs w:val="24"/>
        </w:rPr>
        <w:t xml:space="preserve">Social History of </w:t>
      </w:r>
      <w:proofErr w:type="gramStart"/>
      <w:r>
        <w:rPr>
          <w:rFonts w:ascii="Arial" w:hAnsi="Arial"/>
          <w:i/>
          <w:iCs/>
          <w:sz w:val="24"/>
          <w:szCs w:val="24"/>
        </w:rPr>
        <w:t>Medicine :</w:t>
      </w:r>
      <w:proofErr w:type="gramEnd"/>
      <w:r>
        <w:rPr>
          <w:rFonts w:ascii="Arial" w:hAnsi="Arial"/>
          <w:i/>
          <w:iCs/>
          <w:sz w:val="24"/>
          <w:szCs w:val="24"/>
        </w:rPr>
        <w:t xml:space="preserve"> The Journal of the Society for the Social History of Medicine</w:t>
      </w:r>
      <w:r>
        <w:rPr>
          <w:rFonts w:ascii="Arial" w:hAnsi="Arial"/>
          <w:sz w:val="24"/>
          <w:szCs w:val="24"/>
        </w:rPr>
        <w:t>, </w:t>
      </w:r>
      <w:r>
        <w:rPr>
          <w:rFonts w:ascii="Arial" w:hAnsi="Arial"/>
          <w:i/>
          <w:iCs/>
          <w:sz w:val="24"/>
          <w:szCs w:val="24"/>
        </w:rPr>
        <w:t>10</w:t>
      </w:r>
      <w:r>
        <w:rPr>
          <w:rFonts w:ascii="Arial" w:hAnsi="Arial"/>
          <w:sz w:val="24"/>
          <w:szCs w:val="24"/>
        </w:rPr>
        <w:t xml:space="preserve">(1), 137–155. </w:t>
      </w:r>
      <w:hyperlink r:id="rId10" w:history="1">
        <w:r w:rsidR="004F3C6B">
          <w:rPr>
            <w:rStyle w:val="Hyperlink"/>
            <w:rFonts w:ascii="Arial" w:hAnsi="Arial"/>
            <w:sz w:val="24"/>
            <w:szCs w:val="24"/>
          </w:rPr>
          <w:t>https://doi.org/10.1093/shm/10.1.137</w:t>
        </w:r>
      </w:hyperlink>
    </w:p>
    <w:p w14:paraId="349DFFE6" w14:textId="77777777" w:rsidR="004F3C6B" w:rsidRDefault="004F3C6B">
      <w:pPr>
        <w:spacing w:line="480" w:lineRule="auto"/>
        <w:ind w:firstLine="720"/>
        <w:rPr>
          <w:rFonts w:ascii="Arial" w:hAnsi="Arial"/>
          <w:sz w:val="24"/>
          <w:szCs w:val="24"/>
        </w:rPr>
      </w:pPr>
    </w:p>
    <w:sectPr w:rsidR="004F3C6B">
      <w:headerReference w:type="default" r:id="rId11"/>
      <w:foot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D2509" w14:textId="77777777" w:rsidR="00303395" w:rsidRDefault="00303395">
      <w:pPr>
        <w:spacing w:after="0" w:line="240" w:lineRule="auto"/>
      </w:pPr>
      <w:r>
        <w:separator/>
      </w:r>
    </w:p>
  </w:endnote>
  <w:endnote w:type="continuationSeparator" w:id="0">
    <w:p w14:paraId="457C8FC6" w14:textId="77777777" w:rsidR="00303395" w:rsidRDefault="00303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roid Sans">
    <w:altName w:val="Segoe UI"/>
    <w:charset w:val="00"/>
    <w:family w:val="auto"/>
    <w:pitch w:val="variable"/>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2315841"/>
      <w:docPartObj>
        <w:docPartGallery w:val="AutoText"/>
        <w:docPartUnique/>
      </w:docPartObj>
    </w:sdtPr>
    <w:sdtContent>
      <w:p w14:paraId="18415B1F" w14:textId="77777777" w:rsidR="004F3C6B" w:rsidRDefault="00000000">
        <w:pPr>
          <w:pStyle w:val="Footer"/>
          <w:jc w:val="right"/>
        </w:pPr>
        <w:r>
          <w:fldChar w:fldCharType="begin"/>
        </w:r>
        <w:r>
          <w:instrText>PAGE   \* MERGEFORMAT</w:instrText>
        </w:r>
        <w:r>
          <w:fldChar w:fldCharType="separate"/>
        </w:r>
        <w:r>
          <w:t>2</w:t>
        </w:r>
        <w:r>
          <w:fldChar w:fldCharType="end"/>
        </w:r>
      </w:p>
    </w:sdtContent>
  </w:sdt>
  <w:p w14:paraId="1E5168A4" w14:textId="77777777" w:rsidR="004F3C6B" w:rsidRDefault="004F3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F731E" w14:textId="77777777" w:rsidR="00303395" w:rsidRDefault="00303395">
      <w:pPr>
        <w:spacing w:after="0" w:line="240" w:lineRule="auto"/>
      </w:pPr>
      <w:r>
        <w:separator/>
      </w:r>
    </w:p>
  </w:footnote>
  <w:footnote w:type="continuationSeparator" w:id="0">
    <w:p w14:paraId="51F7389B" w14:textId="77777777" w:rsidR="00303395" w:rsidRDefault="003033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BEB6F" w14:textId="77777777" w:rsidR="004F3C6B" w:rsidRDefault="00000000">
    <w:pPr>
      <w:pStyle w:val="Header"/>
    </w:pPr>
    <w:r>
      <w:t>History of Counselling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drawingGridHorizontalSpacing w:val="110"/>
  <w:drawingGridVerticalSpacing w:val="156"/>
  <w:displayHorizontalDrawingGridEvery w:val="0"/>
  <w:characterSpacingControl w:val="doNotCompress"/>
  <w:footnotePr>
    <w:footnote w:id="-1"/>
    <w:footnote w:id="0"/>
  </w:footnotePr>
  <w:endnotePr>
    <w:endnote w:id="-1"/>
    <w:endnote w:id="0"/>
  </w:endnotePr>
  <w:compat>
    <w:spaceForUL/>
    <w:growAutofit/>
    <w:useFELayout/>
    <w:compatSetting w:name="compatibilityMode" w:uri="http://schemas.microsoft.com/office/word" w:val="14"/>
    <w:compatSetting w:name="useWord2013TrackBottomHyphenation" w:uri="http://schemas.microsoft.com/office/word" w:val="1"/>
  </w:compat>
  <w:rsids>
    <w:rsidRoot w:val="004F3C6B"/>
    <w:rsid w:val="00131F76"/>
    <w:rsid w:val="00253432"/>
    <w:rsid w:val="00303395"/>
    <w:rsid w:val="003F395E"/>
    <w:rsid w:val="004F3C6B"/>
    <w:rsid w:val="00693F52"/>
    <w:rsid w:val="0073620C"/>
    <w:rsid w:val="00754DB1"/>
    <w:rsid w:val="008A2833"/>
    <w:rsid w:val="009A7186"/>
    <w:rsid w:val="00B14DFA"/>
    <w:rsid w:val="00C72DF6"/>
    <w:rsid w:val="00D15B78"/>
    <w:rsid w:val="00DA33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1236C"/>
  <w15:docId w15:val="{8274EC0F-1698-4751-83F8-519D6A9C4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Droid Sans" w:eastAsia="Droid Sans" w:cs="Arial"/>
      <w:kern w:val="2"/>
      <w:sz w:val="22"/>
      <w:szCs w:val="22"/>
      <w:lang w:val="en-GB" w:eastAsia="en-US"/>
    </w:rPr>
  </w:style>
  <w:style w:type="paragraph" w:styleId="Heading1">
    <w:name w:val="heading 1"/>
    <w:basedOn w:val="Normal"/>
    <w:next w:val="Normal"/>
    <w:uiPriority w:val="9"/>
    <w:qFormat/>
    <w:pPr>
      <w:keepNext/>
      <w:keepLines/>
      <w:spacing w:before="360" w:after="80"/>
      <w:outlineLvl w:val="0"/>
    </w:pPr>
    <w:rPr>
      <w:rFonts w:eastAsia="DengXian Light" w:hAnsi="Droid Sans"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eastAsia="DengXian Light" w:hAnsi="Droid Sans"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cs="Times New Roman"/>
      <w:i/>
      <w:iCs/>
      <w:color w:val="595959"/>
    </w:rPr>
  </w:style>
  <w:style w:type="paragraph" w:styleId="Heading7">
    <w:name w:val="heading 7"/>
    <w:basedOn w:val="Normal"/>
    <w:next w:val="Normal"/>
    <w:pPr>
      <w:keepNext/>
      <w:keepLines/>
      <w:spacing w:before="40" w:after="0"/>
      <w:outlineLvl w:val="6"/>
    </w:pPr>
    <w:rPr>
      <w:rFonts w:eastAsia="DengXian Light" w:cs="Times New Roman"/>
      <w:color w:val="595959"/>
    </w:rPr>
  </w:style>
  <w:style w:type="paragraph" w:styleId="Heading8">
    <w:name w:val="heading 8"/>
    <w:basedOn w:val="Normal"/>
    <w:next w:val="Normal"/>
    <w:pPr>
      <w:keepNext/>
      <w:keepLines/>
      <w:spacing w:after="0"/>
      <w:outlineLvl w:val="7"/>
    </w:pPr>
    <w:rPr>
      <w:rFonts w:eastAsia="DengXian Light" w:cs="Times New Roman"/>
      <w:i/>
      <w:iCs/>
      <w:color w:val="272727"/>
    </w:rPr>
  </w:style>
  <w:style w:type="paragraph" w:styleId="Heading9">
    <w:name w:val="heading 9"/>
    <w:basedOn w:val="Normal"/>
    <w:next w:val="Normal"/>
    <w:pPr>
      <w:keepNext/>
      <w:keepLines/>
      <w:spacing w:after="0"/>
      <w:outlineLvl w:val="8"/>
    </w:pPr>
    <w:rPr>
      <w:rFonts w:eastAsia="DengXian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contextualSpacing/>
    </w:pPr>
    <w:rPr>
      <w:rFonts w:eastAsia="DengXian Light" w:hAnsi="Droid Sans" w:cs="Times New Roman"/>
      <w:spacing w:val="-10"/>
      <w:kern w:val="28"/>
      <w:sz w:val="56"/>
      <w:szCs w:val="56"/>
    </w:rPr>
  </w:style>
  <w:style w:type="paragraph" w:styleId="Subtitle">
    <w:name w:val="Subtitle"/>
    <w:basedOn w:val="Normal"/>
    <w:next w:val="Normal"/>
    <w:uiPriority w:val="11"/>
    <w:qFormat/>
    <w:rPr>
      <w:rFonts w:eastAsia="DengXian Light" w:cs="Times New Roman"/>
      <w:color w:val="595959"/>
      <w:spacing w:val="15"/>
      <w:sz w:val="28"/>
      <w:szCs w:val="28"/>
    </w:rPr>
  </w:style>
  <w:style w:type="paragraph" w:customStyle="1" w:styleId="Quote1">
    <w:name w:val="Quote1"/>
    <w:basedOn w:val="Normal"/>
    <w:next w:val="Normal"/>
    <w:pPr>
      <w:spacing w:before="160"/>
      <w:jc w:val="center"/>
    </w:pPr>
    <w:rPr>
      <w:i/>
      <w:iCs/>
      <w:color w:val="404040"/>
    </w:rPr>
  </w:style>
  <w:style w:type="paragraph" w:customStyle="1" w:styleId="ListParagraph1">
    <w:name w:val="List Paragraph1"/>
    <w:basedOn w:val="Normal"/>
    <w:pPr>
      <w:ind w:left="720"/>
      <w:contextualSpacing/>
    </w:pPr>
  </w:style>
  <w:style w:type="character" w:customStyle="1" w:styleId="IntenseEmphasis1">
    <w:name w:val="Intense Emphasis1"/>
    <w:basedOn w:val="DefaultParagraphFont"/>
    <w:rPr>
      <w:i/>
      <w:iCs/>
      <w:color w:val="0F4761"/>
    </w:rPr>
  </w:style>
  <w:style w:type="paragraph" w:customStyle="1" w:styleId="IntenseQuote1">
    <w:name w:val="Intense Quote1"/>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Reference1">
    <w:name w:val="Intense Reference1"/>
    <w:basedOn w:val="DefaultParagraphFont"/>
    <w:rPr>
      <w:b/>
      <w:bCs/>
      <w:caps w:val="0"/>
      <w:smallCaps/>
      <w:color w:val="0F4761"/>
      <w:spacing w:val="5"/>
    </w:rPr>
  </w:style>
  <w:style w:type="paragraph" w:styleId="Header">
    <w:name w:val="header"/>
    <w:basedOn w:val="Normal"/>
    <w:pPr>
      <w:tabs>
        <w:tab w:val="center" w:pos="4513"/>
        <w:tab w:val="right" w:pos="9026"/>
      </w:tabs>
      <w:spacing w:after="0" w:line="240" w:lineRule="auto"/>
    </w:pPr>
  </w:style>
  <w:style w:type="paragraph" w:styleId="Footer">
    <w:name w:val="footer"/>
    <w:basedOn w:val="Normal"/>
    <w:pPr>
      <w:tabs>
        <w:tab w:val="center" w:pos="4513"/>
        <w:tab w:val="right" w:pos="9026"/>
      </w:tabs>
      <w:spacing w:after="0" w:line="240" w:lineRule="auto"/>
    </w:pPr>
  </w:style>
  <w:style w:type="character" w:styleId="Hyperlink">
    <w:name w:val="Hyperlink"/>
    <w:basedOn w:val="DefaultParagraphFont"/>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53/pbm.1977.004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rchive.org/details/treatiseoninsani00pine?utm_source=chatgpt.com"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socsci11100432"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10.1093/shm/10.1.137" TargetMode="External"/><Relationship Id="rId4" Type="http://schemas.openxmlformats.org/officeDocument/2006/relationships/footnotes" Target="footnotes.xml"/><Relationship Id="rId9" Type="http://schemas.openxmlformats.org/officeDocument/2006/relationships/hyperlink" Target="https://archive.org/details/2575045R.nlm.nih.gov/page/20/mode/2u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Sophie Jones</cp:lastModifiedBy>
  <cp:revision>2</cp:revision>
  <cp:lastPrinted>2025-11-12T16:46:00Z</cp:lastPrinted>
  <dcterms:created xsi:type="dcterms:W3CDTF">2025-11-21T11:09:00Z</dcterms:created>
  <dcterms:modified xsi:type="dcterms:W3CDTF">2025-11-21T11:09:00Z</dcterms:modified>
</cp:coreProperties>
</file>