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06283" w14:textId="77777777" w:rsidR="00FE1116" w:rsidRDefault="00FE1116" w:rsidP="00FE1116">
      <w:pPr>
        <w:rPr>
          <w:b/>
          <w:bCs/>
        </w:rPr>
      </w:pPr>
      <w:r w:rsidRPr="002D10F0">
        <w:rPr>
          <w:b/>
          <w:bCs/>
          <w:sz w:val="24"/>
          <w:szCs w:val="24"/>
        </w:rPr>
        <w:t>Examine the various socio-economic and psychological characteristics which can make people vulnerable to exploitation by criminal gangs</w:t>
      </w:r>
      <w:r w:rsidRPr="002D10F0">
        <w:rPr>
          <w:b/>
          <w:bCs/>
        </w:rPr>
        <w:t>.</w:t>
      </w:r>
    </w:p>
    <w:p w14:paraId="62A03BCA" w14:textId="77777777" w:rsidR="00FE1116" w:rsidRPr="001D58B5" w:rsidRDefault="00FE1116" w:rsidP="00FE1116">
      <w:r w:rsidRPr="001D58B5">
        <w:t>When we talk about vulnerability to exploitation and criminal gangs, we are often faced with a mixture of socio-economic problems, psychological characteristics, and money problems. This essay will aim to highlight why some people become more likely to be influenced by criminal groups. Using academic research, I will talk about the factors that contribute to people’s vulnerabilities.</w:t>
      </w:r>
      <w:r>
        <w:t xml:space="preserve"> Additionally, by examining the demographic profiles, psychological characteristics, educational and employment status, as well as cultural and social influences, this essay will explore the multifaceted nature of vulnerability to gang exploitation.</w:t>
      </w:r>
    </w:p>
    <w:p w14:paraId="3822AC7E" w14:textId="77777777" w:rsidR="00FE1116" w:rsidRDefault="00FE1116" w:rsidP="00FE1116">
      <w:pPr>
        <w:rPr>
          <w:sz w:val="24"/>
          <w:szCs w:val="24"/>
        </w:rPr>
      </w:pPr>
      <w:r>
        <w:rPr>
          <w:sz w:val="24"/>
          <w:szCs w:val="24"/>
        </w:rPr>
        <w:t>Socio-economic factors play a significant role in contributing to the vulnerability to exploitation by criminal gangs in the UK. Research findings from Home Office funded projects highlighted that young people with clear vulnerabilities, for example learning difficulties are particularly susceptible to exploitation by criminal gangs. (N. Thompson,2019). The study also revealed that complex reasons, including the need to provide for their families during unemployment and financial struggles, pushed young individuals towards involvement in criminal gangs (Thompson, 2019) Additionally, an analysis of the music culture within young people indicates that some rap-based songs made by UK artists showed that even themselves like poverty and involvement in crime, this was featured in their lyrics, reflecting the lived experiences of black boys who have encountered various adversities. (B. Hall et al, 2022)</w:t>
      </w:r>
    </w:p>
    <w:p w14:paraId="25403E22" w14:textId="77777777" w:rsidR="00FE1116" w:rsidRDefault="00FE1116" w:rsidP="00FE1116">
      <w:pPr>
        <w:rPr>
          <w:sz w:val="24"/>
          <w:szCs w:val="24"/>
        </w:rPr>
      </w:pPr>
      <w:r>
        <w:rPr>
          <w:sz w:val="24"/>
          <w:szCs w:val="24"/>
        </w:rPr>
        <w:t>Additional, Individuals with few friends or no community ties can easily be taken advantage of. Criminal gangs are thriving in places where community links are lacking. (Gary Winkel, 2004) The general idea of having more friends and a status within the gang can be very appealing to individuals that are struggling to form community ties. The feeling that they belong in a social group and have their own identity is the reason they are drawn to joining or associating with criminal gangs. (</w:t>
      </w:r>
      <w:proofErr w:type="spellStart"/>
      <w:r>
        <w:rPr>
          <w:sz w:val="24"/>
          <w:szCs w:val="24"/>
        </w:rPr>
        <w:t>Molla</w:t>
      </w:r>
      <w:proofErr w:type="spellEnd"/>
      <w:r>
        <w:rPr>
          <w:sz w:val="24"/>
          <w:szCs w:val="24"/>
        </w:rPr>
        <w:t>, 2023)</w:t>
      </w:r>
    </w:p>
    <w:p w14:paraId="2C9C6875" w14:textId="77777777" w:rsidR="00FE1116" w:rsidRDefault="00FE1116" w:rsidP="00FE1116">
      <w:pPr>
        <w:rPr>
          <w:sz w:val="24"/>
          <w:szCs w:val="24"/>
        </w:rPr>
      </w:pPr>
      <w:r>
        <w:rPr>
          <w:sz w:val="24"/>
          <w:szCs w:val="24"/>
        </w:rPr>
        <w:t xml:space="preserve">Furthermore, children that have had tough childhood and bad experiences with family and friends would be vulnerable to exploitation by criminal gangs. Children that had experienced abuse, neglect, or other adverse childhood experiences (ACES) (NHS 75 Manchester University) would often turn to gangs to escape their difficult situations. These tough experiences can have an influence on the children’s resilience and their ability to bounce back, this would in turn make them more likely to be attracted to the false promises often given by criminal groups. (Kevin T, 2020) </w:t>
      </w:r>
    </w:p>
    <w:p w14:paraId="07601CA3" w14:textId="77777777" w:rsidR="00FE1116" w:rsidRDefault="00FE1116" w:rsidP="00FE1116">
      <w:pPr>
        <w:rPr>
          <w:sz w:val="24"/>
          <w:szCs w:val="24"/>
        </w:rPr>
      </w:pPr>
      <w:r>
        <w:rPr>
          <w:sz w:val="24"/>
          <w:szCs w:val="24"/>
        </w:rPr>
        <w:t>People caught in the middle of this cycle will have a relatively high chance of being involved in criminal activities or being vulnerable to exploitation by gangs. Understanding vulnerability will mean that we need to evaluate how money issues and people’s thoughts of searching for ways of making money and fining a sense of purpose work together. (Thompson, 2019)</w:t>
      </w:r>
    </w:p>
    <w:p w14:paraId="0D373B50" w14:textId="77777777" w:rsidR="00FE1116" w:rsidRDefault="00FE1116" w:rsidP="00FE1116">
      <w:pPr>
        <w:rPr>
          <w:sz w:val="24"/>
          <w:szCs w:val="24"/>
        </w:rPr>
      </w:pPr>
      <w:r>
        <w:rPr>
          <w:sz w:val="24"/>
          <w:szCs w:val="24"/>
        </w:rPr>
        <w:t xml:space="preserve">Programs that will have a focus on children’s education, giving adults a better work opportunity, and increased support with mental health, anxiety and depression issues will </w:t>
      </w:r>
      <w:r>
        <w:rPr>
          <w:sz w:val="24"/>
          <w:szCs w:val="24"/>
        </w:rPr>
        <w:lastRenderedPageBreak/>
        <w:t xml:space="preserve">have a very positive impact on the individuals involved and would steer them away from being vulnerable to exploitation. (Lance, Lochner 2012, The impact of education on crime). </w:t>
      </w:r>
    </w:p>
    <w:p w14:paraId="1AEB11FB" w14:textId="77777777" w:rsidR="00FE1116" w:rsidRDefault="00FE1116" w:rsidP="00FE1116">
      <w:pPr>
        <w:rPr>
          <w:sz w:val="24"/>
          <w:szCs w:val="24"/>
        </w:rPr>
      </w:pPr>
      <w:r>
        <w:rPr>
          <w:sz w:val="24"/>
          <w:szCs w:val="24"/>
        </w:rPr>
        <w:t>The Police forces across the United Kingdom will have different strategies they employ to prevent the influence of criminal gangs on those individuals that will often find themselves in a position of vulnerability. For example, several community policing initiatives have been implemented to build positive relationship between the police and the communities they serve. It is vital that police are addressing neighbourhood issues raised even if minor, any disorders, and other anti-social behaviour concerns, as neglecting those will in turn contribute to a</w:t>
      </w:r>
    </w:p>
    <w:p w14:paraId="471D7A36" w14:textId="77777777" w:rsidR="00FE1116" w:rsidRDefault="00FE1116" w:rsidP="00FE1116">
      <w:pPr>
        <w:rPr>
          <w:sz w:val="24"/>
          <w:szCs w:val="24"/>
        </w:rPr>
      </w:pPr>
      <w:r>
        <w:rPr>
          <w:sz w:val="24"/>
          <w:szCs w:val="24"/>
        </w:rPr>
        <w:t xml:space="preserve">negative environment, and no community cohesion, which will contribute to criminal activities within the neighbourhood. (Hobson et al. 2018) The effort needs to be collaborative between, schools, social services and other community organisations that can provide resources and support to deter people from criminal activity. Certain programs for people involved in gang activity and anti-social behaviour can be crucial into breaking the cycle of vulnerability and exploitation. (William H,2006) </w:t>
      </w:r>
    </w:p>
    <w:p w14:paraId="50E65404" w14:textId="77777777" w:rsidR="00FE1116" w:rsidRDefault="00FE1116" w:rsidP="00FE1116">
      <w:pPr>
        <w:rPr>
          <w:sz w:val="24"/>
          <w:szCs w:val="24"/>
        </w:rPr>
      </w:pPr>
    </w:p>
    <w:p w14:paraId="2F31F499" w14:textId="77777777" w:rsidR="00FE1116" w:rsidRDefault="00FE1116" w:rsidP="00FE1116">
      <w:pPr>
        <w:rPr>
          <w:sz w:val="24"/>
          <w:szCs w:val="24"/>
        </w:rPr>
      </w:pPr>
      <w:r>
        <w:rPr>
          <w:sz w:val="24"/>
          <w:szCs w:val="24"/>
        </w:rPr>
        <w:t>Additionally, recognizing that vulnerability often will come from socio-economic and psychological factors, the Police forces have different approaches in dealing with this. Police Community Support Officers can be a great way of encouraging members of the community to engage with the police. PCSOS will also work with social services and other community groups to develop solutions and address issues within the community that will eventually lead to people becoming vulnerable and exploited. (P. Ramshaw, 2015)</w:t>
      </w:r>
    </w:p>
    <w:p w14:paraId="2A814E93" w14:textId="77777777" w:rsidR="00FE1116" w:rsidRDefault="00FE1116" w:rsidP="00FE1116">
      <w:pPr>
        <w:rPr>
          <w:sz w:val="24"/>
          <w:szCs w:val="24"/>
        </w:rPr>
      </w:pPr>
    </w:p>
    <w:p w14:paraId="3DB031B2" w14:textId="77777777" w:rsidR="00FE1116" w:rsidRDefault="00FE1116" w:rsidP="00FE1116">
      <w:pPr>
        <w:rPr>
          <w:sz w:val="24"/>
          <w:szCs w:val="24"/>
        </w:rPr>
      </w:pPr>
      <w:r>
        <w:rPr>
          <w:sz w:val="24"/>
          <w:szCs w:val="24"/>
        </w:rPr>
        <w:t xml:space="preserve">Furthermore, community policing initiatives would often include educational programs and other opportunities for youths like the Police Cadets. Those programs are aiming to disrupt the cycle of vulnerability and contribute to building resilience and give those individuals susceptible to exploitation a sense of purpose and a place they belong. By exposing the police cadets to community policing, crime prevention strategies and other activities will lead them to making future positive choices. (Pepper, I.., Rogers, C. (2022) </w:t>
      </w:r>
    </w:p>
    <w:p w14:paraId="2B6F60C4" w14:textId="77777777" w:rsidR="00FE1116" w:rsidRDefault="00FE1116" w:rsidP="00FE1116">
      <w:pPr>
        <w:rPr>
          <w:sz w:val="24"/>
          <w:szCs w:val="24"/>
        </w:rPr>
      </w:pPr>
    </w:p>
    <w:p w14:paraId="6AE016A4" w14:textId="77777777" w:rsidR="00FE1116" w:rsidRDefault="00FE1116" w:rsidP="00FE1116">
      <w:pPr>
        <w:rPr>
          <w:sz w:val="24"/>
          <w:szCs w:val="24"/>
        </w:rPr>
      </w:pPr>
      <w:r>
        <w:rPr>
          <w:sz w:val="24"/>
          <w:szCs w:val="24"/>
        </w:rPr>
        <w:t xml:space="preserve">In conclusion, looking at the bigger picture of vulnerability to criminal gangs within the </w:t>
      </w:r>
      <w:proofErr w:type="spellStart"/>
      <w:r>
        <w:rPr>
          <w:sz w:val="24"/>
          <w:szCs w:val="24"/>
        </w:rPr>
        <w:t>uk</w:t>
      </w:r>
      <w:proofErr w:type="spellEnd"/>
      <w:r>
        <w:rPr>
          <w:sz w:val="24"/>
          <w:szCs w:val="24"/>
        </w:rPr>
        <w:t xml:space="preserve">, a mixture of money issues and vulnerable young children is present. By looking at these factors, the police and other partnership agencies need to find solutions that will address both money problems and the psychological aspect of the vulnerability. </w:t>
      </w:r>
      <w:proofErr w:type="gramStart"/>
      <w:r>
        <w:rPr>
          <w:sz w:val="24"/>
          <w:szCs w:val="24"/>
        </w:rPr>
        <w:t>This is why</w:t>
      </w:r>
      <w:proofErr w:type="gramEnd"/>
      <w:r>
        <w:rPr>
          <w:sz w:val="24"/>
          <w:szCs w:val="24"/>
        </w:rPr>
        <w:t xml:space="preserve"> police forces are working actively to stop young children and adults from being involved with criminal activities and deter them from anti-social behaviour. They often would work with social services and other community groups with a common goal, to break the cycle of poverty and limited opportunities within the communities. Through the efforts of all partnership agencies, a stronger communities will form, and people will be less likely to be involved in crime.</w:t>
      </w:r>
    </w:p>
    <w:p w14:paraId="31D190CF" w14:textId="77777777" w:rsidR="00FE1116" w:rsidRDefault="00FE1116" w:rsidP="00FE1116">
      <w:pPr>
        <w:rPr>
          <w:sz w:val="24"/>
          <w:szCs w:val="24"/>
        </w:rPr>
      </w:pPr>
    </w:p>
    <w:p w14:paraId="4FAD1929" w14:textId="77777777" w:rsidR="00FE1116" w:rsidRDefault="00FE1116" w:rsidP="00FE1116">
      <w:pPr>
        <w:rPr>
          <w:sz w:val="24"/>
          <w:szCs w:val="24"/>
        </w:rPr>
      </w:pPr>
    </w:p>
    <w:p w14:paraId="3EAB0A11" w14:textId="77777777" w:rsidR="00FE1116" w:rsidRPr="008F5054" w:rsidRDefault="00FE1116" w:rsidP="00FE1116">
      <w:pPr>
        <w:rPr>
          <w:b/>
          <w:bCs/>
          <w:sz w:val="24"/>
          <w:szCs w:val="24"/>
        </w:rPr>
      </w:pPr>
      <w:r w:rsidRPr="008F5054">
        <w:rPr>
          <w:b/>
          <w:bCs/>
          <w:sz w:val="24"/>
          <w:szCs w:val="24"/>
        </w:rPr>
        <w:t>Word Count: 9</w:t>
      </w:r>
      <w:r>
        <w:rPr>
          <w:b/>
          <w:bCs/>
          <w:sz w:val="24"/>
          <w:szCs w:val="24"/>
        </w:rPr>
        <w:t>33</w:t>
      </w:r>
    </w:p>
    <w:p w14:paraId="42AE15A7" w14:textId="77777777" w:rsidR="00FE1116" w:rsidRDefault="00FE1116" w:rsidP="00FE1116">
      <w:pPr>
        <w:rPr>
          <w:sz w:val="24"/>
          <w:szCs w:val="24"/>
        </w:rPr>
      </w:pPr>
    </w:p>
    <w:p w14:paraId="2B817B97" w14:textId="77777777" w:rsidR="00FE1116" w:rsidRDefault="00FE1116" w:rsidP="00FE1116">
      <w:pPr>
        <w:pStyle w:val="PlainText"/>
      </w:pPr>
      <w:proofErr w:type="spellStart"/>
      <w:r>
        <w:t>Джaкубaевa</w:t>
      </w:r>
      <w:proofErr w:type="spellEnd"/>
      <w:r>
        <w:t xml:space="preserve">, &amp; </w:t>
      </w:r>
      <w:proofErr w:type="spellStart"/>
      <w:r>
        <w:t>Жекенов</w:t>
      </w:r>
      <w:proofErr w:type="spellEnd"/>
      <w:r>
        <w:t xml:space="preserve">. (2019, August 4). </w:t>
      </w:r>
      <w:hyperlink r:id="rId6" w:history="1">
        <w:r>
          <w:rPr>
            <w:rStyle w:val="Hyperlink"/>
          </w:rPr>
          <w:t>https://bulletin-orientalism.kaznu.kz/index.php/1-vostok/article/view/1396</w:t>
        </w:r>
      </w:hyperlink>
      <w:r>
        <w:t xml:space="preserve">. Journal of Oriental Studies, 89(2). </w:t>
      </w:r>
      <w:hyperlink r:id="rId7" w:history="1">
        <w:r>
          <w:rPr>
            <w:rStyle w:val="Hyperlink"/>
          </w:rPr>
          <w:t>https://doi.org/10.26577/jos.v89i2.1396</w:t>
        </w:r>
      </w:hyperlink>
    </w:p>
    <w:p w14:paraId="216F141E" w14:textId="77777777" w:rsidR="00FE1116" w:rsidRDefault="00FE1116" w:rsidP="00FE1116">
      <w:pPr>
        <w:pStyle w:val="PlainText"/>
      </w:pPr>
      <w:r>
        <w:t xml:space="preserve"> </w:t>
      </w:r>
    </w:p>
    <w:p w14:paraId="3D638895" w14:textId="77777777" w:rsidR="00FE1116" w:rsidRDefault="00FE1116" w:rsidP="00FE1116">
      <w:pPr>
        <w:pStyle w:val="PlainText"/>
      </w:pPr>
      <w:r>
        <w:t xml:space="preserve">Cosgrove, F., &amp; Ramshaw, P. (2013, June 4). It is what you do as well as the way that you do it: the value and deployment of PCSOs in achieving public engagement. Policing and Society, 25(1), 77–96. </w:t>
      </w:r>
      <w:hyperlink r:id="rId8" w:history="1">
        <w:r>
          <w:rPr>
            <w:rStyle w:val="Hyperlink"/>
          </w:rPr>
          <w:t>https://doi.org/10.1080/10439463.2013.802787</w:t>
        </w:r>
      </w:hyperlink>
    </w:p>
    <w:p w14:paraId="2E7B931F" w14:textId="77777777" w:rsidR="00FE1116" w:rsidRDefault="00FE1116" w:rsidP="00FE1116">
      <w:pPr>
        <w:pStyle w:val="PlainText"/>
      </w:pPr>
      <w:r>
        <w:t xml:space="preserve"> </w:t>
      </w:r>
    </w:p>
    <w:p w14:paraId="55C7E1AE" w14:textId="77777777" w:rsidR="00FE1116" w:rsidRDefault="00FE1116" w:rsidP="00FE1116">
      <w:pPr>
        <w:pStyle w:val="PlainText"/>
      </w:pPr>
      <w:r>
        <w:t xml:space="preserve">Sousa, W. H., &amp; Kelling, G. L. (2006, May 4). Advocate Of “broken windows,” criminology, and criminal justice. Cambridge University Press eBooks. </w:t>
      </w:r>
      <w:hyperlink r:id="rId9" w:history="1">
        <w:r>
          <w:rPr>
            <w:rStyle w:val="Hyperlink"/>
          </w:rPr>
          <w:t>https://doi.org/10.1017/cbo9780511489334.004</w:t>
        </w:r>
      </w:hyperlink>
    </w:p>
    <w:p w14:paraId="7029ACBF" w14:textId="77777777" w:rsidR="00FE1116" w:rsidRDefault="00FE1116" w:rsidP="00FE1116">
      <w:pPr>
        <w:pStyle w:val="PlainText"/>
      </w:pPr>
      <w:r>
        <w:t xml:space="preserve"> </w:t>
      </w:r>
    </w:p>
    <w:p w14:paraId="09D501BE" w14:textId="77777777" w:rsidR="00FE1116" w:rsidRDefault="00FE1116" w:rsidP="00FE1116">
      <w:pPr>
        <w:pStyle w:val="PlainText"/>
      </w:pPr>
      <w:r>
        <w:t xml:space="preserve">Lochner, L. (2012) The impact of education on crime: International evidence. Available at: </w:t>
      </w:r>
      <w:hyperlink r:id="rId10" w:history="1">
        <w:r>
          <w:rPr>
            <w:rStyle w:val="Hyperlink"/>
          </w:rPr>
          <w:t>https://www.econstor.eu/bitstream/10419/167078/1/ifo-dice-report-v10-y2012-i2-p49-55.pdf</w:t>
        </w:r>
      </w:hyperlink>
      <w:r>
        <w:t xml:space="preserve"> (Accessed: 22 December 2023). </w:t>
      </w:r>
    </w:p>
    <w:p w14:paraId="4BB08E4B" w14:textId="77777777" w:rsidR="00FE1116" w:rsidRDefault="00FE1116" w:rsidP="00FE1116">
      <w:pPr>
        <w:pStyle w:val="PlainText"/>
      </w:pPr>
      <w:r>
        <w:t xml:space="preserve"> </w:t>
      </w:r>
    </w:p>
    <w:p w14:paraId="4F4FBCE5" w14:textId="77777777" w:rsidR="00FE1116" w:rsidRDefault="00FE1116" w:rsidP="00FE1116">
      <w:pPr>
        <w:pStyle w:val="PlainText"/>
      </w:pPr>
      <w:r>
        <w:t xml:space="preserve">T, K. (2020) The Relationship between Adverse Childhood Experiences (ACE) and Juvenile Offending Trajectories in a Juvenile Offender Sample. Available at: </w:t>
      </w:r>
      <w:hyperlink r:id="rId11" w:history="1">
        <w:r>
          <w:rPr>
            <w:rStyle w:val="Hyperlink"/>
          </w:rPr>
          <w:t>https://www.pacesconnection.com/g/ace-juvenile-justice/fileSendAction/fcType/5/fcOid/450964185277680460/fodoid/450964185277680459/5-ACEs%20and%20Juvenile%20Offending%20Trajectories-Journal%20of%20Criminal%20Justice.pdf</w:t>
        </w:r>
      </w:hyperlink>
      <w:r>
        <w:t xml:space="preserve"> (Accessed: 05 January 2024). </w:t>
      </w:r>
    </w:p>
    <w:p w14:paraId="410E7B60" w14:textId="77777777" w:rsidR="00FE1116" w:rsidRDefault="00FE1116" w:rsidP="00FE1116">
      <w:pPr>
        <w:pStyle w:val="PlainText"/>
      </w:pPr>
      <w:r>
        <w:t xml:space="preserve"> </w:t>
      </w:r>
    </w:p>
    <w:p w14:paraId="639FF813" w14:textId="77777777" w:rsidR="00FE1116" w:rsidRDefault="00FE1116" w:rsidP="00FE1116">
      <w:pPr>
        <w:rPr>
          <w:sz w:val="24"/>
          <w:szCs w:val="24"/>
        </w:rPr>
      </w:pPr>
      <w:proofErr w:type="spellStart"/>
      <w:r>
        <w:t>Saegert</w:t>
      </w:r>
      <w:proofErr w:type="spellEnd"/>
      <w:r>
        <w:t xml:space="preserve">, S., &amp; Winkel, G. (2004, December). Crime, Social Capital, and Community Participation. American Journal of Community Psychology, 34(3–4), 219–233. </w:t>
      </w:r>
      <w:hyperlink r:id="rId12" w:history="1">
        <w:r>
          <w:rPr>
            <w:rStyle w:val="Hyperlink"/>
          </w:rPr>
          <w:t>https://doi.org/10.1007/s10464-004-7416-2</w:t>
        </w:r>
      </w:hyperlink>
    </w:p>
    <w:p w14:paraId="0AFCE7D1" w14:textId="77777777" w:rsidR="00FE1116" w:rsidRDefault="00FE1116" w:rsidP="00FE1116">
      <w:pPr>
        <w:rPr>
          <w:sz w:val="24"/>
          <w:szCs w:val="24"/>
        </w:rPr>
      </w:pPr>
      <w:proofErr w:type="spellStart"/>
      <w:r>
        <w:rPr>
          <w:sz w:val="24"/>
          <w:szCs w:val="24"/>
        </w:rPr>
        <w:t>Tompson</w:t>
      </w:r>
      <w:proofErr w:type="spellEnd"/>
      <w:r>
        <w:rPr>
          <w:sz w:val="24"/>
          <w:szCs w:val="24"/>
        </w:rPr>
        <w:t>, N. (2019</w:t>
      </w:r>
      <w:proofErr w:type="gramStart"/>
      <w:r>
        <w:rPr>
          <w:sz w:val="24"/>
          <w:szCs w:val="24"/>
        </w:rPr>
        <w:t>) .</w:t>
      </w:r>
      <w:proofErr w:type="gramEnd"/>
      <w:r>
        <w:rPr>
          <w:sz w:val="24"/>
          <w:szCs w:val="24"/>
        </w:rPr>
        <w:t xml:space="preserve"> It’s a No-Win Scenario, either the police or the Gang Will Get You: Young people and Organised Crime – Vulnerable or Criminal? Pp.102-119. Doi: </w:t>
      </w:r>
      <w:hyperlink r:id="rId13" w:history="1">
        <w:r w:rsidRPr="00ED171B">
          <w:rPr>
            <w:rStyle w:val="Hyperlink"/>
            <w:sz w:val="24"/>
            <w:szCs w:val="24"/>
          </w:rPr>
          <w:t>https://doi.org/10.1177/1473225419843353</w:t>
        </w:r>
      </w:hyperlink>
    </w:p>
    <w:p w14:paraId="2355FA85" w14:textId="77777777" w:rsidR="00FE1116" w:rsidRDefault="00FE1116" w:rsidP="00FE1116">
      <w:pPr>
        <w:rPr>
          <w:sz w:val="24"/>
          <w:szCs w:val="24"/>
        </w:rPr>
      </w:pPr>
      <w:proofErr w:type="spellStart"/>
      <w:r>
        <w:rPr>
          <w:sz w:val="24"/>
          <w:szCs w:val="24"/>
        </w:rPr>
        <w:t>Molla</w:t>
      </w:r>
      <w:proofErr w:type="spellEnd"/>
      <w:r>
        <w:rPr>
          <w:sz w:val="24"/>
          <w:szCs w:val="24"/>
        </w:rPr>
        <w:t xml:space="preserve">, T. (2023). Racial Othering and Relational Wellbeing: African Refugee Youth in Australia. Social Sciences, [online] 12(11), p.609. </w:t>
      </w:r>
    </w:p>
    <w:p w14:paraId="34787FA2" w14:textId="77777777" w:rsidR="00FE1116" w:rsidRDefault="00FE1116" w:rsidP="00FE1116">
      <w:pPr>
        <w:rPr>
          <w:sz w:val="24"/>
          <w:szCs w:val="24"/>
        </w:rPr>
      </w:pPr>
      <w:r>
        <w:rPr>
          <w:sz w:val="24"/>
          <w:szCs w:val="24"/>
        </w:rPr>
        <w:t xml:space="preserve">Doi: </w:t>
      </w:r>
      <w:hyperlink r:id="rId14" w:history="1">
        <w:r w:rsidRPr="00ED171B">
          <w:rPr>
            <w:rStyle w:val="Hyperlink"/>
            <w:sz w:val="24"/>
            <w:szCs w:val="24"/>
          </w:rPr>
          <w:t>https://doi.org/10.3390/socsci12110609</w:t>
        </w:r>
      </w:hyperlink>
    </w:p>
    <w:p w14:paraId="0DC52FFD" w14:textId="77777777" w:rsidR="00FE1116" w:rsidRDefault="00FE1116" w:rsidP="00FE1116">
      <w:pPr>
        <w:rPr>
          <w:sz w:val="24"/>
          <w:szCs w:val="24"/>
        </w:rPr>
      </w:pPr>
      <w:r>
        <w:rPr>
          <w:sz w:val="24"/>
          <w:szCs w:val="24"/>
        </w:rPr>
        <w:t xml:space="preserve">Hobson, Jonathan, et al. </w:t>
      </w:r>
      <w:proofErr w:type="gramStart"/>
      <w:r>
        <w:rPr>
          <w:sz w:val="24"/>
          <w:szCs w:val="24"/>
        </w:rPr>
        <w:t>“ are</w:t>
      </w:r>
      <w:proofErr w:type="gramEnd"/>
      <w:r>
        <w:rPr>
          <w:sz w:val="24"/>
          <w:szCs w:val="24"/>
        </w:rPr>
        <w:t xml:space="preserve"> Police -led social crime prevention initiatives effective?: A process and outcome evaluation of UK youth </w:t>
      </w:r>
      <w:proofErr w:type="spellStart"/>
      <w:r>
        <w:rPr>
          <w:sz w:val="24"/>
          <w:szCs w:val="24"/>
        </w:rPr>
        <w:t>intervention.”International</w:t>
      </w:r>
      <w:proofErr w:type="spellEnd"/>
      <w:r>
        <w:rPr>
          <w:sz w:val="24"/>
          <w:szCs w:val="24"/>
        </w:rPr>
        <w:t xml:space="preserve"> Criminal Justice Review, vol. 31, no.3, 5 dec. 2018, p. 105756771881489, </w:t>
      </w:r>
    </w:p>
    <w:p w14:paraId="60CEB0FC" w14:textId="77777777" w:rsidR="00FE1116" w:rsidRDefault="00FE1116" w:rsidP="00FE1116">
      <w:pPr>
        <w:rPr>
          <w:sz w:val="24"/>
          <w:szCs w:val="24"/>
        </w:rPr>
      </w:pPr>
      <w:hyperlink r:id="rId15" w:history="1">
        <w:r w:rsidRPr="00ED171B">
          <w:rPr>
            <w:rStyle w:val="Hyperlink"/>
            <w:sz w:val="24"/>
            <w:szCs w:val="24"/>
          </w:rPr>
          <w:t>https://doi.org/10.1177/10575618814891</w:t>
        </w:r>
      </w:hyperlink>
      <w:r>
        <w:rPr>
          <w:sz w:val="24"/>
          <w:szCs w:val="24"/>
        </w:rPr>
        <w:t xml:space="preserve">. </w:t>
      </w:r>
    </w:p>
    <w:p w14:paraId="74689699" w14:textId="77777777" w:rsidR="00FE1116" w:rsidRDefault="00FE1116" w:rsidP="00FE1116">
      <w:pPr>
        <w:rPr>
          <w:sz w:val="24"/>
          <w:szCs w:val="24"/>
        </w:rPr>
      </w:pPr>
      <w:r>
        <w:rPr>
          <w:sz w:val="24"/>
          <w:szCs w:val="24"/>
        </w:rPr>
        <w:lastRenderedPageBreak/>
        <w:t xml:space="preserve">Hall, Beth, et al. “Criminalising Black Trauma: Grime and Drill Lyrics as a form of ethnographic data to understand “gangs” and serious youth violence. </w:t>
      </w:r>
      <w:proofErr w:type="gramStart"/>
      <w:r>
        <w:rPr>
          <w:sz w:val="24"/>
          <w:szCs w:val="24"/>
        </w:rPr>
        <w:t>“ Genealogy</w:t>
      </w:r>
      <w:proofErr w:type="gramEnd"/>
      <w:r>
        <w:rPr>
          <w:sz w:val="24"/>
          <w:szCs w:val="24"/>
        </w:rPr>
        <w:t xml:space="preserve">, vol. 7, no 1, 23 dec. 2022, p. 2, www.mdpi.com/2313-5778/7/1/2, </w:t>
      </w:r>
    </w:p>
    <w:p w14:paraId="6B6670BA" w14:textId="77777777" w:rsidR="00FE1116" w:rsidRDefault="00FE1116" w:rsidP="00FE1116">
      <w:pPr>
        <w:rPr>
          <w:sz w:val="24"/>
          <w:szCs w:val="24"/>
        </w:rPr>
      </w:pPr>
      <w:hyperlink r:id="rId16" w:history="1">
        <w:r w:rsidRPr="00ED171B">
          <w:rPr>
            <w:rStyle w:val="Hyperlink"/>
            <w:sz w:val="24"/>
            <w:szCs w:val="24"/>
          </w:rPr>
          <w:t>https://doi.org/10.3390/genealogy7010002</w:t>
        </w:r>
      </w:hyperlink>
    </w:p>
    <w:p w14:paraId="5EAA1A3F" w14:textId="2E9A2F4C" w:rsidR="00C23381" w:rsidRDefault="00C23381"/>
    <w:p w14:paraId="0E5BF01C" w14:textId="77777777" w:rsidR="00FE1116" w:rsidRDefault="00FE1116" w:rsidP="00FE1116">
      <w:pPr>
        <w:pStyle w:val="Default"/>
        <w:rPr>
          <w:b/>
          <w:bCs/>
          <w:sz w:val="22"/>
          <w:szCs w:val="22"/>
        </w:rPr>
      </w:pPr>
      <w:r w:rsidRPr="00D41494">
        <w:rPr>
          <w:b/>
          <w:bCs/>
          <w:sz w:val="22"/>
          <w:szCs w:val="22"/>
        </w:rPr>
        <w:t>Assess the impact that cultural diversity has had on policing practice (</w:t>
      </w:r>
      <w:proofErr w:type="gramStart"/>
      <w:r w:rsidRPr="00D41494">
        <w:rPr>
          <w:b/>
          <w:bCs/>
          <w:sz w:val="22"/>
          <w:szCs w:val="22"/>
        </w:rPr>
        <w:t>e.g.</w:t>
      </w:r>
      <w:proofErr w:type="gramEnd"/>
      <w:r w:rsidRPr="00D41494">
        <w:rPr>
          <w:b/>
          <w:bCs/>
          <w:sz w:val="22"/>
          <w:szCs w:val="22"/>
        </w:rPr>
        <w:t xml:space="preserve"> neighbourhood policing) and professional policies and standards (e.g. PACE, Code of Ethics). </w:t>
      </w:r>
    </w:p>
    <w:p w14:paraId="781726E1" w14:textId="77777777" w:rsidR="00FE1116" w:rsidRDefault="00FE1116" w:rsidP="00FE1116">
      <w:pPr>
        <w:pStyle w:val="Default"/>
        <w:rPr>
          <w:b/>
          <w:bCs/>
          <w:sz w:val="22"/>
          <w:szCs w:val="22"/>
        </w:rPr>
      </w:pPr>
    </w:p>
    <w:p w14:paraId="2B3B753C" w14:textId="77777777" w:rsidR="00FE1116" w:rsidRDefault="00FE1116" w:rsidP="00FE1116">
      <w:pPr>
        <w:pStyle w:val="Default"/>
        <w:rPr>
          <w:sz w:val="22"/>
          <w:szCs w:val="22"/>
        </w:rPr>
      </w:pPr>
      <w:r>
        <w:rPr>
          <w:sz w:val="22"/>
          <w:szCs w:val="22"/>
        </w:rPr>
        <w:t xml:space="preserve">The cultural diversity within the United Kingdom has a significant impact on the policing within the country, it mainly impacts the operational approaches different forces use and the development of professional standards. This essay will examine the effects on cultural diversity on policing, focusing on neighbourhood policing strategies and the shift in policies and standards such as the Police and Criminal Evidence ACT (PACE) and the Code of Ethics. </w:t>
      </w:r>
    </w:p>
    <w:p w14:paraId="230D3D10" w14:textId="77777777" w:rsidR="00FE1116" w:rsidRDefault="00FE1116" w:rsidP="00FE1116">
      <w:pPr>
        <w:pStyle w:val="Default"/>
        <w:rPr>
          <w:sz w:val="22"/>
          <w:szCs w:val="22"/>
        </w:rPr>
      </w:pPr>
      <w:r>
        <w:rPr>
          <w:sz w:val="22"/>
          <w:szCs w:val="22"/>
        </w:rPr>
        <w:t>(PACE) Codes of Practice, 2023) (College of Policing, n.d.)</w:t>
      </w:r>
    </w:p>
    <w:p w14:paraId="4DEC667A" w14:textId="77777777" w:rsidR="00FE1116" w:rsidRDefault="00FE1116" w:rsidP="00FE1116">
      <w:pPr>
        <w:pStyle w:val="Default"/>
        <w:rPr>
          <w:sz w:val="22"/>
          <w:szCs w:val="22"/>
        </w:rPr>
      </w:pPr>
    </w:p>
    <w:p w14:paraId="01244418" w14:textId="77777777" w:rsidR="00FE1116" w:rsidRDefault="00FE1116" w:rsidP="00FE1116">
      <w:pPr>
        <w:pStyle w:val="Default"/>
        <w:rPr>
          <w:sz w:val="22"/>
          <w:szCs w:val="22"/>
        </w:rPr>
      </w:pPr>
      <w:r>
        <w:rPr>
          <w:sz w:val="22"/>
          <w:szCs w:val="22"/>
        </w:rPr>
        <w:t xml:space="preserve">The mixture of people with different believes, sexual orientation and other factors has made the police forces to re-evaluate the way they operate and work. The increased multiculturalism within the UK has certainly led to the adoption of community-oriented approaches that different forces use </w:t>
      </w:r>
      <w:proofErr w:type="gramStart"/>
      <w:r>
        <w:rPr>
          <w:sz w:val="22"/>
          <w:szCs w:val="22"/>
        </w:rPr>
        <w:t>in order to</w:t>
      </w:r>
      <w:proofErr w:type="gramEnd"/>
      <w:r>
        <w:rPr>
          <w:sz w:val="22"/>
          <w:szCs w:val="22"/>
        </w:rPr>
        <w:t xml:space="preserve"> build trust and collaboration with the communities. New programs like Safer Neighbourhoods initiatives have been introduced. (Bury, 2018) These programs are greatly improving the relations and public satisfaction through increased police visibility in neighbourhoods, and the police approachability. Example of this is many Police Surgeries PCSOS are holding weekly around the country, giving residents the chance to approach their local PCSOs or Officer and talk about any concerns they might have. (Ali, et al. 2023) </w:t>
      </w:r>
    </w:p>
    <w:p w14:paraId="6755042A" w14:textId="77777777" w:rsidR="00FE1116" w:rsidRDefault="00FE1116" w:rsidP="00FE1116">
      <w:pPr>
        <w:pStyle w:val="Default"/>
        <w:rPr>
          <w:sz w:val="22"/>
          <w:szCs w:val="22"/>
        </w:rPr>
      </w:pPr>
    </w:p>
    <w:p w14:paraId="438DA8FC" w14:textId="77777777" w:rsidR="00FE1116" w:rsidRDefault="00FE1116" w:rsidP="00FE1116">
      <w:pPr>
        <w:pStyle w:val="Default"/>
        <w:rPr>
          <w:sz w:val="22"/>
          <w:szCs w:val="22"/>
        </w:rPr>
      </w:pPr>
      <w:r>
        <w:rPr>
          <w:sz w:val="22"/>
          <w:szCs w:val="22"/>
        </w:rPr>
        <w:t xml:space="preserve">The United Kingdom has a diverse range of cultures and ethnicities, with ethnic minority populations making up a significant and increasing portion. (Ethnicity- Office for National Statistics, </w:t>
      </w:r>
      <w:proofErr w:type="spellStart"/>
      <w:r>
        <w:rPr>
          <w:sz w:val="22"/>
          <w:szCs w:val="22"/>
        </w:rPr>
        <w:t>n.d</w:t>
      </w:r>
      <w:proofErr w:type="spellEnd"/>
      <w:r>
        <w:rPr>
          <w:sz w:val="22"/>
          <w:szCs w:val="22"/>
        </w:rPr>
        <w:t>) Ethnic minorities constitute around 14 percent of the overall population in England and Wales. This highlights the need of the police forces reflecting this diversity. (2011 Census Data)</w:t>
      </w:r>
    </w:p>
    <w:p w14:paraId="2C9895CD" w14:textId="77777777" w:rsidR="00FE1116" w:rsidRDefault="00FE1116" w:rsidP="00FE1116">
      <w:pPr>
        <w:pStyle w:val="Default"/>
        <w:rPr>
          <w:sz w:val="22"/>
          <w:szCs w:val="22"/>
        </w:rPr>
      </w:pPr>
    </w:p>
    <w:p w14:paraId="74B7B389" w14:textId="77777777" w:rsidR="00FE1116" w:rsidRDefault="00FE1116" w:rsidP="00FE1116">
      <w:pPr>
        <w:pStyle w:val="Default"/>
        <w:rPr>
          <w:sz w:val="22"/>
          <w:szCs w:val="22"/>
        </w:rPr>
      </w:pPr>
      <w:r>
        <w:rPr>
          <w:sz w:val="22"/>
          <w:szCs w:val="22"/>
        </w:rPr>
        <w:t>Cultural diversity doesn’t only change how police forces operate, it also changes the rules the police follow, like PACE and Code of Ethics. Both PACE and code of ethics are guiding the police in their interactions with the public.</w:t>
      </w:r>
    </w:p>
    <w:p w14:paraId="466F7559" w14:textId="77777777" w:rsidR="00FE1116" w:rsidRDefault="00FE1116" w:rsidP="00FE1116">
      <w:pPr>
        <w:pStyle w:val="Default"/>
        <w:rPr>
          <w:sz w:val="22"/>
          <w:szCs w:val="22"/>
        </w:rPr>
      </w:pPr>
      <w:r>
        <w:rPr>
          <w:sz w:val="22"/>
          <w:szCs w:val="22"/>
        </w:rPr>
        <w:t>Code of ethics now outlies how officers should act when interacting with the public and helps them understand and respect different cultures. (College of Policing (</w:t>
      </w:r>
      <w:proofErr w:type="spellStart"/>
      <w:r>
        <w:rPr>
          <w:sz w:val="22"/>
          <w:szCs w:val="22"/>
        </w:rPr>
        <w:t>n.d</w:t>
      </w:r>
      <w:proofErr w:type="spellEnd"/>
      <w:r>
        <w:rPr>
          <w:sz w:val="22"/>
          <w:szCs w:val="22"/>
        </w:rPr>
        <w:t>))</w:t>
      </w:r>
    </w:p>
    <w:p w14:paraId="3CF5A46F" w14:textId="77777777" w:rsidR="00FE1116" w:rsidRDefault="00FE1116" w:rsidP="00FE1116">
      <w:pPr>
        <w:pStyle w:val="Default"/>
        <w:rPr>
          <w:sz w:val="22"/>
          <w:szCs w:val="22"/>
        </w:rPr>
      </w:pPr>
    </w:p>
    <w:p w14:paraId="36B20CA4" w14:textId="77777777" w:rsidR="00FE1116" w:rsidRDefault="00FE1116" w:rsidP="00FE1116">
      <w:pPr>
        <w:pStyle w:val="Default"/>
        <w:rPr>
          <w:sz w:val="22"/>
          <w:szCs w:val="22"/>
        </w:rPr>
      </w:pPr>
      <w:r>
        <w:rPr>
          <w:sz w:val="22"/>
          <w:szCs w:val="22"/>
        </w:rPr>
        <w:t>Although cultural diversity provides opportunities for better community interactions, it also brings challenges within the police forces. Biases and stereotypes can have a massive effect on how the police will deal with diverse communities, this will result in tense situations. For example, the prejudice in police stop and searches among individuals belonging to racial minorities. (</w:t>
      </w:r>
      <w:proofErr w:type="spellStart"/>
      <w:r>
        <w:rPr>
          <w:sz w:val="22"/>
          <w:szCs w:val="22"/>
        </w:rPr>
        <w:t>Borooah</w:t>
      </w:r>
      <w:proofErr w:type="spellEnd"/>
      <w:r>
        <w:rPr>
          <w:sz w:val="22"/>
          <w:szCs w:val="22"/>
        </w:rPr>
        <w:t>, 2011)</w:t>
      </w:r>
    </w:p>
    <w:p w14:paraId="679BD302" w14:textId="77777777" w:rsidR="00FE1116" w:rsidRDefault="00FE1116" w:rsidP="00FE1116">
      <w:pPr>
        <w:pStyle w:val="Default"/>
        <w:rPr>
          <w:sz w:val="22"/>
          <w:szCs w:val="22"/>
        </w:rPr>
      </w:pPr>
      <w:r>
        <w:rPr>
          <w:sz w:val="22"/>
          <w:szCs w:val="22"/>
        </w:rPr>
        <w:t xml:space="preserve">When forces are dealing with the aftermath and consequences of instances where prejudice was part of police stop and searches it becomes clear that stereotypes have great impact on forming the behaviour of police officers during stop and searches. The increased focus on certain demographic groups has resulted in a rise in the improper use of stop searches across the UK. Given all of this, it is crucial to develop cultural competency within the police forces. (NPCC </w:t>
      </w:r>
      <w:proofErr w:type="gramStart"/>
      <w:r>
        <w:rPr>
          <w:sz w:val="22"/>
          <w:szCs w:val="22"/>
        </w:rPr>
        <w:t>2019 )</w:t>
      </w:r>
      <w:proofErr w:type="gramEnd"/>
      <w:r>
        <w:rPr>
          <w:sz w:val="22"/>
          <w:szCs w:val="22"/>
        </w:rPr>
        <w:t xml:space="preserve"> supports the implementation of thorough cultural competency training for police officers. The objective of this training is to increase the awareness of cultural </w:t>
      </w:r>
      <w:r>
        <w:rPr>
          <w:sz w:val="22"/>
          <w:szCs w:val="22"/>
        </w:rPr>
        <w:lastRenderedPageBreak/>
        <w:t>diversity, decrease unconscious biases, and promote fair and professional encounters during stop and searches.</w:t>
      </w:r>
    </w:p>
    <w:p w14:paraId="5FFACEFD" w14:textId="77777777" w:rsidR="00FE1116" w:rsidRDefault="00FE1116" w:rsidP="00FE1116">
      <w:pPr>
        <w:pStyle w:val="Default"/>
        <w:rPr>
          <w:sz w:val="22"/>
          <w:szCs w:val="22"/>
        </w:rPr>
      </w:pPr>
    </w:p>
    <w:p w14:paraId="33E3A2E4" w14:textId="77777777" w:rsidR="00FE1116" w:rsidRDefault="00FE1116" w:rsidP="00FE1116">
      <w:pPr>
        <w:pStyle w:val="Default"/>
        <w:rPr>
          <w:sz w:val="22"/>
          <w:szCs w:val="22"/>
        </w:rPr>
      </w:pPr>
      <w:r>
        <w:rPr>
          <w:sz w:val="22"/>
          <w:szCs w:val="22"/>
        </w:rPr>
        <w:t xml:space="preserve">To overcome the difficulties presented by cultural diversity, it is essential for police forces to maintain a high level of cultural competency. This will involve acknowledging the cultural disparities and integrating them into operational procedures and in the development of new policies. Cultural competency training for police officers and staff is very important. Training of this nature will greatly improve officers’ abilities in effectively interacting with other cultures and reducing prejudices which will in turn greatly improve trust. (National Police Chiefs Council 2019. Diversity, </w:t>
      </w:r>
      <w:proofErr w:type="gramStart"/>
      <w:r>
        <w:rPr>
          <w:sz w:val="22"/>
          <w:szCs w:val="22"/>
        </w:rPr>
        <w:t>Equality</w:t>
      </w:r>
      <w:proofErr w:type="gramEnd"/>
      <w:r>
        <w:rPr>
          <w:sz w:val="22"/>
          <w:szCs w:val="22"/>
        </w:rPr>
        <w:t xml:space="preserve"> and inclusion strategy)</w:t>
      </w:r>
    </w:p>
    <w:p w14:paraId="3EECDCA5" w14:textId="77777777" w:rsidR="00FE1116" w:rsidRDefault="00FE1116" w:rsidP="00FE1116">
      <w:pPr>
        <w:pStyle w:val="Default"/>
        <w:rPr>
          <w:sz w:val="22"/>
          <w:szCs w:val="22"/>
        </w:rPr>
      </w:pPr>
    </w:p>
    <w:p w14:paraId="1FD97B49" w14:textId="77777777" w:rsidR="00FE1116" w:rsidRDefault="00FE1116" w:rsidP="00FE1116">
      <w:pPr>
        <w:pStyle w:val="Default"/>
        <w:rPr>
          <w:sz w:val="22"/>
          <w:szCs w:val="22"/>
        </w:rPr>
      </w:pPr>
      <w:r>
        <w:rPr>
          <w:sz w:val="22"/>
          <w:szCs w:val="22"/>
        </w:rPr>
        <w:t>Furthermore, assessing the impact of cultural diversity on police forces includes the use of technology as an effective tool of transition. Technological improvements are essential in improving the responsiveness of Police forces in society that is becoming more diverse. The implementation of police body-worn cameras, for example is a significant advancement, providing openness and responsibility in police encounters with the public. The use of body worn cameras can effectively decrease the number of complaints filed against police officers and help the development of trust in the local communities. (</w:t>
      </w:r>
      <w:proofErr w:type="spellStart"/>
      <w:r>
        <w:rPr>
          <w:sz w:val="22"/>
          <w:szCs w:val="22"/>
        </w:rPr>
        <w:t>Maskaly</w:t>
      </w:r>
      <w:proofErr w:type="spellEnd"/>
      <w:r>
        <w:rPr>
          <w:sz w:val="22"/>
          <w:szCs w:val="22"/>
        </w:rPr>
        <w:t xml:space="preserve"> et al. 2017)</w:t>
      </w:r>
    </w:p>
    <w:p w14:paraId="755B7516" w14:textId="77777777" w:rsidR="00FE1116" w:rsidRDefault="00FE1116" w:rsidP="00FE1116">
      <w:pPr>
        <w:pStyle w:val="Default"/>
        <w:rPr>
          <w:sz w:val="22"/>
          <w:szCs w:val="22"/>
        </w:rPr>
      </w:pPr>
    </w:p>
    <w:p w14:paraId="50A7B777" w14:textId="77777777" w:rsidR="00FE1116" w:rsidRDefault="00FE1116" w:rsidP="00FE1116">
      <w:pPr>
        <w:pStyle w:val="Default"/>
        <w:rPr>
          <w:sz w:val="22"/>
          <w:szCs w:val="22"/>
        </w:rPr>
      </w:pPr>
      <w:r>
        <w:rPr>
          <w:sz w:val="22"/>
          <w:szCs w:val="22"/>
        </w:rPr>
        <w:t>Furthermore, the relationship between the police and diverse communities has been greatly impacted by cultural diversity. A study by (</w:t>
      </w:r>
      <w:proofErr w:type="spellStart"/>
      <w:r>
        <w:rPr>
          <w:sz w:val="22"/>
          <w:szCs w:val="22"/>
        </w:rPr>
        <w:t>Mcbroom</w:t>
      </w:r>
      <w:proofErr w:type="spellEnd"/>
      <w:r>
        <w:rPr>
          <w:sz w:val="22"/>
          <w:szCs w:val="22"/>
        </w:rPr>
        <w:t xml:space="preserve"> 2019) finds that having cultural diversity within police forces can lead to improved community trust and cooperation. When police forces reflect the diversity of the communities they serve, it can help close the gaps in understanding and communication, leading to more effective policing strategies. Furthermore, research by (Moir 2022) highlights that cultural diversity training for officers can enhance their ability to engage with the diverse communities they serve in a respectful and inclusive manner.</w:t>
      </w:r>
    </w:p>
    <w:p w14:paraId="4D362E6A" w14:textId="77777777" w:rsidR="00FE1116" w:rsidRDefault="00FE1116" w:rsidP="00FE1116">
      <w:pPr>
        <w:pStyle w:val="Default"/>
        <w:rPr>
          <w:sz w:val="22"/>
          <w:szCs w:val="22"/>
        </w:rPr>
      </w:pPr>
    </w:p>
    <w:p w14:paraId="329F7EB6" w14:textId="77777777" w:rsidR="00FE1116" w:rsidRDefault="00FE1116" w:rsidP="00FE1116">
      <w:pPr>
        <w:pStyle w:val="Default"/>
        <w:rPr>
          <w:sz w:val="22"/>
          <w:szCs w:val="22"/>
        </w:rPr>
      </w:pPr>
      <w:r>
        <w:rPr>
          <w:sz w:val="22"/>
          <w:szCs w:val="22"/>
        </w:rPr>
        <w:t>Additionally, a study by (Miles-Johnson et al. (2021) highlights that cultural diversity training for officers helps them foster empathy and respect for diverse individuals, including the employees from within the organisation and other community members from various backgrounds. Overall, the implementation of diversity training has been beneficial in promoting understanding, trust, and cooperation between the police and the diverse communities.</w:t>
      </w:r>
    </w:p>
    <w:p w14:paraId="2BCCDCAB" w14:textId="77777777" w:rsidR="00FE1116" w:rsidRDefault="00FE1116" w:rsidP="00FE1116">
      <w:pPr>
        <w:pStyle w:val="Default"/>
        <w:rPr>
          <w:sz w:val="22"/>
          <w:szCs w:val="22"/>
        </w:rPr>
      </w:pPr>
    </w:p>
    <w:p w14:paraId="6D3A49B6" w14:textId="77777777" w:rsidR="00FE1116" w:rsidRDefault="00FE1116" w:rsidP="00FE1116">
      <w:pPr>
        <w:pStyle w:val="Default"/>
        <w:rPr>
          <w:sz w:val="22"/>
          <w:szCs w:val="22"/>
        </w:rPr>
      </w:pPr>
      <w:r>
        <w:rPr>
          <w:sz w:val="22"/>
          <w:szCs w:val="22"/>
        </w:rPr>
        <w:t xml:space="preserve">In conclusion, the significant impact of cultural diversity on UK policing, specifically in local communities is clearly noticeable. There are favourable results of community-oriented approaches, resulting in enhanced community links and enhanced public satisfaction in policing. Likewise, the impact of cultural diversity on professional practices and standards shows the importance of acknowledging and valuing the many different points of view that diversity brings. Despite ongoing problems, the forces face in dealing with this, it is imperative the forces prioritise achieving a level of effective cultural competency </w:t>
      </w:r>
      <w:proofErr w:type="gramStart"/>
      <w:r>
        <w:rPr>
          <w:sz w:val="22"/>
          <w:szCs w:val="22"/>
        </w:rPr>
        <w:t>in order to</w:t>
      </w:r>
      <w:proofErr w:type="gramEnd"/>
      <w:r>
        <w:rPr>
          <w:sz w:val="22"/>
          <w:szCs w:val="22"/>
        </w:rPr>
        <w:t xml:space="preserve"> build strong relationships between police and the diverse communities they serve.</w:t>
      </w:r>
    </w:p>
    <w:p w14:paraId="702AB0CB" w14:textId="77777777" w:rsidR="00FE1116" w:rsidRDefault="00FE1116" w:rsidP="00FE1116">
      <w:pPr>
        <w:pStyle w:val="Default"/>
        <w:rPr>
          <w:sz w:val="22"/>
          <w:szCs w:val="22"/>
        </w:rPr>
      </w:pPr>
      <w:r>
        <w:rPr>
          <w:sz w:val="22"/>
          <w:szCs w:val="22"/>
        </w:rPr>
        <w:t>An analysis of neighbourhood policing, PACE, and the code of ethics shows the massive impact of cultural diversity on police practises and policies. In addition, exploring the difficulties associated with police stop and searches highlights the necessity of continuous cultural competence development. Within large forces, promoting inclusiveness becomes a crucial part in adjusting to cultural differences. Adopting inclusive police tactics not only helps the trust building within the community, but also enhances the effectiveness of policing the local communities. As the UK deals with its diverse cultural environment, the continued dedication to inclusivity in police forces is crucial for building strong connections and guaranteeing the safety and welfare of all communities.</w:t>
      </w:r>
    </w:p>
    <w:p w14:paraId="30CD4852" w14:textId="77777777" w:rsidR="00FE1116" w:rsidRPr="00BE4C15" w:rsidRDefault="00FE1116" w:rsidP="00FE1116">
      <w:pPr>
        <w:pStyle w:val="Default"/>
        <w:rPr>
          <w:b/>
          <w:bCs/>
          <w:sz w:val="22"/>
          <w:szCs w:val="22"/>
        </w:rPr>
      </w:pPr>
    </w:p>
    <w:p w14:paraId="4E5C2CE8" w14:textId="77777777" w:rsidR="00FE1116" w:rsidRDefault="00FE1116" w:rsidP="00FE1116">
      <w:pPr>
        <w:pStyle w:val="Default"/>
        <w:rPr>
          <w:b/>
          <w:bCs/>
          <w:sz w:val="22"/>
          <w:szCs w:val="22"/>
        </w:rPr>
      </w:pPr>
      <w:r>
        <w:rPr>
          <w:b/>
          <w:bCs/>
          <w:sz w:val="22"/>
          <w:szCs w:val="22"/>
        </w:rPr>
        <w:t>Word count – 1039</w:t>
      </w:r>
    </w:p>
    <w:p w14:paraId="4133A62F" w14:textId="77777777" w:rsidR="00FE1116" w:rsidRDefault="00FE1116" w:rsidP="00FE1116">
      <w:pPr>
        <w:pStyle w:val="Default"/>
        <w:rPr>
          <w:b/>
          <w:bCs/>
          <w:sz w:val="22"/>
          <w:szCs w:val="22"/>
        </w:rPr>
      </w:pPr>
    </w:p>
    <w:p w14:paraId="757B341C" w14:textId="77777777" w:rsidR="00FE1116" w:rsidRDefault="00FE1116" w:rsidP="00FE1116">
      <w:pPr>
        <w:pStyle w:val="PlainText"/>
      </w:pPr>
      <w:r>
        <w:lastRenderedPageBreak/>
        <w:t xml:space="preserve">Police and Criminal Evidence Act 1984 (PACE) codes of practice. (2023, December 20). GOV.UK. </w:t>
      </w:r>
      <w:hyperlink r:id="rId17" w:history="1">
        <w:r>
          <w:rPr>
            <w:rStyle w:val="Hyperlink"/>
          </w:rPr>
          <w:t>https://www.gov.uk/guidance/police-and-criminal-evidence-act-1984-pace-codes-of-practice</w:t>
        </w:r>
      </w:hyperlink>
    </w:p>
    <w:p w14:paraId="128B0A9D" w14:textId="77777777" w:rsidR="00FE1116" w:rsidRDefault="00FE1116" w:rsidP="00FE1116">
      <w:pPr>
        <w:pStyle w:val="PlainText"/>
      </w:pPr>
      <w:r>
        <w:t xml:space="preserve">Code of Ethics | College of Policing. (n.d.). College of Policing. </w:t>
      </w:r>
      <w:hyperlink r:id="rId18" w:history="1">
        <w:r>
          <w:rPr>
            <w:rStyle w:val="Hyperlink"/>
          </w:rPr>
          <w:t>https://www.college.police.uk/ethics/code-of-ethics</w:t>
        </w:r>
      </w:hyperlink>
    </w:p>
    <w:p w14:paraId="7B22E6FF" w14:textId="77777777" w:rsidR="00FE1116" w:rsidRDefault="00FE1116" w:rsidP="00FE1116">
      <w:pPr>
        <w:pStyle w:val="PlainText"/>
      </w:pPr>
      <w:r>
        <w:t xml:space="preserve"> </w:t>
      </w:r>
    </w:p>
    <w:p w14:paraId="0504CD29" w14:textId="77777777" w:rsidR="00FE1116" w:rsidRDefault="00FE1116" w:rsidP="00FE1116">
      <w:pPr>
        <w:pStyle w:val="PlainText"/>
      </w:pPr>
      <w:r>
        <w:t xml:space="preserve">RACISM, ETHNICITY AND CRIMINOLOGY: Developing Minority Perspectives on JSTOR. (n.d.). </w:t>
      </w:r>
      <w:hyperlink r:id="rId19" w:history="1">
        <w:r>
          <w:rPr>
            <w:rStyle w:val="Hyperlink"/>
          </w:rPr>
          <w:t>www.jstor.org</w:t>
        </w:r>
      </w:hyperlink>
      <w:r>
        <w:t xml:space="preserve">. </w:t>
      </w:r>
      <w:hyperlink r:id="rId20" w:history="1">
        <w:r>
          <w:rPr>
            <w:rStyle w:val="Hyperlink"/>
          </w:rPr>
          <w:t>https://www.jstor.org/stable/23638854</w:t>
        </w:r>
      </w:hyperlink>
    </w:p>
    <w:p w14:paraId="243F4F93" w14:textId="77777777" w:rsidR="00FE1116" w:rsidRDefault="00FE1116" w:rsidP="00FE1116">
      <w:pPr>
        <w:pStyle w:val="PlainText"/>
      </w:pPr>
      <w:r>
        <w:t xml:space="preserve"> </w:t>
      </w:r>
    </w:p>
    <w:p w14:paraId="2BDC7E4A" w14:textId="77777777" w:rsidR="00FE1116" w:rsidRDefault="00FE1116" w:rsidP="00FE1116">
      <w:pPr>
        <w:pStyle w:val="PlainText"/>
      </w:pPr>
      <w:r>
        <w:t xml:space="preserve">Ethnicity - Office for National Statistics. (n.d.). </w:t>
      </w:r>
      <w:hyperlink r:id="rId21" w:history="1">
        <w:r>
          <w:rPr>
            <w:rStyle w:val="Hyperlink"/>
          </w:rPr>
          <w:t>https://www.ons.gov.uk/peoplepopulationandcommunity/culturalidentity/ethnicity</w:t>
        </w:r>
      </w:hyperlink>
    </w:p>
    <w:p w14:paraId="44E5A616" w14:textId="77777777" w:rsidR="00FE1116" w:rsidRDefault="00FE1116" w:rsidP="00FE1116">
      <w:pPr>
        <w:pStyle w:val="PlainText"/>
      </w:pPr>
      <w:r>
        <w:t xml:space="preserve"> </w:t>
      </w:r>
    </w:p>
    <w:p w14:paraId="39218597" w14:textId="77777777" w:rsidR="00FE1116" w:rsidRDefault="00FE1116" w:rsidP="00FE1116">
      <w:pPr>
        <w:pStyle w:val="PlainText"/>
      </w:pPr>
      <w:proofErr w:type="spellStart"/>
      <w:r>
        <w:t>Borooah</w:t>
      </w:r>
      <w:proofErr w:type="spellEnd"/>
      <w:r>
        <w:t xml:space="preserve">, V. K. (2011, February 13). Racial Disparity in Police Stop and Searches in England and Wales. Journal of Quantitative Criminology. </w:t>
      </w:r>
      <w:hyperlink r:id="rId22" w:history="1">
        <w:r>
          <w:rPr>
            <w:rStyle w:val="Hyperlink"/>
          </w:rPr>
          <w:t>https://doi.org/10.1007/s10940-011-9131-0</w:t>
        </w:r>
      </w:hyperlink>
    </w:p>
    <w:p w14:paraId="560EC566" w14:textId="77777777" w:rsidR="00FE1116" w:rsidRDefault="00FE1116" w:rsidP="00FE1116">
      <w:pPr>
        <w:pStyle w:val="PlainText"/>
      </w:pPr>
      <w:r>
        <w:t xml:space="preserve"> </w:t>
      </w:r>
    </w:p>
    <w:p w14:paraId="0FB7C834" w14:textId="77777777" w:rsidR="00FE1116" w:rsidRDefault="00FE1116" w:rsidP="00FE1116">
      <w:pPr>
        <w:pStyle w:val="PlainText"/>
      </w:pPr>
      <w:r>
        <w:t xml:space="preserve">Diversity, equality and inclusion strategy - the national police ... Available at: </w:t>
      </w:r>
      <w:hyperlink r:id="rId23" w:history="1">
        <w:r>
          <w:rPr>
            <w:rStyle w:val="Hyperlink"/>
          </w:rPr>
          <w:t>https://www.npcc.police.uk/documents/edhr/2018/NPCC%20Diversity%20Equality%20Inclusion%20Strategy%20May%202018.pdf</w:t>
        </w:r>
      </w:hyperlink>
      <w:r>
        <w:t xml:space="preserve"> (Accessed: 27 November 2023). </w:t>
      </w:r>
    </w:p>
    <w:p w14:paraId="188826D2" w14:textId="77777777" w:rsidR="00FE1116" w:rsidRDefault="00FE1116" w:rsidP="00FE1116">
      <w:pPr>
        <w:pStyle w:val="PlainText"/>
      </w:pPr>
      <w:r>
        <w:t xml:space="preserve"> </w:t>
      </w:r>
    </w:p>
    <w:p w14:paraId="3A45F50C" w14:textId="77777777" w:rsidR="00FE1116" w:rsidRDefault="00FE1116" w:rsidP="00FE1116">
      <w:pPr>
        <w:pStyle w:val="PlainText"/>
      </w:pPr>
      <w:proofErr w:type="spellStart"/>
      <w:r>
        <w:t>Maskály</w:t>
      </w:r>
      <w:proofErr w:type="spellEnd"/>
      <w:r>
        <w:t xml:space="preserve">, J., Donner, C. M., Jennings, W. G., Ariel, B., &amp; Sutherland, A. (2017, November 20). The effects of body-worn cameras (BWCs) on police and citizen outcomes. Policing. </w:t>
      </w:r>
      <w:hyperlink r:id="rId24" w:history="1">
        <w:r>
          <w:rPr>
            <w:rStyle w:val="Hyperlink"/>
          </w:rPr>
          <w:t>https://doi.org/10.1108/pijpsm-03-2017-0032</w:t>
        </w:r>
      </w:hyperlink>
    </w:p>
    <w:p w14:paraId="28D68E06" w14:textId="77777777" w:rsidR="00FE1116" w:rsidRDefault="00FE1116" w:rsidP="00FE1116">
      <w:pPr>
        <w:pStyle w:val="PlainText"/>
      </w:pPr>
      <w:r>
        <w:t xml:space="preserve"> </w:t>
      </w:r>
    </w:p>
    <w:p w14:paraId="4A134CA7" w14:textId="77777777" w:rsidR="00FE1116" w:rsidRDefault="00FE1116" w:rsidP="00FE1116">
      <w:pPr>
        <w:pStyle w:val="PlainText"/>
      </w:pPr>
      <w:r>
        <w:t xml:space="preserve">Bullock, K. (2017, April 18). The Police Use of </w:t>
      </w:r>
      <w:proofErr w:type="gramStart"/>
      <w:r>
        <w:t>Social Media</w:t>
      </w:r>
      <w:proofErr w:type="gramEnd"/>
      <w:r>
        <w:t xml:space="preserve">: Transformation or Normalisation? Social Policy and Society. </w:t>
      </w:r>
      <w:hyperlink r:id="rId25" w:history="1">
        <w:r>
          <w:rPr>
            <w:rStyle w:val="Hyperlink"/>
          </w:rPr>
          <w:t>https://doi.org/10.1017/s1474746417000112</w:t>
        </w:r>
      </w:hyperlink>
    </w:p>
    <w:p w14:paraId="61707FA7" w14:textId="77777777" w:rsidR="00FE1116" w:rsidRDefault="00FE1116" w:rsidP="00FE1116">
      <w:pPr>
        <w:pStyle w:val="Default"/>
        <w:rPr>
          <w:b/>
          <w:bCs/>
          <w:sz w:val="22"/>
          <w:szCs w:val="22"/>
        </w:rPr>
      </w:pPr>
    </w:p>
    <w:p w14:paraId="33DE1378" w14:textId="77777777" w:rsidR="00FE1116" w:rsidRDefault="00FE1116" w:rsidP="00FE1116">
      <w:pPr>
        <w:pStyle w:val="PlainText"/>
      </w:pPr>
      <w:proofErr w:type="spellStart"/>
      <w:r>
        <w:t>Sargeant</w:t>
      </w:r>
      <w:proofErr w:type="spellEnd"/>
      <w:r>
        <w:t xml:space="preserve">, E., Wickes, R. and Mazerolle, L. (2013). Policing community problems: Exploring the role of formal social control in shaping collective efficacy. Australian &amp; New Zealand Journal of Criminology, 46(1), pp.70–87. </w:t>
      </w:r>
      <w:proofErr w:type="spellStart"/>
      <w:proofErr w:type="gramStart"/>
      <w:r>
        <w:t>doi:https</w:t>
      </w:r>
      <w:proofErr w:type="spellEnd"/>
      <w:r>
        <w:t>://doi.org/10.1177/0004865812470118</w:t>
      </w:r>
      <w:proofErr w:type="gramEnd"/>
      <w:r>
        <w:t>.</w:t>
      </w:r>
    </w:p>
    <w:p w14:paraId="699DA85A" w14:textId="77777777" w:rsidR="00FE1116" w:rsidRDefault="00FE1116" w:rsidP="00FE1116">
      <w:pPr>
        <w:pStyle w:val="PlainText"/>
      </w:pPr>
    </w:p>
    <w:p w14:paraId="605062A7" w14:textId="77777777" w:rsidR="00FE1116" w:rsidRDefault="00FE1116" w:rsidP="00FE1116">
      <w:pPr>
        <w:pStyle w:val="PlainText"/>
      </w:pPr>
      <w:r>
        <w:t xml:space="preserve"> Moir, James. The Discourse of Diversity and Inclusion within Police Recruit Teaching Materials. 2022.</w:t>
      </w:r>
    </w:p>
    <w:p w14:paraId="06E59855" w14:textId="77777777" w:rsidR="00FE1116" w:rsidRDefault="00FE1116" w:rsidP="00FE1116">
      <w:pPr>
        <w:pStyle w:val="PlainText"/>
      </w:pPr>
    </w:p>
    <w:p w14:paraId="3111AB6E" w14:textId="77777777" w:rsidR="00FE1116" w:rsidRDefault="00FE1116" w:rsidP="00FE1116">
      <w:pPr>
        <w:pStyle w:val="PlainText"/>
      </w:pPr>
      <w:r>
        <w:t xml:space="preserve"> </w:t>
      </w:r>
    </w:p>
    <w:p w14:paraId="0DEA576E" w14:textId="77777777" w:rsidR="00FE1116" w:rsidRDefault="00FE1116" w:rsidP="00FE1116">
      <w:pPr>
        <w:pStyle w:val="PlainText"/>
      </w:pPr>
    </w:p>
    <w:p w14:paraId="7228E0D6" w14:textId="77777777" w:rsidR="00FE1116" w:rsidRDefault="00FE1116" w:rsidP="00FE1116">
      <w:pPr>
        <w:pStyle w:val="PlainText"/>
      </w:pPr>
      <w:r>
        <w:t xml:space="preserve">Miles-Johnson, Toby, et al. “Policing Minority Communities: How Perception of Engagement and Level of “Awareness” Influence Officer Attitudes toward Practice.” Social Sciences, vol. 10, no. 2, 11 Feb. 2021, p. 70, </w:t>
      </w:r>
      <w:hyperlink r:id="rId26" w:history="1">
        <w:r>
          <w:rPr>
            <w:rStyle w:val="Hyperlink"/>
          </w:rPr>
          <w:t>https://doi.org/10.3390/socsci10020070</w:t>
        </w:r>
      </w:hyperlink>
      <w:r>
        <w:t>.</w:t>
      </w:r>
    </w:p>
    <w:p w14:paraId="254675B1" w14:textId="77777777" w:rsidR="00FE1116" w:rsidRDefault="00FE1116" w:rsidP="00FE1116">
      <w:pPr>
        <w:pStyle w:val="PlainText"/>
      </w:pPr>
    </w:p>
    <w:p w14:paraId="1B1DDC32" w14:textId="77777777" w:rsidR="00FE1116" w:rsidRDefault="00FE1116" w:rsidP="00FE1116">
      <w:pPr>
        <w:pStyle w:val="PlainText"/>
      </w:pPr>
      <w:r>
        <w:t>‌</w:t>
      </w:r>
    </w:p>
    <w:p w14:paraId="63953C49" w14:textId="77777777" w:rsidR="00FE1116" w:rsidRDefault="00FE1116" w:rsidP="00FE1116">
      <w:pPr>
        <w:pStyle w:val="PlainText"/>
      </w:pPr>
    </w:p>
    <w:p w14:paraId="6F36995A" w14:textId="77777777" w:rsidR="00FE1116" w:rsidRDefault="00FE1116" w:rsidP="00FE1116">
      <w:pPr>
        <w:pStyle w:val="PlainText"/>
      </w:pPr>
      <w:r>
        <w:t xml:space="preserve">Ali, Mohammed M., et al. “Promoting Trust and Police Legitimacy in African Australian Communities: A Critical Reflection on Community Engagement Strategies and Practical Recommendations for Police.” International Journal of Police Science &amp; Management, vol. 25, no. 1, 3 Jan. 2023, p. 146135572211455, </w:t>
      </w:r>
      <w:hyperlink r:id="rId27" w:history="1">
        <w:r>
          <w:rPr>
            <w:rStyle w:val="Hyperlink"/>
          </w:rPr>
          <w:t>https://doi.org/10.1177/14613557221145593</w:t>
        </w:r>
      </w:hyperlink>
      <w:r>
        <w:t>.</w:t>
      </w:r>
    </w:p>
    <w:p w14:paraId="1CA613EC" w14:textId="77777777" w:rsidR="00FE1116" w:rsidRPr="00BE4C15" w:rsidRDefault="00FE1116" w:rsidP="00FE1116">
      <w:pPr>
        <w:pStyle w:val="Default"/>
        <w:rPr>
          <w:b/>
          <w:bCs/>
          <w:sz w:val="22"/>
          <w:szCs w:val="22"/>
        </w:rPr>
      </w:pPr>
    </w:p>
    <w:p w14:paraId="6C154D39" w14:textId="1CE65C82" w:rsidR="00FE1116" w:rsidRDefault="00FE1116"/>
    <w:p w14:paraId="3A095B57" w14:textId="77777777" w:rsidR="00FE1116" w:rsidRDefault="00FE1116" w:rsidP="00FE1116">
      <w:pPr>
        <w:pStyle w:val="Default"/>
        <w:rPr>
          <w:sz w:val="22"/>
          <w:szCs w:val="22"/>
        </w:rPr>
      </w:pPr>
      <w:r>
        <w:rPr>
          <w:sz w:val="22"/>
          <w:szCs w:val="22"/>
        </w:rPr>
        <w:t xml:space="preserve">Is MAPPA an effective means of managing violent and sexual offenders? What increases or detracts from its effectiveness? </w:t>
      </w:r>
    </w:p>
    <w:p w14:paraId="1401D932" w14:textId="77777777" w:rsidR="00FE1116" w:rsidRDefault="00FE1116" w:rsidP="00FE1116">
      <w:pPr>
        <w:pStyle w:val="Default"/>
        <w:rPr>
          <w:sz w:val="22"/>
          <w:szCs w:val="22"/>
        </w:rPr>
      </w:pPr>
    </w:p>
    <w:p w14:paraId="25F61CAC" w14:textId="77777777" w:rsidR="00FE1116" w:rsidRDefault="00FE1116" w:rsidP="00FE1116">
      <w:r>
        <w:t>This essay seeks to explore what increases and detracts from MAPPAS effectiveness, by researching existing studies on the matter. The essay also seeks to shed light on essential measures required for the successful rehabilitation and reintegration within MAPPA.</w:t>
      </w:r>
    </w:p>
    <w:p w14:paraId="6DB6AD3A" w14:textId="77777777" w:rsidR="00FE1116" w:rsidRDefault="00FE1116" w:rsidP="00FE1116">
      <w:r>
        <w:lastRenderedPageBreak/>
        <w:t xml:space="preserve">MAPPA in the UK is comparable to other sexual offender management systems in other countries, they all emphasise risk assessment, interagency collaboration, and post-release offender supervision. For example, </w:t>
      </w:r>
      <w:proofErr w:type="gramStart"/>
      <w:r>
        <w:t>similar to</w:t>
      </w:r>
      <w:proofErr w:type="gramEnd"/>
      <w:r>
        <w:t xml:space="preserve"> MAPPA, several countries have implemented a multi-agency strategy for public protection, which includes collaboration among agencies including the police, probation services and social services to oversee high-risk offenders. (</w:t>
      </w:r>
      <w:proofErr w:type="spellStart"/>
      <w:r>
        <w:t>Samudin</w:t>
      </w:r>
      <w:proofErr w:type="spellEnd"/>
      <w:r>
        <w:t xml:space="preserve"> et al. 2023)</w:t>
      </w:r>
    </w:p>
    <w:p w14:paraId="1420737F" w14:textId="77777777" w:rsidR="00FE1116" w:rsidRDefault="00FE1116" w:rsidP="00FE1116">
      <w:r>
        <w:t>In 2001, the Multi-Agency Public Protection Arrangements (MAPPA) was implemented with the main goal being managing violent and sexual offenders within England and Wales. The arrangements are working in a way that they ensure that various agencies, for example the police service, prison service and other probation services work together and ensure supervision of offenders. (</w:t>
      </w:r>
      <w:proofErr w:type="spellStart"/>
      <w:r>
        <w:t>Justiceinspectorates</w:t>
      </w:r>
      <w:proofErr w:type="spellEnd"/>
      <w:r>
        <w:t xml:space="preserve"> 2023)</w:t>
      </w:r>
    </w:p>
    <w:p w14:paraId="3BFB987E" w14:textId="77777777" w:rsidR="00FE1116" w:rsidRDefault="00FE1116" w:rsidP="00FE1116">
      <w:r>
        <w:t>Nevertheless, despite its extensive scope, there is not a lot of information regarding how professionals within MAPPA effectively manage the goals of control and support the offenders to promote their rehabilitation and reintegration. Furthermore, there is a need for enhanced understanding of MAPPA amongst professionals and members of the public to guarantee their participation in ensuring the outcomes needed. (Pemberton, et al. 2023)</w:t>
      </w:r>
    </w:p>
    <w:p w14:paraId="3E15ECF2" w14:textId="77777777" w:rsidR="00FE1116" w:rsidRDefault="00FE1116" w:rsidP="00FE1116">
      <w:r>
        <w:t xml:space="preserve">The implementation of the Multi-Agency Public Protection Arrangements (MAPPA) in England and Wales aimed to bring together the efforts of the police service, </w:t>
      </w:r>
      <w:proofErr w:type="gramStart"/>
      <w:r>
        <w:t>prison</w:t>
      </w:r>
      <w:proofErr w:type="gramEnd"/>
      <w:r>
        <w:t xml:space="preserve"> and probation services to manage the violent and sexual offenders. However, there are doubts whether the partnership will improve the effectiveness of managing the offenders. The work of MAPPAs police officers under MAPPA known as Management of Sexual or Violent Offenders (MOSOVO), has been a topic of focus regarding their role in enabling persons convicted of sexual offences to rehabilitate and reintegrate in the community. (Pemberton, et al. 2023)</w:t>
      </w:r>
    </w:p>
    <w:p w14:paraId="6A2FCB37" w14:textId="77777777" w:rsidR="00FE1116" w:rsidRDefault="00FE1116" w:rsidP="00FE1116">
      <w:r>
        <w:t xml:space="preserve">An independent review highlights that effective desistance frequently involves support from MOSOVO officers who encourage optimism and hope in change. However, risk-based and politicised model in which MOSOVO officers operate may lead to tensions that hinder rather than aid </w:t>
      </w:r>
      <w:proofErr w:type="gramStart"/>
      <w:r>
        <w:t>desistance.(</w:t>
      </w:r>
      <w:proofErr w:type="gramEnd"/>
      <w:r>
        <w:t>Pemberton, et al.2023)</w:t>
      </w:r>
    </w:p>
    <w:p w14:paraId="4693EBE0" w14:textId="77777777" w:rsidR="00FE1116" w:rsidRDefault="00FE1116" w:rsidP="00FE1116">
      <w:r>
        <w:t xml:space="preserve">As a result, it is recommended that MOSOVO police officers receive enough resources to help individuals with sexual convictions to develop a better lifestyle and rehabilitate. By actively promoting hope for change and providing the necessary help, the collaboration between all agencies under MAPPA can positively affect the management of violent and sexual offenders. (Pemberton, et al.2023) </w:t>
      </w:r>
    </w:p>
    <w:p w14:paraId="33CCC39F" w14:textId="77777777" w:rsidR="00FE1116" w:rsidRDefault="00FE1116" w:rsidP="00FE1116">
      <w:r>
        <w:t>The effective implementation of the Multi-Agency Public Protection Arrangements will always require addressing various of factors that influence its success or failure. A very important element is inter-agency collaboration, which plays a crucial role in coordinating offender management activities. Inadequate tasks and resource allocation can often undermine MAPPAs efficacy, resulting in gaps and inconsistencies in supervision. (</w:t>
      </w:r>
      <w:proofErr w:type="spellStart"/>
      <w:proofErr w:type="gramStart"/>
      <w:r>
        <w:t>Małyjurek</w:t>
      </w:r>
      <w:proofErr w:type="spellEnd"/>
      <w:r>
        <w:t xml:space="preserve"> ,</w:t>
      </w:r>
      <w:proofErr w:type="gramEnd"/>
      <w:r>
        <w:t xml:space="preserve"> 2021) </w:t>
      </w:r>
    </w:p>
    <w:p w14:paraId="51797D08" w14:textId="77777777" w:rsidR="00FE1116" w:rsidRDefault="00FE1116" w:rsidP="00FE1116">
      <w:r>
        <w:t>Therefore, it is always essential for offender managers to establish collaborative regulations and assure proper allocation of tasks and resources to reduce the impact of collaborative risk on public safety networks.</w:t>
      </w:r>
    </w:p>
    <w:p w14:paraId="3CBE86AE" w14:textId="77777777" w:rsidR="00FE1116" w:rsidRDefault="00FE1116" w:rsidP="00FE1116">
      <w:r>
        <w:t xml:space="preserve">Furthermore, individual qualities such as motivation for change and access to supportive networks and can also impact the success or failure of MAPPAs implementation. The likelihood of integration integrated into society is significantly impacted by offenders’ access to suitable support services and their own willingness to participate in intervention programmes. Furthermore, the effectiveness of </w:t>
      </w:r>
      <w:r>
        <w:lastRenderedPageBreak/>
        <w:t>MAPPA interventions is substantially influenced by the availability of resources in particular regions of the community. (</w:t>
      </w:r>
      <w:proofErr w:type="spellStart"/>
      <w:r>
        <w:t>Akerele</w:t>
      </w:r>
      <w:proofErr w:type="spellEnd"/>
      <w:r>
        <w:t xml:space="preserve">, 2023). The successful implementation of </w:t>
      </w:r>
      <w:proofErr w:type="spellStart"/>
      <w:r>
        <w:t>MAPPas</w:t>
      </w:r>
      <w:proofErr w:type="spellEnd"/>
      <w:r>
        <w:t xml:space="preserve"> objectives relies on effective inter-agency collaboration, the proper allocation of resources and tasks, and the consideration of individual requirements for encouragement and support. It is imperative to </w:t>
      </w:r>
      <w:proofErr w:type="gramStart"/>
      <w:r>
        <w:t>take into account</w:t>
      </w:r>
      <w:proofErr w:type="gramEnd"/>
      <w:r>
        <w:t xml:space="preserve"> these factors when developing strategies aimed at managing violent and sexual offenders under MAPPA. (</w:t>
      </w:r>
      <w:proofErr w:type="spellStart"/>
      <w:r>
        <w:t>Akerele</w:t>
      </w:r>
      <w:proofErr w:type="spellEnd"/>
      <w:r>
        <w:t>, 2023)</w:t>
      </w:r>
    </w:p>
    <w:p w14:paraId="744194D4" w14:textId="77777777" w:rsidR="00FE1116" w:rsidRDefault="00FE1116" w:rsidP="00FE1116"/>
    <w:p w14:paraId="12F77E22" w14:textId="77777777" w:rsidR="00FE1116" w:rsidRDefault="00FE1116" w:rsidP="00FE1116">
      <w:r>
        <w:t>The collaboration of multiple agencies within the Multi-Agency Public Protection Arrangements is crucial to establishing its effectiveness in dealing with violent and sexual offenders. According to (Sienkiewicz-</w:t>
      </w:r>
      <w:proofErr w:type="spellStart"/>
      <w:r>
        <w:t>Malyjurek</w:t>
      </w:r>
      <w:proofErr w:type="spellEnd"/>
      <w:r>
        <w:t xml:space="preserve"> (2021) research, good collaboration amongst agencies is crucial for lowering collaborative risks and improving public safety networks. When offender management agencies collaborate, activities are better coordinated, information is shared, and resources are allocated more efficiently.</w:t>
      </w:r>
    </w:p>
    <w:p w14:paraId="3BAE8E3B" w14:textId="77777777" w:rsidR="00FE1116" w:rsidRDefault="00FE1116" w:rsidP="00FE1116">
      <w:r>
        <w:t xml:space="preserve">Furthermore, research by Smith and </w:t>
      </w:r>
      <w:proofErr w:type="spellStart"/>
      <w:r>
        <w:t>Mogro</w:t>
      </w:r>
      <w:proofErr w:type="spellEnd"/>
      <w:r>
        <w:t xml:space="preserve">-Wilson (2008) highlights that effective collaboration requires policies and practices that encourage cooperation amounts various agencies. This includes establishing clear communication channels, clarifying roles and responsibility, and promoting a shared understanding of objectives. By working together, agencies can pool their expertise, </w:t>
      </w:r>
      <w:proofErr w:type="gramStart"/>
      <w:r>
        <w:t>knowledge</w:t>
      </w:r>
      <w:proofErr w:type="gramEnd"/>
      <w:r>
        <w:t xml:space="preserve"> and resources to create comprehensive risk assessment, intervention programmes, supervision plans, and support services that are tailored to the needs of individual offenders.</w:t>
      </w:r>
    </w:p>
    <w:p w14:paraId="329349E5" w14:textId="77777777" w:rsidR="00FE1116" w:rsidRDefault="00FE1116" w:rsidP="00FE1116">
      <w:r>
        <w:t>In addition to the effective collaboration between agencies directly involved in offender management within MAPPA, the involvement of judicial enforcement agencies, legislative agencies, and environmental improvement agencies can also contribute to the effectiveness in public collaborations as highlighted by (Wu et al. 2023) research. Their participation assures compliance with laws and regulations related to the management of violent and sexual offenders, as well as an improvement in the overall safety environment.</w:t>
      </w:r>
    </w:p>
    <w:p w14:paraId="5786B593" w14:textId="77777777" w:rsidR="00FE1116" w:rsidRDefault="00FE1116" w:rsidP="00FE1116">
      <w:r>
        <w:t xml:space="preserve">In conclusion, the implementation of Multi-Agency Public Protection Arrangements has shown the potential to reduce recidivism rates among violent and sexual offenders. The collaborative approach promotes inter-agency coordination, enhances risk assessment, and facilitates appropriate support for the </w:t>
      </w:r>
      <w:proofErr w:type="gramStart"/>
      <w:r>
        <w:t>offenders</w:t>
      </w:r>
      <w:proofErr w:type="gramEnd"/>
      <w:r>
        <w:t xml:space="preserve"> reintegration. While resources availability and individual characteristics may influence outcomes, successful MAPPA implementation can help to make communities safer by reducing the likelihood of reoffending. Continued efforts to increase collaboration among offender management agencies are crucial for maximizing the effectiveness of MAPPA in managing these high-risk individuals. Furthermore, whilst MAPPA has prioritised community safety, there is a need for a transition to a more participatory approaches that actively involve service users in their own rehabilitation. By encouraging active participation and ownership in the change process, MAPPA can improve community supervision outcomes and help to avoid reoffending among </w:t>
      </w:r>
      <w:proofErr w:type="gramStart"/>
      <w:r>
        <w:t>high risk</w:t>
      </w:r>
      <w:proofErr w:type="gramEnd"/>
      <w:r>
        <w:t xml:space="preserve"> offenders. To assist the successful desistance journeys, support beyond risk management is required, as well as the encouragement and belief in personal change.</w:t>
      </w:r>
    </w:p>
    <w:p w14:paraId="65F0AB02" w14:textId="77777777" w:rsidR="00FE1116" w:rsidRPr="00C114CC" w:rsidRDefault="00FE1116" w:rsidP="00FE1116">
      <w:pPr>
        <w:rPr>
          <w:b/>
          <w:bCs/>
        </w:rPr>
      </w:pPr>
      <w:r w:rsidRPr="00C114CC">
        <w:rPr>
          <w:b/>
          <w:bCs/>
        </w:rPr>
        <w:t>Word count: 9</w:t>
      </w:r>
      <w:r>
        <w:rPr>
          <w:b/>
          <w:bCs/>
        </w:rPr>
        <w:t>88</w:t>
      </w:r>
    </w:p>
    <w:p w14:paraId="5CDD4710" w14:textId="77777777" w:rsidR="00FE1116" w:rsidRDefault="00FE1116" w:rsidP="00FE1116"/>
    <w:p w14:paraId="2FFC1AC3" w14:textId="77777777" w:rsidR="00FE1116" w:rsidRDefault="00FE1116" w:rsidP="00FE1116">
      <w:pPr>
        <w:pStyle w:val="PlainText"/>
      </w:pPr>
      <w:r>
        <w:t xml:space="preserve">Pemberton, S. (2023, December 15). The police as formal agents of change: Assisting desistance in individuals convicted of sexual offences: This article is related directly to the First European Conference on Law Enforcement and Public Health (LEPH) held in Umea, Sweden in May 2023. </w:t>
      </w:r>
      <w:hyperlink r:id="rId28" w:history="1">
        <w:r>
          <w:rPr>
            <w:rStyle w:val="Hyperlink"/>
          </w:rPr>
          <w:t>www.journalcswb.ca</w:t>
        </w:r>
      </w:hyperlink>
      <w:r>
        <w:t xml:space="preserve">. </w:t>
      </w:r>
      <w:hyperlink r:id="rId29" w:history="1">
        <w:r>
          <w:rPr>
            <w:rStyle w:val="Hyperlink"/>
          </w:rPr>
          <w:t>https://doi.org/10.35502/jcswb.332</w:t>
        </w:r>
      </w:hyperlink>
    </w:p>
    <w:p w14:paraId="759B7E88" w14:textId="77777777" w:rsidR="00FE1116" w:rsidRDefault="00FE1116" w:rsidP="00FE1116">
      <w:pPr>
        <w:pStyle w:val="PlainText"/>
      </w:pPr>
      <w:r>
        <w:lastRenderedPageBreak/>
        <w:t xml:space="preserve"> </w:t>
      </w:r>
    </w:p>
    <w:p w14:paraId="6952237C" w14:textId="77777777" w:rsidR="00FE1116" w:rsidRDefault="00FE1116" w:rsidP="00FE1116">
      <w:pPr>
        <w:pStyle w:val="PlainText"/>
      </w:pPr>
      <w:r>
        <w:t>Sienkiewicz-</w:t>
      </w:r>
      <w:proofErr w:type="spellStart"/>
      <w:r>
        <w:t>Małyjurek</w:t>
      </w:r>
      <w:proofErr w:type="spellEnd"/>
      <w:r>
        <w:t xml:space="preserve">, K. (2021, May 28). Interpretive structural modelling of inter-agency collaboration risk in public safety networks. Quality &amp; Quantity. </w:t>
      </w:r>
      <w:hyperlink r:id="rId30" w:history="1">
        <w:r>
          <w:rPr>
            <w:rStyle w:val="Hyperlink"/>
          </w:rPr>
          <w:t>https://doi.org/10.1007/s11135-021-01172-0</w:t>
        </w:r>
      </w:hyperlink>
    </w:p>
    <w:p w14:paraId="0F284476" w14:textId="77777777" w:rsidR="00FE1116" w:rsidRDefault="00FE1116" w:rsidP="00FE1116">
      <w:pPr>
        <w:pStyle w:val="PlainText"/>
      </w:pPr>
      <w:r>
        <w:t xml:space="preserve"> </w:t>
      </w:r>
    </w:p>
    <w:p w14:paraId="16D71260" w14:textId="77777777" w:rsidR="00FE1116" w:rsidRDefault="00FE1116" w:rsidP="00FE1116">
      <w:pPr>
        <w:pStyle w:val="PlainText"/>
      </w:pPr>
      <w:r>
        <w:t xml:space="preserve">Wu, L., Zhang, L., &amp; Li, Y. (2023, August 24). Basis for fulfilling responsibilities, </w:t>
      </w:r>
      <w:proofErr w:type="spellStart"/>
      <w:r>
        <w:t>behavior</w:t>
      </w:r>
      <w:proofErr w:type="spellEnd"/>
      <w:r>
        <w:t xml:space="preserve">, and professionalism of government agencies and effectiveness in public–public collaboration for food safety risk management. Humanities and Social Sciences Communications. </w:t>
      </w:r>
      <w:hyperlink r:id="rId31" w:history="1">
        <w:r>
          <w:rPr>
            <w:rStyle w:val="Hyperlink"/>
          </w:rPr>
          <w:t>https://doi.org/10.1057/s41599-023-02033-x</w:t>
        </w:r>
      </w:hyperlink>
    </w:p>
    <w:p w14:paraId="53E8A67E" w14:textId="77777777" w:rsidR="00FE1116" w:rsidRDefault="00FE1116" w:rsidP="00FE1116">
      <w:pPr>
        <w:pStyle w:val="PlainText"/>
      </w:pPr>
      <w:r>
        <w:t xml:space="preserve"> </w:t>
      </w:r>
    </w:p>
    <w:p w14:paraId="1F4823C4" w14:textId="77777777" w:rsidR="00FE1116" w:rsidRDefault="00FE1116" w:rsidP="00FE1116">
      <w:pPr>
        <w:pStyle w:val="PlainText"/>
      </w:pPr>
      <w:r>
        <w:t xml:space="preserve">Smith, B. D., &amp; </w:t>
      </w:r>
      <w:proofErr w:type="spellStart"/>
      <w:r>
        <w:t>Mogro</w:t>
      </w:r>
      <w:proofErr w:type="spellEnd"/>
      <w:r>
        <w:t xml:space="preserve">-Wilson, C. (2008, January 1). Inter-agency collaboration: Policy and practice in child welfare and substance abuse treatment. ResearchGate. </w:t>
      </w:r>
      <w:hyperlink r:id="rId32" w:history="1">
        <w:r>
          <w:rPr>
            <w:rStyle w:val="Hyperlink"/>
          </w:rPr>
          <w:t>https://doi.org/10.1300/J147v32n202_02</w:t>
        </w:r>
      </w:hyperlink>
    </w:p>
    <w:p w14:paraId="2D90D093" w14:textId="77777777" w:rsidR="00FE1116" w:rsidRDefault="00FE1116" w:rsidP="00FE1116"/>
    <w:p w14:paraId="279E5DFD" w14:textId="77777777" w:rsidR="00FE1116" w:rsidRDefault="00FE1116" w:rsidP="00FE1116">
      <w:r>
        <w:t xml:space="preserve">Pemberton, Sarah, et al. “The Police as Formal Agents of Change: Assisting Desistance in Individuals Convicted of Sexual Offences: This Article Is Related Directly to the First European Conference on Law Enforcement and Public Health (LEPH) Held in Umea, Sweden in May 2023.” Journal of Community Safety and Well-Being, vol. 8, no. 4, 15 Dec. 2023, pp. 191–196, </w:t>
      </w:r>
      <w:hyperlink r:id="rId33" w:anchor=":~:text=As%20indicated%20by%20findings%20in" w:history="1">
        <w:r>
          <w:rPr>
            <w:rStyle w:val="Hyperlink"/>
          </w:rPr>
          <w:t>www.journalcswb.ca/index.php/cswb/article/view/332/1017#:~:text=As%20indicated%20by%20findings%20in</w:t>
        </w:r>
      </w:hyperlink>
      <w:r>
        <w:t xml:space="preserve">, </w:t>
      </w:r>
      <w:hyperlink r:id="rId34" w:history="1">
        <w:r>
          <w:rPr>
            <w:rStyle w:val="Hyperlink"/>
          </w:rPr>
          <w:t>https://doi.org/10.35502/jcswb.332</w:t>
        </w:r>
      </w:hyperlink>
      <w:r>
        <w:t>.</w:t>
      </w:r>
    </w:p>
    <w:p w14:paraId="01886A70" w14:textId="77777777" w:rsidR="00FE1116" w:rsidRDefault="00FE1116" w:rsidP="00FE1116"/>
    <w:p w14:paraId="6967EEA7" w14:textId="77777777" w:rsidR="00FE1116" w:rsidRDefault="00FE1116" w:rsidP="00FE1116">
      <w:proofErr w:type="spellStart"/>
      <w:r>
        <w:t>Akerele</w:t>
      </w:r>
      <w:proofErr w:type="spellEnd"/>
      <w:r>
        <w:t xml:space="preserve">, Olusegun </w:t>
      </w:r>
      <w:proofErr w:type="spellStart"/>
      <w:r>
        <w:t>Oladapo</w:t>
      </w:r>
      <w:proofErr w:type="spellEnd"/>
      <w:r>
        <w:t>. “The Link between Motivation and Organizational Performance: An Exploration of Factors Influencing Employee Motivation and Its Impact on Organizational Success.” International Journal of Business Ethics and Governance, vol. 6, no. 1, 7 July 2023, pp. 27–37, ijbeg.com/</w:t>
      </w:r>
      <w:proofErr w:type="spellStart"/>
      <w:r>
        <w:t>index.php</w:t>
      </w:r>
      <w:proofErr w:type="spellEnd"/>
      <w:r>
        <w:t xml:space="preserve">/1/article/view/118, </w:t>
      </w:r>
      <w:hyperlink r:id="rId35" w:history="1">
        <w:r>
          <w:rPr>
            <w:rStyle w:val="Hyperlink"/>
          </w:rPr>
          <w:t>https://doi.org/10.51325/ijbeg.v6i1.118</w:t>
        </w:r>
      </w:hyperlink>
      <w:r>
        <w:t xml:space="preserve"> &lt;</w:t>
      </w:r>
      <w:hyperlink r:id="rId36" w:history="1">
        <w:r>
          <w:rPr>
            <w:rStyle w:val="Hyperlink"/>
          </w:rPr>
          <w:t>https://gbr01.safelinks.protection.outlook.com/?url=https%3A%2F%2Fdoi.org%2F10.51325%2Fijbeg.v6i1.118&amp;data=05%7C02%7Cmatt.niles%40gwent.police.uk%7Cf3e5100e5cb54cf05ae108dc36a4d796%7Ce46c8472ef5d4b63bc744a60db42c371%7C0%7C1%7C638445328833383295%7CUnknown%7CTWFpbGZsb3d8eyJWIjoiMC4wLjAwMDAiLCJQIjoiV2luMzIiLCJBTiI6Ik1haWwiLCJXVCI6Mn0%3D%7C20000%7C%7C%7C&amp;sdata=CYrVfXu45%2FZZqEd36G7BLGeH62LAu%2BXD2o3HpB3zuBI%3D&amp;reserved=0</w:t>
        </w:r>
      </w:hyperlink>
    </w:p>
    <w:p w14:paraId="533B5DB3" w14:textId="77777777" w:rsidR="00FE1116" w:rsidRDefault="00FE1116" w:rsidP="00FE1116"/>
    <w:p w14:paraId="278689F3" w14:textId="77777777" w:rsidR="00FE1116" w:rsidRDefault="00FE1116" w:rsidP="00FE1116">
      <w:pPr>
        <w:pStyle w:val="PlainText"/>
      </w:pPr>
      <w:proofErr w:type="spellStart"/>
      <w:r>
        <w:t>Samudin</w:t>
      </w:r>
      <w:proofErr w:type="spellEnd"/>
      <w:r>
        <w:t xml:space="preserve">, Siti </w:t>
      </w:r>
      <w:proofErr w:type="spellStart"/>
      <w:r>
        <w:t>Aisyah</w:t>
      </w:r>
      <w:proofErr w:type="spellEnd"/>
      <w:r>
        <w:t xml:space="preserve">, et al. “The Interpretation of Age of Criminal Responsibility for Juvenile Offenders from the Perspectives of Islamic Jurisprudence (Fiqh) and Malaysian Law.” </w:t>
      </w:r>
      <w:proofErr w:type="spellStart"/>
      <w:r>
        <w:t>Tuijin</w:t>
      </w:r>
      <w:proofErr w:type="spellEnd"/>
      <w:r>
        <w:t xml:space="preserve"> </w:t>
      </w:r>
      <w:proofErr w:type="spellStart"/>
      <w:r>
        <w:t>Jishu</w:t>
      </w:r>
      <w:proofErr w:type="spellEnd"/>
      <w:r>
        <w:t>/Journal of Propulsion Technology, vol. 44, no. 4, 16 Oct. 2023, pp. 3938–3946, propulsiontechjournal.com/</w:t>
      </w:r>
      <w:proofErr w:type="spellStart"/>
      <w:r>
        <w:t>index.php</w:t>
      </w:r>
      <w:proofErr w:type="spellEnd"/>
      <w:r>
        <w:t xml:space="preserve">/journal/article/view/1577, </w:t>
      </w:r>
      <w:hyperlink r:id="rId37" w:history="1">
        <w:r>
          <w:rPr>
            <w:rStyle w:val="Hyperlink"/>
          </w:rPr>
          <w:t>https://doi.org/10.52783/tjjpt.v44.i4.1577</w:t>
        </w:r>
      </w:hyperlink>
      <w:r>
        <w:t>. Accessed 26 Feb. 2024.</w:t>
      </w:r>
    </w:p>
    <w:p w14:paraId="6F66F4A9" w14:textId="77777777" w:rsidR="00FE1116" w:rsidRDefault="00FE1116" w:rsidP="00FE1116">
      <w:pPr>
        <w:pStyle w:val="PlainText"/>
      </w:pPr>
    </w:p>
    <w:p w14:paraId="5BC4D8E0" w14:textId="77777777" w:rsidR="00FE1116" w:rsidRDefault="00FE1116" w:rsidP="00FE1116">
      <w:pPr>
        <w:pStyle w:val="PlainText"/>
      </w:pPr>
      <w:r>
        <w:t>Effective Practice Guide: MAPPA 1 Effective Practice Guide MAPPA Based On: Twenty Years On, Is MAPPA Achieving Its Objectives? A Joint Thematic Inspection of Multi-Agency Public Protection Arrangements Effective Practice Guide: MAPPA 2. 2022.</w:t>
      </w:r>
    </w:p>
    <w:p w14:paraId="29C0EF5B" w14:textId="77777777" w:rsidR="00FE1116" w:rsidRDefault="00FE1116" w:rsidP="00FE1116"/>
    <w:p w14:paraId="1E25650A" w14:textId="77777777" w:rsidR="00FE1116" w:rsidRDefault="00FE1116" w:rsidP="00FE1116">
      <w:pPr>
        <w:pStyle w:val="Default"/>
        <w:rPr>
          <w:sz w:val="22"/>
          <w:szCs w:val="22"/>
        </w:rPr>
      </w:pPr>
      <w:r>
        <w:rPr>
          <w:b/>
          <w:bCs/>
          <w:sz w:val="22"/>
          <w:szCs w:val="22"/>
        </w:rPr>
        <w:t xml:space="preserve">Essay four: </w:t>
      </w:r>
    </w:p>
    <w:p w14:paraId="1BA1E71C" w14:textId="77777777" w:rsidR="00FE1116" w:rsidRDefault="00FE1116" w:rsidP="00FE1116">
      <w:pPr>
        <w:pStyle w:val="Default"/>
        <w:rPr>
          <w:sz w:val="22"/>
          <w:szCs w:val="22"/>
        </w:rPr>
      </w:pPr>
      <w:r>
        <w:rPr>
          <w:sz w:val="22"/>
          <w:szCs w:val="22"/>
        </w:rPr>
        <w:t xml:space="preserve">According to the Institute for Government (2023), recent scandals have exposed severe flaws in forces’ internal vetting and misconduct procedures and affected public confidence in the police. </w:t>
      </w:r>
    </w:p>
    <w:p w14:paraId="2D2BD2AC" w14:textId="77777777" w:rsidR="00FE1116" w:rsidRDefault="00FE1116" w:rsidP="00FE1116">
      <w:pPr>
        <w:pStyle w:val="Default"/>
        <w:rPr>
          <w:sz w:val="22"/>
          <w:szCs w:val="22"/>
        </w:rPr>
      </w:pPr>
      <w:r>
        <w:rPr>
          <w:sz w:val="22"/>
          <w:szCs w:val="22"/>
        </w:rPr>
        <w:lastRenderedPageBreak/>
        <w:t xml:space="preserve">Therefore, why is it important that independent bodies exist to hold police officers accountable? </w:t>
      </w:r>
    </w:p>
    <w:p w14:paraId="053DDE7D" w14:textId="77777777" w:rsidR="00FE1116" w:rsidRDefault="00FE1116" w:rsidP="00FE1116"/>
    <w:p w14:paraId="318D1842" w14:textId="77777777" w:rsidR="00FE1116" w:rsidRDefault="00FE1116" w:rsidP="00FE1116">
      <w:r>
        <w:t xml:space="preserve">The foundation of public trust in the police forces is heavily influenced by the internal policing policies and practices when it comes to misconduct. There have been </w:t>
      </w:r>
      <w:proofErr w:type="gramStart"/>
      <w:r>
        <w:t>a number of</w:t>
      </w:r>
      <w:proofErr w:type="gramEnd"/>
      <w:r>
        <w:t xml:space="preserve"> failures in these areas in the recent years which led to serious concerns about the current state of police accountability. This essay will examine the crucial role of independent bodies in the United Kingdom that are holding forces accountable for the actions of their officers. </w:t>
      </w:r>
    </w:p>
    <w:p w14:paraId="0CE87452" w14:textId="77777777" w:rsidR="00FE1116" w:rsidRDefault="00FE1116" w:rsidP="00FE1116">
      <w:r>
        <w:t xml:space="preserve">The necessity for police accountability has been highlighted by several incidents in the recent years, for example The Metropolitan Police Service has faced </w:t>
      </w:r>
      <w:proofErr w:type="gramStart"/>
      <w:r>
        <w:t>a number of</w:t>
      </w:r>
      <w:proofErr w:type="gramEnd"/>
      <w:r>
        <w:t xml:space="preserve"> incidents that have exposed flaws in their internal vetting and gross misconduct procedures. One of the recent scandals is the case of former police officer Wayne </w:t>
      </w:r>
      <w:proofErr w:type="spellStart"/>
      <w:r>
        <w:t>Couzens</w:t>
      </w:r>
      <w:proofErr w:type="spellEnd"/>
      <w:r>
        <w:t xml:space="preserve">, who murdered Sarah Everard whilst off duty. The disclosure that </w:t>
      </w:r>
      <w:proofErr w:type="spellStart"/>
      <w:r>
        <w:t>Couzens</w:t>
      </w:r>
      <w:proofErr w:type="spellEnd"/>
      <w:r>
        <w:t xml:space="preserve"> had been cleared of charges of indecent exposure in the past despite being permitted to retain his position uncovered shortcomings in vetting process of the MET. Furthermore, when concerns were expressed about </w:t>
      </w:r>
      <w:proofErr w:type="spellStart"/>
      <w:r>
        <w:t>Couzens</w:t>
      </w:r>
      <w:proofErr w:type="spellEnd"/>
      <w:r>
        <w:t xml:space="preserve"> conduct, senior officers failed to take appropriate action, according to a report by the Independent Office for Police Conduct. This failure highlights shortcomings in the Mets protocols for addressing misconduct and prompts inquiries into the organization’s accountability. (IOPC 2021)</w:t>
      </w:r>
    </w:p>
    <w:p w14:paraId="4CC3272F" w14:textId="77777777" w:rsidR="00FE1116" w:rsidRDefault="00FE1116" w:rsidP="00FE1116"/>
    <w:p w14:paraId="75C31528" w14:textId="77777777" w:rsidR="00FE1116" w:rsidRDefault="00FE1116" w:rsidP="00FE1116">
      <w:r>
        <w:t xml:space="preserve">Independent investigations are much needed for any police force involved in such incidents to be held accountable. The IOPC – Independent Officer for Police Conduct, plays a crucial role in ensuring there are independent investigations into police misconduct within England and Wales, they are completely independent from the police forces and operate separate from them. They often conduct unbiased investigation, including probing cases of police misconduct and ensuring the rights of British citizens are protected and that the officers who breach public trust will be held accountable. (IOPC 2023), </w:t>
      </w:r>
      <w:proofErr w:type="spellStart"/>
      <w:r>
        <w:t>n.d</w:t>
      </w:r>
      <w:proofErr w:type="spellEnd"/>
      <w:r>
        <w:t>)</w:t>
      </w:r>
    </w:p>
    <w:p w14:paraId="580F8CA0" w14:textId="77777777" w:rsidR="00FE1116" w:rsidRDefault="00FE1116" w:rsidP="00FE1116">
      <w:r>
        <w:t xml:space="preserve">Furthermore, potential consequences of not having independent bodies to hold police officers accountable is the subsequent lack of public confidence and trust. Research by (Murphy et al. 2017) has shown that when police misconduct goes unchecked, it can seriously damage the </w:t>
      </w:r>
      <w:proofErr w:type="spellStart"/>
      <w:r>
        <w:t>publics</w:t>
      </w:r>
      <w:proofErr w:type="spellEnd"/>
      <w:r>
        <w:t xml:space="preserve"> confidence in the </w:t>
      </w:r>
      <w:proofErr w:type="gramStart"/>
      <w:r>
        <w:t>force as a whole</w:t>
      </w:r>
      <w:proofErr w:type="gramEnd"/>
      <w:r>
        <w:t>. In the absence of external oversight, incidents of abuse of power and unjust treatment towards members of the public will always lead to community distrust and strained relationship between the police and the people they are mean to protect. (Rowe, 2020)</w:t>
      </w:r>
    </w:p>
    <w:p w14:paraId="6792C1F2" w14:textId="77777777" w:rsidR="00FE1116" w:rsidRDefault="00FE1116" w:rsidP="00FE1116">
      <w:r>
        <w:t xml:space="preserve">Additionally, in the absence of independent bodies, problems in the systems that exist within police forces may go unaddressed, perpetuating patterns of discrimination and injustice. Therefore, independent bodies play a crucial role in maintaining the transparency, </w:t>
      </w:r>
      <w:proofErr w:type="gramStart"/>
      <w:r>
        <w:t>fairness</w:t>
      </w:r>
      <w:proofErr w:type="gramEnd"/>
      <w:r>
        <w:t xml:space="preserve"> and integrity within forces. (</w:t>
      </w:r>
      <w:proofErr w:type="spellStart"/>
      <w:r>
        <w:t>Torrible</w:t>
      </w:r>
      <w:proofErr w:type="spellEnd"/>
      <w:r>
        <w:t>, 2017)</w:t>
      </w:r>
    </w:p>
    <w:p w14:paraId="0427495E" w14:textId="77777777" w:rsidR="00FE1116" w:rsidRDefault="00FE1116" w:rsidP="00FE1116"/>
    <w:p w14:paraId="72365690" w14:textId="77777777" w:rsidR="00FE1116" w:rsidRDefault="00FE1116" w:rsidP="00FE1116"/>
    <w:p w14:paraId="29A3D417" w14:textId="77777777" w:rsidR="00FE1116" w:rsidRDefault="00FE1116" w:rsidP="00FE1116">
      <w:r>
        <w:t xml:space="preserve">In England and Wales, Police and Crime Commissioners (PCCs introduced in 2012, also play a vital role in the police accountability. They were established to provide a transparent and accountable system, often being the bridge between police forces and the local community. They are elected individuals and are overseeing the police forces in their areas, ensuring that they are effective and fair in the conduct of their duties. Their role also involves setting strategic priorities for the year, </w:t>
      </w:r>
      <w:r>
        <w:lastRenderedPageBreak/>
        <w:t xml:space="preserve">overseeing the budget, and appointing or dismissing chief constables. (Newburn and </w:t>
      </w:r>
      <w:proofErr w:type="spellStart"/>
      <w:r>
        <w:t>Peay</w:t>
      </w:r>
      <w:proofErr w:type="spellEnd"/>
      <w:r>
        <w:t xml:space="preserve"> 2012). Their role aims to ensure a higher degree of public involvement in policing matters and enhances the accountability of police forces. They aim to make forces more responsive to the needs of local communities. Through their involvement, independent investigations, and engagement with the public, PCCs contribute to maintaining the transparency, accountability, and public trust in the police forces. (College of policing) (House of Commons Library,2021)</w:t>
      </w:r>
    </w:p>
    <w:p w14:paraId="0D0C40EA" w14:textId="77777777" w:rsidR="00FE1116" w:rsidRDefault="00FE1116" w:rsidP="00FE1116">
      <w:r>
        <w:t xml:space="preserve">Additionally, in recent years, most of the police forces within the UK have introduced Body-Worn-Cameras for their officers </w:t>
      </w:r>
      <w:proofErr w:type="gramStart"/>
      <w:r>
        <w:t>in an attempt to</w:t>
      </w:r>
      <w:proofErr w:type="gramEnd"/>
      <w:r>
        <w:t xml:space="preserve"> address the issues related to police accountability. The body-worn-cameras </w:t>
      </w:r>
      <w:proofErr w:type="gramStart"/>
      <w:r>
        <w:t>are able to</w:t>
      </w:r>
      <w:proofErr w:type="gramEnd"/>
      <w:r>
        <w:t xml:space="preserve"> record both audio and video footage of officer’s interactions with members of the public, this has been viewed as a significant step forward in addressing the public’s trust in the police. The BWVs are providing impartial record of officer’s interactions with members of the public, therefore reducing disputes over what has happened after the event. The introduction of BWS has resulted in fewer complaints against police officers and a decline in the use of force during police interactions. (College of Policing 2022) </w:t>
      </w:r>
    </w:p>
    <w:p w14:paraId="2A22FA38" w14:textId="77777777" w:rsidR="00FE1116" w:rsidRDefault="00FE1116" w:rsidP="00FE1116">
      <w:r>
        <w:t xml:space="preserve">Furthermore, according to a survey conducted by IOPC in 2023, only 66% of respondents were aware of the IOPCs existence. Additionally, 74% of respondents didn’t know enough about the IOPC, and were not aware of what exactly the IOPC does. This highlights a significant gap in the knowledge of respondents regarding the importance of overseeing police conduct. </w:t>
      </w:r>
      <w:proofErr w:type="gramStart"/>
      <w:r>
        <w:t>In order for</w:t>
      </w:r>
      <w:proofErr w:type="gramEnd"/>
      <w:r>
        <w:t xml:space="preserve"> transparency to be improved, it is essential for further efforts to be made towards increasing the awareness of the public about the IOPC. (IOPC 2023)</w:t>
      </w:r>
    </w:p>
    <w:p w14:paraId="1AE60C70" w14:textId="77777777" w:rsidR="00FE1116" w:rsidRDefault="00FE1116" w:rsidP="00FE1116">
      <w:r>
        <w:t>In conclusion, the presence of independent bodies to hold Police Forces and their officers accountable is very important in ensuring fair treatment and justice for members of the public. They play a very important role in safeguarding the transparency, impartiality, and accountability of the police forces. Without the independent bodies, there will be an increased risk of abuse of power, corruption, and the loss of trust between the police and the communities they serve. Many events around the globe have shown instances of police misconduct and excessive use of force at times, these always have a devastating consequence in the public’s trust and leading to protests the breakdown of trust. It is necessary for the independent bodies to have the needed resources and legal powers to carry out their duties effectively. Only with the support of the independent bodies, we can ensure the accountability within the police forces and strengthen the relationship between the forces and the communities they serve. It is crucial that the oversight these independent bodies provide continues, so justice and fairness can be ensured within our communities.</w:t>
      </w:r>
    </w:p>
    <w:p w14:paraId="0677F337" w14:textId="77777777" w:rsidR="00FE1116" w:rsidRDefault="00FE1116" w:rsidP="00FE1116">
      <w:pPr>
        <w:rPr>
          <w:b/>
          <w:bCs/>
        </w:rPr>
      </w:pPr>
      <w:r w:rsidRPr="006E54CF">
        <w:rPr>
          <w:b/>
          <w:bCs/>
        </w:rPr>
        <w:t>Word Count: 9</w:t>
      </w:r>
      <w:r>
        <w:rPr>
          <w:b/>
          <w:bCs/>
        </w:rPr>
        <w:t>71</w:t>
      </w:r>
    </w:p>
    <w:p w14:paraId="42BA463E" w14:textId="77777777" w:rsidR="00FE1116" w:rsidRDefault="00FE1116" w:rsidP="00FE1116">
      <w:pPr>
        <w:pStyle w:val="PlainText"/>
      </w:pPr>
      <w:r>
        <w:t xml:space="preserve">Skolnick, J. (2002, January). Corruption and the Blue Code of Silence. Police Practice and Research, 3(1), 7–19. </w:t>
      </w:r>
      <w:hyperlink r:id="rId38" w:history="1">
        <w:r>
          <w:rPr>
            <w:rStyle w:val="Hyperlink"/>
          </w:rPr>
          <w:t>https://doi.org/10.1080/15614260290011309</w:t>
        </w:r>
      </w:hyperlink>
    </w:p>
    <w:p w14:paraId="7F259A60" w14:textId="77777777" w:rsidR="00FE1116" w:rsidRDefault="00FE1116" w:rsidP="00FE1116">
      <w:pPr>
        <w:pStyle w:val="PlainText"/>
      </w:pPr>
      <w:r>
        <w:t xml:space="preserve">What we do | Independent Office for Police Conduct (IOPC). (n.d.). </w:t>
      </w:r>
      <w:hyperlink r:id="rId39" w:history="1">
        <w:r>
          <w:rPr>
            <w:rStyle w:val="Hyperlink"/>
          </w:rPr>
          <w:t>https://www.policeconduct.gov.uk/about-us/what-we-do</w:t>
        </w:r>
      </w:hyperlink>
    </w:p>
    <w:p w14:paraId="60A05D9E" w14:textId="77777777" w:rsidR="00FE1116" w:rsidRDefault="00FE1116" w:rsidP="00FE1116">
      <w:pPr>
        <w:pStyle w:val="PlainText"/>
      </w:pPr>
      <w:r>
        <w:t xml:space="preserve">Police and crime commissioners - house of commons library. Available at: </w:t>
      </w:r>
      <w:hyperlink r:id="rId40" w:history="1">
        <w:r>
          <w:rPr>
            <w:rStyle w:val="Hyperlink"/>
          </w:rPr>
          <w:t>https://commonslibrary.parliament.uk/research-briefings/sn06104/</w:t>
        </w:r>
      </w:hyperlink>
      <w:r>
        <w:t xml:space="preserve"> (Accessed: 27 November 2023). </w:t>
      </w:r>
    </w:p>
    <w:p w14:paraId="03346346" w14:textId="77777777" w:rsidR="00FE1116" w:rsidRDefault="00FE1116" w:rsidP="00FE1116">
      <w:pPr>
        <w:rPr>
          <w:rStyle w:val="Hyperlink"/>
        </w:rPr>
      </w:pPr>
      <w:r>
        <w:t xml:space="preserve">Body-worn cameras | College of Policing. (2021, June 10). College of Policing. </w:t>
      </w:r>
      <w:hyperlink r:id="rId41" w:anchor=":~:text=Outcome%20measures%20on%20complaints%20against,the%20control%20groups%20without%20BWCs" w:history="1">
        <w:r>
          <w:rPr>
            <w:rStyle w:val="Hyperlink"/>
          </w:rPr>
          <w:t>https://www.college.police.uk/research/crime-reduction-toolkit/body-worn-cameras#:~:text=Outcome%20measures%20on%20complaints%20against,the%20control%20groups%20without%20BWCs</w:t>
        </w:r>
      </w:hyperlink>
    </w:p>
    <w:p w14:paraId="0BD124FD"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xml:space="preserve">Murphy, Peter, et al. “Accountability and Transparency: Police Forces in England and Wales.” </w:t>
      </w:r>
      <w:r>
        <w:rPr>
          <w:rStyle w:val="Emphasis"/>
          <w:rFonts w:ascii="Arial" w:hAnsi="Arial" w:cs="Arial"/>
          <w:color w:val="000000"/>
          <w:sz w:val="20"/>
          <w:szCs w:val="20"/>
        </w:rPr>
        <w:t>Public Policy and Administration</w:t>
      </w:r>
      <w:r>
        <w:rPr>
          <w:rFonts w:ascii="Arial" w:hAnsi="Arial" w:cs="Arial"/>
          <w:color w:val="000000"/>
          <w:sz w:val="20"/>
          <w:szCs w:val="20"/>
        </w:rPr>
        <w:t xml:space="preserve">, vol. 32, no. 3, 4 Oct. 2016, pp. 197–213, </w:t>
      </w:r>
      <w:r>
        <w:rPr>
          <w:rFonts w:ascii="Arial" w:hAnsi="Arial" w:cs="Arial"/>
          <w:color w:val="000000"/>
          <w:sz w:val="20"/>
          <w:szCs w:val="20"/>
        </w:rPr>
        <w:lastRenderedPageBreak/>
        <w:t>journals.sagepub.com/</w:t>
      </w:r>
      <w:proofErr w:type="spellStart"/>
      <w:r>
        <w:rPr>
          <w:rFonts w:ascii="Arial" w:hAnsi="Arial" w:cs="Arial"/>
          <w:color w:val="000000"/>
          <w:sz w:val="20"/>
          <w:szCs w:val="20"/>
        </w:rPr>
        <w:t>doi</w:t>
      </w:r>
      <w:proofErr w:type="spellEnd"/>
      <w:r>
        <w:rPr>
          <w:rFonts w:ascii="Arial" w:hAnsi="Arial" w:cs="Arial"/>
          <w:color w:val="000000"/>
          <w:sz w:val="20"/>
          <w:szCs w:val="20"/>
        </w:rPr>
        <w:t xml:space="preserve">/full/10.1177/0952076716671033, </w:t>
      </w:r>
      <w:hyperlink r:id="rId42" w:history="1">
        <w:r>
          <w:rPr>
            <w:rStyle w:val="Hyperlink"/>
            <w:rFonts w:ascii="Arial" w:hAnsi="Arial" w:cs="Arial"/>
            <w:sz w:val="20"/>
            <w:szCs w:val="20"/>
          </w:rPr>
          <w:t>https://doi.org/10.1177/0952076716671033</w:t>
        </w:r>
      </w:hyperlink>
      <w:r>
        <w:rPr>
          <w:rFonts w:ascii="Arial" w:hAnsi="Arial" w:cs="Arial"/>
          <w:color w:val="000000"/>
          <w:sz w:val="20"/>
          <w:szCs w:val="20"/>
        </w:rPr>
        <w:t>.</w:t>
      </w:r>
    </w:p>
    <w:p w14:paraId="7184A5FF"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w:t>
      </w:r>
    </w:p>
    <w:p w14:paraId="08E11F4B"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xml:space="preserve">2021, IOPC. </w:t>
      </w:r>
      <w:r>
        <w:rPr>
          <w:rStyle w:val="Emphasis"/>
          <w:rFonts w:ascii="Arial" w:hAnsi="Arial" w:cs="Arial"/>
          <w:color w:val="000000"/>
          <w:sz w:val="20"/>
          <w:szCs w:val="20"/>
        </w:rPr>
        <w:t>Summary of IOPC Conclusions</w:t>
      </w:r>
      <w:r>
        <w:rPr>
          <w:rFonts w:ascii="Arial" w:hAnsi="Arial" w:cs="Arial"/>
          <w:color w:val="000000"/>
          <w:sz w:val="20"/>
          <w:szCs w:val="20"/>
        </w:rPr>
        <w:t xml:space="preserve">. 5 May 2021, </w:t>
      </w:r>
      <w:hyperlink r:id="rId43" w:history="1">
        <w:r>
          <w:rPr>
            <w:rStyle w:val="Hyperlink"/>
            <w:rFonts w:ascii="Arial" w:hAnsi="Arial" w:cs="Arial"/>
            <w:sz w:val="20"/>
            <w:szCs w:val="20"/>
          </w:rPr>
          <w:t>www.policeconduct.gov.uk/sites/default/files/documents/Summary-of-IOPC-Conclusions-OpKaratash-OpMondego.pdf</w:t>
        </w:r>
      </w:hyperlink>
      <w:r>
        <w:rPr>
          <w:rFonts w:ascii="Arial" w:hAnsi="Arial" w:cs="Arial"/>
          <w:color w:val="000000"/>
          <w:sz w:val="20"/>
          <w:szCs w:val="20"/>
        </w:rPr>
        <w:t>.</w:t>
      </w:r>
    </w:p>
    <w:p w14:paraId="3F7A2795"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w:t>
      </w:r>
    </w:p>
    <w:p w14:paraId="4C4D66D4"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xml:space="preserve">Michael, Rowe. </w:t>
      </w:r>
      <w:r>
        <w:rPr>
          <w:rStyle w:val="Emphasis"/>
          <w:rFonts w:ascii="Arial" w:hAnsi="Arial" w:cs="Arial"/>
          <w:color w:val="000000"/>
          <w:sz w:val="20"/>
          <w:szCs w:val="20"/>
        </w:rPr>
        <w:t>Policing the Police: Challenges of Democracy and Accountability</w:t>
      </w:r>
      <w:r>
        <w:rPr>
          <w:rFonts w:ascii="Arial" w:hAnsi="Arial" w:cs="Arial"/>
          <w:color w:val="000000"/>
          <w:sz w:val="20"/>
          <w:szCs w:val="20"/>
        </w:rPr>
        <w:t xml:space="preserve">. </w:t>
      </w:r>
      <w:r>
        <w:rPr>
          <w:rStyle w:val="Emphasis"/>
          <w:rFonts w:ascii="Arial" w:hAnsi="Arial" w:cs="Arial"/>
          <w:color w:val="000000"/>
          <w:sz w:val="20"/>
          <w:szCs w:val="20"/>
        </w:rPr>
        <w:t>Google Books</w:t>
      </w:r>
      <w:r>
        <w:rPr>
          <w:rFonts w:ascii="Arial" w:hAnsi="Arial" w:cs="Arial"/>
          <w:color w:val="000000"/>
          <w:sz w:val="20"/>
          <w:szCs w:val="20"/>
        </w:rPr>
        <w:t>, Policy Press, 5 Feb. 2020, books.google.co.uk/books?hl=en&amp;lr=&amp;id=ZjDNDwAAQBAJ&amp;oi=fnd&amp;pg=PR7&amp;dq=walker+2019+public+trust. Accessed 27 Feb. 2024.</w:t>
      </w:r>
    </w:p>
    <w:p w14:paraId="506EBBD7"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w:t>
      </w:r>
    </w:p>
    <w:p w14:paraId="4329055E" w14:textId="77777777" w:rsidR="00FE1116" w:rsidRDefault="00FE1116" w:rsidP="00FE1116">
      <w:pPr>
        <w:pStyle w:val="NormalWeb"/>
        <w:rPr>
          <w:rFonts w:ascii="Arial" w:hAnsi="Arial" w:cs="Arial"/>
          <w:color w:val="000000"/>
          <w:sz w:val="20"/>
          <w:szCs w:val="20"/>
        </w:rPr>
      </w:pPr>
      <w:proofErr w:type="spellStart"/>
      <w:r>
        <w:rPr>
          <w:rFonts w:ascii="Arial" w:hAnsi="Arial" w:cs="Arial"/>
          <w:color w:val="000000"/>
          <w:sz w:val="20"/>
          <w:szCs w:val="20"/>
        </w:rPr>
        <w:t>Torrible</w:t>
      </w:r>
      <w:proofErr w:type="spellEnd"/>
      <w:r>
        <w:rPr>
          <w:rFonts w:ascii="Arial" w:hAnsi="Arial" w:cs="Arial"/>
          <w:color w:val="000000"/>
          <w:sz w:val="20"/>
          <w:szCs w:val="20"/>
        </w:rPr>
        <w:t xml:space="preserve">, Clare. “Police Complaints and Discipline: Integrity, Lesson Learning, Independence and Accountability: Some Implications of the Reforms under the Policing and Crime Act 2017.” </w:t>
      </w:r>
      <w:r>
        <w:rPr>
          <w:rStyle w:val="Emphasis"/>
          <w:rFonts w:ascii="Arial" w:hAnsi="Arial" w:cs="Arial"/>
          <w:color w:val="000000"/>
          <w:sz w:val="20"/>
          <w:szCs w:val="20"/>
        </w:rPr>
        <w:t>Policing and Society</w:t>
      </w:r>
      <w:r>
        <w:rPr>
          <w:rFonts w:ascii="Arial" w:hAnsi="Arial" w:cs="Arial"/>
          <w:color w:val="000000"/>
          <w:sz w:val="20"/>
          <w:szCs w:val="20"/>
        </w:rPr>
        <w:t xml:space="preserve">, vol. 31, no. 9, 30 Oct. 2020, pp. 1–16, </w:t>
      </w:r>
      <w:hyperlink r:id="rId44" w:history="1">
        <w:r>
          <w:rPr>
            <w:rStyle w:val="Hyperlink"/>
            <w:rFonts w:ascii="Arial" w:hAnsi="Arial" w:cs="Arial"/>
            <w:sz w:val="20"/>
            <w:szCs w:val="20"/>
          </w:rPr>
          <w:t>https://doi.org/10.1080/10439463.2020.1838516</w:t>
        </w:r>
      </w:hyperlink>
      <w:r>
        <w:rPr>
          <w:rFonts w:ascii="Arial" w:hAnsi="Arial" w:cs="Arial"/>
          <w:color w:val="000000"/>
          <w:sz w:val="20"/>
          <w:szCs w:val="20"/>
        </w:rPr>
        <w:t>.</w:t>
      </w:r>
    </w:p>
    <w:p w14:paraId="17BFADF5"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w:t>
      </w:r>
    </w:p>
    <w:p w14:paraId="2F815C6F" w14:textId="77777777" w:rsidR="00FE1116" w:rsidRDefault="00FE1116" w:rsidP="00FE1116">
      <w:pPr>
        <w:pStyle w:val="NormalWeb"/>
        <w:rPr>
          <w:rFonts w:ascii="Arial" w:hAnsi="Arial" w:cs="Arial"/>
          <w:color w:val="000000"/>
          <w:sz w:val="20"/>
          <w:szCs w:val="20"/>
        </w:rPr>
      </w:pPr>
      <w:r>
        <w:rPr>
          <w:rFonts w:ascii="Arial" w:hAnsi="Arial" w:cs="Arial"/>
          <w:color w:val="000000"/>
          <w:sz w:val="20"/>
          <w:szCs w:val="20"/>
        </w:rPr>
        <w:t xml:space="preserve">Newburn, Tim, and Jill </w:t>
      </w:r>
      <w:proofErr w:type="spellStart"/>
      <w:r>
        <w:rPr>
          <w:rFonts w:ascii="Arial" w:hAnsi="Arial" w:cs="Arial"/>
          <w:color w:val="000000"/>
          <w:sz w:val="20"/>
          <w:szCs w:val="20"/>
        </w:rPr>
        <w:t>Peay</w:t>
      </w:r>
      <w:proofErr w:type="spellEnd"/>
      <w:r>
        <w:rPr>
          <w:rFonts w:ascii="Arial" w:hAnsi="Arial" w:cs="Arial"/>
          <w:color w:val="000000"/>
          <w:sz w:val="20"/>
          <w:szCs w:val="20"/>
        </w:rPr>
        <w:t xml:space="preserve">. </w:t>
      </w:r>
      <w:r>
        <w:rPr>
          <w:rStyle w:val="Emphasis"/>
          <w:rFonts w:ascii="Arial" w:hAnsi="Arial" w:cs="Arial"/>
          <w:color w:val="000000"/>
          <w:sz w:val="20"/>
          <w:szCs w:val="20"/>
        </w:rPr>
        <w:t>Policing: Politics, Culture and Control</w:t>
      </w:r>
      <w:r>
        <w:rPr>
          <w:rFonts w:ascii="Arial" w:hAnsi="Arial" w:cs="Arial"/>
          <w:color w:val="000000"/>
          <w:sz w:val="20"/>
          <w:szCs w:val="20"/>
        </w:rPr>
        <w:t xml:space="preserve">. </w:t>
      </w:r>
      <w:r>
        <w:rPr>
          <w:rStyle w:val="Emphasis"/>
          <w:rFonts w:ascii="Arial" w:hAnsi="Arial" w:cs="Arial"/>
          <w:color w:val="000000"/>
          <w:sz w:val="20"/>
          <w:szCs w:val="20"/>
        </w:rPr>
        <w:t>Google Books</w:t>
      </w:r>
      <w:r>
        <w:rPr>
          <w:rFonts w:ascii="Arial" w:hAnsi="Arial" w:cs="Arial"/>
          <w:color w:val="000000"/>
          <w:sz w:val="20"/>
          <w:szCs w:val="20"/>
        </w:rPr>
        <w:t>, Bloomsbury Publishing, 22 June 2012, books.google.co.uk/books?hl=en&amp;lr=&amp;id=byzcBAAAQBAJ&amp;oi=fnd&amp;pg=PA219&amp;dq=Police+crime+commissioners+introduced&amp;ots=Y-jYsam5w4&amp;sig=qMTnECFHlWU8BXf4wpjtyf7an2E&amp;redir_esc=y#v=onepage&amp;q=Police%20crime%20commissioners%20introduced&amp;f=false. Accessed 27 Feb. 2024.</w:t>
      </w:r>
    </w:p>
    <w:p w14:paraId="10C3CC4B" w14:textId="77777777" w:rsidR="00FE1116" w:rsidRDefault="00FE1116" w:rsidP="00FE1116">
      <w:pPr>
        <w:rPr>
          <w:b/>
          <w:bCs/>
        </w:rPr>
      </w:pPr>
    </w:p>
    <w:p w14:paraId="4281150A" w14:textId="77777777" w:rsidR="00FE1116" w:rsidRDefault="00FE1116" w:rsidP="00FE1116">
      <w:pPr>
        <w:pStyle w:val="NormalWeb"/>
        <w:rPr>
          <w:rFonts w:ascii="Arial" w:hAnsi="Arial" w:cs="Arial"/>
          <w:color w:val="000000"/>
          <w:sz w:val="20"/>
          <w:szCs w:val="20"/>
        </w:rPr>
      </w:pPr>
      <w:r>
        <w:rPr>
          <w:rStyle w:val="Emphasis"/>
          <w:rFonts w:ascii="Arial" w:hAnsi="Arial" w:cs="Arial"/>
          <w:color w:val="000000"/>
          <w:sz w:val="20"/>
          <w:szCs w:val="20"/>
        </w:rPr>
        <w:t>IOPC Public Perceptions Tracker Summary Report, Waves 6.1 -6.3 MAY 2023 INDEPENDENT OFFICE for POLICE CONDUCT (IOPC)</w:t>
      </w:r>
      <w:r>
        <w:rPr>
          <w:rFonts w:ascii="Arial" w:hAnsi="Arial" w:cs="Arial"/>
          <w:color w:val="000000"/>
          <w:sz w:val="20"/>
          <w:szCs w:val="20"/>
        </w:rPr>
        <w:t>. 2023.</w:t>
      </w:r>
    </w:p>
    <w:p w14:paraId="6D10F885" w14:textId="77777777" w:rsidR="00FE1116" w:rsidRPr="006E54CF" w:rsidRDefault="00FE1116" w:rsidP="00FE1116">
      <w:pPr>
        <w:rPr>
          <w:b/>
          <w:bCs/>
        </w:rPr>
      </w:pPr>
    </w:p>
    <w:p w14:paraId="4C77AC76" w14:textId="77777777" w:rsidR="00FE1116" w:rsidRDefault="00FE1116"/>
    <w:sectPr w:rsidR="00FE1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D54D0" w14:textId="77777777" w:rsidR="00E9196A" w:rsidRDefault="00E9196A" w:rsidP="00FE1116">
      <w:pPr>
        <w:spacing w:after="0" w:line="240" w:lineRule="auto"/>
      </w:pPr>
      <w:r>
        <w:separator/>
      </w:r>
    </w:p>
  </w:endnote>
  <w:endnote w:type="continuationSeparator" w:id="0">
    <w:p w14:paraId="461C136D" w14:textId="77777777" w:rsidR="00E9196A" w:rsidRDefault="00E9196A" w:rsidP="00FE1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F2B8F" w14:textId="77777777" w:rsidR="00E9196A" w:rsidRDefault="00E9196A" w:rsidP="00FE1116">
      <w:pPr>
        <w:spacing w:after="0" w:line="240" w:lineRule="auto"/>
      </w:pPr>
      <w:r>
        <w:separator/>
      </w:r>
    </w:p>
  </w:footnote>
  <w:footnote w:type="continuationSeparator" w:id="0">
    <w:p w14:paraId="0BC1F4D6" w14:textId="77777777" w:rsidR="00E9196A" w:rsidRDefault="00E9196A" w:rsidP="00FE1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9B"/>
    <w:rsid w:val="00BD129B"/>
    <w:rsid w:val="00C23381"/>
    <w:rsid w:val="00E9196A"/>
    <w:rsid w:val="00FE1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60DC5"/>
  <w15:chartTrackingRefBased/>
  <w15:docId w15:val="{EF1F077B-24D4-44C4-92C6-F3EC883D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116"/>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116"/>
    <w:rPr>
      <w:rFonts w:cs="Times New Roman"/>
      <w:color w:val="0563C1"/>
      <w:u w:val="single"/>
    </w:rPr>
  </w:style>
  <w:style w:type="paragraph" w:styleId="PlainText">
    <w:name w:val="Plain Text"/>
    <w:basedOn w:val="Normal"/>
    <w:link w:val="PlainTextChar"/>
    <w:uiPriority w:val="99"/>
    <w:semiHidden/>
    <w:unhideWhenUsed/>
    <w:rsid w:val="00FE1116"/>
    <w:pPr>
      <w:spacing w:after="0" w:line="240" w:lineRule="auto"/>
    </w:pPr>
    <w:rPr>
      <w:rFonts w:ascii="Calibri" w:hAnsi="Calibri"/>
      <w:szCs w:val="21"/>
      <w:lang w:eastAsia="en-US"/>
    </w:rPr>
  </w:style>
  <w:style w:type="character" w:customStyle="1" w:styleId="PlainTextChar">
    <w:name w:val="Plain Text Char"/>
    <w:basedOn w:val="DefaultParagraphFont"/>
    <w:link w:val="PlainText"/>
    <w:uiPriority w:val="99"/>
    <w:semiHidden/>
    <w:rsid w:val="00FE1116"/>
    <w:rPr>
      <w:rFonts w:ascii="Calibri" w:eastAsiaTheme="minorEastAsia" w:hAnsi="Calibri" w:cs="Times New Roman"/>
      <w:szCs w:val="21"/>
    </w:rPr>
  </w:style>
  <w:style w:type="paragraph" w:customStyle="1" w:styleId="Default">
    <w:name w:val="Default"/>
    <w:rsid w:val="00FE111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E1116"/>
    <w:pPr>
      <w:spacing w:before="100" w:beforeAutospacing="1" w:after="100" w:afterAutospacing="1" w:line="240" w:lineRule="auto"/>
    </w:pPr>
    <w:rPr>
      <w:rFonts w:ascii="Calibri" w:eastAsiaTheme="minorHAnsi" w:hAnsi="Calibri" w:cs="Calibri"/>
    </w:rPr>
  </w:style>
  <w:style w:type="character" w:styleId="Emphasis">
    <w:name w:val="Emphasis"/>
    <w:basedOn w:val="DefaultParagraphFont"/>
    <w:uiPriority w:val="20"/>
    <w:qFormat/>
    <w:rsid w:val="00FE11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39463.2013.802787" TargetMode="External"/><Relationship Id="rId13" Type="http://schemas.openxmlformats.org/officeDocument/2006/relationships/hyperlink" Target="https://doi.org/10.1177/1473225419843353"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doi.org/10.3390/socsci10020070" TargetMode="External"/><Relationship Id="rId39" Type="http://schemas.openxmlformats.org/officeDocument/2006/relationships/hyperlink" Target="https://www.policeconduct.gov.uk/about-us/what-we-do" TargetMode="External"/><Relationship Id="rId3" Type="http://schemas.openxmlformats.org/officeDocument/2006/relationships/webSettings" Target="webSettings.xml"/><Relationship Id="rId21" Type="http://schemas.openxmlformats.org/officeDocument/2006/relationships/hyperlink" Target="https://www.ons.gov.uk/peoplepopulationandcommunity/culturalidentity/ethnicity" TargetMode="External"/><Relationship Id="rId34" Type="http://schemas.openxmlformats.org/officeDocument/2006/relationships/hyperlink" Target="https://doi.org/10.35502/jcswb.332" TargetMode="External"/><Relationship Id="rId42" Type="http://schemas.openxmlformats.org/officeDocument/2006/relationships/hyperlink" Target="https://gbr01.safelinks.protection.outlook.com/?url=https%3A%2F%2Fdoi.org%2F10.1177%2F0952076716671033&amp;data=05%7C02%7Cmatt.niles%40gwent.police.uk%7Cd27008b5a579461f495a08dc37959d0e%7Ce46c8472ef5d4b63bc744a60db42c371%7C0%7C1%7C638446362936763640%7CUnknown%7CTWFpbGZsb3d8eyJWIjoiMC4wLjAwMDAiLCJQIjoiV2luMzIiLCJBTiI6Ik1haWwiLCJXVCI6Mn0%3D%7C20000%7C%7C%7C&amp;sdata=3Hpukq%2FdOS5TRx5OED%2Bh%2F%2FRj2vnAWADHEST0y8bi5xA%3D&amp;reserved=0" TargetMode="External"/><Relationship Id="rId7" Type="http://schemas.openxmlformats.org/officeDocument/2006/relationships/hyperlink" Target="https://doi.org/10.26577/jos.v89i2.1396" TargetMode="External"/><Relationship Id="rId12" Type="http://schemas.openxmlformats.org/officeDocument/2006/relationships/hyperlink" Target="https://doi.org/10.1007/s10464-004-7416-2" TargetMode="External"/><Relationship Id="rId17" Type="http://schemas.openxmlformats.org/officeDocument/2006/relationships/hyperlink" Target="https://www.gov.uk/guidance/police-and-criminal-evidence-act-1984-pace-codes-of-practice" TargetMode="External"/><Relationship Id="rId25" Type="http://schemas.openxmlformats.org/officeDocument/2006/relationships/hyperlink" Target="https://doi.org/10.1017/s1474746417000112" TargetMode="External"/><Relationship Id="rId33" Type="http://schemas.openxmlformats.org/officeDocument/2006/relationships/hyperlink" Target="http://www.journalcswb.ca/index.php/cswb/article/view/332/1017" TargetMode="External"/><Relationship Id="rId38" Type="http://schemas.openxmlformats.org/officeDocument/2006/relationships/hyperlink" Target="https://doi.org/10.1080/15614260290011309"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3390/genealogy7010002" TargetMode="External"/><Relationship Id="rId20" Type="http://schemas.openxmlformats.org/officeDocument/2006/relationships/hyperlink" Target="https://www.jstor.org/stable/23638854" TargetMode="External"/><Relationship Id="rId29" Type="http://schemas.openxmlformats.org/officeDocument/2006/relationships/hyperlink" Target="https://doi.org/10.35502/jcswb.332" TargetMode="External"/><Relationship Id="rId41" Type="http://schemas.openxmlformats.org/officeDocument/2006/relationships/hyperlink" Target="https://www.college.police.uk/research/crime-reduction-toolkit/body-worn-cameras" TargetMode="External"/><Relationship Id="rId1" Type="http://schemas.openxmlformats.org/officeDocument/2006/relationships/styles" Target="styles.xml"/><Relationship Id="rId6" Type="http://schemas.openxmlformats.org/officeDocument/2006/relationships/hyperlink" Target="https://bulletin-orientalism.kaznu.kz/index.php/1-vostok/article/view/1396" TargetMode="External"/><Relationship Id="rId11" Type="http://schemas.openxmlformats.org/officeDocument/2006/relationships/hyperlink" Target="https://www.pacesconnection.com/g/ace-juvenile-justice/fileSendAction/fcType/5/fcOid/450964185277680460/fodoid/450964185277680459/5-ACEs%20and%20Juvenile%20Offending%20Trajectories-Journal%20of%20Criminal%20Justice.pdf" TargetMode="External"/><Relationship Id="rId24" Type="http://schemas.openxmlformats.org/officeDocument/2006/relationships/hyperlink" Target="https://doi.org/10.1108/pijpsm-03-2017-0032" TargetMode="External"/><Relationship Id="rId32" Type="http://schemas.openxmlformats.org/officeDocument/2006/relationships/hyperlink" Target="https://doi.org/10.1300/J147v32n202_02" TargetMode="External"/><Relationship Id="rId37" Type="http://schemas.openxmlformats.org/officeDocument/2006/relationships/hyperlink" Target="https://doi.org/10.52783/tjjpt.v44.i4.1577" TargetMode="External"/><Relationship Id="rId40" Type="http://schemas.openxmlformats.org/officeDocument/2006/relationships/hyperlink" Target="https://commonslibrary.parliament.uk/research-briefings/sn06104/"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177/10575618814891" TargetMode="External"/><Relationship Id="rId23" Type="http://schemas.openxmlformats.org/officeDocument/2006/relationships/hyperlink" Target="https://www.npcc.police.uk/documents/edhr/2018/NPCC%20Diversity%20Equality%20Inclusion%20Strategy%20May%202018.pdf" TargetMode="External"/><Relationship Id="rId28" Type="http://schemas.openxmlformats.org/officeDocument/2006/relationships/hyperlink" Target="http://www.journalcswb.ca" TargetMode="External"/><Relationship Id="rId36" Type="http://schemas.openxmlformats.org/officeDocument/2006/relationships/hyperlink" Target="https://gbr01.safelinks.protection.outlook.com/?url=https%3A%2F%2Fdoi.org%2F10.51325%2Fijbeg.v6i1.118&amp;data=05%7C02%7Cmatt.niles%40gwent.police.uk%7Cf3e5100e5cb54cf05ae108dc36a4d796%7Ce46c8472ef5d4b63bc744a60db42c371%7C0%7C1%7C638445328833383295%7CUnknown%7CTWFpbGZsb3d8eyJWIjoiMC4wLjAwMDAiLCJQIjoiV2luMzIiLCJBTiI6Ik1haWwiLCJXVCI6Mn0%3D%7C20000%7C%7C%7C&amp;sdata=CYrVfXu45%2FZZqEd36G7BLGeH62LAu%2BXD2o3HpB3zuBI%3D&amp;reserved=0" TargetMode="External"/><Relationship Id="rId10" Type="http://schemas.openxmlformats.org/officeDocument/2006/relationships/hyperlink" Target="https://www.econstor.eu/bitstream/10419/167078/1/ifo-dice-report-v10-y2012-i2-p49-55.pdf" TargetMode="External"/><Relationship Id="rId19" Type="http://schemas.openxmlformats.org/officeDocument/2006/relationships/hyperlink" Target="http://www.jstor.org" TargetMode="External"/><Relationship Id="rId31" Type="http://schemas.openxmlformats.org/officeDocument/2006/relationships/hyperlink" Target="https://doi.org/10.1057/s41599-023-02033-x" TargetMode="External"/><Relationship Id="rId44" Type="http://schemas.openxmlformats.org/officeDocument/2006/relationships/hyperlink" Target="https://gbr01.safelinks.protection.outlook.com/?url=https%3A%2F%2Fdoi.org%2F10.1080%2F10439463.2020.1838516&amp;data=05%7C02%7Cmatt.niles%40gwent.police.uk%7Cd27008b5a579461f495a08dc37959d0e%7Ce46c8472ef5d4b63bc744a60db42c371%7C0%7C1%7C638446362936787862%7CUnknown%7CTWFpbGZsb3d8eyJWIjoiMC4wLjAwMDAiLCJQIjoiV2luMzIiLCJBTiI6Ik1haWwiLCJXVCI6Mn0%3D%7C20000%7C%7C%7C&amp;sdata=ejedh0bRDtxVfcfE9arD3PJvfIhQ%2BgXtqTd18CaVDdY%3D&amp;reserved=0" TargetMode="External"/><Relationship Id="rId4" Type="http://schemas.openxmlformats.org/officeDocument/2006/relationships/footnotes" Target="footnotes.xml"/><Relationship Id="rId9" Type="http://schemas.openxmlformats.org/officeDocument/2006/relationships/hyperlink" Target="https://doi.org/10.1017/cbo9780511489334.004" TargetMode="External"/><Relationship Id="rId14" Type="http://schemas.openxmlformats.org/officeDocument/2006/relationships/hyperlink" Target="https://doi.org/10.3390/socsci12110609" TargetMode="External"/><Relationship Id="rId22" Type="http://schemas.openxmlformats.org/officeDocument/2006/relationships/hyperlink" Target="https://doi.org/10.1007/s10940-011-9131-0" TargetMode="External"/><Relationship Id="rId27" Type="http://schemas.openxmlformats.org/officeDocument/2006/relationships/hyperlink" Target="https://doi.org/10.1177/14613557221145593" TargetMode="External"/><Relationship Id="rId30" Type="http://schemas.openxmlformats.org/officeDocument/2006/relationships/hyperlink" Target="https://doi.org/10.1007/s11135-021-01172-0" TargetMode="External"/><Relationship Id="rId35" Type="http://schemas.openxmlformats.org/officeDocument/2006/relationships/hyperlink" Target="https://doi.org/10.51325/ijbeg.v6i1.118" TargetMode="External"/><Relationship Id="rId43" Type="http://schemas.openxmlformats.org/officeDocument/2006/relationships/hyperlink" Target="https://gbr01.safelinks.protection.outlook.com/?url=http%3A%2F%2Fwww.policeconduct.gov.uk%2Fsites%2Fdefault%2Ffiles%2Fdocuments%2FSummary-of-IOPC-Conclusions-OpKaratash-OpMondego.pdf&amp;data=05%7C02%7Cmatt.niles%40gwent.police.uk%7Cd27008b5a579461f495a08dc37959d0e%7Ce46c8472ef5d4b63bc744a60db42c371%7C0%7C1%7C638446362936779424%7CUnknown%7CTWFpbGZsb3d8eyJWIjoiMC4wLjAwMDAiLCJQIjoiV2luMzIiLCJBTiI6Ik1haWwiLCJXVCI6Mn0%3D%7C20000%7C%7C%7C&amp;sdata=Qq0ffrE8lcHZc2YwFgMVVNP%2B44hYgADVK6vcr%2BS5sG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6313</Words>
  <Characters>35985</Characters>
  <Application>Microsoft Office Word</Application>
  <DocSecurity>0</DocSecurity>
  <Lines>299</Lines>
  <Paragraphs>84</Paragraphs>
  <ScaleCrop>false</ScaleCrop>
  <Company>Gwent Police</Company>
  <LinksUpToDate>false</LinksUpToDate>
  <CharactersWithSpaces>42214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 Matt</dc:creator>
  <cp:keywords/>
  <dc:description/>
  <cp:lastModifiedBy>Niles, Matt</cp:lastModifiedBy>
  <cp:revision>2</cp:revision>
  <dcterms:created xsi:type="dcterms:W3CDTF">2024-03-01T19:52:00Z</dcterms:created>
  <dcterms:modified xsi:type="dcterms:W3CDTF">2024-03-01T19:54:00Z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2024-03-01T19:52:30Z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850c678d-eefb-4b47-8951-5d74284c2aab</vt:lpwstr>
  </property>
  <property fmtid="{D5CDD505-2E9C-101B-9397-08002B2CF9AE}" pid="8" name="MSIP_Label_f2acd28b-79a3-4a0f-b0ff-4b75658b1549_ContentBits">
    <vt:lpwstr>0</vt:lpwstr>
  </property>
</Properties>
</file>