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C87B44" w14:textId="77777777" w:rsidR="00164458" w:rsidRPr="00843496" w:rsidRDefault="00164458" w:rsidP="00164458">
      <w:pPr>
        <w:pStyle w:val="Heading2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Student Name </w:t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  <w:t>Fateha Altafi</w:t>
      </w:r>
    </w:p>
    <w:p w14:paraId="002DB0B4" w14:textId="77777777" w:rsidR="00164458" w:rsidRPr="00843496" w:rsidRDefault="00164458" w:rsidP="00164458">
      <w:pPr>
        <w:pStyle w:val="Heading2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>Student ID</w:t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  <w:t>2309157</w:t>
      </w:r>
    </w:p>
    <w:p w14:paraId="73E0AA6D" w14:textId="1E282D80" w:rsidR="00164458" w:rsidRPr="00843496" w:rsidRDefault="00164458" w:rsidP="00DC0890">
      <w:pPr>
        <w:pStyle w:val="Heading2"/>
        <w:ind w:left="3600" w:hanging="3600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>Programme</w:t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  <w:t xml:space="preserve">BSc (Hons) Health and Social </w:t>
      </w:r>
      <w:r w:rsidR="00DC089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care </w:t>
      </w:r>
    </w:p>
    <w:p w14:paraId="0CF70AEB" w14:textId="77777777" w:rsidR="00164458" w:rsidRPr="00843496" w:rsidRDefault="00164458" w:rsidP="00164458">
      <w:pPr>
        <w:pStyle w:val="Heading2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>Module</w:t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>Empowering the Older Person</w:t>
      </w:r>
    </w:p>
    <w:p w14:paraId="7C6A89D9" w14:textId="77777777" w:rsidR="00164458" w:rsidRPr="00843496" w:rsidRDefault="00164458" w:rsidP="00164458">
      <w:pPr>
        <w:pStyle w:val="Heading2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>Module code</w:t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  <w:t>BMHP6027</w:t>
      </w:r>
    </w:p>
    <w:p w14:paraId="1E3737AE" w14:textId="77777777" w:rsidR="00164458" w:rsidRPr="00843496" w:rsidRDefault="00164458" w:rsidP="00164458">
      <w:pPr>
        <w:pStyle w:val="Heading2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>Lecturer</w:t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  <w:t>Rizwan Naddim</w:t>
      </w:r>
    </w:p>
    <w:p w14:paraId="475FCCC7" w14:textId="77777777" w:rsidR="00164458" w:rsidRPr="00843496" w:rsidRDefault="00164458" w:rsidP="00164458">
      <w:pPr>
        <w:pStyle w:val="Heading2"/>
        <w:ind w:left="3600" w:hanging="3600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>Assignment Title</w:t>
      </w:r>
      <w:r w:rsidRPr="00843496">
        <w:rPr>
          <w:rFonts w:ascii="Arial" w:hAnsi="Arial" w:cs="Arial"/>
          <w:b/>
          <w:bCs/>
          <w:color w:val="000000" w:themeColor="text1"/>
          <w:sz w:val="36"/>
          <w:szCs w:val="36"/>
        </w:rPr>
        <w:tab/>
        <w:t>Component 2: Debate / Discussion</w:t>
      </w:r>
    </w:p>
    <w:p w14:paraId="5C401DEA" w14:textId="77777777" w:rsidR="00164458" w:rsidRDefault="00164458" w:rsidP="00164458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5897CE23" w14:textId="77777777" w:rsidR="00164458" w:rsidRDefault="00164458" w:rsidP="00164458"/>
    <w:p w14:paraId="7385FB06" w14:textId="77777777" w:rsidR="00164458" w:rsidRDefault="00164458" w:rsidP="00164458"/>
    <w:p w14:paraId="61715212" w14:textId="77777777" w:rsidR="00164458" w:rsidRDefault="00164458" w:rsidP="00164458"/>
    <w:p w14:paraId="1A1201A2" w14:textId="77777777" w:rsidR="00164458" w:rsidRDefault="00164458" w:rsidP="00164458"/>
    <w:p w14:paraId="7A4417FD" w14:textId="77777777" w:rsidR="00164458" w:rsidRDefault="00164458" w:rsidP="00164458"/>
    <w:p w14:paraId="795E3409" w14:textId="77777777" w:rsidR="00164458" w:rsidRDefault="00164458" w:rsidP="00164458"/>
    <w:p w14:paraId="34C93290" w14:textId="77777777" w:rsidR="00164458" w:rsidRDefault="00164458" w:rsidP="00164458"/>
    <w:p w14:paraId="5C048AC3" w14:textId="77777777" w:rsidR="00164458" w:rsidRDefault="00164458" w:rsidP="00164458"/>
    <w:p w14:paraId="49DB0E5F" w14:textId="77777777" w:rsidR="00164458" w:rsidRDefault="00164458" w:rsidP="00164458"/>
    <w:p w14:paraId="21586C91" w14:textId="77777777" w:rsidR="00164458" w:rsidRDefault="00164458" w:rsidP="00164458"/>
    <w:p w14:paraId="21C2F5C9" w14:textId="77777777" w:rsidR="00164458" w:rsidRDefault="00164458" w:rsidP="00164458"/>
    <w:p w14:paraId="114BFB1F" w14:textId="77777777" w:rsidR="00164458" w:rsidRDefault="00164458" w:rsidP="00164458"/>
    <w:p w14:paraId="76FE5E00" w14:textId="77777777" w:rsidR="00164458" w:rsidRDefault="00164458" w:rsidP="00164458"/>
    <w:p w14:paraId="3595858A" w14:textId="77777777" w:rsidR="00164458" w:rsidRDefault="00164458" w:rsidP="00164458"/>
    <w:p w14:paraId="1E34DA55" w14:textId="77777777" w:rsidR="00164458" w:rsidRDefault="00164458" w:rsidP="00164458"/>
    <w:p w14:paraId="20A4FDFA" w14:textId="77777777" w:rsidR="00164458" w:rsidRPr="00164458" w:rsidRDefault="00164458" w:rsidP="00164458"/>
    <w:p w14:paraId="3FFB4342" w14:textId="77777777" w:rsidR="008647A9" w:rsidRDefault="008647A9" w:rsidP="008647A9">
      <w:pPr>
        <w:rPr>
          <w:b/>
          <w:bCs/>
          <w:sz w:val="28"/>
          <w:szCs w:val="28"/>
        </w:rPr>
      </w:pPr>
    </w:p>
    <w:p w14:paraId="65D8736D" w14:textId="25502022" w:rsidR="008647A9" w:rsidRPr="008647A9" w:rsidRDefault="008647A9" w:rsidP="008647A9">
      <w:pPr>
        <w:rPr>
          <w:b/>
          <w:bCs/>
          <w:sz w:val="28"/>
          <w:szCs w:val="28"/>
        </w:rPr>
      </w:pPr>
      <w:r w:rsidRPr="008B053B">
        <w:rPr>
          <w:b/>
          <w:bCs/>
          <w:sz w:val="28"/>
          <w:szCs w:val="28"/>
        </w:rPr>
        <w:lastRenderedPageBreak/>
        <w:t>Assistive Technology: Does it Enhance or Undermine Autonomy in Elder Care?</w:t>
      </w:r>
    </w:p>
    <w:p w14:paraId="5FA7252E" w14:textId="41AB5B40" w:rsidR="00164458" w:rsidRPr="007F3EA6" w:rsidRDefault="00164458" w:rsidP="00164458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References </w:t>
      </w:r>
    </w:p>
    <w:p w14:paraId="2A4A3E76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Age UK (2023). Digital inclusion and older people. London: Age UK. Available at: </w:t>
      </w:r>
      <w:hyperlink r:id="rId4" w:tgtFrame="_new" w:history="1">
        <w:r w:rsidRPr="007F3EA6">
          <w:rPr>
            <w:rStyle w:val="Hyperlink"/>
            <w:rFonts w:ascii="Arial" w:eastAsiaTheme="majorEastAsia" w:hAnsi="Arial" w:cs="Arial"/>
            <w:color w:val="000000" w:themeColor="text1"/>
            <w:sz w:val="28"/>
            <w:szCs w:val="28"/>
          </w:rPr>
          <w:t>https://www.ageuk.org.uk</w:t>
        </w:r>
      </w:hyperlink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(Accessed: </w:t>
      </w:r>
      <w:r>
        <w:rPr>
          <w:rFonts w:ascii="Arial" w:hAnsi="Arial" w:cs="Arial"/>
          <w:color w:val="000000" w:themeColor="text1"/>
          <w:sz w:val="28"/>
          <w:szCs w:val="28"/>
        </w:rPr>
        <w:t>1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March 2026).</w:t>
      </w:r>
    </w:p>
    <w:p w14:paraId="7D4B0C28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Atchley, R.C. (1989). A continuity theory of normal aging.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The Gerontologist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29(2), pp.183–190.</w:t>
      </w:r>
    </w:p>
    <w:p w14:paraId="431E4BD3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Berridge, C. (2016). Active subjects of passive monitoring: Responses to a passive monitoring system in low-income independent living.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Ageing and Society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36(3), pp.537–560.</w:t>
      </w:r>
    </w:p>
    <w:p w14:paraId="7C4FA9B4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Cahill, S., Begley, E., Faulkner, J. and Hagen, I. (2015). It gives me a sense of independence: Findings from Ireland on the use of assistive technology for people with dementia.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Dementia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14(4), pp.479–495.</w:t>
      </w:r>
    </w:p>
    <w:p w14:paraId="172E463E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Centre for Ageing Better (2020). Homes for an ageing population. London: Centre for Ageing Better. Available at: </w:t>
      </w:r>
      <w:hyperlink r:id="rId5" w:tgtFrame="_new" w:history="1">
        <w:r w:rsidRPr="007F3EA6">
          <w:rPr>
            <w:rStyle w:val="Hyperlink"/>
            <w:rFonts w:ascii="Arial" w:eastAsiaTheme="majorEastAsia" w:hAnsi="Arial" w:cs="Arial"/>
            <w:color w:val="000000" w:themeColor="text1"/>
            <w:sz w:val="28"/>
            <w:szCs w:val="28"/>
          </w:rPr>
          <w:t>https://www.ageing-better.org.uk</w:t>
        </w:r>
      </w:hyperlink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(Accessed: </w:t>
      </w:r>
      <w:r>
        <w:rPr>
          <w:rFonts w:ascii="Arial" w:hAnsi="Arial" w:cs="Arial"/>
          <w:color w:val="000000" w:themeColor="text1"/>
          <w:sz w:val="28"/>
          <w:szCs w:val="28"/>
        </w:rPr>
        <w:t>7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March 2026).</w:t>
      </w:r>
    </w:p>
    <w:p w14:paraId="65498912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Department of Health and Social Care (2021). Integration and innovation: Working together to improve health and social care for all. London: Department of Health and Social Care. Available at: </w:t>
      </w:r>
      <w:hyperlink r:id="rId6" w:tgtFrame="_new" w:history="1">
        <w:r w:rsidRPr="007F3EA6">
          <w:rPr>
            <w:rStyle w:val="Hyperlink"/>
            <w:rFonts w:ascii="Arial" w:eastAsiaTheme="majorEastAsia" w:hAnsi="Arial" w:cs="Arial"/>
            <w:color w:val="000000" w:themeColor="text1"/>
            <w:sz w:val="28"/>
            <w:szCs w:val="28"/>
          </w:rPr>
          <w:t>https://www.gov.uk</w:t>
        </w:r>
      </w:hyperlink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(Accessed: 2 March 2026).</w:t>
      </w:r>
    </w:p>
    <w:p w14:paraId="511C5B7E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Digital Health and Care Wales (2022). Technology enabled care strategy. Cardiff: Digital Health and Care Wales. Available at: </w:t>
      </w:r>
      <w:hyperlink r:id="rId7" w:tgtFrame="_new" w:history="1">
        <w:r w:rsidRPr="007F3EA6">
          <w:rPr>
            <w:rStyle w:val="Hyperlink"/>
            <w:rFonts w:ascii="Arial" w:eastAsiaTheme="majorEastAsia" w:hAnsi="Arial" w:cs="Arial"/>
            <w:color w:val="000000" w:themeColor="text1"/>
            <w:sz w:val="28"/>
            <w:szCs w:val="28"/>
          </w:rPr>
          <w:t>https://dhcw.nhs.wales</w:t>
        </w:r>
      </w:hyperlink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(Accessed: </w:t>
      </w:r>
      <w:r>
        <w:rPr>
          <w:rFonts w:ascii="Arial" w:hAnsi="Arial" w:cs="Arial"/>
          <w:color w:val="000000" w:themeColor="text1"/>
          <w:sz w:val="28"/>
          <w:szCs w:val="28"/>
        </w:rPr>
        <w:t>4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March 2026).</w:t>
      </w:r>
    </w:p>
    <w:p w14:paraId="47EED673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lastRenderedPageBreak/>
        <w:t xml:space="preserve">Greenhalgh, T., Wherton, J., Papoutsi, C., Lynch, J., Hughes, G., A’Court, C., Hinder, S., Fahy, N., Procter, R. and Shaw, S. (2017). Beyond adoption: A new framework for theorising and evaluating non-adoption and scale-up of health technologies.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Journal of Medical Internet Research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19(11), e367.</w:t>
      </w:r>
    </w:p>
    <w:p w14:paraId="30A5E646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Havighurst, R.J. (1961). Successful aging.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The Gerontologist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1(1), pp.8–13.</w:t>
      </w:r>
    </w:p>
    <w:p w14:paraId="677FE5DE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Heart, T. and Kalderon, E. (2013). Older adults: Are they ready to adopt health-related ICT?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International Journal of Medical Informatics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82(11), pp.e209–e231.</w:t>
      </w:r>
    </w:p>
    <w:p w14:paraId="30A258B4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Kitwood, T. (1997).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Dementia reconsidered: The person comes first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. Buckingham: Open University Press.</w:t>
      </w:r>
    </w:p>
    <w:p w14:paraId="5F31D02C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Lee, C. and Coughlin, J.F. (2015). Older adults’ adoption of technology.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Journal of Medical Internet Research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17(5), e123.</w:t>
      </w:r>
    </w:p>
    <w:p w14:paraId="150C1F93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Manthorpe, J., Stevens, M., Martineau, S. and Harris, J. (2010). Safeguarding and system change.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British Journal of Social Work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40(4), pp.1225–1243.</w:t>
      </w:r>
    </w:p>
    <w:p w14:paraId="0D23F9FC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Mortenson, W.B., Sixsmith, A. and Beringer, R. (2015). No place like home? Surveillance and what home means in old age.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Disability and Rehabilitation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37(16), pp.1464–1473.</w:t>
      </w:r>
    </w:p>
    <w:p w14:paraId="3839F923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NHS Digital (2022). Digital maturity in adult social care annual report. Leeds: NHS Digital. Available at: </w:t>
      </w:r>
      <w:hyperlink r:id="rId8" w:tgtFrame="_new" w:history="1">
        <w:r w:rsidRPr="007F3EA6">
          <w:rPr>
            <w:rStyle w:val="Hyperlink"/>
            <w:rFonts w:ascii="Arial" w:eastAsiaTheme="majorEastAsia" w:hAnsi="Arial" w:cs="Arial"/>
            <w:color w:val="000000" w:themeColor="text1"/>
            <w:sz w:val="28"/>
            <w:szCs w:val="28"/>
          </w:rPr>
          <w:t>https://digital.nhs.uk</w:t>
        </w:r>
      </w:hyperlink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(Accessed: </w:t>
      </w:r>
      <w:r>
        <w:rPr>
          <w:rFonts w:ascii="Arial" w:hAnsi="Arial" w:cs="Arial"/>
          <w:color w:val="000000" w:themeColor="text1"/>
          <w:sz w:val="28"/>
          <w:szCs w:val="28"/>
        </w:rPr>
        <w:t>8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March 2026).</w:t>
      </w:r>
    </w:p>
    <w:p w14:paraId="23177D39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lastRenderedPageBreak/>
        <w:t xml:space="preserve">Peek, S.T.M., Wouters, E.J.M., van Hoof, J., Luijkx, K.G., Boeije, H.R. and Vrijhoef, H.J.M. (2014). Factors influencing acceptance of technology for ageing in place.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International Journal of Medical Informatics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83(4), pp.235–248.</w:t>
      </w:r>
    </w:p>
    <w:p w14:paraId="572BAE73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Pols, J. (2012).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Care at a distance: On the closeness of technology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. Amsterdam: Amsterdam University Press.</w:t>
      </w:r>
    </w:p>
    <w:p w14:paraId="41D05B34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Robinson, L., Brittain, K., Lindsay, S., Jackson, D. and Olivier, P. (2007). Keeping in touch everyday: Developing assistive technologies with people with dementia.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Health and Social Care in the Community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17(3), pp.217–226.</w:t>
      </w:r>
    </w:p>
    <w:p w14:paraId="7147A32B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Sixsmith, A. (2013). Ageing in place in the United Kingdom.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Ageing International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38(1), pp.44–61.</w:t>
      </w:r>
    </w:p>
    <w:p w14:paraId="644B9B2F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UK Government (2005).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Mental Capacity Act 2005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. London: The Stationery Office. Available at: </w:t>
      </w:r>
      <w:hyperlink r:id="rId9" w:tgtFrame="_new" w:history="1">
        <w:r w:rsidRPr="007F3EA6">
          <w:rPr>
            <w:rStyle w:val="Hyperlink"/>
            <w:rFonts w:ascii="Arial" w:eastAsiaTheme="majorEastAsia" w:hAnsi="Arial" w:cs="Arial"/>
            <w:color w:val="000000" w:themeColor="text1"/>
            <w:sz w:val="28"/>
            <w:szCs w:val="28"/>
          </w:rPr>
          <w:t>https://www.legislation.gov.uk</w:t>
        </w:r>
      </w:hyperlink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(Accessed: </w:t>
      </w:r>
      <w:r>
        <w:rPr>
          <w:rFonts w:ascii="Arial" w:hAnsi="Arial" w:cs="Arial"/>
          <w:color w:val="000000" w:themeColor="text1"/>
          <w:sz w:val="28"/>
          <w:szCs w:val="28"/>
        </w:rPr>
        <w:t>5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March 2026).</w:t>
      </w:r>
    </w:p>
    <w:p w14:paraId="438D4FF0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UK Government (2014).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Care Act 2014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. London: The Stationery Office. Available at: </w:t>
      </w:r>
      <w:hyperlink r:id="rId10" w:tgtFrame="_new" w:history="1">
        <w:r w:rsidRPr="007F3EA6">
          <w:rPr>
            <w:rStyle w:val="Hyperlink"/>
            <w:rFonts w:ascii="Arial" w:eastAsiaTheme="majorEastAsia" w:hAnsi="Arial" w:cs="Arial"/>
            <w:color w:val="000000" w:themeColor="text1"/>
            <w:sz w:val="28"/>
            <w:szCs w:val="28"/>
          </w:rPr>
          <w:t>https://www.legislation.gov.uk</w:t>
        </w:r>
      </w:hyperlink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(Accessed: 2 March 2026).</w:t>
      </w:r>
    </w:p>
    <w:p w14:paraId="1F407950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UK Government (2022).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Health and Care Act 2022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. London: The Stationery Office. Available at: </w:t>
      </w:r>
      <w:hyperlink r:id="rId11" w:tgtFrame="_new" w:history="1">
        <w:r w:rsidRPr="007F3EA6">
          <w:rPr>
            <w:rStyle w:val="Hyperlink"/>
            <w:rFonts w:ascii="Arial" w:eastAsiaTheme="majorEastAsia" w:hAnsi="Arial" w:cs="Arial"/>
            <w:color w:val="000000" w:themeColor="text1"/>
            <w:sz w:val="28"/>
            <w:szCs w:val="28"/>
          </w:rPr>
          <w:t>https://www.legislation.gov.uk</w:t>
        </w:r>
      </w:hyperlink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 (Accessed: 2 March 2026).</w:t>
      </w:r>
    </w:p>
    <w:p w14:paraId="077AC4B6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Wiles, J.L., Leibing, A., Guberman, N., Reeve, J. and Allen, R.E.S. (2012). The meaning of ageing in place to older people.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The Gerontologist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52(3), pp.357–366.</w:t>
      </w:r>
    </w:p>
    <w:p w14:paraId="0BD93B02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lastRenderedPageBreak/>
        <w:t xml:space="preserve">World Health Organization (2015).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World report on ageing and health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. Geneva: World Health Organization.</w:t>
      </w:r>
    </w:p>
    <w:p w14:paraId="27B97ABE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World Health Organization (2019).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Assistive technology for older people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. Geneva: World Health Organization.</w:t>
      </w:r>
    </w:p>
    <w:p w14:paraId="11A69BA6" w14:textId="77777777" w:rsidR="00164458" w:rsidRPr="007F3EA6" w:rsidRDefault="00164458" w:rsidP="00164458">
      <w:pPr>
        <w:pStyle w:val="NormalWeb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7F3EA6">
        <w:rPr>
          <w:rFonts w:ascii="Arial" w:hAnsi="Arial" w:cs="Arial"/>
          <w:color w:val="000000" w:themeColor="text1"/>
          <w:sz w:val="28"/>
          <w:szCs w:val="28"/>
        </w:rPr>
        <w:t xml:space="preserve">Zwijsen, S.A., Niemeijer, A.R. and Hertogh, C.M.P.M. (2011). Ethics of using assistive technology in dementia care. </w:t>
      </w:r>
      <w:r w:rsidRPr="007F3EA6">
        <w:rPr>
          <w:rStyle w:val="Emphasis"/>
          <w:rFonts w:ascii="Arial" w:hAnsi="Arial" w:cs="Arial"/>
          <w:color w:val="000000" w:themeColor="text1"/>
          <w:sz w:val="28"/>
          <w:szCs w:val="28"/>
        </w:rPr>
        <w:t>International Psychogeriatrics</w:t>
      </w:r>
      <w:r w:rsidRPr="007F3EA6">
        <w:rPr>
          <w:rFonts w:ascii="Arial" w:hAnsi="Arial" w:cs="Arial"/>
          <w:color w:val="000000" w:themeColor="text1"/>
          <w:sz w:val="28"/>
          <w:szCs w:val="28"/>
        </w:rPr>
        <w:t>, 23(7), pp.1126–1132.</w:t>
      </w:r>
    </w:p>
    <w:p w14:paraId="051E49D3" w14:textId="77777777" w:rsidR="00951AD2" w:rsidRDefault="00951AD2"/>
    <w:sectPr w:rsidR="00951A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4458"/>
    <w:rsid w:val="00164458"/>
    <w:rsid w:val="00452458"/>
    <w:rsid w:val="007A7FEC"/>
    <w:rsid w:val="008647A9"/>
    <w:rsid w:val="00951AD2"/>
    <w:rsid w:val="00C11ABE"/>
    <w:rsid w:val="00C441BF"/>
    <w:rsid w:val="00DA52DE"/>
    <w:rsid w:val="00DC0890"/>
    <w:rsid w:val="00EA6E4C"/>
    <w:rsid w:val="00F31E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5DDD09"/>
  <w15:chartTrackingRefBased/>
  <w15:docId w15:val="{31B381EB-D810-4792-A286-E51518B23E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4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644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4458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4458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4458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4458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4458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4458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4458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44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644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4458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4458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4458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4458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4458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4458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4458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44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44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4458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4458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44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44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44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44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44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44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445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64458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1644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16445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gital.nhs.uk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dhcw.nhs.wales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" TargetMode="External"/><Relationship Id="rId11" Type="http://schemas.openxmlformats.org/officeDocument/2006/relationships/hyperlink" Target="https://www.legislation.gov.uk" TargetMode="External"/><Relationship Id="rId5" Type="http://schemas.openxmlformats.org/officeDocument/2006/relationships/hyperlink" Target="https://www.ageing-better.org.uk" TargetMode="External"/><Relationship Id="rId10" Type="http://schemas.openxmlformats.org/officeDocument/2006/relationships/hyperlink" Target="https://www.legislation.gov.uk" TargetMode="External"/><Relationship Id="rId4" Type="http://schemas.openxmlformats.org/officeDocument/2006/relationships/hyperlink" Target="https://www.ageuk.org.uk" TargetMode="External"/><Relationship Id="rId9" Type="http://schemas.openxmlformats.org/officeDocument/2006/relationships/hyperlink" Target="https://www.legislation.gov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721</Words>
  <Characters>4115</Characters>
  <Application>Microsoft Office Word</Application>
  <DocSecurity>0</DocSecurity>
  <Lines>34</Lines>
  <Paragraphs>9</Paragraphs>
  <ScaleCrop>false</ScaleCrop>
  <Company/>
  <LinksUpToDate>false</LinksUpToDate>
  <CharactersWithSpaces>4827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Fateha Altafi (2309157)</dc:creator>
  <cp:keywords/>
  <dc:description/>
  <cp:lastModifiedBy>Fateha Altafi (2309157)</cp:lastModifiedBy>
  <cp:revision>3</cp:revision>
  <dcterms:created xsi:type="dcterms:W3CDTF">2026-03-12T16:51:00Z</dcterms:created>
  <dcterms:modified xsi:type="dcterms:W3CDTF">2026-03-12T19:42:00Z</dcterms:modified>
</cp:coreProperties>
</file>