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93D8D14" w14:textId="77777777" w:rsidR="00705A4F" w:rsidRPr="00927303" w:rsidRDefault="00D2005C" w:rsidP="00883FB5">
      <w:pPr>
        <w:spacing w:line="276" w:lineRule="auto"/>
        <w:jc w:val="both"/>
        <w:rPr>
          <w:rFonts w:ascii="Times New Roman" w:hAnsi="Times New Roman" w:cs="Times New Roman"/>
          <w:sz w:val="24"/>
          <w:szCs w:val="24"/>
        </w:rPr>
      </w:pPr>
      <w:r w:rsidRPr="00927303">
        <w:rPr>
          <w:rFonts w:ascii="Times New Roman" w:hAnsi="Times New Roman" w:cs="Times New Roman"/>
          <w:b/>
          <w:bCs/>
          <w:sz w:val="24"/>
          <w:szCs w:val="24"/>
          <w:u w:val="single"/>
        </w:rPr>
        <w:t xml:space="preserve"> Part 1</w:t>
      </w:r>
    </w:p>
    <w:p w14:paraId="295A29DC" w14:textId="001817C9" w:rsidR="00705A4F" w:rsidRDefault="00D2005C" w:rsidP="00883FB5">
      <w:pPr>
        <w:spacing w:line="276" w:lineRule="auto"/>
        <w:jc w:val="both"/>
        <w:rPr>
          <w:rFonts w:ascii="Times New Roman" w:eastAsia="MS Gothic" w:hAnsi="Times New Roman" w:cs="Times New Roman"/>
          <w:sz w:val="24"/>
          <w:szCs w:val="24"/>
        </w:rPr>
      </w:pPr>
      <w:r w:rsidRPr="00927303">
        <w:rPr>
          <w:rFonts w:ascii="Times New Roman" w:eastAsia="MS Gothic" w:hAnsi="Times New Roman" w:cs="Times New Roman"/>
          <w:sz w:val="24"/>
          <w:szCs w:val="24"/>
        </w:rPr>
        <w:t>In Iceland</w:t>
      </w:r>
      <w:r w:rsidR="00323A40">
        <w:rPr>
          <w:rFonts w:ascii="Times New Roman" w:eastAsia="MS Gothic" w:hAnsi="Times New Roman" w:cs="Times New Roman"/>
          <w:sz w:val="24"/>
          <w:szCs w:val="24"/>
        </w:rPr>
        <w:t xml:space="preserve"> and</w:t>
      </w:r>
      <w:r w:rsidRPr="00927303">
        <w:rPr>
          <w:rFonts w:ascii="Times New Roman" w:eastAsia="MS Gothic" w:hAnsi="Times New Roman" w:cs="Times New Roman"/>
          <w:sz w:val="24"/>
          <w:szCs w:val="24"/>
        </w:rPr>
        <w:t xml:space="preserve"> other </w:t>
      </w:r>
      <w:r w:rsidR="00927303">
        <w:rPr>
          <w:rFonts w:ascii="Times New Roman" w:eastAsia="MS Gothic" w:hAnsi="Times New Roman" w:cs="Times New Roman"/>
          <w:sz w:val="24"/>
          <w:szCs w:val="24"/>
        </w:rPr>
        <w:t>Nordic countries</w:t>
      </w:r>
      <w:r w:rsidRPr="00927303">
        <w:rPr>
          <w:rFonts w:ascii="Times New Roman" w:eastAsia="MS Gothic" w:hAnsi="Times New Roman" w:cs="Times New Roman"/>
          <w:sz w:val="24"/>
          <w:szCs w:val="24"/>
        </w:rPr>
        <w:t>, they believe that the importance of outdoor play is crucial in children’s development.</w:t>
      </w:r>
      <w:r w:rsidR="00AF42A0">
        <w:rPr>
          <w:rFonts w:ascii="Times New Roman" w:eastAsia="Times New Roman" w:hAnsi="Times New Roman" w:cs="Times New Roman"/>
          <w:sz w:val="24"/>
          <w:szCs w:val="24"/>
        </w:rPr>
        <w:t xml:space="preserve"> There has been research that believe </w:t>
      </w:r>
      <w:r w:rsidRPr="00927303">
        <w:rPr>
          <w:rFonts w:ascii="Times New Roman" w:eastAsia="MS Gothic" w:hAnsi="Times New Roman" w:cs="Times New Roman"/>
          <w:sz w:val="24"/>
          <w:szCs w:val="24"/>
        </w:rPr>
        <w:t>that outdoor play and learning is beneficial for children</w:t>
      </w:r>
      <w:r w:rsidR="008D06AE">
        <w:rPr>
          <w:rFonts w:ascii="Times New Roman" w:eastAsia="MS Gothic" w:hAnsi="Times New Roman" w:cs="Times New Roman"/>
          <w:sz w:val="24"/>
          <w:szCs w:val="24"/>
        </w:rPr>
        <w:t xml:space="preserve">, </w:t>
      </w:r>
      <w:r w:rsidRPr="00927303">
        <w:rPr>
          <w:rFonts w:ascii="Times New Roman" w:eastAsia="MS Gothic" w:hAnsi="Times New Roman" w:cs="Times New Roman"/>
          <w:sz w:val="24"/>
          <w:szCs w:val="24"/>
        </w:rPr>
        <w:t xml:space="preserve">that providing adequate facilities </w:t>
      </w:r>
      <w:r w:rsidR="00323A40">
        <w:rPr>
          <w:rFonts w:ascii="Times New Roman" w:eastAsia="MS Gothic" w:hAnsi="Times New Roman" w:cs="Times New Roman"/>
          <w:sz w:val="24"/>
          <w:szCs w:val="24"/>
        </w:rPr>
        <w:t>and</w:t>
      </w:r>
      <w:r w:rsidRPr="00927303">
        <w:rPr>
          <w:rFonts w:ascii="Times New Roman" w:eastAsia="MS Gothic" w:hAnsi="Times New Roman" w:cs="Times New Roman"/>
          <w:sz w:val="24"/>
          <w:szCs w:val="24"/>
        </w:rPr>
        <w:t xml:space="preserve"> resourceful learning environments, educating children on appropriate exercise </w:t>
      </w:r>
      <w:r w:rsidR="00927303">
        <w:rPr>
          <w:rFonts w:ascii="Times New Roman" w:eastAsia="MS Gothic" w:hAnsi="Times New Roman" w:cs="Times New Roman"/>
          <w:sz w:val="24"/>
          <w:szCs w:val="24"/>
        </w:rPr>
        <w:t xml:space="preserve">and </w:t>
      </w:r>
      <w:r w:rsidRPr="00927303">
        <w:rPr>
          <w:rFonts w:ascii="Times New Roman" w:eastAsia="MS Gothic" w:hAnsi="Times New Roman" w:cs="Times New Roman"/>
          <w:sz w:val="24"/>
          <w:szCs w:val="24"/>
        </w:rPr>
        <w:t xml:space="preserve">healthy lifestyles was critical in the curriculum guidelines, also highlighting the importance of </w:t>
      </w:r>
      <w:r w:rsidR="00323A40">
        <w:rPr>
          <w:rFonts w:ascii="Times New Roman" w:eastAsia="MS Gothic" w:hAnsi="Times New Roman" w:cs="Times New Roman"/>
          <w:sz w:val="24"/>
          <w:szCs w:val="24"/>
        </w:rPr>
        <w:t xml:space="preserve">pupils experiencing the </w:t>
      </w:r>
      <w:r w:rsidRPr="00927303">
        <w:rPr>
          <w:rFonts w:ascii="Times New Roman" w:eastAsia="MS Gothic" w:hAnsi="Times New Roman" w:cs="Times New Roman"/>
          <w:sz w:val="24"/>
          <w:szCs w:val="24"/>
        </w:rPr>
        <w:t>natural elements of the world.</w:t>
      </w:r>
    </w:p>
    <w:p w14:paraId="03049E7D" w14:textId="1A8C105E" w:rsidR="00DA68EF" w:rsidRPr="008D06AE" w:rsidRDefault="00DA68EF" w:rsidP="008D06AE">
      <w:pPr>
        <w:spacing w:before="30" w:after="30"/>
        <w:rPr>
          <w:rFonts w:ascii="Times New Roman" w:hAnsi="Times New Roman" w:cs="Times New Roman"/>
          <w:sz w:val="24"/>
          <w:szCs w:val="24"/>
        </w:rPr>
      </w:pPr>
      <w:r w:rsidRPr="008D06AE">
        <w:rPr>
          <w:rFonts w:ascii="Times New Roman" w:hAnsi="Times New Roman" w:cs="Times New Roman"/>
          <w:sz w:val="24"/>
          <w:szCs w:val="24"/>
        </w:rPr>
        <w:t xml:space="preserve">Emphasis on daily outdoor learning has been part of the education system in Iceland for </w:t>
      </w:r>
      <w:r w:rsidR="008D06AE" w:rsidRPr="008D06AE">
        <w:rPr>
          <w:rFonts w:ascii="Times New Roman" w:hAnsi="Times New Roman" w:cs="Times New Roman"/>
          <w:sz w:val="24"/>
          <w:szCs w:val="24"/>
        </w:rPr>
        <w:t>several</w:t>
      </w:r>
      <w:r w:rsidRPr="008D06AE">
        <w:rPr>
          <w:rFonts w:ascii="Times New Roman" w:hAnsi="Times New Roman" w:cs="Times New Roman"/>
          <w:sz w:val="24"/>
          <w:szCs w:val="24"/>
        </w:rPr>
        <w:t xml:space="preserve"> years for pupils aged between one and six. Pupils aged between six and sixteen still benefit from outdoor learning but only experience it during recreational sessions with their peers.  It is unsure what specific learning opportunities take </w:t>
      </w:r>
      <w:r w:rsidR="008D06AE" w:rsidRPr="008D06AE">
        <w:rPr>
          <w:rFonts w:ascii="Times New Roman" w:hAnsi="Times New Roman" w:cs="Times New Roman"/>
          <w:sz w:val="24"/>
          <w:szCs w:val="24"/>
        </w:rPr>
        <w:t>place,</w:t>
      </w:r>
      <w:r w:rsidRPr="008D06AE">
        <w:rPr>
          <w:rFonts w:ascii="Times New Roman" w:hAnsi="Times New Roman" w:cs="Times New Roman"/>
          <w:sz w:val="24"/>
          <w:szCs w:val="24"/>
        </w:rPr>
        <w:t xml:space="preserve"> but it is believed that it differs between age ranges, pupil ability </w:t>
      </w:r>
      <w:r w:rsidR="008D06AE" w:rsidRPr="008D06AE">
        <w:rPr>
          <w:rFonts w:ascii="Times New Roman" w:hAnsi="Times New Roman" w:cs="Times New Roman"/>
          <w:sz w:val="24"/>
          <w:szCs w:val="24"/>
        </w:rPr>
        <w:t>and</w:t>
      </w:r>
      <w:r w:rsidRPr="008D06AE">
        <w:rPr>
          <w:rFonts w:ascii="Times New Roman" w:hAnsi="Times New Roman" w:cs="Times New Roman"/>
          <w:sz w:val="24"/>
          <w:szCs w:val="24"/>
        </w:rPr>
        <w:t xml:space="preserve"> the pedagogical approach of the teacher. Indications evidence that pupils in Iceland are accessing outdoor learning on a more frequent basis and in the capital city, seventy percent of </w:t>
      </w:r>
      <w:r w:rsidR="00476D78" w:rsidRPr="008D06AE">
        <w:rPr>
          <w:rFonts w:ascii="Times New Roman" w:hAnsi="Times New Roman" w:cs="Times New Roman"/>
          <w:sz w:val="24"/>
          <w:szCs w:val="24"/>
        </w:rPr>
        <w:t>school’s</w:t>
      </w:r>
      <w:r w:rsidRPr="008D06AE">
        <w:rPr>
          <w:rFonts w:ascii="Times New Roman" w:hAnsi="Times New Roman" w:cs="Times New Roman"/>
          <w:sz w:val="24"/>
          <w:szCs w:val="24"/>
        </w:rPr>
        <w:t xml:space="preserve"> state that outdoor learning often takes place.</w:t>
      </w:r>
    </w:p>
    <w:p w14:paraId="48D4FE68" w14:textId="26F7ED16" w:rsidR="00705A4F" w:rsidRPr="00927303" w:rsidRDefault="00705A4F" w:rsidP="00883FB5">
      <w:pPr>
        <w:spacing w:line="276" w:lineRule="auto"/>
        <w:jc w:val="both"/>
        <w:rPr>
          <w:rFonts w:ascii="Times New Roman" w:hAnsi="Times New Roman" w:cs="Times New Roman"/>
          <w:sz w:val="24"/>
          <w:szCs w:val="24"/>
        </w:rPr>
      </w:pPr>
    </w:p>
    <w:p w14:paraId="1E77DDA4" w14:textId="77777777" w:rsidR="00705A4F" w:rsidRPr="00927303" w:rsidRDefault="00D2005C" w:rsidP="00883FB5">
      <w:pPr>
        <w:spacing w:line="276" w:lineRule="auto"/>
        <w:jc w:val="both"/>
        <w:rPr>
          <w:rFonts w:ascii="Times New Roman" w:hAnsi="Times New Roman" w:cs="Times New Roman"/>
          <w:sz w:val="24"/>
          <w:szCs w:val="24"/>
        </w:rPr>
      </w:pPr>
      <w:r w:rsidRPr="00927303">
        <w:rPr>
          <w:rFonts w:ascii="Times New Roman" w:eastAsia="MS Mincho" w:hAnsi="Times New Roman" w:cs="Times New Roman"/>
          <w:b/>
          <w:bCs/>
          <w:sz w:val="24"/>
          <w:szCs w:val="24"/>
          <w:u w:val="single"/>
        </w:rPr>
        <w:t>Part 2a</w:t>
      </w:r>
    </w:p>
    <w:p w14:paraId="777EAA47" w14:textId="60A70389" w:rsidR="00705A4F" w:rsidRPr="00927303" w:rsidRDefault="00D2005C" w:rsidP="00883FB5">
      <w:pPr>
        <w:spacing w:line="276" w:lineRule="auto"/>
        <w:jc w:val="both"/>
        <w:rPr>
          <w:rFonts w:ascii="Times New Roman" w:hAnsi="Times New Roman" w:cs="Times New Roman"/>
          <w:sz w:val="24"/>
          <w:szCs w:val="24"/>
        </w:rPr>
      </w:pPr>
      <w:r w:rsidRPr="00927303">
        <w:rPr>
          <w:rFonts w:ascii="Times New Roman" w:eastAsia="MS Gothic" w:hAnsi="Times New Roman" w:cs="Times New Roman"/>
          <w:sz w:val="24"/>
          <w:szCs w:val="24"/>
        </w:rPr>
        <w:t>This essay will examine for</w:t>
      </w:r>
      <w:r w:rsidR="00446A01">
        <w:rPr>
          <w:rFonts w:ascii="Times New Roman" w:eastAsia="MS Gothic" w:hAnsi="Times New Roman" w:cs="Times New Roman"/>
          <w:sz w:val="24"/>
          <w:szCs w:val="24"/>
        </w:rPr>
        <w:t xml:space="preserve">est </w:t>
      </w:r>
      <w:r w:rsidR="004C1021">
        <w:rPr>
          <w:rFonts w:ascii="Times New Roman" w:eastAsia="MS Gothic" w:hAnsi="Times New Roman" w:cs="Times New Roman"/>
          <w:sz w:val="24"/>
          <w:szCs w:val="24"/>
        </w:rPr>
        <w:t>schools. A definitive statement</w:t>
      </w:r>
      <w:r w:rsidRPr="00927303">
        <w:rPr>
          <w:rFonts w:ascii="Times New Roman" w:eastAsia="MS Gothic" w:hAnsi="Times New Roman" w:cs="Times New Roman"/>
          <w:sz w:val="24"/>
          <w:szCs w:val="24"/>
        </w:rPr>
        <w:t xml:space="preserve"> has been mad</w:t>
      </w:r>
      <w:r w:rsidR="00446A01">
        <w:rPr>
          <w:rFonts w:ascii="Times New Roman" w:eastAsia="MS Gothic" w:hAnsi="Times New Roman" w:cs="Times New Roman"/>
          <w:sz w:val="24"/>
          <w:szCs w:val="24"/>
        </w:rPr>
        <w:t>e by the forest school networks</w:t>
      </w:r>
      <w:r w:rsidRPr="00927303">
        <w:rPr>
          <w:rFonts w:ascii="Times New Roman" w:eastAsia="MS Gothic" w:hAnsi="Times New Roman" w:cs="Times New Roman"/>
          <w:sz w:val="24"/>
          <w:szCs w:val="24"/>
        </w:rPr>
        <w:t xml:space="preserve"> </w:t>
      </w:r>
      <w:r w:rsidR="005F7B5E">
        <w:rPr>
          <w:rFonts w:ascii="Times New Roman" w:eastAsia="MS Gothic" w:hAnsi="Times New Roman" w:cs="Times New Roman"/>
          <w:sz w:val="24"/>
          <w:szCs w:val="24"/>
        </w:rPr>
        <w:t xml:space="preserve">outlining </w:t>
      </w:r>
      <w:r w:rsidR="00474D59">
        <w:rPr>
          <w:rFonts w:ascii="Times New Roman" w:eastAsia="MS Gothic" w:hAnsi="Times New Roman" w:cs="Times New Roman"/>
          <w:sz w:val="24"/>
          <w:szCs w:val="24"/>
        </w:rPr>
        <w:t>that</w:t>
      </w:r>
      <w:r w:rsidR="00446A01">
        <w:rPr>
          <w:rFonts w:ascii="Times New Roman" w:eastAsia="MS Gothic" w:hAnsi="Times New Roman" w:cs="Times New Roman"/>
          <w:sz w:val="24"/>
          <w:szCs w:val="24"/>
        </w:rPr>
        <w:t xml:space="preserve"> </w:t>
      </w:r>
      <w:r w:rsidR="00927303">
        <w:rPr>
          <w:rFonts w:ascii="Times New Roman" w:eastAsia="MS Gothic" w:hAnsi="Times New Roman" w:cs="Times New Roman"/>
          <w:bCs/>
          <w:iCs/>
          <w:sz w:val="24"/>
          <w:szCs w:val="24"/>
        </w:rPr>
        <w:t>“</w:t>
      </w:r>
      <w:r w:rsidRPr="00927303">
        <w:rPr>
          <w:rFonts w:ascii="Times New Roman" w:eastAsia="MS Gothic" w:hAnsi="Times New Roman" w:cs="Times New Roman"/>
          <w:bCs/>
          <w:iCs/>
          <w:sz w:val="24"/>
          <w:szCs w:val="24"/>
        </w:rPr>
        <w:t>it is an inspirational process that offers ch</w:t>
      </w:r>
      <w:r w:rsidR="00446A01">
        <w:rPr>
          <w:rFonts w:ascii="Times New Roman" w:eastAsia="MS Gothic" w:hAnsi="Times New Roman" w:cs="Times New Roman"/>
          <w:bCs/>
          <w:iCs/>
          <w:sz w:val="24"/>
          <w:szCs w:val="24"/>
        </w:rPr>
        <w:t xml:space="preserve">ildren, young people and </w:t>
      </w:r>
      <w:r w:rsidR="00476D78">
        <w:rPr>
          <w:rFonts w:ascii="Times New Roman" w:eastAsia="MS Gothic" w:hAnsi="Times New Roman" w:cs="Times New Roman"/>
          <w:bCs/>
          <w:iCs/>
          <w:sz w:val="24"/>
          <w:szCs w:val="24"/>
        </w:rPr>
        <w:t>adults’</w:t>
      </w:r>
      <w:r w:rsidRPr="00927303">
        <w:rPr>
          <w:rFonts w:ascii="Times New Roman" w:eastAsia="MS Gothic" w:hAnsi="Times New Roman" w:cs="Times New Roman"/>
          <w:bCs/>
          <w:iCs/>
          <w:sz w:val="24"/>
          <w:szCs w:val="24"/>
        </w:rPr>
        <w:t xml:space="preserve"> regular opportunities to achieve confidence and self-esteem th</w:t>
      </w:r>
      <w:r w:rsidR="00446A01">
        <w:rPr>
          <w:rFonts w:ascii="Times New Roman" w:eastAsia="MS Gothic" w:hAnsi="Times New Roman" w:cs="Times New Roman"/>
          <w:bCs/>
          <w:iCs/>
          <w:sz w:val="24"/>
          <w:szCs w:val="24"/>
        </w:rPr>
        <w:t>r</w:t>
      </w:r>
      <w:r w:rsidRPr="00927303">
        <w:rPr>
          <w:rFonts w:ascii="Times New Roman" w:eastAsia="MS Gothic" w:hAnsi="Times New Roman" w:cs="Times New Roman"/>
          <w:bCs/>
          <w:iCs/>
          <w:sz w:val="24"/>
          <w:szCs w:val="24"/>
        </w:rPr>
        <w:t>ough hands on learning experiences in a woodland environment</w:t>
      </w:r>
      <w:r w:rsidR="00927303">
        <w:rPr>
          <w:rFonts w:ascii="Times New Roman" w:eastAsia="MS Gothic" w:hAnsi="Times New Roman" w:cs="Times New Roman"/>
          <w:bCs/>
          <w:iCs/>
          <w:sz w:val="24"/>
          <w:szCs w:val="24"/>
        </w:rPr>
        <w:t>,”</w:t>
      </w:r>
      <w:r w:rsidRPr="00927303">
        <w:rPr>
          <w:rFonts w:ascii="Times New Roman" w:eastAsia="MS Gothic" w:hAnsi="Times New Roman" w:cs="Times New Roman"/>
          <w:iCs/>
          <w:sz w:val="24"/>
          <w:szCs w:val="24"/>
        </w:rPr>
        <w:t xml:space="preserve"> </w:t>
      </w:r>
      <w:r w:rsidRPr="00927303">
        <w:rPr>
          <w:rFonts w:ascii="Times New Roman" w:eastAsia="MS Gothic" w:hAnsi="Times New Roman" w:cs="Times New Roman"/>
          <w:sz w:val="24"/>
          <w:szCs w:val="24"/>
        </w:rPr>
        <w:t>(Murray &amp; O’Brian, 2006</w:t>
      </w:r>
      <w:r w:rsidR="00927303">
        <w:rPr>
          <w:rFonts w:ascii="Times New Roman" w:eastAsia="MS Gothic" w:hAnsi="Times New Roman" w:cs="Times New Roman"/>
          <w:sz w:val="24"/>
          <w:szCs w:val="24"/>
        </w:rPr>
        <w:t>, p.4</w:t>
      </w:r>
      <w:r w:rsidRPr="00927303">
        <w:rPr>
          <w:rFonts w:ascii="Times New Roman" w:eastAsia="MS Gothic" w:hAnsi="Times New Roman" w:cs="Times New Roman"/>
          <w:sz w:val="24"/>
          <w:szCs w:val="24"/>
        </w:rPr>
        <w:t>). Th</w:t>
      </w:r>
      <w:r w:rsidR="00446A01">
        <w:rPr>
          <w:rFonts w:ascii="Times New Roman" w:eastAsia="MS Gothic" w:hAnsi="Times New Roman" w:cs="Times New Roman"/>
          <w:sz w:val="24"/>
          <w:szCs w:val="24"/>
        </w:rPr>
        <w:t>ere has been conflict and doubt</w:t>
      </w:r>
      <w:r w:rsidRPr="00927303">
        <w:rPr>
          <w:rFonts w:ascii="Times New Roman" w:eastAsia="MS Gothic" w:hAnsi="Times New Roman" w:cs="Times New Roman"/>
          <w:sz w:val="24"/>
          <w:szCs w:val="24"/>
        </w:rPr>
        <w:t xml:space="preserve"> amongst some people who believe that children are not experiencing woodland and green </w:t>
      </w:r>
      <w:r w:rsidR="00446A01">
        <w:rPr>
          <w:rFonts w:ascii="Times New Roman" w:eastAsia="MS Gothic" w:hAnsi="Times New Roman" w:cs="Times New Roman"/>
          <w:sz w:val="24"/>
          <w:szCs w:val="24"/>
        </w:rPr>
        <w:t xml:space="preserve">areas </w:t>
      </w:r>
      <w:r w:rsidR="00474D59">
        <w:rPr>
          <w:rFonts w:ascii="Times New Roman" w:eastAsia="MS Gothic" w:hAnsi="Times New Roman" w:cs="Times New Roman"/>
          <w:sz w:val="24"/>
          <w:szCs w:val="24"/>
        </w:rPr>
        <w:t>in school</w:t>
      </w:r>
      <w:r w:rsidRPr="00927303">
        <w:rPr>
          <w:rFonts w:ascii="Times New Roman" w:eastAsia="MS Gothic" w:hAnsi="Times New Roman" w:cs="Times New Roman"/>
          <w:sz w:val="24"/>
          <w:szCs w:val="24"/>
        </w:rPr>
        <w:t xml:space="preserve"> as </w:t>
      </w:r>
      <w:r w:rsidR="00446A01">
        <w:rPr>
          <w:rFonts w:ascii="Times New Roman" w:eastAsia="MS Gothic" w:hAnsi="Times New Roman" w:cs="Times New Roman"/>
          <w:sz w:val="24"/>
          <w:szCs w:val="24"/>
        </w:rPr>
        <w:t>much as their generation did</w:t>
      </w:r>
      <w:r w:rsidR="00927303">
        <w:rPr>
          <w:rFonts w:ascii="Times New Roman" w:eastAsia="MS Gothic" w:hAnsi="Times New Roman" w:cs="Times New Roman"/>
          <w:sz w:val="24"/>
          <w:szCs w:val="24"/>
        </w:rPr>
        <w:t>.</w:t>
      </w:r>
      <w:r w:rsidR="00446A01">
        <w:rPr>
          <w:rFonts w:ascii="Times New Roman" w:eastAsia="MS Gothic" w:hAnsi="Times New Roman" w:cs="Times New Roman"/>
          <w:sz w:val="24"/>
          <w:szCs w:val="24"/>
        </w:rPr>
        <w:t xml:space="preserve"> H</w:t>
      </w:r>
      <w:r w:rsidRPr="00927303">
        <w:rPr>
          <w:rFonts w:ascii="Times New Roman" w:eastAsia="MS Gothic" w:hAnsi="Times New Roman" w:cs="Times New Roman"/>
          <w:sz w:val="24"/>
          <w:szCs w:val="24"/>
        </w:rPr>
        <w:t xml:space="preserve">ealth and safety </w:t>
      </w:r>
      <w:r w:rsidR="00446A01">
        <w:rPr>
          <w:rFonts w:ascii="Times New Roman" w:eastAsia="MS Gothic" w:hAnsi="Times New Roman" w:cs="Times New Roman"/>
          <w:sz w:val="24"/>
          <w:szCs w:val="24"/>
        </w:rPr>
        <w:t>is more of an issue</w:t>
      </w:r>
      <w:r w:rsidRPr="00927303">
        <w:rPr>
          <w:rFonts w:ascii="Times New Roman" w:eastAsia="MS Gothic" w:hAnsi="Times New Roman" w:cs="Times New Roman"/>
          <w:sz w:val="24"/>
          <w:szCs w:val="24"/>
        </w:rPr>
        <w:t xml:space="preserve"> nowadays,</w:t>
      </w:r>
      <w:r w:rsidR="00446A01">
        <w:rPr>
          <w:rFonts w:ascii="Times New Roman" w:eastAsia="MS Gothic" w:hAnsi="Times New Roman" w:cs="Times New Roman"/>
          <w:sz w:val="24"/>
          <w:szCs w:val="24"/>
        </w:rPr>
        <w:t xml:space="preserve"> and children can have many learning opportunities in</w:t>
      </w:r>
      <w:r w:rsidRPr="00927303">
        <w:rPr>
          <w:rFonts w:ascii="Times New Roman" w:eastAsia="MS Gothic" w:hAnsi="Times New Roman" w:cs="Times New Roman"/>
          <w:sz w:val="24"/>
          <w:szCs w:val="24"/>
        </w:rPr>
        <w:t>doors</w:t>
      </w:r>
      <w:r w:rsidR="00474D59">
        <w:rPr>
          <w:rFonts w:ascii="Times New Roman" w:eastAsia="MS Gothic" w:hAnsi="Times New Roman" w:cs="Times New Roman"/>
          <w:sz w:val="24"/>
          <w:szCs w:val="24"/>
        </w:rPr>
        <w:t>. This</w:t>
      </w:r>
      <w:r w:rsidRPr="00927303">
        <w:rPr>
          <w:rFonts w:ascii="Times New Roman" w:eastAsia="MS Gothic" w:hAnsi="Times New Roman" w:cs="Times New Roman"/>
          <w:sz w:val="24"/>
          <w:szCs w:val="24"/>
        </w:rPr>
        <w:t xml:space="preserve"> was </w:t>
      </w:r>
      <w:r w:rsidR="00446A01">
        <w:rPr>
          <w:rFonts w:ascii="Times New Roman" w:eastAsia="MS Gothic" w:hAnsi="Times New Roman" w:cs="Times New Roman"/>
          <w:sz w:val="24"/>
          <w:szCs w:val="24"/>
        </w:rPr>
        <w:t xml:space="preserve">the </w:t>
      </w:r>
      <w:r w:rsidRPr="00927303">
        <w:rPr>
          <w:rFonts w:ascii="Times New Roman" w:eastAsia="MS Gothic" w:hAnsi="Times New Roman" w:cs="Times New Roman"/>
          <w:sz w:val="24"/>
          <w:szCs w:val="24"/>
        </w:rPr>
        <w:t xml:space="preserve">conclusion from Murray and O’Brian (2006). Ward Thompson et al, </w:t>
      </w:r>
      <w:r w:rsidR="00425C58">
        <w:rPr>
          <w:rFonts w:ascii="Times New Roman" w:eastAsia="MS Gothic" w:hAnsi="Times New Roman" w:cs="Times New Roman"/>
          <w:sz w:val="24"/>
          <w:szCs w:val="24"/>
        </w:rPr>
        <w:t>(</w:t>
      </w:r>
      <w:r w:rsidRPr="00927303">
        <w:rPr>
          <w:rFonts w:ascii="Times New Roman" w:eastAsia="MS Gothic" w:hAnsi="Times New Roman" w:cs="Times New Roman"/>
          <w:sz w:val="24"/>
          <w:szCs w:val="24"/>
        </w:rPr>
        <w:t>2004) have gathered research in congruence with the work of Murray &amp; O’Brian (2006) claiming that if forest school practice is not introduced to children from a young age, then there is possibility that they will not entertain the notions growing up, missing out on valuable physical and emotional benefits of access to nature. ‘The Welsh Assembly Government’ (2009) have encouraged teachers along the path of forest school teaching in their establishments, especially in th</w:t>
      </w:r>
      <w:r w:rsidR="00446A01">
        <w:rPr>
          <w:rFonts w:ascii="Times New Roman" w:eastAsia="MS Gothic" w:hAnsi="Times New Roman" w:cs="Times New Roman"/>
          <w:sz w:val="24"/>
          <w:szCs w:val="24"/>
        </w:rPr>
        <w:t>e foundation phase, to offer</w:t>
      </w:r>
      <w:r w:rsidRPr="00927303">
        <w:rPr>
          <w:rFonts w:ascii="Times New Roman" w:eastAsia="MS Gothic" w:hAnsi="Times New Roman" w:cs="Times New Roman"/>
          <w:sz w:val="24"/>
          <w:szCs w:val="24"/>
        </w:rPr>
        <w:t xml:space="preserve"> different learning environments and experiences to develop a child's health and wellbeing.</w:t>
      </w:r>
    </w:p>
    <w:p w14:paraId="51574D7E" w14:textId="77777777" w:rsidR="00705A4F" w:rsidRPr="00927303" w:rsidRDefault="00D2005C" w:rsidP="00883FB5">
      <w:pPr>
        <w:spacing w:line="276" w:lineRule="auto"/>
        <w:jc w:val="both"/>
        <w:rPr>
          <w:rFonts w:ascii="Times New Roman" w:hAnsi="Times New Roman" w:cs="Times New Roman"/>
          <w:sz w:val="24"/>
          <w:szCs w:val="24"/>
        </w:rPr>
      </w:pPr>
      <w:r w:rsidRPr="00927303">
        <w:rPr>
          <w:rFonts w:ascii="Times New Roman" w:hAnsi="Times New Roman" w:cs="Times New Roman"/>
          <w:b/>
          <w:bCs/>
          <w:sz w:val="24"/>
          <w:szCs w:val="24"/>
        </w:rPr>
        <w:t>Reference</w:t>
      </w:r>
    </w:p>
    <w:p w14:paraId="1D44C39A" w14:textId="77777777" w:rsidR="00705A4F" w:rsidRPr="00927303" w:rsidRDefault="00D2005C" w:rsidP="00883FB5">
      <w:pPr>
        <w:spacing w:line="276" w:lineRule="auto"/>
        <w:jc w:val="both"/>
        <w:rPr>
          <w:rFonts w:ascii="Times New Roman" w:hAnsi="Times New Roman" w:cs="Times New Roman"/>
          <w:sz w:val="24"/>
          <w:szCs w:val="24"/>
        </w:rPr>
      </w:pPr>
      <w:r w:rsidRPr="00927303">
        <w:rPr>
          <w:rFonts w:ascii="Times New Roman" w:eastAsia="MS Gothic" w:hAnsi="Times New Roman" w:cs="Times New Roman"/>
          <w:sz w:val="24"/>
          <w:szCs w:val="24"/>
        </w:rPr>
        <w:t xml:space="preserve">O'Brien, E &amp; Murray, R. (2006) </w:t>
      </w:r>
      <w:r w:rsidRPr="00927303">
        <w:rPr>
          <w:rFonts w:ascii="Times New Roman" w:eastAsia="MS Gothic" w:hAnsi="Times New Roman" w:cs="Times New Roman"/>
          <w:i/>
          <w:iCs/>
          <w:sz w:val="24"/>
          <w:szCs w:val="24"/>
        </w:rPr>
        <w:t>A marvellous opportunity for children to learn [</w:t>
      </w:r>
      <w:r w:rsidRPr="00927303">
        <w:rPr>
          <w:rFonts w:ascii="Times New Roman" w:eastAsia="MS Gothic" w:hAnsi="Times New Roman" w:cs="Times New Roman"/>
          <w:sz w:val="24"/>
          <w:szCs w:val="24"/>
        </w:rPr>
        <w:t>a participatory evaluation of forest school in England &amp; Wales]</w:t>
      </w:r>
      <w:r w:rsidRPr="00927303">
        <w:rPr>
          <w:rFonts w:ascii="Times New Roman" w:eastAsia="MS Gothic" w:hAnsi="Times New Roman" w:cs="Times New Roman"/>
          <w:b/>
          <w:bCs/>
          <w:sz w:val="24"/>
          <w:szCs w:val="24"/>
        </w:rPr>
        <w:t xml:space="preserve">. </w:t>
      </w:r>
      <w:r w:rsidRPr="00927303">
        <w:rPr>
          <w:rFonts w:ascii="Times New Roman" w:eastAsia="MS Gothic" w:hAnsi="Times New Roman" w:cs="Times New Roman"/>
          <w:sz w:val="24"/>
          <w:szCs w:val="24"/>
        </w:rPr>
        <w:t>Farnham: Forest research.</w:t>
      </w:r>
    </w:p>
    <w:p w14:paraId="7210A2D7" w14:textId="77777777" w:rsidR="00705A4F" w:rsidRPr="00927303" w:rsidRDefault="00D2005C" w:rsidP="00883FB5">
      <w:pPr>
        <w:spacing w:line="276" w:lineRule="auto"/>
        <w:jc w:val="both"/>
        <w:rPr>
          <w:rFonts w:ascii="Times New Roman" w:hAnsi="Times New Roman" w:cs="Times New Roman"/>
          <w:sz w:val="24"/>
          <w:szCs w:val="24"/>
        </w:rPr>
      </w:pPr>
      <w:r w:rsidRPr="00927303">
        <w:rPr>
          <w:rFonts w:ascii="Times New Roman" w:eastAsia="MS Gothic" w:hAnsi="Times New Roman" w:cs="Times New Roman"/>
          <w:sz w:val="24"/>
          <w:szCs w:val="24"/>
        </w:rPr>
        <w:t xml:space="preserve">Ward Thompson, C, et al. (2004) </w:t>
      </w:r>
      <w:r w:rsidRPr="00927303">
        <w:rPr>
          <w:rFonts w:ascii="Times New Roman" w:eastAsia="MS Gothic" w:hAnsi="Times New Roman" w:cs="Times New Roman"/>
          <w:i/>
          <w:iCs/>
          <w:sz w:val="24"/>
          <w:szCs w:val="24"/>
        </w:rPr>
        <w:t xml:space="preserve">open space &amp; social inclusion </w:t>
      </w:r>
      <w:r w:rsidRPr="00927303">
        <w:rPr>
          <w:rFonts w:ascii="Times New Roman" w:eastAsia="MS Gothic" w:hAnsi="Times New Roman" w:cs="Times New Roman"/>
          <w:sz w:val="24"/>
          <w:szCs w:val="24"/>
        </w:rPr>
        <w:t>[local woodland use in central Scotland]. Edinburgh: Report to the forestry commission.</w:t>
      </w:r>
    </w:p>
    <w:p w14:paraId="0343FF48" w14:textId="77777777" w:rsidR="00705A4F" w:rsidRPr="00927303" w:rsidRDefault="00D2005C" w:rsidP="00883FB5">
      <w:pPr>
        <w:spacing w:line="276" w:lineRule="auto"/>
        <w:jc w:val="both"/>
        <w:rPr>
          <w:rFonts w:ascii="Times New Roman" w:hAnsi="Times New Roman" w:cs="Times New Roman"/>
          <w:sz w:val="24"/>
          <w:szCs w:val="24"/>
        </w:rPr>
      </w:pPr>
      <w:r w:rsidRPr="00927303">
        <w:rPr>
          <w:rFonts w:ascii="Times New Roman" w:eastAsia="MS Gothic" w:hAnsi="Times New Roman" w:cs="Times New Roman"/>
          <w:sz w:val="24"/>
          <w:szCs w:val="24"/>
        </w:rPr>
        <w:t xml:space="preserve">Welsh Assembly Government (2009) </w:t>
      </w:r>
      <w:r w:rsidRPr="00927303">
        <w:rPr>
          <w:rFonts w:ascii="Times New Roman" w:eastAsia="MS Gothic" w:hAnsi="Times New Roman" w:cs="Times New Roman"/>
          <w:i/>
          <w:iCs/>
          <w:sz w:val="24"/>
          <w:szCs w:val="24"/>
        </w:rPr>
        <w:t xml:space="preserve">Outdoor learning handbook. </w:t>
      </w:r>
      <w:r w:rsidRPr="00927303">
        <w:rPr>
          <w:rFonts w:ascii="Times New Roman" w:eastAsia="MS Gothic" w:hAnsi="Times New Roman" w:cs="Times New Roman"/>
          <w:sz w:val="24"/>
          <w:szCs w:val="24"/>
        </w:rPr>
        <w:t>Cardiff: WAG.</w:t>
      </w:r>
    </w:p>
    <w:p w14:paraId="62A5134B" w14:textId="77777777" w:rsidR="00705A4F" w:rsidRPr="00927303" w:rsidRDefault="00705A4F" w:rsidP="00883FB5">
      <w:pPr>
        <w:spacing w:line="276" w:lineRule="auto"/>
        <w:jc w:val="both"/>
        <w:rPr>
          <w:rFonts w:ascii="Times New Roman" w:eastAsia="MS Gothic" w:hAnsi="Times New Roman" w:cs="Times New Roman"/>
          <w:sz w:val="24"/>
          <w:szCs w:val="24"/>
        </w:rPr>
      </w:pPr>
    </w:p>
    <w:p w14:paraId="71E20F8B" w14:textId="77777777" w:rsidR="00705A4F" w:rsidRPr="00927303" w:rsidRDefault="00D2005C" w:rsidP="00883FB5">
      <w:pPr>
        <w:spacing w:line="276" w:lineRule="auto"/>
        <w:jc w:val="both"/>
        <w:rPr>
          <w:rFonts w:ascii="Times New Roman" w:hAnsi="Times New Roman" w:cs="Times New Roman"/>
          <w:sz w:val="24"/>
          <w:szCs w:val="24"/>
        </w:rPr>
      </w:pPr>
      <w:r w:rsidRPr="00927303">
        <w:rPr>
          <w:rFonts w:ascii="Times New Roman" w:eastAsia="MS Mincho" w:hAnsi="Times New Roman" w:cs="Times New Roman"/>
          <w:b/>
          <w:bCs/>
          <w:sz w:val="24"/>
          <w:szCs w:val="24"/>
          <w:u w:val="single"/>
        </w:rPr>
        <w:lastRenderedPageBreak/>
        <w:t>Part 2b</w:t>
      </w:r>
    </w:p>
    <w:p w14:paraId="087B3C8A" w14:textId="77777777" w:rsidR="00705A4F" w:rsidRPr="00927303" w:rsidRDefault="00705A4F" w:rsidP="00883FB5">
      <w:pPr>
        <w:spacing w:line="276" w:lineRule="auto"/>
        <w:jc w:val="both"/>
        <w:rPr>
          <w:rFonts w:ascii="Times New Roman" w:eastAsia="MS Gothic" w:hAnsi="Times New Roman" w:cs="Times New Roman"/>
          <w:sz w:val="24"/>
          <w:szCs w:val="24"/>
        </w:rPr>
      </w:pPr>
    </w:p>
    <w:p w14:paraId="7ACE231E" w14:textId="77777777" w:rsidR="00705A4F" w:rsidRPr="00927303" w:rsidRDefault="00D1122B" w:rsidP="00883FB5">
      <w:pPr>
        <w:pStyle w:val="ListParagraph"/>
        <w:numPr>
          <w:ilvl w:val="0"/>
          <w:numId w:val="1"/>
        </w:numPr>
        <w:spacing w:line="276" w:lineRule="auto"/>
        <w:jc w:val="both"/>
        <w:rPr>
          <w:rFonts w:ascii="Times New Roman" w:hAnsi="Times New Roman" w:cs="Times New Roman"/>
          <w:sz w:val="24"/>
          <w:szCs w:val="24"/>
        </w:rPr>
      </w:pPr>
      <w:r>
        <w:rPr>
          <w:rFonts w:ascii="Times New Roman" w:eastAsia="MS Gothic" w:hAnsi="Times New Roman" w:cs="Times New Roman"/>
          <w:sz w:val="24"/>
          <w:szCs w:val="24"/>
        </w:rPr>
        <w:t>If you do not provide accurate acknowledgement for another person’s academic writing, you could be liable to</w:t>
      </w:r>
      <w:r w:rsidR="00D2005C" w:rsidRPr="00927303">
        <w:rPr>
          <w:rFonts w:ascii="Times New Roman" w:eastAsia="MS Gothic" w:hAnsi="Times New Roman" w:cs="Times New Roman"/>
          <w:sz w:val="24"/>
          <w:szCs w:val="24"/>
        </w:rPr>
        <w:t xml:space="preserve"> </w:t>
      </w:r>
      <w:r w:rsidR="00D2005C" w:rsidRPr="00927303">
        <w:rPr>
          <w:rFonts w:ascii="Times New Roman" w:eastAsia="MS Gothic" w:hAnsi="Times New Roman" w:cs="Times New Roman"/>
          <w:b/>
          <w:bCs/>
          <w:sz w:val="24"/>
          <w:szCs w:val="24"/>
        </w:rPr>
        <w:t>Plagiarism</w:t>
      </w:r>
      <w:r w:rsidR="00D2005C" w:rsidRPr="00927303">
        <w:rPr>
          <w:rFonts w:ascii="Times New Roman" w:eastAsia="MS Gothic" w:hAnsi="Times New Roman" w:cs="Times New Roman"/>
          <w:sz w:val="24"/>
          <w:szCs w:val="24"/>
        </w:rPr>
        <w:t xml:space="preserve">. It is important to avoid this because it is an academic offence to use someone else’s work and pass it off as your own. A definition which summarises plagiarism </w:t>
      </w:r>
      <w:r w:rsidR="00D2005C" w:rsidRPr="00927303">
        <w:rPr>
          <w:rFonts w:ascii="Times New Roman" w:eastAsia="MS Gothic" w:hAnsi="Times New Roman" w:cs="Times New Roman"/>
          <w:i/>
          <w:sz w:val="24"/>
          <w:szCs w:val="24"/>
        </w:rPr>
        <w:t>‘</w:t>
      </w:r>
      <w:r w:rsidR="00D2005C" w:rsidRPr="00883FB5">
        <w:rPr>
          <w:rFonts w:ascii="Times New Roman" w:eastAsia="MS Gothic" w:hAnsi="Times New Roman" w:cs="Times New Roman"/>
          <w:sz w:val="24"/>
          <w:szCs w:val="24"/>
        </w:rPr>
        <w:t>the practice of taking someone else’s work or ideas and passing them off as one’s own.</w:t>
      </w:r>
      <w:r w:rsidR="00D2005C" w:rsidRPr="00927303">
        <w:rPr>
          <w:rFonts w:ascii="Times New Roman" w:eastAsia="MS Gothic" w:hAnsi="Times New Roman" w:cs="Times New Roman"/>
          <w:i/>
          <w:sz w:val="24"/>
          <w:szCs w:val="24"/>
        </w:rPr>
        <w:t xml:space="preserve">’ </w:t>
      </w:r>
      <w:r w:rsidR="00D2005C" w:rsidRPr="00927303">
        <w:rPr>
          <w:rFonts w:ascii="Times New Roman" w:eastAsia="MS Gothic" w:hAnsi="Times New Roman" w:cs="Times New Roman"/>
          <w:sz w:val="24"/>
          <w:szCs w:val="24"/>
        </w:rPr>
        <w:t>(</w:t>
      </w:r>
      <w:r w:rsidR="00425C58">
        <w:rPr>
          <w:rFonts w:ascii="Times New Roman" w:eastAsia="MS Gothic" w:hAnsi="Times New Roman" w:cs="Times New Roman"/>
          <w:sz w:val="24"/>
          <w:szCs w:val="24"/>
        </w:rPr>
        <w:t>O</w:t>
      </w:r>
      <w:r w:rsidR="00D2005C" w:rsidRPr="00927303">
        <w:rPr>
          <w:rFonts w:ascii="Times New Roman" w:eastAsia="MS Gothic" w:hAnsi="Times New Roman" w:cs="Times New Roman"/>
          <w:sz w:val="24"/>
          <w:szCs w:val="24"/>
        </w:rPr>
        <w:t>xford university press, 2018).</w:t>
      </w:r>
      <w:r w:rsidR="00D2005C" w:rsidRPr="00927303">
        <w:rPr>
          <w:rFonts w:ascii="Times New Roman" w:eastAsia="MS Gothic" w:hAnsi="Times New Roman" w:cs="Times New Roman"/>
          <w:i/>
          <w:iCs/>
          <w:sz w:val="24"/>
          <w:szCs w:val="24"/>
        </w:rPr>
        <w:t xml:space="preserve"> </w:t>
      </w:r>
      <w:r w:rsidR="00D2005C" w:rsidRPr="00927303">
        <w:rPr>
          <w:rFonts w:ascii="Times New Roman" w:eastAsia="MS Gothic" w:hAnsi="Times New Roman" w:cs="Times New Roman"/>
          <w:sz w:val="24"/>
          <w:szCs w:val="24"/>
        </w:rPr>
        <w:t xml:space="preserve"> </w:t>
      </w:r>
    </w:p>
    <w:p w14:paraId="51261D73" w14:textId="77777777" w:rsidR="00705A4F" w:rsidRPr="00927303" w:rsidRDefault="00D2005C" w:rsidP="00883FB5">
      <w:pPr>
        <w:pStyle w:val="ListParagraph"/>
        <w:numPr>
          <w:ilvl w:val="0"/>
          <w:numId w:val="1"/>
        </w:numPr>
        <w:spacing w:line="276" w:lineRule="auto"/>
        <w:jc w:val="both"/>
        <w:rPr>
          <w:rFonts w:ascii="Times New Roman" w:hAnsi="Times New Roman" w:cs="Times New Roman"/>
          <w:sz w:val="24"/>
          <w:szCs w:val="24"/>
        </w:rPr>
      </w:pPr>
      <w:r w:rsidRPr="00927303">
        <w:rPr>
          <w:rFonts w:ascii="Times New Roman" w:eastAsia="MS Gothic" w:hAnsi="Times New Roman" w:cs="Times New Roman"/>
          <w:sz w:val="24"/>
          <w:szCs w:val="24"/>
        </w:rPr>
        <w:t>It is false to assume that you only must reference when using direct quote. Any form of academic writing, research projects, which embed people's findings should be referenced following the correct referencing and consistent format of your university/college. There are five reasons why we reference not only just direct quotes but all areas of research i.e. journals, articles, books, seminars, websites etc.</w:t>
      </w:r>
    </w:p>
    <w:p w14:paraId="3E449FD1" w14:textId="77777777" w:rsidR="00705A4F" w:rsidRPr="00927303" w:rsidRDefault="00D2005C" w:rsidP="00883FB5">
      <w:pPr>
        <w:spacing w:line="276" w:lineRule="auto"/>
        <w:jc w:val="both"/>
        <w:rPr>
          <w:rFonts w:ascii="Times New Roman" w:eastAsia="MS Gothic" w:hAnsi="Times New Roman" w:cs="Times New Roman"/>
          <w:sz w:val="24"/>
          <w:szCs w:val="24"/>
        </w:rPr>
      </w:pPr>
      <w:r w:rsidRPr="00927303">
        <w:rPr>
          <w:rFonts w:ascii="Times New Roman" w:eastAsia="MS Gothic" w:hAnsi="Times New Roman" w:cs="Times New Roman"/>
          <w:sz w:val="24"/>
          <w:szCs w:val="24"/>
        </w:rPr>
        <w:t xml:space="preserve">        1) it shows the assessor the depth of research you have undertaken to achieve your academic journey.</w:t>
      </w:r>
    </w:p>
    <w:p w14:paraId="69B3E300" w14:textId="77777777" w:rsidR="00705A4F" w:rsidRPr="00927303" w:rsidRDefault="00D2005C" w:rsidP="00883FB5">
      <w:pPr>
        <w:spacing w:line="276" w:lineRule="auto"/>
        <w:jc w:val="both"/>
        <w:rPr>
          <w:rFonts w:ascii="Times New Roman" w:eastAsia="MS Gothic" w:hAnsi="Times New Roman" w:cs="Times New Roman"/>
          <w:sz w:val="24"/>
          <w:szCs w:val="24"/>
        </w:rPr>
      </w:pPr>
      <w:r w:rsidRPr="00927303">
        <w:rPr>
          <w:rFonts w:ascii="Times New Roman" w:eastAsia="MS Gothic" w:hAnsi="Times New Roman" w:cs="Times New Roman"/>
          <w:sz w:val="24"/>
          <w:szCs w:val="24"/>
        </w:rPr>
        <w:t xml:space="preserve">         2) It acts as ‘academic credibility’ to support your arguments.</w:t>
      </w:r>
    </w:p>
    <w:p w14:paraId="35185B2E" w14:textId="77777777" w:rsidR="00705A4F" w:rsidRPr="00927303" w:rsidRDefault="00D2005C" w:rsidP="00883FB5">
      <w:pPr>
        <w:spacing w:line="276" w:lineRule="auto"/>
        <w:jc w:val="both"/>
        <w:rPr>
          <w:rFonts w:ascii="Times New Roman" w:eastAsia="MS Gothic" w:hAnsi="Times New Roman" w:cs="Times New Roman"/>
          <w:sz w:val="24"/>
          <w:szCs w:val="24"/>
        </w:rPr>
      </w:pPr>
      <w:r w:rsidRPr="00927303">
        <w:rPr>
          <w:rFonts w:ascii="Times New Roman" w:eastAsia="MS Gothic" w:hAnsi="Times New Roman" w:cs="Times New Roman"/>
          <w:sz w:val="24"/>
          <w:szCs w:val="24"/>
        </w:rPr>
        <w:t xml:space="preserve">        3)  it allows the readers to find the sources you have worked and potentially use them for their academic literature.</w:t>
      </w:r>
    </w:p>
    <w:p w14:paraId="026EC7EF" w14:textId="77777777" w:rsidR="00705A4F" w:rsidRPr="00927303" w:rsidRDefault="00D2005C" w:rsidP="00883FB5">
      <w:pPr>
        <w:spacing w:line="276" w:lineRule="auto"/>
        <w:jc w:val="both"/>
        <w:rPr>
          <w:rFonts w:ascii="Times New Roman" w:eastAsia="MS Gothic" w:hAnsi="Times New Roman" w:cs="Times New Roman"/>
          <w:sz w:val="24"/>
          <w:szCs w:val="24"/>
        </w:rPr>
      </w:pPr>
      <w:r w:rsidRPr="00927303">
        <w:rPr>
          <w:rFonts w:ascii="Times New Roman" w:eastAsia="MS Gothic" w:hAnsi="Times New Roman" w:cs="Times New Roman"/>
          <w:sz w:val="24"/>
          <w:szCs w:val="24"/>
        </w:rPr>
        <w:t xml:space="preserve">         4) it allows you to acknowledge the ideas of others and academically commend the work they have done.</w:t>
      </w:r>
    </w:p>
    <w:p w14:paraId="6EF8D597" w14:textId="77777777" w:rsidR="00705A4F" w:rsidRPr="00927303" w:rsidRDefault="00D2005C" w:rsidP="00883FB5">
      <w:pPr>
        <w:numPr>
          <w:ilvl w:val="1"/>
          <w:numId w:val="2"/>
        </w:numPr>
        <w:spacing w:line="276" w:lineRule="auto"/>
        <w:jc w:val="both"/>
        <w:rPr>
          <w:rFonts w:ascii="Times New Roman" w:eastAsia="MS Gothic" w:hAnsi="Times New Roman" w:cs="Times New Roman"/>
          <w:sz w:val="24"/>
          <w:szCs w:val="24"/>
        </w:rPr>
      </w:pPr>
      <w:r w:rsidRPr="00927303">
        <w:rPr>
          <w:rFonts w:ascii="Times New Roman" w:eastAsia="MS Gothic" w:hAnsi="Times New Roman" w:cs="Times New Roman"/>
          <w:sz w:val="24"/>
          <w:szCs w:val="24"/>
        </w:rPr>
        <w:t>and the most important factor it stops ‘accidental plagiarisms’ because sometimes people will perform this without even meaning to do this.</w:t>
      </w:r>
    </w:p>
    <w:p w14:paraId="5B2703C8" w14:textId="77777777" w:rsidR="00705A4F" w:rsidRPr="00927303" w:rsidRDefault="00D2005C" w:rsidP="00883FB5">
      <w:pPr>
        <w:numPr>
          <w:ilvl w:val="0"/>
          <w:numId w:val="3"/>
        </w:numPr>
        <w:spacing w:line="276" w:lineRule="auto"/>
        <w:jc w:val="both"/>
        <w:rPr>
          <w:rFonts w:ascii="Times New Roman" w:eastAsia="MS Gothic" w:hAnsi="Times New Roman" w:cs="Times New Roman"/>
          <w:sz w:val="24"/>
          <w:szCs w:val="24"/>
        </w:rPr>
      </w:pPr>
      <w:r w:rsidRPr="00927303">
        <w:rPr>
          <w:rFonts w:ascii="Times New Roman" w:eastAsia="MS Gothic" w:hAnsi="Times New Roman" w:cs="Times New Roman"/>
          <w:sz w:val="24"/>
          <w:szCs w:val="24"/>
        </w:rPr>
        <w:t>I believe this statement to be false. Upon going onto the site and seeing that even Wikipedia are stating' we do expect not you to trust us' is not a selling point for anyone doing research, the website is not accurate findings and work that has been put on there is easily vandalised, unfinished work or all together wrong.</w:t>
      </w:r>
    </w:p>
    <w:p w14:paraId="02C8FF3B" w14:textId="77777777" w:rsidR="00705A4F" w:rsidRPr="00927303" w:rsidRDefault="00D2005C" w:rsidP="00883FB5">
      <w:pPr>
        <w:numPr>
          <w:ilvl w:val="0"/>
          <w:numId w:val="3"/>
        </w:numPr>
        <w:spacing w:line="276" w:lineRule="auto"/>
        <w:jc w:val="both"/>
        <w:rPr>
          <w:rFonts w:ascii="Times New Roman" w:eastAsia="MS Gothic" w:hAnsi="Times New Roman" w:cs="Times New Roman"/>
          <w:b/>
          <w:sz w:val="24"/>
          <w:szCs w:val="24"/>
          <w:u w:val="single"/>
        </w:rPr>
      </w:pPr>
      <w:r w:rsidRPr="00927303">
        <w:rPr>
          <w:rFonts w:ascii="Times New Roman" w:eastAsia="MS Gothic" w:hAnsi="Times New Roman" w:cs="Times New Roman"/>
          <w:b/>
          <w:sz w:val="24"/>
          <w:szCs w:val="24"/>
          <w:u w:val="single"/>
        </w:rPr>
        <w:t>Method of presenting a long quotation</w:t>
      </w:r>
    </w:p>
    <w:p w14:paraId="73F4194D" w14:textId="77777777" w:rsidR="00705A4F" w:rsidRPr="00927303" w:rsidRDefault="00D2005C" w:rsidP="00883FB5">
      <w:pPr>
        <w:spacing w:line="276" w:lineRule="auto"/>
        <w:jc w:val="both"/>
        <w:rPr>
          <w:rFonts w:ascii="Times New Roman" w:eastAsia="MS Gothic" w:hAnsi="Times New Roman" w:cs="Times New Roman"/>
          <w:sz w:val="24"/>
          <w:szCs w:val="24"/>
        </w:rPr>
      </w:pPr>
      <w:r w:rsidRPr="00927303">
        <w:rPr>
          <w:rFonts w:ascii="Times New Roman" w:eastAsia="MS Gothic" w:hAnsi="Times New Roman" w:cs="Times New Roman"/>
          <w:sz w:val="24"/>
          <w:szCs w:val="24"/>
        </w:rPr>
        <w:t>1) put the long quotation in a separate paragraph.</w:t>
      </w:r>
    </w:p>
    <w:p w14:paraId="767B98E1" w14:textId="77777777" w:rsidR="00705A4F" w:rsidRPr="00927303" w:rsidRDefault="00D2005C" w:rsidP="00883FB5">
      <w:pPr>
        <w:spacing w:line="276" w:lineRule="auto"/>
        <w:jc w:val="both"/>
        <w:rPr>
          <w:rFonts w:ascii="Times New Roman" w:eastAsia="MS Gothic" w:hAnsi="Times New Roman" w:cs="Times New Roman"/>
          <w:sz w:val="24"/>
          <w:szCs w:val="24"/>
        </w:rPr>
      </w:pPr>
      <w:r w:rsidRPr="00927303">
        <w:rPr>
          <w:rFonts w:ascii="Times New Roman" w:eastAsia="MS Gothic" w:hAnsi="Times New Roman" w:cs="Times New Roman"/>
          <w:sz w:val="24"/>
          <w:szCs w:val="24"/>
        </w:rPr>
        <w:t xml:space="preserve">2) Make the paragraph indent.  </w:t>
      </w:r>
    </w:p>
    <w:p w14:paraId="7EA4F4E2" w14:textId="77777777" w:rsidR="00705A4F" w:rsidRPr="00927303" w:rsidRDefault="00D2005C" w:rsidP="00883FB5">
      <w:pPr>
        <w:spacing w:line="276" w:lineRule="auto"/>
        <w:jc w:val="both"/>
        <w:rPr>
          <w:rFonts w:ascii="Times New Roman" w:eastAsia="MS Gothic" w:hAnsi="Times New Roman" w:cs="Times New Roman"/>
          <w:sz w:val="24"/>
          <w:szCs w:val="24"/>
        </w:rPr>
      </w:pPr>
      <w:r w:rsidRPr="00927303">
        <w:rPr>
          <w:rFonts w:ascii="Times New Roman" w:eastAsia="MS Gothic" w:hAnsi="Times New Roman" w:cs="Times New Roman"/>
          <w:sz w:val="24"/>
          <w:szCs w:val="24"/>
        </w:rPr>
        <w:t xml:space="preserve">3) </w:t>
      </w:r>
      <w:r w:rsidR="00425C58">
        <w:rPr>
          <w:rFonts w:ascii="Times New Roman" w:eastAsia="MS Gothic" w:hAnsi="Times New Roman" w:cs="Times New Roman"/>
          <w:sz w:val="24"/>
          <w:szCs w:val="24"/>
        </w:rPr>
        <w:t xml:space="preserve">Quotation marks are not needed here. </w:t>
      </w:r>
    </w:p>
    <w:p w14:paraId="195379C4" w14:textId="77777777" w:rsidR="00705A4F" w:rsidRPr="00927303" w:rsidRDefault="00D2005C" w:rsidP="00883FB5">
      <w:pPr>
        <w:spacing w:line="276" w:lineRule="auto"/>
        <w:jc w:val="both"/>
        <w:rPr>
          <w:rFonts w:ascii="Times New Roman" w:eastAsia="MS Gothic" w:hAnsi="Times New Roman" w:cs="Times New Roman"/>
          <w:sz w:val="24"/>
          <w:szCs w:val="24"/>
        </w:rPr>
      </w:pPr>
      <w:r w:rsidRPr="00927303">
        <w:rPr>
          <w:rFonts w:ascii="Times New Roman" w:eastAsia="MS Gothic" w:hAnsi="Times New Roman" w:cs="Times New Roman"/>
          <w:sz w:val="24"/>
          <w:szCs w:val="24"/>
        </w:rPr>
        <w:t>4) reference the quote</w:t>
      </w:r>
      <w:r w:rsidR="00425C58">
        <w:rPr>
          <w:rFonts w:ascii="Times New Roman" w:eastAsia="MS Gothic" w:hAnsi="Times New Roman" w:cs="Times New Roman"/>
          <w:sz w:val="24"/>
          <w:szCs w:val="24"/>
        </w:rPr>
        <w:t>,</w:t>
      </w:r>
      <w:r w:rsidRPr="00927303">
        <w:rPr>
          <w:rFonts w:ascii="Times New Roman" w:eastAsia="MS Gothic" w:hAnsi="Times New Roman" w:cs="Times New Roman"/>
          <w:sz w:val="24"/>
          <w:szCs w:val="24"/>
        </w:rPr>
        <w:t xml:space="preserve"> in the quote </w:t>
      </w:r>
      <w:r w:rsidR="00425C58">
        <w:rPr>
          <w:rFonts w:ascii="Times New Roman" w:eastAsia="MS Gothic" w:hAnsi="Times New Roman" w:cs="Times New Roman"/>
          <w:sz w:val="24"/>
          <w:szCs w:val="24"/>
        </w:rPr>
        <w:t xml:space="preserve">with </w:t>
      </w:r>
      <w:r w:rsidRPr="00927303">
        <w:rPr>
          <w:rFonts w:ascii="Times New Roman" w:eastAsia="MS Gothic" w:hAnsi="Times New Roman" w:cs="Times New Roman"/>
          <w:sz w:val="24"/>
          <w:szCs w:val="24"/>
        </w:rPr>
        <w:t>brackets.</w:t>
      </w:r>
    </w:p>
    <w:p w14:paraId="32730AD4" w14:textId="77777777" w:rsidR="00705A4F" w:rsidRPr="00927303" w:rsidRDefault="00D2005C" w:rsidP="00883FB5">
      <w:pPr>
        <w:pStyle w:val="ListParagraph"/>
        <w:numPr>
          <w:ilvl w:val="0"/>
          <w:numId w:val="4"/>
        </w:numPr>
        <w:spacing w:line="276" w:lineRule="auto"/>
        <w:jc w:val="both"/>
        <w:rPr>
          <w:rFonts w:ascii="Times New Roman" w:eastAsia="MS Gothic" w:hAnsi="Times New Roman" w:cs="Times New Roman"/>
          <w:sz w:val="24"/>
          <w:szCs w:val="24"/>
        </w:rPr>
      </w:pPr>
      <w:r w:rsidRPr="00927303">
        <w:rPr>
          <w:rFonts w:ascii="Times New Roman" w:eastAsia="MS Gothic" w:hAnsi="Times New Roman" w:cs="Times New Roman"/>
          <w:sz w:val="24"/>
          <w:szCs w:val="24"/>
        </w:rPr>
        <w:t xml:space="preserve">To ensure that my academic assignment is academically correct, research is vital in presenting valid and essential points and give purpose to my work. For me to conduct research the starting point would be to make sure that I fully understand what’s expected of me and to ensure that what I do research, is relevant, reliable sourced and applicable to the task in hand. The five sources which would be acceptable for academic study would be; books relevant to the topic, academic journals, databases, websites, </w:t>
      </w:r>
      <w:r w:rsidRPr="00927303">
        <w:rPr>
          <w:rFonts w:ascii="Times New Roman" w:eastAsia="MS Gothic" w:hAnsi="Times New Roman" w:cs="Times New Roman"/>
          <w:sz w:val="24"/>
          <w:szCs w:val="24"/>
        </w:rPr>
        <w:lastRenderedPageBreak/>
        <w:t>reports and guidelines, ensuring that the research was UK based and referenced accordingly.</w:t>
      </w:r>
    </w:p>
    <w:p w14:paraId="02732A75" w14:textId="77777777" w:rsidR="00C704D1" w:rsidRDefault="00C704D1" w:rsidP="00883FB5">
      <w:pPr>
        <w:spacing w:line="276" w:lineRule="auto"/>
        <w:jc w:val="both"/>
        <w:rPr>
          <w:rFonts w:ascii="Times New Roman" w:eastAsia="MS Gothic" w:hAnsi="Times New Roman" w:cs="Times New Roman"/>
          <w:b/>
          <w:sz w:val="24"/>
          <w:szCs w:val="24"/>
        </w:rPr>
      </w:pPr>
    </w:p>
    <w:p w14:paraId="173069E7" w14:textId="77777777" w:rsidR="00C704D1" w:rsidRDefault="00C704D1" w:rsidP="00883FB5">
      <w:pPr>
        <w:spacing w:line="276" w:lineRule="auto"/>
        <w:jc w:val="both"/>
        <w:rPr>
          <w:rFonts w:ascii="Times New Roman" w:eastAsia="MS Gothic" w:hAnsi="Times New Roman" w:cs="Times New Roman"/>
          <w:b/>
          <w:sz w:val="24"/>
          <w:szCs w:val="24"/>
        </w:rPr>
      </w:pPr>
    </w:p>
    <w:p w14:paraId="375B7A85" w14:textId="77777777" w:rsidR="00705A4F" w:rsidRPr="00927303" w:rsidRDefault="00D2005C" w:rsidP="00883FB5">
      <w:pPr>
        <w:spacing w:line="276" w:lineRule="auto"/>
        <w:jc w:val="both"/>
        <w:rPr>
          <w:rFonts w:ascii="Times New Roman" w:eastAsia="MS Gothic" w:hAnsi="Times New Roman" w:cs="Times New Roman"/>
          <w:b/>
          <w:sz w:val="24"/>
          <w:szCs w:val="24"/>
        </w:rPr>
      </w:pPr>
      <w:r w:rsidRPr="00927303">
        <w:rPr>
          <w:rFonts w:ascii="Times New Roman" w:eastAsia="MS Gothic" w:hAnsi="Times New Roman" w:cs="Times New Roman"/>
          <w:b/>
          <w:sz w:val="24"/>
          <w:szCs w:val="24"/>
        </w:rPr>
        <w:t xml:space="preserve">Reference </w:t>
      </w:r>
    </w:p>
    <w:p w14:paraId="4B780241" w14:textId="77777777" w:rsidR="00705A4F" w:rsidRPr="00927303" w:rsidRDefault="00D2005C" w:rsidP="00883FB5">
      <w:pPr>
        <w:spacing w:line="276" w:lineRule="auto"/>
        <w:jc w:val="both"/>
        <w:rPr>
          <w:rFonts w:ascii="Times New Roman" w:eastAsia="MS Gothic" w:hAnsi="Times New Roman" w:cs="Times New Roman"/>
          <w:sz w:val="24"/>
          <w:szCs w:val="24"/>
        </w:rPr>
      </w:pPr>
      <w:r w:rsidRPr="00927303">
        <w:rPr>
          <w:rFonts w:ascii="Times New Roman" w:eastAsia="MS Gothic" w:hAnsi="Times New Roman" w:cs="Times New Roman"/>
          <w:sz w:val="24"/>
          <w:szCs w:val="24"/>
        </w:rPr>
        <w:t xml:space="preserve">Oxford university press (2018) oxford dictionaries.com available at: https://en.oxforddictionaries.com/definition/plagiarism  </w:t>
      </w:r>
    </w:p>
    <w:p w14:paraId="55FB4B75" w14:textId="77777777" w:rsidR="00927303" w:rsidRDefault="00D2005C" w:rsidP="00883FB5">
      <w:pPr>
        <w:spacing w:line="276" w:lineRule="auto"/>
        <w:jc w:val="both"/>
        <w:rPr>
          <w:rFonts w:ascii="Times New Roman" w:eastAsia="MS Gothic" w:hAnsi="Times New Roman" w:cs="Times New Roman"/>
          <w:sz w:val="24"/>
          <w:szCs w:val="24"/>
        </w:rPr>
      </w:pPr>
      <w:r w:rsidRPr="00927303">
        <w:rPr>
          <w:rFonts w:ascii="Times New Roman" w:eastAsia="MS Gothic" w:hAnsi="Times New Roman" w:cs="Times New Roman"/>
          <w:sz w:val="24"/>
          <w:szCs w:val="24"/>
        </w:rPr>
        <w:t>(Accessed: 4</w:t>
      </w:r>
      <w:r w:rsidRPr="00927303">
        <w:rPr>
          <w:rFonts w:ascii="Times New Roman" w:eastAsia="MS Gothic" w:hAnsi="Times New Roman" w:cs="Times New Roman"/>
          <w:sz w:val="24"/>
          <w:szCs w:val="24"/>
          <w:vertAlign w:val="superscript"/>
        </w:rPr>
        <w:t>th</w:t>
      </w:r>
      <w:r w:rsidRPr="00927303">
        <w:rPr>
          <w:rFonts w:ascii="Times New Roman" w:eastAsia="MS Gothic" w:hAnsi="Times New Roman" w:cs="Times New Roman"/>
          <w:sz w:val="24"/>
          <w:szCs w:val="24"/>
        </w:rPr>
        <w:t xml:space="preserve"> October 2018).  </w:t>
      </w:r>
    </w:p>
    <w:p w14:paraId="248AAB29" w14:textId="77777777" w:rsidR="00425C58" w:rsidRDefault="00425C58" w:rsidP="00883FB5">
      <w:pPr>
        <w:spacing w:line="276" w:lineRule="auto"/>
        <w:jc w:val="both"/>
        <w:rPr>
          <w:rFonts w:ascii="Times New Roman" w:eastAsia="MS Gothic" w:hAnsi="Times New Roman" w:cs="Times New Roman"/>
          <w:sz w:val="24"/>
          <w:szCs w:val="24"/>
        </w:rPr>
      </w:pPr>
    </w:p>
    <w:p w14:paraId="76D50DB2" w14:textId="77777777" w:rsidR="00425C58" w:rsidRDefault="00425C58" w:rsidP="00883FB5">
      <w:pPr>
        <w:spacing w:line="276" w:lineRule="auto"/>
        <w:jc w:val="both"/>
        <w:rPr>
          <w:rFonts w:ascii="Times New Roman" w:eastAsia="MS Gothic" w:hAnsi="Times New Roman" w:cs="Times New Roman"/>
          <w:sz w:val="24"/>
          <w:szCs w:val="24"/>
        </w:rPr>
      </w:pPr>
    </w:p>
    <w:p w14:paraId="694C00E7" w14:textId="33ED2225" w:rsidR="00B516AE" w:rsidRDefault="00425C58" w:rsidP="00883FB5">
      <w:pPr>
        <w:suppressAutoHyphens w:val="0"/>
        <w:autoSpaceDN/>
        <w:spacing w:before="30" w:after="200" w:line="276" w:lineRule="auto"/>
        <w:jc w:val="both"/>
        <w:textAlignment w:val="auto"/>
        <w:rPr>
          <w:rFonts w:ascii="Times New Roman" w:eastAsiaTheme="minorEastAsia" w:hAnsi="Times New Roman" w:cs="Times New Roman"/>
          <w:b/>
          <w:sz w:val="24"/>
          <w:szCs w:val="24"/>
          <w:u w:val="single"/>
        </w:rPr>
      </w:pPr>
      <w:r w:rsidRPr="00425C58">
        <w:rPr>
          <w:rFonts w:ascii="Times New Roman" w:eastAsiaTheme="minorEastAsia" w:hAnsi="Times New Roman" w:cs="Times New Roman"/>
          <w:b/>
          <w:sz w:val="24"/>
          <w:szCs w:val="24"/>
          <w:u w:val="single"/>
        </w:rPr>
        <w:t>Part 3</w:t>
      </w:r>
    </w:p>
    <w:p w14:paraId="2B43C128" w14:textId="625E38C2" w:rsidR="00B516AE" w:rsidRPr="00A97D57" w:rsidRDefault="00B516AE" w:rsidP="00883FB5">
      <w:pPr>
        <w:suppressAutoHyphens w:val="0"/>
        <w:autoSpaceDN/>
        <w:spacing w:before="30" w:after="200" w:line="276" w:lineRule="auto"/>
        <w:jc w:val="both"/>
        <w:textAlignment w:val="auto"/>
        <w:rPr>
          <w:rFonts w:ascii="Times New Roman" w:eastAsiaTheme="minorEastAsia" w:hAnsi="Times New Roman" w:cs="Times New Roman"/>
          <w:sz w:val="24"/>
          <w:szCs w:val="24"/>
        </w:rPr>
      </w:pPr>
      <w:r>
        <w:rPr>
          <w:rFonts w:ascii="Times New Roman" w:eastAsiaTheme="minorEastAsia" w:hAnsi="Times New Roman" w:cs="Times New Roman"/>
          <w:sz w:val="24"/>
          <w:szCs w:val="24"/>
        </w:rPr>
        <w:t xml:space="preserve">This critical response to the article </w:t>
      </w:r>
      <w:r w:rsidR="00A97D57">
        <w:rPr>
          <w:rFonts w:ascii="Times New Roman" w:eastAsiaTheme="minorEastAsia" w:hAnsi="Times New Roman" w:cs="Times New Roman"/>
          <w:i/>
          <w:sz w:val="24"/>
          <w:szCs w:val="24"/>
        </w:rPr>
        <w:t xml:space="preserve">‘yes but’…rhetoric, reality and resistance in teaching assistants’ experiences of inclusive education’, </w:t>
      </w:r>
      <w:r w:rsidR="00A97D57">
        <w:rPr>
          <w:rFonts w:ascii="Times New Roman" w:eastAsiaTheme="minorEastAsia" w:hAnsi="Times New Roman" w:cs="Times New Roman"/>
          <w:sz w:val="24"/>
          <w:szCs w:val="24"/>
        </w:rPr>
        <w:t xml:space="preserve">(Mackenzie, 2011, p.64), is a reflection on and arguing factors of the case studies of teaching assistants (TA) perspectives in inclusive education, and the factions residing in teacher, TA’s collaborations. Mackenzie’s aim was to incorporate qualitative data and collect TAs experiences through case studies to analyse TAs experiences and give TAs a voice, a chance to be acknowledged for their work in the education system. </w:t>
      </w:r>
    </w:p>
    <w:p w14:paraId="37BAA4E1" w14:textId="1AB9D3F7" w:rsidR="009A08D5" w:rsidRDefault="00DD21C7" w:rsidP="00A97D57">
      <w:pPr>
        <w:suppressAutoHyphens w:val="0"/>
        <w:autoSpaceDN/>
        <w:spacing w:before="30" w:after="200" w:line="276" w:lineRule="auto"/>
        <w:jc w:val="both"/>
        <w:textAlignment w:val="auto"/>
        <w:rPr>
          <w:rFonts w:ascii="Times New Roman" w:eastAsiaTheme="minorEastAsia" w:hAnsi="Times New Roman" w:cs="Times New Roman"/>
          <w:sz w:val="24"/>
          <w:szCs w:val="24"/>
        </w:rPr>
      </w:pPr>
      <w:r w:rsidRPr="00DD21C7">
        <w:rPr>
          <w:rFonts w:ascii="Times New Roman" w:eastAsiaTheme="minorEastAsia" w:hAnsi="Times New Roman" w:cs="Times New Roman"/>
          <w:sz w:val="24"/>
          <w:szCs w:val="24"/>
        </w:rPr>
        <w:t>The key</w:t>
      </w:r>
      <w:r>
        <w:rPr>
          <w:rFonts w:ascii="Times New Roman" w:eastAsiaTheme="minorEastAsia" w:hAnsi="Times New Roman" w:cs="Times New Roman"/>
          <w:sz w:val="24"/>
          <w:szCs w:val="24"/>
        </w:rPr>
        <w:t xml:space="preserve"> argument residing in the article is the congruence between teachers and TAs was poor. Mackenzie used previous research to build upon, review and analyse into her own perspectives on inclusion from TAs</w:t>
      </w:r>
      <w:r w:rsidR="00BB1CA7">
        <w:rPr>
          <w:rFonts w:ascii="Times New Roman" w:eastAsiaTheme="minorEastAsia" w:hAnsi="Times New Roman" w:cs="Times New Roman"/>
          <w:sz w:val="24"/>
          <w:szCs w:val="24"/>
        </w:rPr>
        <w:t>:</w:t>
      </w:r>
      <w:r>
        <w:rPr>
          <w:rFonts w:ascii="Times New Roman" w:eastAsiaTheme="minorEastAsia" w:hAnsi="Times New Roman" w:cs="Times New Roman"/>
          <w:sz w:val="24"/>
          <w:szCs w:val="24"/>
        </w:rPr>
        <w:t xml:space="preserve"> Mackenzie used a case study approach. To further support her </w:t>
      </w:r>
      <w:r w:rsidR="009D55A1">
        <w:rPr>
          <w:rFonts w:ascii="Times New Roman" w:eastAsiaTheme="minorEastAsia" w:hAnsi="Times New Roman" w:cs="Times New Roman"/>
          <w:sz w:val="24"/>
          <w:szCs w:val="24"/>
        </w:rPr>
        <w:t>argument,</w:t>
      </w:r>
      <w:r>
        <w:rPr>
          <w:rFonts w:ascii="Times New Roman" w:eastAsiaTheme="minorEastAsia" w:hAnsi="Times New Roman" w:cs="Times New Roman"/>
          <w:sz w:val="24"/>
          <w:szCs w:val="24"/>
        </w:rPr>
        <w:t xml:space="preserve"> she used qualitative research which was outlined in the methodology, highlighting policy context relevant to the purpose of the article</w:t>
      </w:r>
      <w:r w:rsidR="00360F95">
        <w:rPr>
          <w:rFonts w:ascii="Times New Roman" w:eastAsiaTheme="minorEastAsia" w:hAnsi="Times New Roman" w:cs="Times New Roman"/>
          <w:sz w:val="24"/>
          <w:szCs w:val="24"/>
        </w:rPr>
        <w:t>. The use of both primary and secondary research enhances the argument Mackenzie is making to achieve a more proactive piece of research.</w:t>
      </w:r>
      <w:r w:rsidRPr="00DD21C7">
        <w:rPr>
          <w:rFonts w:ascii="Times New Roman" w:eastAsiaTheme="minorEastAsia" w:hAnsi="Times New Roman" w:cs="Times New Roman"/>
          <w:sz w:val="24"/>
          <w:szCs w:val="24"/>
        </w:rPr>
        <w:t xml:space="preserve"> </w:t>
      </w:r>
      <w:r w:rsidR="00425C58" w:rsidRPr="00425C58">
        <w:rPr>
          <w:rFonts w:ascii="Times New Roman" w:eastAsiaTheme="minorEastAsia" w:hAnsi="Times New Roman" w:cs="Times New Roman"/>
          <w:sz w:val="24"/>
          <w:szCs w:val="24"/>
        </w:rPr>
        <w:t>Ma</w:t>
      </w:r>
      <w:r w:rsidR="00457797">
        <w:rPr>
          <w:rFonts w:ascii="Times New Roman" w:eastAsiaTheme="minorEastAsia" w:hAnsi="Times New Roman" w:cs="Times New Roman"/>
          <w:sz w:val="24"/>
          <w:szCs w:val="24"/>
        </w:rPr>
        <w:t>c</w:t>
      </w:r>
      <w:r w:rsidR="00324D13">
        <w:rPr>
          <w:rFonts w:ascii="Times New Roman" w:eastAsiaTheme="minorEastAsia" w:hAnsi="Times New Roman" w:cs="Times New Roman"/>
          <w:sz w:val="24"/>
          <w:szCs w:val="24"/>
        </w:rPr>
        <w:t>kenzie’s intention</w:t>
      </w:r>
      <w:r w:rsidR="00425C58" w:rsidRPr="00425C58">
        <w:rPr>
          <w:rFonts w:ascii="Times New Roman" w:eastAsiaTheme="minorEastAsia" w:hAnsi="Times New Roman" w:cs="Times New Roman"/>
          <w:sz w:val="24"/>
          <w:szCs w:val="24"/>
        </w:rPr>
        <w:t xml:space="preserve"> throughout the whole article was to emphasise important fractions of a wider scale problem across the UK, in the inclusive education system</w:t>
      </w:r>
      <w:r w:rsidR="00BB1CA7">
        <w:rPr>
          <w:rFonts w:ascii="Times New Roman" w:eastAsiaTheme="minorEastAsia" w:hAnsi="Times New Roman" w:cs="Times New Roman"/>
          <w:sz w:val="24"/>
          <w:szCs w:val="24"/>
        </w:rPr>
        <w:t>.</w:t>
      </w:r>
      <w:r w:rsidR="00425C58" w:rsidRPr="00425C58">
        <w:rPr>
          <w:rFonts w:ascii="Times New Roman" w:eastAsiaTheme="minorEastAsia" w:hAnsi="Times New Roman" w:cs="Times New Roman"/>
          <w:sz w:val="24"/>
          <w:szCs w:val="24"/>
        </w:rPr>
        <w:t xml:space="preserve"> </w:t>
      </w:r>
      <w:r w:rsidR="00BB1CA7">
        <w:rPr>
          <w:rFonts w:ascii="Times New Roman" w:eastAsiaTheme="minorEastAsia" w:hAnsi="Times New Roman" w:cs="Times New Roman"/>
          <w:sz w:val="24"/>
          <w:szCs w:val="24"/>
        </w:rPr>
        <w:t>S</w:t>
      </w:r>
      <w:r w:rsidR="00425C58" w:rsidRPr="00425C58">
        <w:rPr>
          <w:rFonts w:ascii="Times New Roman" w:eastAsiaTheme="minorEastAsia" w:hAnsi="Times New Roman" w:cs="Times New Roman"/>
          <w:sz w:val="24"/>
          <w:szCs w:val="24"/>
        </w:rPr>
        <w:t xml:space="preserve">he could be considered as an advocate for the TA’s, giving them the voice, and a valued evidence-based hypothesis for future researchers to consider.   </w:t>
      </w:r>
    </w:p>
    <w:p w14:paraId="0E543038" w14:textId="5A3BF232" w:rsidR="00D76AAA" w:rsidRDefault="00B149E9" w:rsidP="00A97D57">
      <w:pPr>
        <w:suppressAutoHyphens w:val="0"/>
        <w:autoSpaceDN/>
        <w:spacing w:before="30" w:after="200" w:line="276" w:lineRule="auto"/>
        <w:jc w:val="both"/>
        <w:textAlignment w:val="auto"/>
        <w:rPr>
          <w:rFonts w:ascii="Times New Roman" w:eastAsiaTheme="minorEastAsia" w:hAnsi="Times New Roman" w:cs="Times New Roman"/>
          <w:sz w:val="24"/>
          <w:szCs w:val="24"/>
        </w:rPr>
      </w:pPr>
      <w:r>
        <w:rPr>
          <w:rFonts w:ascii="Times New Roman" w:eastAsiaTheme="minorEastAsia" w:hAnsi="Times New Roman" w:cs="Times New Roman"/>
          <w:sz w:val="24"/>
          <w:szCs w:val="24"/>
        </w:rPr>
        <w:t>Mackenzie’s layout of her article</w:t>
      </w:r>
      <w:r w:rsidR="008D5BC7">
        <w:rPr>
          <w:rFonts w:ascii="Times New Roman" w:eastAsiaTheme="minorEastAsia" w:hAnsi="Times New Roman" w:cs="Times New Roman"/>
          <w:sz w:val="24"/>
          <w:szCs w:val="24"/>
        </w:rPr>
        <w:t xml:space="preserve"> was well written</w:t>
      </w:r>
      <w:r w:rsidR="003270AD">
        <w:rPr>
          <w:rFonts w:ascii="Times New Roman" w:eastAsiaTheme="minorEastAsia" w:hAnsi="Times New Roman" w:cs="Times New Roman"/>
          <w:sz w:val="24"/>
          <w:szCs w:val="24"/>
        </w:rPr>
        <w:t xml:space="preserve"> and</w:t>
      </w:r>
      <w:r w:rsidR="008D5BC7">
        <w:rPr>
          <w:rFonts w:ascii="Times New Roman" w:eastAsiaTheme="minorEastAsia" w:hAnsi="Times New Roman" w:cs="Times New Roman"/>
          <w:sz w:val="24"/>
          <w:szCs w:val="24"/>
        </w:rPr>
        <w:t xml:space="preserve"> structured to ensure that i</w:t>
      </w:r>
      <w:r w:rsidR="002107FA">
        <w:rPr>
          <w:rFonts w:ascii="Times New Roman" w:eastAsiaTheme="minorEastAsia" w:hAnsi="Times New Roman" w:cs="Times New Roman"/>
          <w:sz w:val="24"/>
          <w:szCs w:val="24"/>
        </w:rPr>
        <w:t>t was accessible for the reader to follow and identify the sections they wanted to read</w:t>
      </w:r>
      <w:r w:rsidR="008D5BC7">
        <w:rPr>
          <w:rFonts w:ascii="Times New Roman" w:eastAsiaTheme="minorEastAsia" w:hAnsi="Times New Roman" w:cs="Times New Roman"/>
          <w:sz w:val="24"/>
          <w:szCs w:val="24"/>
        </w:rPr>
        <w:t xml:space="preserve">. The </w:t>
      </w:r>
      <w:r>
        <w:rPr>
          <w:rFonts w:ascii="Times New Roman" w:eastAsiaTheme="minorEastAsia" w:hAnsi="Times New Roman" w:cs="Times New Roman"/>
          <w:sz w:val="24"/>
          <w:szCs w:val="24"/>
        </w:rPr>
        <w:t>writer’s</w:t>
      </w:r>
      <w:r w:rsidR="008D5BC7">
        <w:rPr>
          <w:rFonts w:ascii="Times New Roman" w:eastAsiaTheme="minorEastAsia" w:hAnsi="Times New Roman" w:cs="Times New Roman"/>
          <w:sz w:val="24"/>
          <w:szCs w:val="24"/>
        </w:rPr>
        <w:t xml:space="preserve"> </w:t>
      </w:r>
      <w:r w:rsidR="00324D13">
        <w:rPr>
          <w:rFonts w:ascii="Times New Roman" w:eastAsiaTheme="minorEastAsia" w:hAnsi="Times New Roman" w:cs="Times New Roman"/>
          <w:sz w:val="24"/>
          <w:szCs w:val="24"/>
        </w:rPr>
        <w:t>paragraph lengths</w:t>
      </w:r>
      <w:r w:rsidR="008D5BC7">
        <w:rPr>
          <w:rFonts w:ascii="Times New Roman" w:eastAsiaTheme="minorEastAsia" w:hAnsi="Times New Roman" w:cs="Times New Roman"/>
          <w:sz w:val="24"/>
          <w:szCs w:val="24"/>
        </w:rPr>
        <w:t xml:space="preserve"> </w:t>
      </w:r>
      <w:r>
        <w:rPr>
          <w:rFonts w:ascii="Times New Roman" w:eastAsiaTheme="minorEastAsia" w:hAnsi="Times New Roman" w:cs="Times New Roman"/>
          <w:sz w:val="24"/>
          <w:szCs w:val="24"/>
        </w:rPr>
        <w:t>were</w:t>
      </w:r>
      <w:r w:rsidR="008D5BC7">
        <w:rPr>
          <w:rFonts w:ascii="Times New Roman" w:eastAsiaTheme="minorEastAsia" w:hAnsi="Times New Roman" w:cs="Times New Roman"/>
          <w:sz w:val="24"/>
          <w:szCs w:val="24"/>
        </w:rPr>
        <w:t xml:space="preserve"> appealing to the eye</w:t>
      </w:r>
      <w:r>
        <w:rPr>
          <w:rFonts w:ascii="Times New Roman" w:eastAsiaTheme="minorEastAsia" w:hAnsi="Times New Roman" w:cs="Times New Roman"/>
          <w:sz w:val="24"/>
          <w:szCs w:val="24"/>
        </w:rPr>
        <w:t xml:space="preserve">, ensuring that they were short and to the point, which made </w:t>
      </w:r>
      <w:r w:rsidR="002107FA">
        <w:rPr>
          <w:rFonts w:ascii="Times New Roman" w:eastAsiaTheme="minorEastAsia" w:hAnsi="Times New Roman" w:cs="Times New Roman"/>
          <w:sz w:val="24"/>
          <w:szCs w:val="24"/>
        </w:rPr>
        <w:t>the information given to the reader concise and easy to process</w:t>
      </w:r>
      <w:r>
        <w:rPr>
          <w:rFonts w:ascii="Times New Roman" w:eastAsiaTheme="minorEastAsia" w:hAnsi="Times New Roman" w:cs="Times New Roman"/>
          <w:sz w:val="24"/>
          <w:szCs w:val="24"/>
        </w:rPr>
        <w:t>. The use of headings for each paragraph was very helpful, ensuring the reader stayed on track and</w:t>
      </w:r>
      <w:r w:rsidR="009D55A1">
        <w:rPr>
          <w:rFonts w:ascii="Times New Roman" w:eastAsiaTheme="minorEastAsia" w:hAnsi="Times New Roman" w:cs="Times New Roman"/>
          <w:sz w:val="24"/>
          <w:szCs w:val="24"/>
        </w:rPr>
        <w:t xml:space="preserve"> </w:t>
      </w:r>
      <w:r>
        <w:rPr>
          <w:rFonts w:ascii="Times New Roman" w:eastAsiaTheme="minorEastAsia" w:hAnsi="Times New Roman" w:cs="Times New Roman"/>
          <w:sz w:val="24"/>
          <w:szCs w:val="24"/>
        </w:rPr>
        <w:t xml:space="preserve">allowed </w:t>
      </w:r>
      <w:r w:rsidR="00324D13">
        <w:rPr>
          <w:rFonts w:ascii="Times New Roman" w:eastAsiaTheme="minorEastAsia" w:hAnsi="Times New Roman" w:cs="Times New Roman"/>
          <w:sz w:val="24"/>
          <w:szCs w:val="24"/>
        </w:rPr>
        <w:t>future readers to pin</w:t>
      </w:r>
      <w:r w:rsidR="007D2E20">
        <w:rPr>
          <w:rFonts w:ascii="Times New Roman" w:eastAsiaTheme="minorEastAsia" w:hAnsi="Times New Roman" w:cs="Times New Roman"/>
          <w:sz w:val="24"/>
          <w:szCs w:val="24"/>
        </w:rPr>
        <w:t>point relevant areas of the article</w:t>
      </w:r>
      <w:r w:rsidR="003270AD">
        <w:rPr>
          <w:rFonts w:ascii="Times New Roman" w:eastAsiaTheme="minorEastAsia" w:hAnsi="Times New Roman" w:cs="Times New Roman"/>
          <w:sz w:val="24"/>
          <w:szCs w:val="24"/>
        </w:rPr>
        <w:t>,</w:t>
      </w:r>
      <w:r w:rsidR="007D2E20">
        <w:rPr>
          <w:rFonts w:ascii="Times New Roman" w:eastAsiaTheme="minorEastAsia" w:hAnsi="Times New Roman" w:cs="Times New Roman"/>
          <w:sz w:val="24"/>
          <w:szCs w:val="24"/>
        </w:rPr>
        <w:t xml:space="preserve"> that they may need for their studies. The linking </w:t>
      </w:r>
      <w:r w:rsidR="009D55A1">
        <w:rPr>
          <w:rFonts w:ascii="Times New Roman" w:eastAsiaTheme="minorEastAsia" w:hAnsi="Times New Roman" w:cs="Times New Roman"/>
          <w:sz w:val="24"/>
          <w:szCs w:val="24"/>
        </w:rPr>
        <w:t>sentences</w:t>
      </w:r>
      <w:r w:rsidR="00D756DB">
        <w:rPr>
          <w:rFonts w:ascii="Times New Roman" w:eastAsiaTheme="minorEastAsia" w:hAnsi="Times New Roman" w:cs="Times New Roman"/>
          <w:sz w:val="24"/>
          <w:szCs w:val="24"/>
        </w:rPr>
        <w:t xml:space="preserve"> between each paragraph were</w:t>
      </w:r>
      <w:r w:rsidR="007D2E20">
        <w:rPr>
          <w:rFonts w:ascii="Times New Roman" w:eastAsiaTheme="minorEastAsia" w:hAnsi="Times New Roman" w:cs="Times New Roman"/>
          <w:sz w:val="24"/>
          <w:szCs w:val="24"/>
        </w:rPr>
        <w:t xml:space="preserve"> precise and an elegant flow of language allowed you to move from</w:t>
      </w:r>
      <w:r w:rsidR="003270AD">
        <w:rPr>
          <w:rFonts w:ascii="Times New Roman" w:eastAsiaTheme="minorEastAsia" w:hAnsi="Times New Roman" w:cs="Times New Roman"/>
          <w:sz w:val="24"/>
          <w:szCs w:val="24"/>
        </w:rPr>
        <w:t xml:space="preserve"> one</w:t>
      </w:r>
      <w:r w:rsidR="007D2E20">
        <w:rPr>
          <w:rFonts w:ascii="Times New Roman" w:eastAsiaTheme="minorEastAsia" w:hAnsi="Times New Roman" w:cs="Times New Roman"/>
          <w:sz w:val="24"/>
          <w:szCs w:val="24"/>
        </w:rPr>
        <w:t xml:space="preserve"> point to the next</w:t>
      </w:r>
      <w:r w:rsidR="00BB1CA7">
        <w:rPr>
          <w:rFonts w:ascii="Times New Roman" w:eastAsiaTheme="minorEastAsia" w:hAnsi="Times New Roman" w:cs="Times New Roman"/>
          <w:sz w:val="24"/>
          <w:szCs w:val="24"/>
        </w:rPr>
        <w:t>.</w:t>
      </w:r>
      <w:r w:rsidR="007D2E20">
        <w:rPr>
          <w:rFonts w:ascii="Times New Roman" w:eastAsiaTheme="minorEastAsia" w:hAnsi="Times New Roman" w:cs="Times New Roman"/>
          <w:sz w:val="24"/>
          <w:szCs w:val="24"/>
        </w:rPr>
        <w:t xml:space="preserve"> </w:t>
      </w:r>
      <w:r w:rsidR="00BB1CA7">
        <w:rPr>
          <w:rFonts w:ascii="Times New Roman" w:eastAsiaTheme="minorEastAsia" w:hAnsi="Times New Roman" w:cs="Times New Roman"/>
          <w:sz w:val="24"/>
          <w:szCs w:val="24"/>
        </w:rPr>
        <w:t>F</w:t>
      </w:r>
      <w:r w:rsidR="007D2E20">
        <w:rPr>
          <w:rFonts w:ascii="Times New Roman" w:eastAsiaTheme="minorEastAsia" w:hAnsi="Times New Roman" w:cs="Times New Roman"/>
          <w:sz w:val="24"/>
          <w:szCs w:val="24"/>
        </w:rPr>
        <w:t>or example</w:t>
      </w:r>
      <w:r w:rsidR="00BB1CA7">
        <w:rPr>
          <w:rFonts w:ascii="Times New Roman" w:eastAsiaTheme="minorEastAsia" w:hAnsi="Times New Roman" w:cs="Times New Roman"/>
          <w:sz w:val="24"/>
          <w:szCs w:val="24"/>
        </w:rPr>
        <w:t>,</w:t>
      </w:r>
      <w:r w:rsidR="007D2E20">
        <w:rPr>
          <w:rFonts w:ascii="Times New Roman" w:eastAsiaTheme="minorEastAsia" w:hAnsi="Times New Roman" w:cs="Times New Roman"/>
          <w:sz w:val="24"/>
          <w:szCs w:val="24"/>
        </w:rPr>
        <w:t xml:space="preserve"> Mackenzie had a methodology paragraph, which </w:t>
      </w:r>
      <w:r w:rsidR="003270AD">
        <w:rPr>
          <w:rFonts w:ascii="Times New Roman" w:eastAsiaTheme="minorEastAsia" w:hAnsi="Times New Roman" w:cs="Times New Roman"/>
          <w:sz w:val="24"/>
          <w:szCs w:val="24"/>
        </w:rPr>
        <w:t>explains that this a case study approach, and the statistics used to collaborate wh</w:t>
      </w:r>
      <w:r w:rsidR="00042E12">
        <w:rPr>
          <w:rFonts w:ascii="Times New Roman" w:eastAsiaTheme="minorEastAsia" w:hAnsi="Times New Roman" w:cs="Times New Roman"/>
          <w:sz w:val="24"/>
          <w:szCs w:val="24"/>
        </w:rPr>
        <w:t xml:space="preserve">at </w:t>
      </w:r>
      <w:r w:rsidR="003270AD">
        <w:rPr>
          <w:rFonts w:ascii="Times New Roman" w:eastAsiaTheme="minorEastAsia" w:hAnsi="Times New Roman" w:cs="Times New Roman"/>
          <w:sz w:val="24"/>
          <w:szCs w:val="24"/>
        </w:rPr>
        <w:t>case studies would be u</w:t>
      </w:r>
      <w:r w:rsidR="00042E12">
        <w:rPr>
          <w:rFonts w:ascii="Times New Roman" w:eastAsiaTheme="minorEastAsia" w:hAnsi="Times New Roman" w:cs="Times New Roman"/>
          <w:sz w:val="24"/>
          <w:szCs w:val="24"/>
        </w:rPr>
        <w:t>tilised</w:t>
      </w:r>
      <w:r w:rsidR="00BB1CA7">
        <w:rPr>
          <w:rFonts w:ascii="Times New Roman" w:eastAsiaTheme="minorEastAsia" w:hAnsi="Times New Roman" w:cs="Times New Roman"/>
          <w:sz w:val="24"/>
          <w:szCs w:val="24"/>
        </w:rPr>
        <w:t>.</w:t>
      </w:r>
      <w:r w:rsidR="003270AD">
        <w:rPr>
          <w:rFonts w:ascii="Times New Roman" w:eastAsiaTheme="minorEastAsia" w:hAnsi="Times New Roman" w:cs="Times New Roman"/>
          <w:sz w:val="24"/>
          <w:szCs w:val="24"/>
        </w:rPr>
        <w:t xml:space="preserve"> </w:t>
      </w:r>
      <w:r w:rsidR="00BB1CA7">
        <w:rPr>
          <w:rFonts w:ascii="Times New Roman" w:eastAsiaTheme="minorEastAsia" w:hAnsi="Times New Roman" w:cs="Times New Roman"/>
          <w:sz w:val="24"/>
          <w:szCs w:val="24"/>
        </w:rPr>
        <w:t>T</w:t>
      </w:r>
      <w:r w:rsidR="00042E12">
        <w:rPr>
          <w:rFonts w:ascii="Times New Roman" w:eastAsiaTheme="minorEastAsia" w:hAnsi="Times New Roman" w:cs="Times New Roman"/>
          <w:sz w:val="24"/>
          <w:szCs w:val="24"/>
        </w:rPr>
        <w:t>hese</w:t>
      </w:r>
      <w:r w:rsidR="003270AD">
        <w:rPr>
          <w:rFonts w:ascii="Times New Roman" w:eastAsiaTheme="minorEastAsia" w:hAnsi="Times New Roman" w:cs="Times New Roman"/>
          <w:sz w:val="24"/>
          <w:szCs w:val="24"/>
        </w:rPr>
        <w:t xml:space="preserve"> smoothly linked to the ethical issues and importance of confidentiality </w:t>
      </w:r>
      <w:r w:rsidR="003270AD">
        <w:rPr>
          <w:rFonts w:ascii="Times New Roman" w:eastAsiaTheme="minorEastAsia" w:hAnsi="Times New Roman" w:cs="Times New Roman"/>
          <w:sz w:val="24"/>
          <w:szCs w:val="24"/>
        </w:rPr>
        <w:lastRenderedPageBreak/>
        <w:t>for the case studi</w:t>
      </w:r>
      <w:r w:rsidR="00D756DB">
        <w:rPr>
          <w:rFonts w:ascii="Times New Roman" w:eastAsiaTheme="minorEastAsia" w:hAnsi="Times New Roman" w:cs="Times New Roman"/>
          <w:sz w:val="24"/>
          <w:szCs w:val="24"/>
        </w:rPr>
        <w:t>es; h</w:t>
      </w:r>
      <w:r w:rsidR="003270AD">
        <w:rPr>
          <w:rFonts w:ascii="Times New Roman" w:eastAsiaTheme="minorEastAsia" w:hAnsi="Times New Roman" w:cs="Times New Roman"/>
          <w:sz w:val="24"/>
          <w:szCs w:val="24"/>
        </w:rPr>
        <w:t xml:space="preserve">owever, the methodology paragraph </w:t>
      </w:r>
      <w:r w:rsidR="00042E12">
        <w:rPr>
          <w:rFonts w:ascii="Times New Roman" w:eastAsiaTheme="minorEastAsia" w:hAnsi="Times New Roman" w:cs="Times New Roman"/>
          <w:sz w:val="24"/>
          <w:szCs w:val="24"/>
        </w:rPr>
        <w:t xml:space="preserve">was </w:t>
      </w:r>
      <w:r w:rsidR="003270AD">
        <w:rPr>
          <w:rFonts w:ascii="Times New Roman" w:eastAsiaTheme="minorEastAsia" w:hAnsi="Times New Roman" w:cs="Times New Roman"/>
          <w:sz w:val="24"/>
          <w:szCs w:val="24"/>
        </w:rPr>
        <w:t>diffi</w:t>
      </w:r>
      <w:r w:rsidR="00D756DB">
        <w:rPr>
          <w:rFonts w:ascii="Times New Roman" w:eastAsiaTheme="minorEastAsia" w:hAnsi="Times New Roman" w:cs="Times New Roman"/>
          <w:sz w:val="24"/>
          <w:szCs w:val="24"/>
        </w:rPr>
        <w:t>cult for the reader to interpret, if this was their</w:t>
      </w:r>
      <w:r w:rsidR="003270AD">
        <w:rPr>
          <w:rFonts w:ascii="Times New Roman" w:eastAsiaTheme="minorEastAsia" w:hAnsi="Times New Roman" w:cs="Times New Roman"/>
          <w:sz w:val="24"/>
          <w:szCs w:val="24"/>
        </w:rPr>
        <w:t xml:space="preserve"> first time reading it</w:t>
      </w:r>
      <w:r w:rsidR="00042E12">
        <w:rPr>
          <w:rFonts w:ascii="Times New Roman" w:eastAsiaTheme="minorEastAsia" w:hAnsi="Times New Roman" w:cs="Times New Roman"/>
          <w:sz w:val="24"/>
          <w:szCs w:val="24"/>
        </w:rPr>
        <w:t xml:space="preserve">. The writer could </w:t>
      </w:r>
      <w:r w:rsidR="0096093F">
        <w:rPr>
          <w:rFonts w:ascii="Times New Roman" w:eastAsiaTheme="minorEastAsia" w:hAnsi="Times New Roman" w:cs="Times New Roman"/>
          <w:sz w:val="24"/>
          <w:szCs w:val="24"/>
        </w:rPr>
        <w:t>have</w:t>
      </w:r>
      <w:r w:rsidR="00042E12">
        <w:rPr>
          <w:rFonts w:ascii="Times New Roman" w:eastAsiaTheme="minorEastAsia" w:hAnsi="Times New Roman" w:cs="Times New Roman"/>
          <w:sz w:val="24"/>
          <w:szCs w:val="24"/>
        </w:rPr>
        <w:t xml:space="preserve"> added an appendix for the methodology, to ensure that the reader had a better understanding.  </w:t>
      </w:r>
      <w:r w:rsidR="003270AD">
        <w:rPr>
          <w:rFonts w:ascii="Times New Roman" w:eastAsiaTheme="minorEastAsia" w:hAnsi="Times New Roman" w:cs="Times New Roman"/>
          <w:sz w:val="24"/>
          <w:szCs w:val="24"/>
        </w:rPr>
        <w:t xml:space="preserve">  </w:t>
      </w:r>
    </w:p>
    <w:p w14:paraId="4ECA9E13" w14:textId="53B44EBB" w:rsidR="00F93FBC" w:rsidRDefault="00D76AAA" w:rsidP="00883FB5">
      <w:pPr>
        <w:suppressAutoHyphens w:val="0"/>
        <w:autoSpaceDN/>
        <w:spacing w:before="30" w:after="200" w:line="276" w:lineRule="auto"/>
        <w:jc w:val="both"/>
        <w:textAlignment w:val="auto"/>
        <w:rPr>
          <w:rFonts w:ascii="Times New Roman" w:eastAsiaTheme="minorEastAsia" w:hAnsi="Times New Roman" w:cs="Times New Roman"/>
          <w:sz w:val="24"/>
          <w:szCs w:val="24"/>
        </w:rPr>
      </w:pPr>
      <w:r>
        <w:rPr>
          <w:rFonts w:ascii="Times New Roman" w:eastAsiaTheme="minorEastAsia" w:hAnsi="Times New Roman" w:cs="Times New Roman"/>
          <w:sz w:val="24"/>
          <w:szCs w:val="24"/>
        </w:rPr>
        <w:t>Mackenzie’s</w:t>
      </w:r>
      <w:r w:rsidR="00335CD1">
        <w:rPr>
          <w:rFonts w:ascii="Times New Roman" w:eastAsiaTheme="minorEastAsia" w:hAnsi="Times New Roman" w:cs="Times New Roman"/>
          <w:sz w:val="24"/>
          <w:szCs w:val="24"/>
        </w:rPr>
        <w:t xml:space="preserve"> use of formal language through</w:t>
      </w:r>
      <w:r>
        <w:rPr>
          <w:rFonts w:ascii="Times New Roman" w:eastAsiaTheme="minorEastAsia" w:hAnsi="Times New Roman" w:cs="Times New Roman"/>
          <w:sz w:val="24"/>
          <w:szCs w:val="24"/>
        </w:rPr>
        <w:t>out the article was very professional and eye catc</w:t>
      </w:r>
      <w:r w:rsidR="00335CD1">
        <w:rPr>
          <w:rFonts w:ascii="Times New Roman" w:eastAsiaTheme="minorEastAsia" w:hAnsi="Times New Roman" w:cs="Times New Roman"/>
          <w:sz w:val="24"/>
          <w:szCs w:val="24"/>
        </w:rPr>
        <w:t>hing for the reader to follow; w</w:t>
      </w:r>
      <w:r>
        <w:rPr>
          <w:rFonts w:ascii="Times New Roman" w:eastAsiaTheme="minorEastAsia" w:hAnsi="Times New Roman" w:cs="Times New Roman"/>
          <w:sz w:val="24"/>
          <w:szCs w:val="24"/>
        </w:rPr>
        <w:t>ith the understanding that the reader could link relevance to their own professional practice</w:t>
      </w:r>
      <w:r w:rsidR="0096093F">
        <w:rPr>
          <w:rFonts w:ascii="Times New Roman" w:eastAsiaTheme="minorEastAsia" w:hAnsi="Times New Roman" w:cs="Times New Roman"/>
          <w:sz w:val="24"/>
          <w:szCs w:val="24"/>
        </w:rPr>
        <w:t>, the use of colloqui</w:t>
      </w:r>
      <w:r w:rsidR="00335CD1">
        <w:rPr>
          <w:rFonts w:ascii="Times New Roman" w:eastAsiaTheme="minorEastAsia" w:hAnsi="Times New Roman" w:cs="Times New Roman"/>
          <w:sz w:val="24"/>
          <w:szCs w:val="24"/>
        </w:rPr>
        <w:t>alis</w:t>
      </w:r>
      <w:r w:rsidR="0096093F">
        <w:rPr>
          <w:rFonts w:ascii="Times New Roman" w:eastAsiaTheme="minorEastAsia" w:hAnsi="Times New Roman" w:cs="Times New Roman"/>
          <w:sz w:val="24"/>
          <w:szCs w:val="24"/>
        </w:rPr>
        <w:t>ms was not used in the article, keeping the article</w:t>
      </w:r>
      <w:r w:rsidR="00335CD1">
        <w:rPr>
          <w:rFonts w:ascii="Times New Roman" w:eastAsiaTheme="minorEastAsia" w:hAnsi="Times New Roman" w:cs="Times New Roman"/>
          <w:sz w:val="24"/>
          <w:szCs w:val="24"/>
        </w:rPr>
        <w:t>’s</w:t>
      </w:r>
      <w:r w:rsidR="00BB1CA7">
        <w:rPr>
          <w:rFonts w:ascii="Times New Roman" w:eastAsiaTheme="minorEastAsia" w:hAnsi="Times New Roman" w:cs="Times New Roman"/>
          <w:sz w:val="24"/>
          <w:szCs w:val="24"/>
        </w:rPr>
        <w:t xml:space="preserve"> tone formal</w:t>
      </w:r>
      <w:r>
        <w:rPr>
          <w:rFonts w:ascii="Times New Roman" w:eastAsiaTheme="minorEastAsia" w:hAnsi="Times New Roman" w:cs="Times New Roman"/>
          <w:sz w:val="24"/>
          <w:szCs w:val="24"/>
        </w:rPr>
        <w:t xml:space="preserve">. The article </w:t>
      </w:r>
      <w:r w:rsidR="0096093F">
        <w:rPr>
          <w:rFonts w:ascii="Times New Roman" w:eastAsiaTheme="minorEastAsia" w:hAnsi="Times New Roman" w:cs="Times New Roman"/>
          <w:sz w:val="24"/>
          <w:szCs w:val="24"/>
        </w:rPr>
        <w:t>was</w:t>
      </w:r>
      <w:r>
        <w:rPr>
          <w:rFonts w:ascii="Times New Roman" w:eastAsiaTheme="minorEastAsia" w:hAnsi="Times New Roman" w:cs="Times New Roman"/>
          <w:sz w:val="24"/>
          <w:szCs w:val="24"/>
        </w:rPr>
        <w:t xml:space="preserve"> straight forward </w:t>
      </w:r>
      <w:r w:rsidR="0096093F">
        <w:rPr>
          <w:rFonts w:ascii="Times New Roman" w:eastAsiaTheme="minorEastAsia" w:hAnsi="Times New Roman" w:cs="Times New Roman"/>
          <w:sz w:val="24"/>
          <w:szCs w:val="24"/>
        </w:rPr>
        <w:t xml:space="preserve">and easy to follow, ensuring that the readers could interpret </w:t>
      </w:r>
      <w:r w:rsidR="00A87D4C">
        <w:rPr>
          <w:rFonts w:ascii="Times New Roman" w:eastAsiaTheme="minorEastAsia" w:hAnsi="Times New Roman" w:cs="Times New Roman"/>
          <w:sz w:val="24"/>
          <w:szCs w:val="24"/>
        </w:rPr>
        <w:t xml:space="preserve">what Mackenzie’s thoughts and ideas were behind her </w:t>
      </w:r>
      <w:r w:rsidR="00375763">
        <w:rPr>
          <w:rFonts w:ascii="Times New Roman" w:eastAsiaTheme="minorEastAsia" w:hAnsi="Times New Roman" w:cs="Times New Roman"/>
          <w:sz w:val="24"/>
          <w:szCs w:val="24"/>
        </w:rPr>
        <w:t>research</w:t>
      </w:r>
      <w:r w:rsidR="00A87D4C">
        <w:rPr>
          <w:rFonts w:ascii="Times New Roman" w:eastAsiaTheme="minorEastAsia" w:hAnsi="Times New Roman" w:cs="Times New Roman"/>
          <w:sz w:val="24"/>
          <w:szCs w:val="24"/>
        </w:rPr>
        <w:t xml:space="preserve">. The accuracy of Mackenzie’s article is </w:t>
      </w:r>
      <w:r w:rsidR="0000733B">
        <w:rPr>
          <w:rFonts w:ascii="Times New Roman" w:eastAsiaTheme="minorEastAsia" w:hAnsi="Times New Roman" w:cs="Times New Roman"/>
          <w:sz w:val="24"/>
          <w:szCs w:val="24"/>
        </w:rPr>
        <w:t>consistent and fluent throughout the article, with critical comebacks t</w:t>
      </w:r>
      <w:r w:rsidR="00335CD1">
        <w:rPr>
          <w:rFonts w:ascii="Times New Roman" w:eastAsiaTheme="minorEastAsia" w:hAnsi="Times New Roman" w:cs="Times New Roman"/>
          <w:sz w:val="24"/>
          <w:szCs w:val="24"/>
        </w:rPr>
        <w:t>o ensure a valid point was made. She presented</w:t>
      </w:r>
      <w:r w:rsidR="0000733B">
        <w:rPr>
          <w:rFonts w:ascii="Times New Roman" w:eastAsiaTheme="minorEastAsia" w:hAnsi="Times New Roman" w:cs="Times New Roman"/>
          <w:sz w:val="24"/>
          <w:szCs w:val="24"/>
        </w:rPr>
        <w:t xml:space="preserve"> a paragraph on </w:t>
      </w:r>
      <w:r w:rsidR="00741F3A">
        <w:rPr>
          <w:rFonts w:ascii="Times New Roman" w:eastAsiaTheme="minorEastAsia" w:hAnsi="Times New Roman" w:cs="Times New Roman"/>
          <w:sz w:val="24"/>
          <w:szCs w:val="24"/>
        </w:rPr>
        <w:t>‘T</w:t>
      </w:r>
      <w:r w:rsidR="0000733B">
        <w:rPr>
          <w:rFonts w:ascii="Times New Roman" w:eastAsiaTheme="minorEastAsia" w:hAnsi="Times New Roman" w:cs="Times New Roman"/>
          <w:sz w:val="24"/>
          <w:szCs w:val="24"/>
        </w:rPr>
        <w:t>he voice of the TA</w:t>
      </w:r>
      <w:r w:rsidR="00741F3A">
        <w:rPr>
          <w:rFonts w:ascii="Times New Roman" w:eastAsiaTheme="minorEastAsia" w:hAnsi="Times New Roman" w:cs="Times New Roman"/>
          <w:sz w:val="24"/>
          <w:szCs w:val="24"/>
        </w:rPr>
        <w:t>’</w:t>
      </w:r>
      <w:r w:rsidR="0000733B">
        <w:rPr>
          <w:rFonts w:ascii="Times New Roman" w:eastAsiaTheme="minorEastAsia" w:hAnsi="Times New Roman" w:cs="Times New Roman"/>
          <w:sz w:val="24"/>
          <w:szCs w:val="24"/>
        </w:rPr>
        <w:t>, wh</w:t>
      </w:r>
      <w:r w:rsidR="00741F3A">
        <w:rPr>
          <w:rFonts w:ascii="Times New Roman" w:eastAsiaTheme="minorEastAsia" w:hAnsi="Times New Roman" w:cs="Times New Roman"/>
          <w:sz w:val="24"/>
          <w:szCs w:val="24"/>
        </w:rPr>
        <w:t xml:space="preserve">ich highlighted the fractions that the TAs were feeling with evidence to back up, and it was then followed with a paragraph on ‘Understanding of inclusion: ‘yes, but’, which elaborated with </w:t>
      </w:r>
      <w:r w:rsidR="00335CD1">
        <w:rPr>
          <w:rFonts w:ascii="Times New Roman" w:eastAsiaTheme="minorEastAsia" w:hAnsi="Times New Roman" w:cs="Times New Roman"/>
          <w:sz w:val="24"/>
          <w:szCs w:val="24"/>
        </w:rPr>
        <w:t>a critical response</w:t>
      </w:r>
      <w:r w:rsidR="00A328B1">
        <w:rPr>
          <w:rFonts w:ascii="Times New Roman" w:eastAsiaTheme="minorEastAsia" w:hAnsi="Times New Roman" w:cs="Times New Roman"/>
          <w:sz w:val="24"/>
          <w:szCs w:val="24"/>
        </w:rPr>
        <w:t xml:space="preserve"> that yes</w:t>
      </w:r>
      <w:r w:rsidR="00335CD1">
        <w:rPr>
          <w:rFonts w:ascii="Times New Roman" w:eastAsiaTheme="minorEastAsia" w:hAnsi="Times New Roman" w:cs="Times New Roman"/>
          <w:sz w:val="24"/>
          <w:szCs w:val="24"/>
        </w:rPr>
        <w:t>,</w:t>
      </w:r>
      <w:r w:rsidR="00A328B1">
        <w:rPr>
          <w:rFonts w:ascii="Times New Roman" w:eastAsiaTheme="minorEastAsia" w:hAnsi="Times New Roman" w:cs="Times New Roman"/>
          <w:sz w:val="24"/>
          <w:szCs w:val="24"/>
        </w:rPr>
        <w:t xml:space="preserve"> there are f</w:t>
      </w:r>
      <w:r w:rsidR="00335CD1">
        <w:rPr>
          <w:rFonts w:ascii="Times New Roman" w:eastAsiaTheme="minorEastAsia" w:hAnsi="Times New Roman" w:cs="Times New Roman"/>
          <w:sz w:val="24"/>
          <w:szCs w:val="24"/>
        </w:rPr>
        <w:t>r</w:t>
      </w:r>
      <w:r w:rsidR="00A328B1">
        <w:rPr>
          <w:rFonts w:ascii="Times New Roman" w:eastAsiaTheme="minorEastAsia" w:hAnsi="Times New Roman" w:cs="Times New Roman"/>
          <w:sz w:val="24"/>
          <w:szCs w:val="24"/>
        </w:rPr>
        <w:t>actions in the inclusive system</w:t>
      </w:r>
      <w:r w:rsidR="00BB1CA7">
        <w:rPr>
          <w:rFonts w:ascii="Times New Roman" w:eastAsiaTheme="minorEastAsia" w:hAnsi="Times New Roman" w:cs="Times New Roman"/>
          <w:sz w:val="24"/>
          <w:szCs w:val="24"/>
        </w:rPr>
        <w:t>.</w:t>
      </w:r>
      <w:r w:rsidR="00A328B1">
        <w:rPr>
          <w:rFonts w:ascii="Times New Roman" w:eastAsiaTheme="minorEastAsia" w:hAnsi="Times New Roman" w:cs="Times New Roman"/>
          <w:sz w:val="24"/>
          <w:szCs w:val="24"/>
        </w:rPr>
        <w:t xml:space="preserve"> </w:t>
      </w:r>
      <w:r w:rsidR="00BB1CA7">
        <w:rPr>
          <w:rFonts w:ascii="Times New Roman" w:eastAsiaTheme="minorEastAsia" w:hAnsi="Times New Roman" w:cs="Times New Roman"/>
          <w:sz w:val="24"/>
          <w:szCs w:val="24"/>
        </w:rPr>
        <w:t>H</w:t>
      </w:r>
      <w:r w:rsidR="00A328B1">
        <w:rPr>
          <w:rFonts w:ascii="Times New Roman" w:eastAsiaTheme="minorEastAsia" w:hAnsi="Times New Roman" w:cs="Times New Roman"/>
          <w:sz w:val="24"/>
          <w:szCs w:val="24"/>
        </w:rPr>
        <w:t>owever</w:t>
      </w:r>
      <w:r w:rsidR="00BB1CA7">
        <w:rPr>
          <w:rFonts w:ascii="Times New Roman" w:eastAsiaTheme="minorEastAsia" w:hAnsi="Times New Roman" w:cs="Times New Roman"/>
          <w:sz w:val="24"/>
          <w:szCs w:val="24"/>
        </w:rPr>
        <w:t>,</w:t>
      </w:r>
      <w:r w:rsidR="00A328B1">
        <w:rPr>
          <w:rFonts w:ascii="Times New Roman" w:eastAsiaTheme="minorEastAsia" w:hAnsi="Times New Roman" w:cs="Times New Roman"/>
          <w:sz w:val="24"/>
          <w:szCs w:val="24"/>
        </w:rPr>
        <w:t xml:space="preserve"> it is down to inappropriate</w:t>
      </w:r>
      <w:r w:rsidR="00B458B3">
        <w:rPr>
          <w:rFonts w:ascii="Times New Roman" w:eastAsiaTheme="minorEastAsia" w:hAnsi="Times New Roman" w:cs="Times New Roman"/>
          <w:sz w:val="24"/>
          <w:szCs w:val="24"/>
        </w:rPr>
        <w:t xml:space="preserve"> curriculums to support inclusion and lack of experience in teachers to deal with said f</w:t>
      </w:r>
      <w:r w:rsidR="00335CD1">
        <w:rPr>
          <w:rFonts w:ascii="Times New Roman" w:eastAsiaTheme="minorEastAsia" w:hAnsi="Times New Roman" w:cs="Times New Roman"/>
          <w:sz w:val="24"/>
          <w:szCs w:val="24"/>
        </w:rPr>
        <w:t>r</w:t>
      </w:r>
      <w:r w:rsidR="00B458B3">
        <w:rPr>
          <w:rFonts w:ascii="Times New Roman" w:eastAsiaTheme="minorEastAsia" w:hAnsi="Times New Roman" w:cs="Times New Roman"/>
          <w:sz w:val="24"/>
          <w:szCs w:val="24"/>
        </w:rPr>
        <w:t>actions.</w:t>
      </w:r>
      <w:r w:rsidR="008E72CB">
        <w:rPr>
          <w:rFonts w:ascii="Times New Roman" w:eastAsiaTheme="minorEastAsia" w:hAnsi="Times New Roman" w:cs="Times New Roman"/>
          <w:sz w:val="24"/>
          <w:szCs w:val="24"/>
        </w:rPr>
        <w:t xml:space="preserve"> The article used persuasive, objective and subjective language to provide Mackenzie a diverse piece of research. Mackenzie</w:t>
      </w:r>
      <w:r w:rsidR="009471A5">
        <w:rPr>
          <w:rFonts w:ascii="Times New Roman" w:eastAsiaTheme="minorEastAsia" w:hAnsi="Times New Roman" w:cs="Times New Roman"/>
          <w:sz w:val="24"/>
          <w:szCs w:val="24"/>
        </w:rPr>
        <w:t xml:space="preserve">’s opening paragraph was intelligently written to provide the reader the overall agenda, which straight away makes them believe that the TAs views on inclusion is the only view </w:t>
      </w:r>
      <w:r w:rsidR="00B71E6C">
        <w:rPr>
          <w:rFonts w:ascii="Times New Roman" w:eastAsiaTheme="minorEastAsia" w:hAnsi="Times New Roman" w:cs="Times New Roman"/>
          <w:sz w:val="24"/>
          <w:szCs w:val="24"/>
        </w:rPr>
        <w:t>the readers</w:t>
      </w:r>
      <w:r w:rsidR="009471A5">
        <w:rPr>
          <w:rFonts w:ascii="Times New Roman" w:eastAsiaTheme="minorEastAsia" w:hAnsi="Times New Roman" w:cs="Times New Roman"/>
          <w:sz w:val="24"/>
          <w:szCs w:val="24"/>
        </w:rPr>
        <w:t xml:space="preserve"> need to accept, </w:t>
      </w:r>
      <w:r w:rsidR="00B71E6C">
        <w:rPr>
          <w:rFonts w:ascii="Times New Roman" w:eastAsiaTheme="minorEastAsia" w:hAnsi="Times New Roman" w:cs="Times New Roman"/>
          <w:sz w:val="24"/>
          <w:szCs w:val="24"/>
        </w:rPr>
        <w:t>however reading further on in the article, there was some conclusive evidence which allowed the reader to see that there are contradictions to Mackenzie’s research, which shows Mackenzie’s ambivalent attitudes. To conclude</w:t>
      </w:r>
      <w:r w:rsidR="00335CD1">
        <w:rPr>
          <w:rFonts w:ascii="Times New Roman" w:eastAsiaTheme="minorEastAsia" w:hAnsi="Times New Roman" w:cs="Times New Roman"/>
          <w:sz w:val="24"/>
          <w:szCs w:val="24"/>
        </w:rPr>
        <w:t>,</w:t>
      </w:r>
      <w:r w:rsidR="00B71E6C">
        <w:rPr>
          <w:rFonts w:ascii="Times New Roman" w:eastAsiaTheme="minorEastAsia" w:hAnsi="Times New Roman" w:cs="Times New Roman"/>
          <w:sz w:val="24"/>
          <w:szCs w:val="24"/>
        </w:rPr>
        <w:t xml:space="preserve"> Mackenzie added case studies to add</w:t>
      </w:r>
      <w:r w:rsidR="00D52C63">
        <w:rPr>
          <w:rFonts w:ascii="Times New Roman" w:eastAsiaTheme="minorEastAsia" w:hAnsi="Times New Roman" w:cs="Times New Roman"/>
          <w:sz w:val="24"/>
          <w:szCs w:val="24"/>
        </w:rPr>
        <w:t xml:space="preserve"> feelings</w:t>
      </w:r>
      <w:r w:rsidR="00335CD1">
        <w:rPr>
          <w:rFonts w:ascii="Times New Roman" w:eastAsiaTheme="minorEastAsia" w:hAnsi="Times New Roman" w:cs="Times New Roman"/>
          <w:sz w:val="24"/>
          <w:szCs w:val="24"/>
        </w:rPr>
        <w:t xml:space="preserve"> and experiences of TAs</w:t>
      </w:r>
      <w:r w:rsidR="00D52C63">
        <w:rPr>
          <w:rFonts w:ascii="Times New Roman" w:eastAsiaTheme="minorEastAsia" w:hAnsi="Times New Roman" w:cs="Times New Roman"/>
          <w:sz w:val="24"/>
          <w:szCs w:val="24"/>
        </w:rPr>
        <w:t xml:space="preserve"> to provide a subjective approach, which she then followed with a discussion paragraph, which had some </w:t>
      </w:r>
      <w:r w:rsidR="002107FA">
        <w:rPr>
          <w:rFonts w:ascii="Times New Roman" w:eastAsiaTheme="minorEastAsia" w:hAnsi="Times New Roman" w:cs="Times New Roman"/>
          <w:sz w:val="24"/>
          <w:szCs w:val="24"/>
        </w:rPr>
        <w:t xml:space="preserve">of </w:t>
      </w:r>
      <w:r w:rsidR="00D52C63">
        <w:rPr>
          <w:rFonts w:ascii="Times New Roman" w:eastAsiaTheme="minorEastAsia" w:hAnsi="Times New Roman" w:cs="Times New Roman"/>
          <w:sz w:val="24"/>
          <w:szCs w:val="24"/>
        </w:rPr>
        <w:t xml:space="preserve">her opinions and feelings to finalise her work.   </w:t>
      </w:r>
    </w:p>
    <w:p w14:paraId="4E1F0E8D" w14:textId="473D371F" w:rsidR="00F93FBC" w:rsidRDefault="007F1AEE" w:rsidP="00883FB5">
      <w:pPr>
        <w:suppressAutoHyphens w:val="0"/>
        <w:autoSpaceDN/>
        <w:spacing w:before="30" w:after="200" w:line="276" w:lineRule="auto"/>
        <w:jc w:val="both"/>
        <w:textAlignment w:val="auto"/>
        <w:rPr>
          <w:rFonts w:ascii="Times New Roman" w:eastAsiaTheme="minorEastAsia" w:hAnsi="Times New Roman" w:cs="Times New Roman"/>
          <w:sz w:val="24"/>
          <w:szCs w:val="24"/>
        </w:rPr>
      </w:pPr>
      <w:r>
        <w:rPr>
          <w:rFonts w:ascii="Times New Roman" w:eastAsiaTheme="minorEastAsia" w:hAnsi="Times New Roman" w:cs="Times New Roman"/>
          <w:sz w:val="24"/>
          <w:szCs w:val="24"/>
        </w:rPr>
        <w:t>The principal issue that echoed through Mackenzie’s research was the importance of teachers and TAs collaboration and, the pressures of teachers meeting the inclusive education curriculum for their schools.</w:t>
      </w:r>
      <w:r w:rsidR="008D73C7">
        <w:rPr>
          <w:rFonts w:ascii="Times New Roman" w:eastAsiaTheme="minorEastAsia" w:hAnsi="Times New Roman" w:cs="Times New Roman"/>
          <w:sz w:val="24"/>
          <w:szCs w:val="24"/>
        </w:rPr>
        <w:t xml:space="preserve"> A</w:t>
      </w:r>
      <w:r w:rsidR="00E52D8E">
        <w:rPr>
          <w:rFonts w:ascii="Times New Roman" w:eastAsiaTheme="minorEastAsia" w:hAnsi="Times New Roman" w:cs="Times New Roman"/>
          <w:sz w:val="24"/>
          <w:szCs w:val="24"/>
        </w:rPr>
        <w:t xml:space="preserve">nderson and </w:t>
      </w:r>
      <w:r w:rsidR="00292D19">
        <w:rPr>
          <w:rFonts w:ascii="Times New Roman" w:eastAsiaTheme="minorEastAsia" w:hAnsi="Times New Roman" w:cs="Times New Roman"/>
          <w:sz w:val="24"/>
          <w:szCs w:val="24"/>
        </w:rPr>
        <w:t>Lyn-</w:t>
      </w:r>
      <w:r w:rsidR="00E52D8E">
        <w:rPr>
          <w:rFonts w:ascii="Times New Roman" w:eastAsiaTheme="minorEastAsia" w:hAnsi="Times New Roman" w:cs="Times New Roman"/>
          <w:sz w:val="24"/>
          <w:szCs w:val="24"/>
        </w:rPr>
        <w:t xml:space="preserve">Cook (2016) researched the importance of </w:t>
      </w:r>
      <w:r w:rsidR="000559EB">
        <w:rPr>
          <w:rFonts w:ascii="Times New Roman" w:eastAsiaTheme="minorEastAsia" w:hAnsi="Times New Roman" w:cs="Times New Roman"/>
          <w:sz w:val="24"/>
          <w:szCs w:val="24"/>
        </w:rPr>
        <w:t xml:space="preserve">teamwork </w:t>
      </w:r>
      <w:r w:rsidR="00E52D8E">
        <w:rPr>
          <w:rFonts w:ascii="Times New Roman" w:eastAsiaTheme="minorEastAsia" w:hAnsi="Times New Roman" w:cs="Times New Roman"/>
          <w:sz w:val="24"/>
          <w:szCs w:val="24"/>
        </w:rPr>
        <w:t>between teachers and TA</w:t>
      </w:r>
      <w:r w:rsidR="000559EB">
        <w:rPr>
          <w:rFonts w:ascii="Times New Roman" w:eastAsiaTheme="minorEastAsia" w:hAnsi="Times New Roman" w:cs="Times New Roman"/>
          <w:sz w:val="24"/>
          <w:szCs w:val="24"/>
        </w:rPr>
        <w:t>’s. The fundamentals were the ongoing constructive communication, joint planning; to ensure that the teacher learning strategies were in place to ensure all pupils had efficient amount of the teacher’s time, to reduce pupil exclusion from peers. Anderson and Cook (2016) also believed that a mutual respect between teachers and TAs was crucial in allowing educational opportunities to happen</w:t>
      </w:r>
      <w:r w:rsidR="005E1BF1">
        <w:rPr>
          <w:rFonts w:ascii="Times New Roman" w:eastAsiaTheme="minorEastAsia" w:hAnsi="Times New Roman" w:cs="Times New Roman"/>
          <w:sz w:val="24"/>
          <w:szCs w:val="24"/>
        </w:rPr>
        <w:t xml:space="preserve"> for pupils</w:t>
      </w:r>
      <w:r w:rsidR="00627B47">
        <w:rPr>
          <w:rFonts w:ascii="Times New Roman" w:eastAsiaTheme="minorEastAsia" w:hAnsi="Times New Roman" w:cs="Times New Roman"/>
          <w:sz w:val="24"/>
          <w:szCs w:val="24"/>
        </w:rPr>
        <w:t>.</w:t>
      </w:r>
      <w:r w:rsidR="004F506E">
        <w:rPr>
          <w:rFonts w:ascii="Times New Roman" w:eastAsiaTheme="minorEastAsia" w:hAnsi="Times New Roman" w:cs="Times New Roman"/>
          <w:sz w:val="24"/>
          <w:szCs w:val="24"/>
        </w:rPr>
        <w:t xml:space="preserve"> The special educational code of practice (2015)</w:t>
      </w:r>
      <w:r w:rsidR="005D1E04">
        <w:rPr>
          <w:rFonts w:ascii="Times New Roman" w:eastAsiaTheme="minorEastAsia" w:hAnsi="Times New Roman" w:cs="Times New Roman"/>
          <w:sz w:val="24"/>
          <w:szCs w:val="24"/>
        </w:rPr>
        <w:t xml:space="preserve"> </w:t>
      </w:r>
      <w:r w:rsidR="004F506E">
        <w:rPr>
          <w:rFonts w:ascii="Times New Roman" w:eastAsiaTheme="minorEastAsia" w:hAnsi="Times New Roman" w:cs="Times New Roman"/>
          <w:sz w:val="24"/>
          <w:szCs w:val="24"/>
        </w:rPr>
        <w:t>cited in Frederickson and Clines (2015) work states</w:t>
      </w:r>
      <w:r w:rsidR="003A32AC">
        <w:rPr>
          <w:rFonts w:ascii="Times New Roman" w:eastAsiaTheme="minorEastAsia" w:hAnsi="Times New Roman" w:cs="Times New Roman"/>
          <w:sz w:val="24"/>
          <w:szCs w:val="24"/>
        </w:rPr>
        <w:t>:</w:t>
      </w:r>
      <w:r w:rsidR="004F506E">
        <w:rPr>
          <w:rFonts w:ascii="Times New Roman" w:eastAsiaTheme="minorEastAsia" w:hAnsi="Times New Roman" w:cs="Times New Roman"/>
          <w:sz w:val="24"/>
          <w:szCs w:val="24"/>
        </w:rPr>
        <w:t xml:space="preserve"> </w:t>
      </w:r>
    </w:p>
    <w:p w14:paraId="3DC4860F" w14:textId="77777777" w:rsidR="003A32AC" w:rsidRDefault="004F506E" w:rsidP="003A32AC">
      <w:pPr>
        <w:suppressAutoHyphens w:val="0"/>
        <w:autoSpaceDN/>
        <w:spacing w:before="30" w:after="200" w:line="276" w:lineRule="auto"/>
        <w:ind w:left="567"/>
        <w:jc w:val="both"/>
        <w:textAlignment w:val="auto"/>
        <w:rPr>
          <w:rFonts w:ascii="Times New Roman" w:eastAsiaTheme="minorEastAsia" w:hAnsi="Times New Roman" w:cs="Times New Roman"/>
          <w:sz w:val="24"/>
          <w:szCs w:val="24"/>
        </w:rPr>
      </w:pPr>
      <w:r>
        <w:rPr>
          <w:rFonts w:ascii="Times New Roman" w:eastAsiaTheme="minorEastAsia" w:hAnsi="Times New Roman" w:cs="Times New Roman"/>
          <w:sz w:val="24"/>
          <w:szCs w:val="24"/>
        </w:rPr>
        <w:t>High quality teaching, differentiated for individual pupils, is the first step in responding to pupils who have or may have SEN. Additional intervention and support cannot compensate for a lack of good quality teaching. Schools should regularly and carefully review the quality of teaching</w:t>
      </w:r>
      <w:r w:rsidR="003A32AC">
        <w:rPr>
          <w:rFonts w:ascii="Times New Roman" w:eastAsiaTheme="minorEastAsia" w:hAnsi="Times New Roman" w:cs="Times New Roman"/>
          <w:sz w:val="24"/>
          <w:szCs w:val="24"/>
        </w:rPr>
        <w:t xml:space="preserve"> for all pupils, including those at risk of underachievement. This includes reviewing and, where necessary, improving, teachers’ understanding of strategies to identify and support vulnerable pupils and their knowledge of SEN most frequently encountered. (DfE/DOH, para. 6.37).</w:t>
      </w:r>
    </w:p>
    <w:p w14:paraId="6D211594" w14:textId="778A91C1" w:rsidR="004F506E" w:rsidRDefault="003A32AC" w:rsidP="003A32AC">
      <w:pPr>
        <w:suppressAutoHyphens w:val="0"/>
        <w:autoSpaceDN/>
        <w:spacing w:before="30" w:after="200" w:line="276" w:lineRule="auto"/>
        <w:jc w:val="both"/>
        <w:textAlignment w:val="auto"/>
        <w:rPr>
          <w:rFonts w:ascii="Times New Roman" w:eastAsiaTheme="minorEastAsia" w:hAnsi="Times New Roman" w:cs="Times New Roman"/>
          <w:sz w:val="24"/>
          <w:szCs w:val="24"/>
        </w:rPr>
      </w:pPr>
      <w:r>
        <w:rPr>
          <w:rFonts w:ascii="Times New Roman" w:eastAsiaTheme="minorEastAsia" w:hAnsi="Times New Roman" w:cs="Times New Roman"/>
          <w:sz w:val="24"/>
          <w:szCs w:val="24"/>
        </w:rPr>
        <w:t>Reflecting on this, alongside Mackenzie’s research, there is evidence from the case studies, supporting the argument that, teachers could be</w:t>
      </w:r>
      <w:r w:rsidR="00835847">
        <w:rPr>
          <w:rFonts w:ascii="Times New Roman" w:eastAsiaTheme="minorEastAsia" w:hAnsi="Times New Roman" w:cs="Times New Roman"/>
          <w:sz w:val="24"/>
          <w:szCs w:val="24"/>
        </w:rPr>
        <w:t xml:space="preserve"> failing</w:t>
      </w:r>
      <w:r>
        <w:rPr>
          <w:rFonts w:ascii="Times New Roman" w:eastAsiaTheme="minorEastAsia" w:hAnsi="Times New Roman" w:cs="Times New Roman"/>
          <w:sz w:val="24"/>
          <w:szCs w:val="24"/>
        </w:rPr>
        <w:t xml:space="preserve"> the pupils in their workplace</w:t>
      </w:r>
      <w:r w:rsidR="00835847">
        <w:rPr>
          <w:rFonts w:ascii="Times New Roman" w:eastAsiaTheme="minorEastAsia" w:hAnsi="Times New Roman" w:cs="Times New Roman"/>
          <w:sz w:val="24"/>
          <w:szCs w:val="24"/>
        </w:rPr>
        <w:t xml:space="preserve">, through </w:t>
      </w:r>
      <w:r w:rsidR="00835847">
        <w:rPr>
          <w:rFonts w:ascii="Times New Roman" w:eastAsiaTheme="minorEastAsia" w:hAnsi="Times New Roman" w:cs="Times New Roman"/>
          <w:sz w:val="24"/>
          <w:szCs w:val="24"/>
        </w:rPr>
        <w:lastRenderedPageBreak/>
        <w:t xml:space="preserve">lack of </w:t>
      </w:r>
      <w:r w:rsidR="00EB3940">
        <w:rPr>
          <w:rFonts w:ascii="Times New Roman" w:eastAsiaTheme="minorEastAsia" w:hAnsi="Times New Roman" w:cs="Times New Roman"/>
          <w:sz w:val="24"/>
          <w:szCs w:val="24"/>
        </w:rPr>
        <w:t>enough</w:t>
      </w:r>
      <w:r w:rsidR="00835847">
        <w:rPr>
          <w:rFonts w:ascii="Times New Roman" w:eastAsiaTheme="minorEastAsia" w:hAnsi="Times New Roman" w:cs="Times New Roman"/>
          <w:sz w:val="24"/>
          <w:szCs w:val="24"/>
        </w:rPr>
        <w:t xml:space="preserve"> reviewing and training for teachers.</w:t>
      </w:r>
      <w:r w:rsidR="00105F7A">
        <w:rPr>
          <w:rFonts w:ascii="Times New Roman" w:eastAsiaTheme="minorEastAsia" w:hAnsi="Times New Roman" w:cs="Times New Roman"/>
          <w:sz w:val="24"/>
          <w:szCs w:val="24"/>
        </w:rPr>
        <w:t xml:space="preserve"> On the defence of the teachers Hayward (2006) </w:t>
      </w:r>
      <w:r w:rsidR="00587813">
        <w:rPr>
          <w:rFonts w:ascii="Times New Roman" w:eastAsiaTheme="minorEastAsia" w:hAnsi="Times New Roman" w:cs="Times New Roman"/>
          <w:sz w:val="24"/>
          <w:szCs w:val="24"/>
        </w:rPr>
        <w:t xml:space="preserve">makes a valuable point that if inclusion is to be a smooth transition for all parties included, teachers, TA’s, multidisciplinary teams, pupils etc, there should be room for change and teething problems are a necessity in the progression of any professional developments.    </w:t>
      </w:r>
    </w:p>
    <w:p w14:paraId="187E1449" w14:textId="12787C47" w:rsidR="00F93FBC" w:rsidRDefault="00F93FBC" w:rsidP="00883FB5">
      <w:pPr>
        <w:suppressAutoHyphens w:val="0"/>
        <w:autoSpaceDN/>
        <w:spacing w:before="30" w:after="200" w:line="276" w:lineRule="auto"/>
        <w:jc w:val="both"/>
        <w:textAlignment w:val="auto"/>
        <w:rPr>
          <w:rFonts w:ascii="Times New Roman" w:eastAsiaTheme="minorEastAsia" w:hAnsi="Times New Roman" w:cs="Times New Roman"/>
          <w:sz w:val="24"/>
          <w:szCs w:val="24"/>
        </w:rPr>
      </w:pPr>
      <w:r>
        <w:rPr>
          <w:rFonts w:ascii="Times New Roman" w:eastAsiaTheme="minorEastAsia" w:hAnsi="Times New Roman" w:cs="Times New Roman"/>
          <w:sz w:val="24"/>
          <w:szCs w:val="24"/>
        </w:rPr>
        <w:t>It is evident from reading Mackenzie’s article that there are ingrained issues within the education system the can only be resolved by a change within legislation made by the government a</w:t>
      </w:r>
      <w:r w:rsidR="00335CD1">
        <w:rPr>
          <w:rFonts w:ascii="Times New Roman" w:eastAsiaTheme="minorEastAsia" w:hAnsi="Times New Roman" w:cs="Times New Roman"/>
          <w:sz w:val="24"/>
          <w:szCs w:val="24"/>
        </w:rPr>
        <w:t xml:space="preserve">nd implemented through policies. </w:t>
      </w:r>
      <w:r w:rsidR="004F506E">
        <w:rPr>
          <w:rFonts w:ascii="Times New Roman" w:eastAsiaTheme="minorEastAsia" w:hAnsi="Times New Roman" w:cs="Times New Roman"/>
          <w:sz w:val="24"/>
          <w:szCs w:val="24"/>
        </w:rPr>
        <w:t>Also,</w:t>
      </w:r>
      <w:r w:rsidR="00912024">
        <w:rPr>
          <w:rFonts w:ascii="Times New Roman" w:eastAsiaTheme="minorEastAsia" w:hAnsi="Times New Roman" w:cs="Times New Roman"/>
          <w:sz w:val="24"/>
          <w:szCs w:val="24"/>
        </w:rPr>
        <w:t xml:space="preserve"> inexperienced teachers </w:t>
      </w:r>
      <w:r>
        <w:rPr>
          <w:rFonts w:ascii="Times New Roman" w:eastAsiaTheme="minorEastAsia" w:hAnsi="Times New Roman" w:cs="Times New Roman"/>
          <w:sz w:val="24"/>
          <w:szCs w:val="24"/>
        </w:rPr>
        <w:t>find it hard to deal wi</w:t>
      </w:r>
      <w:r w:rsidR="00912024">
        <w:rPr>
          <w:rFonts w:ascii="Times New Roman" w:eastAsiaTheme="minorEastAsia" w:hAnsi="Times New Roman" w:cs="Times New Roman"/>
          <w:sz w:val="24"/>
          <w:szCs w:val="24"/>
        </w:rPr>
        <w:t>th inclusive curriculums and</w:t>
      </w:r>
      <w:r>
        <w:rPr>
          <w:rFonts w:ascii="Times New Roman" w:eastAsiaTheme="minorEastAsia" w:hAnsi="Times New Roman" w:cs="Times New Roman"/>
          <w:sz w:val="24"/>
          <w:szCs w:val="24"/>
        </w:rPr>
        <w:t xml:space="preserve"> get the best from the</w:t>
      </w:r>
      <w:r w:rsidR="00912024">
        <w:rPr>
          <w:rFonts w:ascii="Times New Roman" w:eastAsiaTheme="minorEastAsia" w:hAnsi="Times New Roman" w:cs="Times New Roman"/>
          <w:sz w:val="24"/>
          <w:szCs w:val="24"/>
        </w:rPr>
        <w:t>ir</w:t>
      </w:r>
      <w:r>
        <w:rPr>
          <w:rFonts w:ascii="Times New Roman" w:eastAsiaTheme="minorEastAsia" w:hAnsi="Times New Roman" w:cs="Times New Roman"/>
          <w:sz w:val="24"/>
          <w:szCs w:val="24"/>
        </w:rPr>
        <w:t xml:space="preserve"> pupils</w:t>
      </w:r>
      <w:r w:rsidR="002107FA">
        <w:rPr>
          <w:rFonts w:ascii="Times New Roman" w:eastAsiaTheme="minorEastAsia" w:hAnsi="Times New Roman" w:cs="Times New Roman"/>
          <w:sz w:val="24"/>
          <w:szCs w:val="24"/>
        </w:rPr>
        <w:t>.</w:t>
      </w:r>
      <w:r>
        <w:rPr>
          <w:rFonts w:ascii="Times New Roman" w:eastAsiaTheme="minorEastAsia" w:hAnsi="Times New Roman" w:cs="Times New Roman"/>
          <w:sz w:val="24"/>
          <w:szCs w:val="24"/>
        </w:rPr>
        <w:t xml:space="preserve"> I have faced many of the</w:t>
      </w:r>
      <w:r w:rsidR="00912024">
        <w:rPr>
          <w:rFonts w:ascii="Times New Roman" w:eastAsiaTheme="minorEastAsia" w:hAnsi="Times New Roman" w:cs="Times New Roman"/>
          <w:sz w:val="24"/>
          <w:szCs w:val="24"/>
        </w:rPr>
        <w:t xml:space="preserve">se issues and divisions that </w:t>
      </w:r>
      <w:r>
        <w:rPr>
          <w:rFonts w:ascii="Times New Roman" w:eastAsiaTheme="minorEastAsia" w:hAnsi="Times New Roman" w:cs="Times New Roman"/>
          <w:sz w:val="24"/>
          <w:szCs w:val="24"/>
        </w:rPr>
        <w:t>are discussed in the case studies within my own practice and therefore feel confident in my ability to reflect on these i</w:t>
      </w:r>
      <w:r w:rsidR="00912024">
        <w:rPr>
          <w:rFonts w:ascii="Times New Roman" w:eastAsiaTheme="minorEastAsia" w:hAnsi="Times New Roman" w:cs="Times New Roman"/>
          <w:sz w:val="24"/>
          <w:szCs w:val="24"/>
        </w:rPr>
        <w:t xml:space="preserve">ssues and make comment on them. </w:t>
      </w:r>
      <w:r>
        <w:rPr>
          <w:rFonts w:ascii="Times New Roman" w:eastAsiaTheme="minorEastAsia" w:hAnsi="Times New Roman" w:cs="Times New Roman"/>
          <w:sz w:val="24"/>
          <w:szCs w:val="24"/>
        </w:rPr>
        <w:t xml:space="preserve">Mackenzie has provided me </w:t>
      </w:r>
      <w:r w:rsidR="00912024">
        <w:rPr>
          <w:rFonts w:ascii="Times New Roman" w:eastAsiaTheme="minorEastAsia" w:hAnsi="Times New Roman" w:cs="Times New Roman"/>
          <w:sz w:val="24"/>
          <w:szCs w:val="24"/>
        </w:rPr>
        <w:t xml:space="preserve">with </w:t>
      </w:r>
      <w:r>
        <w:rPr>
          <w:rFonts w:ascii="Times New Roman" w:eastAsiaTheme="minorEastAsia" w:hAnsi="Times New Roman" w:cs="Times New Roman"/>
          <w:sz w:val="24"/>
          <w:szCs w:val="24"/>
        </w:rPr>
        <w:t>a valued academic article, which has truly allowed me to see my own career path through other peoples</w:t>
      </w:r>
      <w:r w:rsidR="002107FA">
        <w:rPr>
          <w:rFonts w:ascii="Times New Roman" w:eastAsiaTheme="minorEastAsia" w:hAnsi="Times New Roman" w:cs="Times New Roman"/>
          <w:sz w:val="24"/>
          <w:szCs w:val="24"/>
        </w:rPr>
        <w:t>’</w:t>
      </w:r>
      <w:r>
        <w:rPr>
          <w:rFonts w:ascii="Times New Roman" w:eastAsiaTheme="minorEastAsia" w:hAnsi="Times New Roman" w:cs="Times New Roman"/>
          <w:sz w:val="24"/>
          <w:szCs w:val="24"/>
        </w:rPr>
        <w:t xml:space="preserve"> eyes.  </w:t>
      </w:r>
    </w:p>
    <w:p w14:paraId="37DCFEED" w14:textId="2D2D4A0E" w:rsidR="00883FB5" w:rsidRDefault="00883FB5" w:rsidP="00883FB5">
      <w:pPr>
        <w:suppressAutoHyphens w:val="0"/>
        <w:autoSpaceDN/>
        <w:spacing w:before="30" w:after="200" w:line="276" w:lineRule="auto"/>
        <w:jc w:val="both"/>
        <w:textAlignment w:val="auto"/>
        <w:rPr>
          <w:rFonts w:ascii="Times New Roman" w:eastAsiaTheme="minorEastAsia" w:hAnsi="Times New Roman" w:cs="Times New Roman"/>
          <w:sz w:val="24"/>
          <w:szCs w:val="24"/>
        </w:rPr>
      </w:pPr>
      <w:r>
        <w:rPr>
          <w:rFonts w:ascii="Times New Roman" w:eastAsiaTheme="minorEastAsia" w:hAnsi="Times New Roman" w:cs="Times New Roman"/>
          <w:sz w:val="24"/>
          <w:szCs w:val="24"/>
        </w:rPr>
        <w:tab/>
      </w:r>
    </w:p>
    <w:p w14:paraId="693A287C" w14:textId="77777777" w:rsidR="00151544" w:rsidRPr="00151544" w:rsidRDefault="00151544" w:rsidP="00151544">
      <w:pPr>
        <w:suppressAutoHyphens w:val="0"/>
        <w:autoSpaceDN/>
        <w:spacing w:line="276" w:lineRule="auto"/>
        <w:jc w:val="both"/>
        <w:textAlignment w:val="auto"/>
        <w:rPr>
          <w:rFonts w:ascii="Times New Roman" w:eastAsiaTheme="minorHAnsi" w:hAnsi="Times New Roman" w:cs="Times New Roman"/>
          <w:b/>
          <w:sz w:val="24"/>
          <w:szCs w:val="24"/>
        </w:rPr>
      </w:pPr>
      <w:r w:rsidRPr="00151544">
        <w:rPr>
          <w:rFonts w:ascii="Times New Roman" w:eastAsiaTheme="minorHAnsi" w:hAnsi="Times New Roman" w:cs="Times New Roman"/>
          <w:b/>
          <w:sz w:val="24"/>
          <w:szCs w:val="24"/>
        </w:rPr>
        <w:t>References</w:t>
      </w:r>
    </w:p>
    <w:p w14:paraId="0941300F" w14:textId="77777777" w:rsidR="00151544" w:rsidRPr="00151544" w:rsidRDefault="00151544" w:rsidP="00151544">
      <w:pPr>
        <w:suppressAutoHyphens w:val="0"/>
        <w:autoSpaceDN/>
        <w:spacing w:line="276" w:lineRule="auto"/>
        <w:jc w:val="both"/>
        <w:textAlignment w:val="auto"/>
        <w:rPr>
          <w:rFonts w:ascii="Times New Roman" w:eastAsiaTheme="minorHAnsi" w:hAnsi="Times New Roman" w:cs="Times New Roman"/>
          <w:i/>
          <w:sz w:val="24"/>
          <w:szCs w:val="24"/>
        </w:rPr>
      </w:pPr>
      <w:bookmarkStart w:id="0" w:name="_GoBack"/>
      <w:bookmarkEnd w:id="0"/>
      <w:r w:rsidRPr="00151544">
        <w:rPr>
          <w:rFonts w:ascii="Times New Roman" w:eastAsiaTheme="minorHAnsi" w:hAnsi="Times New Roman" w:cs="Times New Roman"/>
          <w:sz w:val="24"/>
          <w:szCs w:val="24"/>
        </w:rPr>
        <w:t xml:space="preserve">Anderson, V &amp; Lyn-Cook, L. (2016) </w:t>
      </w:r>
      <w:r w:rsidRPr="00151544">
        <w:rPr>
          <w:rFonts w:ascii="Times New Roman" w:eastAsiaTheme="minorHAnsi" w:hAnsi="Times New Roman" w:cs="Times New Roman"/>
          <w:i/>
          <w:sz w:val="24"/>
          <w:szCs w:val="24"/>
        </w:rPr>
        <w:t xml:space="preserve">‘Teaching and learning in diverse and inclusive classroom’. </w:t>
      </w:r>
      <w:r w:rsidRPr="00151544">
        <w:rPr>
          <w:rFonts w:ascii="Times New Roman" w:eastAsiaTheme="minorHAnsi" w:hAnsi="Times New Roman" w:cs="Times New Roman"/>
          <w:sz w:val="24"/>
          <w:szCs w:val="24"/>
        </w:rPr>
        <w:t>2</w:t>
      </w:r>
      <w:r w:rsidRPr="00151544">
        <w:rPr>
          <w:rFonts w:ascii="Times New Roman" w:eastAsiaTheme="minorHAnsi" w:hAnsi="Times New Roman" w:cs="Times New Roman"/>
          <w:sz w:val="24"/>
          <w:szCs w:val="24"/>
          <w:vertAlign w:val="superscript"/>
        </w:rPr>
        <w:t>nd</w:t>
      </w:r>
      <w:r w:rsidRPr="00151544">
        <w:rPr>
          <w:rFonts w:ascii="Times New Roman" w:eastAsiaTheme="minorHAnsi" w:hAnsi="Times New Roman" w:cs="Times New Roman"/>
          <w:sz w:val="24"/>
          <w:szCs w:val="24"/>
        </w:rPr>
        <w:t xml:space="preserve"> edn. Routledge Taylor and Francis Group.</w:t>
      </w:r>
      <w:r w:rsidRPr="00151544">
        <w:rPr>
          <w:rFonts w:ascii="Times New Roman" w:eastAsiaTheme="minorHAnsi" w:hAnsi="Times New Roman" w:cs="Times New Roman"/>
          <w:i/>
          <w:sz w:val="24"/>
          <w:szCs w:val="24"/>
        </w:rPr>
        <w:t xml:space="preserve"> </w:t>
      </w:r>
    </w:p>
    <w:p w14:paraId="24DD63AD" w14:textId="77777777" w:rsidR="00151544" w:rsidRPr="00151544" w:rsidRDefault="00151544" w:rsidP="00151544">
      <w:pPr>
        <w:suppressAutoHyphens w:val="0"/>
        <w:autoSpaceDN/>
        <w:spacing w:line="276" w:lineRule="auto"/>
        <w:jc w:val="both"/>
        <w:textAlignment w:val="auto"/>
        <w:rPr>
          <w:rFonts w:ascii="Times New Roman" w:eastAsiaTheme="minorHAnsi" w:hAnsi="Times New Roman" w:cs="Times New Roman"/>
          <w:i/>
          <w:sz w:val="24"/>
          <w:szCs w:val="24"/>
        </w:rPr>
      </w:pPr>
      <w:r w:rsidRPr="00151544">
        <w:rPr>
          <w:rFonts w:ascii="Times New Roman" w:eastAsiaTheme="minorHAnsi" w:hAnsi="Times New Roman" w:cs="Times New Roman"/>
          <w:sz w:val="24"/>
          <w:szCs w:val="24"/>
        </w:rPr>
        <w:t xml:space="preserve">Frederickson, N &amp; Cline, T. (2015) </w:t>
      </w:r>
      <w:r w:rsidRPr="00151544">
        <w:rPr>
          <w:rFonts w:ascii="Times New Roman" w:eastAsiaTheme="minorHAnsi" w:hAnsi="Times New Roman" w:cs="Times New Roman"/>
          <w:i/>
          <w:sz w:val="24"/>
          <w:szCs w:val="24"/>
        </w:rPr>
        <w:t xml:space="preserve">‘Special Educational Needs, Inclusion and Diversity’. </w:t>
      </w:r>
      <w:r w:rsidRPr="00151544">
        <w:rPr>
          <w:rFonts w:ascii="Times New Roman" w:eastAsiaTheme="minorHAnsi" w:hAnsi="Times New Roman" w:cs="Times New Roman"/>
          <w:sz w:val="24"/>
          <w:szCs w:val="24"/>
        </w:rPr>
        <w:t xml:space="preserve">3rd edn. Open University press, McGraw- Hill education. </w:t>
      </w:r>
    </w:p>
    <w:p w14:paraId="5C45AE7A" w14:textId="77777777" w:rsidR="00151544" w:rsidRPr="00151544" w:rsidRDefault="00151544" w:rsidP="00151544">
      <w:pPr>
        <w:suppressAutoHyphens w:val="0"/>
        <w:autoSpaceDN/>
        <w:spacing w:line="276" w:lineRule="auto"/>
        <w:jc w:val="both"/>
        <w:textAlignment w:val="auto"/>
        <w:rPr>
          <w:rFonts w:ascii="Times New Roman" w:eastAsiaTheme="minorHAnsi" w:hAnsi="Times New Roman" w:cs="Times New Roman"/>
          <w:sz w:val="24"/>
          <w:szCs w:val="24"/>
        </w:rPr>
      </w:pPr>
      <w:r w:rsidRPr="00151544">
        <w:rPr>
          <w:rFonts w:ascii="Times New Roman" w:eastAsiaTheme="minorHAnsi" w:hAnsi="Times New Roman" w:cs="Times New Roman"/>
          <w:sz w:val="24"/>
          <w:szCs w:val="24"/>
        </w:rPr>
        <w:t xml:space="preserve">Hayward, A. (2006) </w:t>
      </w:r>
      <w:r w:rsidRPr="00151544">
        <w:rPr>
          <w:rFonts w:ascii="Times New Roman" w:eastAsiaTheme="minorHAnsi" w:hAnsi="Times New Roman" w:cs="Times New Roman"/>
          <w:i/>
          <w:sz w:val="24"/>
          <w:szCs w:val="24"/>
        </w:rPr>
        <w:t>‘Making inclusion happen, a practical guide’.</w:t>
      </w:r>
    </w:p>
    <w:p w14:paraId="784354DC" w14:textId="77777777" w:rsidR="00151544" w:rsidRPr="00151544" w:rsidRDefault="00151544" w:rsidP="00151544">
      <w:pPr>
        <w:suppressAutoHyphens w:val="0"/>
        <w:autoSpaceDN/>
        <w:spacing w:line="276" w:lineRule="auto"/>
        <w:jc w:val="both"/>
        <w:textAlignment w:val="auto"/>
        <w:rPr>
          <w:rFonts w:ascii="Times New Roman" w:eastAsiaTheme="minorHAnsi" w:hAnsi="Times New Roman" w:cs="Times New Roman"/>
          <w:i/>
          <w:sz w:val="24"/>
          <w:szCs w:val="24"/>
        </w:rPr>
      </w:pPr>
      <w:hyperlink r:id="rId7" w:history="1">
        <w:r w:rsidRPr="00151544">
          <w:rPr>
            <w:rFonts w:ascii="Times New Roman" w:eastAsiaTheme="minorHAnsi" w:hAnsi="Times New Roman" w:cs="Times New Roman"/>
            <w:color w:val="0563C1" w:themeColor="hyperlink"/>
            <w:sz w:val="24"/>
            <w:szCs w:val="24"/>
            <w:u w:val="single"/>
          </w:rPr>
          <w:t>https://assets.publishing.service.gov.uk/government/uploads/system/uploads/attachment_data/file/398815/SEND_Code_of_Practice_January_2015.pdf</w:t>
        </w:r>
      </w:hyperlink>
      <w:r w:rsidRPr="00151544">
        <w:rPr>
          <w:rFonts w:ascii="Times New Roman" w:eastAsiaTheme="minorHAnsi" w:hAnsi="Times New Roman" w:cs="Times New Roman"/>
          <w:sz w:val="24"/>
          <w:szCs w:val="24"/>
        </w:rPr>
        <w:t xml:space="preserve"> para. 6.37. (accessed 16</w:t>
      </w:r>
      <w:r w:rsidRPr="00151544">
        <w:rPr>
          <w:rFonts w:ascii="Times New Roman" w:eastAsiaTheme="minorHAnsi" w:hAnsi="Times New Roman" w:cs="Times New Roman"/>
          <w:sz w:val="24"/>
          <w:szCs w:val="24"/>
          <w:vertAlign w:val="superscript"/>
        </w:rPr>
        <w:t>th</w:t>
      </w:r>
      <w:r w:rsidRPr="00151544">
        <w:rPr>
          <w:rFonts w:ascii="Times New Roman" w:eastAsiaTheme="minorHAnsi" w:hAnsi="Times New Roman" w:cs="Times New Roman"/>
          <w:sz w:val="24"/>
          <w:szCs w:val="24"/>
        </w:rPr>
        <w:t xml:space="preserve"> October 2018).</w:t>
      </w:r>
    </w:p>
    <w:p w14:paraId="4A1B7442" w14:textId="77777777" w:rsidR="00151544" w:rsidRPr="00151544" w:rsidRDefault="00151544" w:rsidP="00151544">
      <w:pPr>
        <w:suppressAutoHyphens w:val="0"/>
        <w:autoSpaceDN/>
        <w:spacing w:line="259" w:lineRule="auto"/>
        <w:textAlignment w:val="auto"/>
        <w:rPr>
          <w:rFonts w:ascii="Calibri Light" w:eastAsiaTheme="minorHAnsi" w:hAnsi="Calibri Light" w:cstheme="minorBidi"/>
          <w:sz w:val="28"/>
          <w:szCs w:val="28"/>
        </w:rPr>
      </w:pPr>
      <w:r w:rsidRPr="00151544">
        <w:rPr>
          <w:rFonts w:ascii="Times New Roman" w:eastAsiaTheme="minorHAnsi" w:hAnsi="Times New Roman" w:cs="Times New Roman"/>
          <w:sz w:val="24"/>
          <w:szCs w:val="24"/>
        </w:rPr>
        <w:t xml:space="preserve">Mackenzie, S. (2011) ‘Yes, but….’: rhetoric, reality and resistance in teaching assistants’ experiences of inclusive education’, </w:t>
      </w:r>
      <w:r w:rsidRPr="00151544">
        <w:rPr>
          <w:rFonts w:ascii="Times New Roman" w:eastAsiaTheme="minorHAnsi" w:hAnsi="Times New Roman" w:cs="Times New Roman"/>
          <w:i/>
          <w:sz w:val="24"/>
          <w:szCs w:val="24"/>
        </w:rPr>
        <w:t>support for learning</w:t>
      </w:r>
      <w:r w:rsidRPr="00151544">
        <w:rPr>
          <w:rFonts w:ascii="Times New Roman" w:eastAsiaTheme="minorHAnsi" w:hAnsi="Times New Roman" w:cs="Times New Roman"/>
          <w:sz w:val="24"/>
          <w:szCs w:val="24"/>
        </w:rPr>
        <w:t>, pp. 64-72.</w:t>
      </w:r>
    </w:p>
    <w:p w14:paraId="3D7EB5FB" w14:textId="77777777" w:rsidR="00151544" w:rsidRDefault="00151544" w:rsidP="00883FB5">
      <w:pPr>
        <w:suppressAutoHyphens w:val="0"/>
        <w:autoSpaceDN/>
        <w:spacing w:before="30" w:after="200" w:line="276" w:lineRule="auto"/>
        <w:jc w:val="both"/>
        <w:textAlignment w:val="auto"/>
        <w:rPr>
          <w:rFonts w:ascii="Times New Roman" w:eastAsiaTheme="minorEastAsia" w:hAnsi="Times New Roman" w:cs="Times New Roman"/>
          <w:sz w:val="24"/>
          <w:szCs w:val="24"/>
        </w:rPr>
      </w:pPr>
    </w:p>
    <w:p w14:paraId="342C8BBC" w14:textId="77777777" w:rsidR="00883FB5" w:rsidRDefault="00883FB5" w:rsidP="00425C58">
      <w:pPr>
        <w:suppressAutoHyphens w:val="0"/>
        <w:autoSpaceDN/>
        <w:spacing w:before="30" w:after="200" w:line="288" w:lineRule="auto"/>
        <w:textAlignment w:val="auto"/>
        <w:rPr>
          <w:rFonts w:ascii="Times New Roman" w:eastAsiaTheme="minorEastAsia" w:hAnsi="Times New Roman" w:cs="Times New Roman"/>
          <w:sz w:val="24"/>
          <w:szCs w:val="24"/>
        </w:rPr>
      </w:pPr>
      <w:r>
        <w:rPr>
          <w:rFonts w:ascii="Times New Roman" w:eastAsiaTheme="minorEastAsia" w:hAnsi="Times New Roman" w:cs="Times New Roman"/>
          <w:sz w:val="24"/>
          <w:szCs w:val="24"/>
        </w:rPr>
        <w:tab/>
      </w:r>
    </w:p>
    <w:p w14:paraId="2BF989A2" w14:textId="77777777" w:rsidR="00872AA4" w:rsidRPr="00425C58" w:rsidRDefault="00872AA4" w:rsidP="00425C58">
      <w:pPr>
        <w:suppressAutoHyphens w:val="0"/>
        <w:autoSpaceDN/>
        <w:spacing w:before="30" w:after="200" w:line="288" w:lineRule="auto"/>
        <w:textAlignment w:val="auto"/>
        <w:rPr>
          <w:rFonts w:ascii="Times New Roman" w:eastAsiaTheme="minorEastAsia" w:hAnsi="Times New Roman" w:cs="Times New Roman"/>
          <w:sz w:val="24"/>
          <w:szCs w:val="24"/>
        </w:rPr>
      </w:pPr>
      <w:r>
        <w:rPr>
          <w:rFonts w:ascii="Times New Roman" w:eastAsiaTheme="minorEastAsia" w:hAnsi="Times New Roman" w:cs="Times New Roman"/>
          <w:sz w:val="24"/>
          <w:szCs w:val="24"/>
        </w:rPr>
        <w:tab/>
      </w:r>
    </w:p>
    <w:p w14:paraId="1F21D9A1" w14:textId="77777777" w:rsidR="00927303" w:rsidRDefault="00927303" w:rsidP="00927303">
      <w:pPr>
        <w:spacing w:line="276" w:lineRule="auto"/>
        <w:jc w:val="both"/>
        <w:rPr>
          <w:rFonts w:ascii="Times New Roman" w:eastAsia="MS Gothic" w:hAnsi="Times New Roman" w:cs="Times New Roman"/>
          <w:sz w:val="24"/>
          <w:szCs w:val="24"/>
        </w:rPr>
      </w:pPr>
    </w:p>
    <w:p w14:paraId="70A6BDCB" w14:textId="77777777" w:rsidR="00705A4F" w:rsidRPr="00927303" w:rsidRDefault="00D2005C" w:rsidP="00927303">
      <w:pPr>
        <w:spacing w:line="276" w:lineRule="auto"/>
        <w:jc w:val="both"/>
        <w:rPr>
          <w:rFonts w:ascii="Times New Roman" w:hAnsi="Times New Roman" w:cs="Times New Roman"/>
          <w:sz w:val="24"/>
          <w:szCs w:val="24"/>
        </w:rPr>
      </w:pPr>
      <w:r w:rsidRPr="00927303">
        <w:rPr>
          <w:rFonts w:ascii="Times New Roman" w:eastAsia="MS Gothic" w:hAnsi="Times New Roman" w:cs="Times New Roman"/>
          <w:sz w:val="24"/>
          <w:szCs w:val="24"/>
        </w:rPr>
        <w:t xml:space="preserve"> </w:t>
      </w:r>
    </w:p>
    <w:p w14:paraId="47CBF973" w14:textId="77777777" w:rsidR="00705A4F" w:rsidRPr="00927303" w:rsidRDefault="00705A4F" w:rsidP="00927303">
      <w:pPr>
        <w:spacing w:line="276" w:lineRule="auto"/>
        <w:jc w:val="both"/>
        <w:rPr>
          <w:rFonts w:ascii="Times New Roman" w:eastAsia="MS Gothic" w:hAnsi="Times New Roman" w:cs="Times New Roman"/>
          <w:sz w:val="24"/>
          <w:szCs w:val="24"/>
        </w:rPr>
      </w:pPr>
    </w:p>
    <w:p w14:paraId="772D8F69" w14:textId="77777777" w:rsidR="00705A4F" w:rsidRPr="00927303" w:rsidRDefault="00705A4F" w:rsidP="00927303">
      <w:pPr>
        <w:spacing w:line="276" w:lineRule="auto"/>
        <w:jc w:val="both"/>
        <w:rPr>
          <w:rFonts w:ascii="Times New Roman" w:hAnsi="Times New Roman" w:cs="Times New Roman"/>
          <w:sz w:val="24"/>
          <w:szCs w:val="24"/>
        </w:rPr>
      </w:pPr>
    </w:p>
    <w:p w14:paraId="29E398CC" w14:textId="77777777" w:rsidR="00705A4F" w:rsidRPr="00927303" w:rsidRDefault="00705A4F" w:rsidP="00927303">
      <w:pPr>
        <w:spacing w:line="276" w:lineRule="auto"/>
        <w:jc w:val="both"/>
        <w:rPr>
          <w:rFonts w:ascii="Times New Roman" w:hAnsi="Times New Roman" w:cs="Times New Roman"/>
          <w:sz w:val="24"/>
          <w:szCs w:val="24"/>
        </w:rPr>
      </w:pPr>
    </w:p>
    <w:p w14:paraId="1B698215" w14:textId="77777777" w:rsidR="00705A4F" w:rsidRPr="00927303" w:rsidRDefault="00705A4F" w:rsidP="00927303">
      <w:pPr>
        <w:spacing w:line="276" w:lineRule="auto"/>
        <w:jc w:val="both"/>
        <w:rPr>
          <w:rFonts w:ascii="Times New Roman" w:hAnsi="Times New Roman" w:cs="Times New Roman"/>
          <w:sz w:val="24"/>
          <w:szCs w:val="24"/>
        </w:rPr>
      </w:pPr>
    </w:p>
    <w:sectPr w:rsidR="00705A4F" w:rsidRPr="00927303">
      <w:pgSz w:w="11906" w:h="16838"/>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02B0F43" w14:textId="77777777" w:rsidR="00335CD1" w:rsidRDefault="00335CD1">
      <w:pPr>
        <w:spacing w:after="0" w:line="240" w:lineRule="auto"/>
      </w:pPr>
      <w:r>
        <w:separator/>
      </w:r>
    </w:p>
  </w:endnote>
  <w:endnote w:type="continuationSeparator" w:id="0">
    <w:p w14:paraId="10054C1A" w14:textId="77777777" w:rsidR="00335CD1" w:rsidRDefault="00335CD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OpenSymbol">
    <w:altName w:val="Helsinki"/>
    <w:panose1 w:val="05010000000000000000"/>
    <w:charset w:val="00"/>
    <w:family w:val="auto"/>
    <w:pitch w:val="variable"/>
    <w:sig w:usb0="800000AF" w:usb1="1001ECEA" w:usb2="00000000" w:usb3="00000000" w:csb0="00000001" w:csb1="00000000"/>
  </w:font>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Yu Mincho">
    <w:altName w:val="游明朝"/>
    <w:charset w:val="80"/>
    <w:family w:val="roman"/>
    <w:pitch w:val="variable"/>
    <w:sig w:usb0="800002E7" w:usb1="2AC7FCFF" w:usb2="00000012" w:usb3="00000000" w:csb0="0002009F" w:csb1="00000000"/>
  </w:font>
  <w:font w:name="Calibri Light">
    <w:panose1 w:val="020F0302020204030204"/>
    <w:charset w:val="00"/>
    <w:family w:val="swiss"/>
    <w:pitch w:val="variable"/>
    <w:sig w:usb0="A00002EF" w:usb1="4000207B" w:usb2="00000000" w:usb3="00000000" w:csb0="0000019F" w:csb1="00000000"/>
  </w:font>
  <w:font w:name="Yu Gothic Light">
    <w:altName w:val="游ゴシック Light"/>
    <w:panose1 w:val="020B0300000000000000"/>
    <w:charset w:val="80"/>
    <w:family w:val="swiss"/>
    <w:pitch w:val="variable"/>
    <w:sig w:usb0="E00002FF" w:usb1="2AC7FDFF" w:usb2="00000016"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9B02D68" w14:textId="77777777" w:rsidR="00335CD1" w:rsidRDefault="00335CD1">
      <w:pPr>
        <w:spacing w:after="0" w:line="240" w:lineRule="auto"/>
      </w:pPr>
      <w:r>
        <w:rPr>
          <w:color w:val="000000"/>
        </w:rPr>
        <w:separator/>
      </w:r>
    </w:p>
  </w:footnote>
  <w:footnote w:type="continuationSeparator" w:id="0">
    <w:p w14:paraId="19DEABB3" w14:textId="77777777" w:rsidR="00335CD1" w:rsidRDefault="00335CD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3E1F70"/>
    <w:multiLevelType w:val="multilevel"/>
    <w:tmpl w:val="9796F9DE"/>
    <w:lvl w:ilvl="0">
      <w:numFmt w:val="bullet"/>
      <w:lvlText w:val="•"/>
      <w:lvlJc w:val="left"/>
      <w:pPr>
        <w:ind w:left="910" w:hanging="360"/>
      </w:pPr>
      <w:rPr>
        <w:rFonts w:ascii="OpenSymbol" w:eastAsia="OpenSymbol" w:hAnsi="OpenSymbol" w:cs="OpenSymbol"/>
      </w:rPr>
    </w:lvl>
    <w:lvl w:ilvl="1">
      <w:numFmt w:val="bullet"/>
      <w:lvlText w:val="◦"/>
      <w:lvlJc w:val="left"/>
      <w:pPr>
        <w:ind w:left="1270" w:hanging="360"/>
      </w:pPr>
      <w:rPr>
        <w:rFonts w:ascii="OpenSymbol" w:eastAsia="OpenSymbol" w:hAnsi="OpenSymbol" w:cs="OpenSymbol"/>
      </w:rPr>
    </w:lvl>
    <w:lvl w:ilvl="2">
      <w:numFmt w:val="bullet"/>
      <w:lvlText w:val="▪"/>
      <w:lvlJc w:val="left"/>
      <w:pPr>
        <w:ind w:left="1630" w:hanging="360"/>
      </w:pPr>
      <w:rPr>
        <w:rFonts w:ascii="OpenSymbol" w:eastAsia="OpenSymbol" w:hAnsi="OpenSymbol" w:cs="OpenSymbol"/>
      </w:rPr>
    </w:lvl>
    <w:lvl w:ilvl="3">
      <w:numFmt w:val="bullet"/>
      <w:lvlText w:val="•"/>
      <w:lvlJc w:val="left"/>
      <w:pPr>
        <w:ind w:left="1990" w:hanging="360"/>
      </w:pPr>
      <w:rPr>
        <w:rFonts w:ascii="OpenSymbol" w:eastAsia="OpenSymbol" w:hAnsi="OpenSymbol" w:cs="OpenSymbol"/>
      </w:rPr>
    </w:lvl>
    <w:lvl w:ilvl="4">
      <w:numFmt w:val="bullet"/>
      <w:lvlText w:val="◦"/>
      <w:lvlJc w:val="left"/>
      <w:pPr>
        <w:ind w:left="2350" w:hanging="360"/>
      </w:pPr>
      <w:rPr>
        <w:rFonts w:ascii="OpenSymbol" w:eastAsia="OpenSymbol" w:hAnsi="OpenSymbol" w:cs="OpenSymbol"/>
      </w:rPr>
    </w:lvl>
    <w:lvl w:ilvl="5">
      <w:numFmt w:val="bullet"/>
      <w:lvlText w:val="▪"/>
      <w:lvlJc w:val="left"/>
      <w:pPr>
        <w:ind w:left="2710" w:hanging="360"/>
      </w:pPr>
      <w:rPr>
        <w:rFonts w:ascii="OpenSymbol" w:eastAsia="OpenSymbol" w:hAnsi="OpenSymbol" w:cs="OpenSymbol"/>
      </w:rPr>
    </w:lvl>
    <w:lvl w:ilvl="6">
      <w:numFmt w:val="bullet"/>
      <w:lvlText w:val="•"/>
      <w:lvlJc w:val="left"/>
      <w:pPr>
        <w:ind w:left="3070" w:hanging="360"/>
      </w:pPr>
      <w:rPr>
        <w:rFonts w:ascii="OpenSymbol" w:eastAsia="OpenSymbol" w:hAnsi="OpenSymbol" w:cs="OpenSymbol"/>
      </w:rPr>
    </w:lvl>
    <w:lvl w:ilvl="7">
      <w:numFmt w:val="bullet"/>
      <w:lvlText w:val="◦"/>
      <w:lvlJc w:val="left"/>
      <w:pPr>
        <w:ind w:left="3430" w:hanging="360"/>
      </w:pPr>
      <w:rPr>
        <w:rFonts w:ascii="OpenSymbol" w:eastAsia="OpenSymbol" w:hAnsi="OpenSymbol" w:cs="OpenSymbol"/>
      </w:rPr>
    </w:lvl>
    <w:lvl w:ilvl="8">
      <w:numFmt w:val="bullet"/>
      <w:lvlText w:val="▪"/>
      <w:lvlJc w:val="left"/>
      <w:pPr>
        <w:ind w:left="3790" w:hanging="360"/>
      </w:pPr>
      <w:rPr>
        <w:rFonts w:ascii="OpenSymbol" w:eastAsia="OpenSymbol" w:hAnsi="OpenSymbol" w:cs="OpenSymbol"/>
      </w:rPr>
    </w:lvl>
  </w:abstractNum>
  <w:abstractNum w:abstractNumId="1" w15:restartNumberingAfterBreak="0">
    <w:nsid w:val="1DCD6624"/>
    <w:multiLevelType w:val="multilevel"/>
    <w:tmpl w:val="7954F112"/>
    <w:lvl w:ilvl="0">
      <w:start w:val="1"/>
      <w:numFmt w:val="decimal"/>
      <w:lvlText w:val="%1."/>
      <w:lvlJc w:val="left"/>
      <w:pPr>
        <w:ind w:left="720" w:hanging="360"/>
      </w:pPr>
    </w:lvl>
    <w:lvl w:ilvl="1">
      <w:start w:val="5"/>
      <w:numFmt w:val="decimal"/>
      <w:lvlText w:val="%2)"/>
      <w:lvlJc w:val="left"/>
      <w:pPr>
        <w:ind w:left="1080" w:hanging="360"/>
      </w:pPr>
    </w:lvl>
    <w:lvl w:ilvl="2">
      <w:start w:val="1"/>
      <w:numFmt w:val="decimal"/>
      <w:lvlText w:val="%3."/>
      <w:lvlJc w:val="left"/>
      <w:pPr>
        <w:ind w:left="1440" w:hanging="360"/>
      </w:pPr>
    </w:lvl>
    <w:lvl w:ilvl="3">
      <w:start w:val="1"/>
      <w:numFmt w:val="decimal"/>
      <w:lvlText w:val="%4."/>
      <w:lvlJc w:val="left"/>
      <w:pPr>
        <w:ind w:left="1800" w:hanging="360"/>
      </w:pPr>
    </w:lvl>
    <w:lvl w:ilvl="4">
      <w:start w:val="1"/>
      <w:numFmt w:val="decimal"/>
      <w:lvlText w:val="%5."/>
      <w:lvlJc w:val="left"/>
      <w:pPr>
        <w:ind w:left="2160" w:hanging="360"/>
      </w:pPr>
    </w:lvl>
    <w:lvl w:ilvl="5">
      <w:start w:val="1"/>
      <w:numFmt w:val="decimal"/>
      <w:lvlText w:val="%6."/>
      <w:lvlJc w:val="left"/>
      <w:pPr>
        <w:ind w:left="2520" w:hanging="360"/>
      </w:pPr>
    </w:lvl>
    <w:lvl w:ilvl="6">
      <w:start w:val="1"/>
      <w:numFmt w:val="decimal"/>
      <w:lvlText w:val="%7."/>
      <w:lvlJc w:val="left"/>
      <w:pPr>
        <w:ind w:left="2880" w:hanging="360"/>
      </w:pPr>
    </w:lvl>
    <w:lvl w:ilvl="7">
      <w:start w:val="1"/>
      <w:numFmt w:val="decimal"/>
      <w:lvlText w:val="%8."/>
      <w:lvlJc w:val="left"/>
      <w:pPr>
        <w:ind w:left="3240" w:hanging="360"/>
      </w:pPr>
    </w:lvl>
    <w:lvl w:ilvl="8">
      <w:start w:val="1"/>
      <w:numFmt w:val="decimal"/>
      <w:lvlText w:val="%9."/>
      <w:lvlJc w:val="left"/>
      <w:pPr>
        <w:ind w:left="3600" w:hanging="360"/>
      </w:pPr>
    </w:lvl>
  </w:abstractNum>
  <w:abstractNum w:abstractNumId="2" w15:restartNumberingAfterBreak="0">
    <w:nsid w:val="205C20F4"/>
    <w:multiLevelType w:val="multilevel"/>
    <w:tmpl w:val="C6A8B634"/>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3" w15:restartNumberingAfterBreak="0">
    <w:nsid w:val="5B190867"/>
    <w:multiLevelType w:val="multilevel"/>
    <w:tmpl w:val="32A8A1FE"/>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rPr>
    </w:lvl>
    <w:lvl w:ilvl="8">
      <w:numFmt w:val="bullet"/>
      <w:lvlText w:val=""/>
      <w:lvlJc w:val="left"/>
      <w:pPr>
        <w:ind w:left="6480" w:hanging="360"/>
      </w:pPr>
      <w:rPr>
        <w:rFonts w:ascii="Wingdings" w:hAnsi="Wingdings"/>
      </w:rPr>
    </w:lvl>
  </w:abstractNum>
  <w:num w:numId="1">
    <w:abstractNumId w:val="3"/>
  </w:num>
  <w:num w:numId="2">
    <w:abstractNumId w:val="1"/>
  </w:num>
  <w:num w:numId="3">
    <w:abstractNumId w:val="0"/>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8"/>
  <w:proofState w:spelling="clean" w:grammar="clean"/>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05A4F"/>
    <w:rsid w:val="0000733B"/>
    <w:rsid w:val="00042E12"/>
    <w:rsid w:val="000559EB"/>
    <w:rsid w:val="00105F7A"/>
    <w:rsid w:val="00151544"/>
    <w:rsid w:val="002107FA"/>
    <w:rsid w:val="00212955"/>
    <w:rsid w:val="00292D19"/>
    <w:rsid w:val="003129CE"/>
    <w:rsid w:val="00323A40"/>
    <w:rsid w:val="00324D13"/>
    <w:rsid w:val="003270AD"/>
    <w:rsid w:val="00335CD1"/>
    <w:rsid w:val="00360F95"/>
    <w:rsid w:val="00375763"/>
    <w:rsid w:val="0039173E"/>
    <w:rsid w:val="003A32AC"/>
    <w:rsid w:val="004224B5"/>
    <w:rsid w:val="00425C58"/>
    <w:rsid w:val="00446A01"/>
    <w:rsid w:val="00457797"/>
    <w:rsid w:val="00474D59"/>
    <w:rsid w:val="00476D78"/>
    <w:rsid w:val="004C1021"/>
    <w:rsid w:val="004F506E"/>
    <w:rsid w:val="00587813"/>
    <w:rsid w:val="005A6000"/>
    <w:rsid w:val="005D1E04"/>
    <w:rsid w:val="005E1BF1"/>
    <w:rsid w:val="005F634A"/>
    <w:rsid w:val="005F7B5E"/>
    <w:rsid w:val="00627B47"/>
    <w:rsid w:val="0069432F"/>
    <w:rsid w:val="00705A4F"/>
    <w:rsid w:val="00716A0E"/>
    <w:rsid w:val="00741F3A"/>
    <w:rsid w:val="007D2E20"/>
    <w:rsid w:val="007F0B98"/>
    <w:rsid w:val="007F1AEE"/>
    <w:rsid w:val="00824DBD"/>
    <w:rsid w:val="00835847"/>
    <w:rsid w:val="00872AA4"/>
    <w:rsid w:val="00883FB5"/>
    <w:rsid w:val="008D06AE"/>
    <w:rsid w:val="008D5BC7"/>
    <w:rsid w:val="008D73C7"/>
    <w:rsid w:val="008E72CB"/>
    <w:rsid w:val="00912024"/>
    <w:rsid w:val="00922C6D"/>
    <w:rsid w:val="00927303"/>
    <w:rsid w:val="009471A5"/>
    <w:rsid w:val="0096093F"/>
    <w:rsid w:val="009A08D5"/>
    <w:rsid w:val="009D55A1"/>
    <w:rsid w:val="00A27675"/>
    <w:rsid w:val="00A328B1"/>
    <w:rsid w:val="00A80A69"/>
    <w:rsid w:val="00A87D4C"/>
    <w:rsid w:val="00A97D57"/>
    <w:rsid w:val="00AF42A0"/>
    <w:rsid w:val="00B149E9"/>
    <w:rsid w:val="00B458B3"/>
    <w:rsid w:val="00B516AE"/>
    <w:rsid w:val="00B71E6C"/>
    <w:rsid w:val="00BB1CA7"/>
    <w:rsid w:val="00BE0020"/>
    <w:rsid w:val="00C704D1"/>
    <w:rsid w:val="00D1122B"/>
    <w:rsid w:val="00D2005C"/>
    <w:rsid w:val="00D52C63"/>
    <w:rsid w:val="00D756DB"/>
    <w:rsid w:val="00D76AAA"/>
    <w:rsid w:val="00DA68EF"/>
    <w:rsid w:val="00DD21C7"/>
    <w:rsid w:val="00E01B15"/>
    <w:rsid w:val="00E137F1"/>
    <w:rsid w:val="00E52D8E"/>
    <w:rsid w:val="00EB3940"/>
    <w:rsid w:val="00ED2817"/>
    <w:rsid w:val="00F11054"/>
    <w:rsid w:val="00F93FBC"/>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0C6CCB12"/>
  <w15:docId w15:val="{D9123FA8-F93B-4C02-BD57-3ED8B317F9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alibri" w:eastAsia="Calibri" w:hAnsi="Calibri" w:cs="Arial"/>
        <w:sz w:val="22"/>
        <w:szCs w:val="22"/>
        <w:lang w:val="en-GB" w:eastAsia="en-US" w:bidi="ar-SA"/>
      </w:rPr>
    </w:rPrDefault>
    <w:pPrDefault>
      <w:pPr>
        <w:autoSpaceDN w:val="0"/>
        <w:spacing w:after="160" w:line="254" w:lineRule="auto"/>
        <w:textAlignment w:val="baseline"/>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Light" w:semiHidden="1" w:unhideWhenUsed="1"/>
    <w:lsdException w:name="Grid Table 1 Light" w:semiHidden="1" w:unhideWhenUsed="1"/>
    <w:lsdException w:name="Grid Table 2" w:semiHidden="1" w:unhideWhenUsed="1"/>
    <w:lsdException w:name="Grid Table 3" w:semiHidden="1" w:unhideWhenUsed="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pPr>
      <w:suppressAutoHyphens/>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tandard">
    <w:name w:val="Standard"/>
  </w:style>
  <w:style w:type="paragraph" w:styleId="ListParagraph">
    <w:name w:val="List Paragraph"/>
    <w:basedOn w:val="Normal"/>
    <w:pPr>
      <w:ind w:left="720"/>
    </w:pPr>
  </w:style>
  <w:style w:type="character" w:customStyle="1" w:styleId="NumberingSymbols">
    <w:name w:val="Numbering Symbols"/>
  </w:style>
  <w:style w:type="character" w:customStyle="1" w:styleId="BulletSymbols">
    <w:name w:val="Bullet Symbols"/>
    <w:rPr>
      <w:rFonts w:ascii="OpenSymbol" w:eastAsia="OpenSymbol" w:hAnsi="OpenSymbol" w:cs="OpenSymbo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assets.publishing.service.gov.uk/government/uploads/system/uploads/attachment_data/file/398815/SEND_Code_of_Practice_January_2015.pdf"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5</Pages>
  <Words>2024</Words>
  <Characters>11541</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13538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Patricia Duffy (1804766)</dc:creator>
  <dc:description/>
  <cp:lastModifiedBy>Patricia Duffy</cp:lastModifiedBy>
  <cp:revision>2</cp:revision>
  <dcterms:created xsi:type="dcterms:W3CDTF">2018-10-16T23:31:00Z</dcterms:created>
  <dcterms:modified xsi:type="dcterms:W3CDTF">2018-10-16T23:31:00Z</dcterms:modified>
</cp:coreProperties>
</file>