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45C9" w:rsidRDefault="00E245C9" w:rsidP="00246E76">
      <w:pPr>
        <w:rPr>
          <w:b/>
          <w:bCs/>
          <w:sz w:val="32"/>
          <w:szCs w:val="28"/>
        </w:rPr>
      </w:pPr>
    </w:p>
    <w:p w:rsidR="00E245C9" w:rsidRDefault="00246E76" w:rsidP="00E245C9">
      <w:pPr>
        <w:jc w:val="center"/>
        <w:rPr>
          <w:b/>
          <w:bCs/>
          <w:sz w:val="32"/>
          <w:szCs w:val="28"/>
        </w:rPr>
      </w:pPr>
      <w:r w:rsidRPr="00414E00">
        <w:rPr>
          <w:noProof/>
          <w:sz w:val="28"/>
          <w:szCs w:val="24"/>
          <w:lang w:val="en-GB" w:eastAsia="en-GB"/>
        </w:rPr>
        <w:drawing>
          <wp:inline distT="0" distB="0" distL="0" distR="0">
            <wp:extent cx="3381375" cy="1352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381375" cy="1352550"/>
                    </a:xfrm>
                    <a:prstGeom prst="rect">
                      <a:avLst/>
                    </a:prstGeom>
                    <a:noFill/>
                  </pic:spPr>
                </pic:pic>
              </a:graphicData>
            </a:graphic>
          </wp:inline>
        </w:drawing>
      </w:r>
    </w:p>
    <w:p w:rsidR="00A551D1" w:rsidRPr="00414E00" w:rsidRDefault="00A551D1" w:rsidP="00A551D1">
      <w:pPr>
        <w:jc w:val="center"/>
        <w:rPr>
          <w:sz w:val="28"/>
          <w:szCs w:val="24"/>
          <w:lang w:val="en-GB"/>
        </w:rPr>
      </w:pPr>
      <w:r w:rsidRPr="004C60A0">
        <w:rPr>
          <w:sz w:val="28"/>
          <w:szCs w:val="24"/>
          <w:lang w:val="en-GB"/>
        </w:rPr>
        <w:fldChar w:fldCharType="begin"/>
      </w:r>
      <w:r w:rsidRPr="00414E00">
        <w:rPr>
          <w:sz w:val="28"/>
          <w:szCs w:val="24"/>
          <w:lang w:val="en-GB"/>
        </w:rPr>
        <w:instrText xml:space="preserve"> INCLUDEPICTURE "C:\\Users\\AzZedin01\\Library\\Group Containers\\UBF8T346G9.ms\\WebArchiveCopyPasteTempFiles\\com.microsoft.Word\\8P2xdp3q1g646AAAAAElFTkSuQmCC" \* MERGEFORMAT </w:instrText>
      </w:r>
      <w:r w:rsidRPr="00414E00">
        <w:rPr>
          <w:sz w:val="28"/>
          <w:szCs w:val="24"/>
        </w:rPr>
        <w:fldChar w:fldCharType="end"/>
      </w:r>
    </w:p>
    <w:p w:rsidR="00A551D1" w:rsidRPr="00CF3101" w:rsidRDefault="00A551D1" w:rsidP="00A551D1">
      <w:pPr>
        <w:rPr>
          <w:rFonts w:cs="Arial"/>
          <w:sz w:val="32"/>
          <w:szCs w:val="32"/>
        </w:rPr>
      </w:pPr>
    </w:p>
    <w:p w:rsidR="00A551D1" w:rsidRPr="00CF3101" w:rsidRDefault="00A551D1" w:rsidP="00A551D1">
      <w:pPr>
        <w:jc w:val="left"/>
        <w:rPr>
          <w:rFonts w:cs="Arial"/>
          <w:b/>
          <w:bCs/>
          <w:sz w:val="32"/>
          <w:szCs w:val="32"/>
        </w:rPr>
      </w:pPr>
      <w:r>
        <w:rPr>
          <w:b/>
          <w:sz w:val="32"/>
          <w:szCs w:val="32"/>
        </w:rPr>
        <w:t xml:space="preserve"> </w:t>
      </w:r>
      <w:r w:rsidRPr="00CF3101">
        <w:rPr>
          <w:b/>
          <w:sz w:val="32"/>
          <w:szCs w:val="32"/>
        </w:rPr>
        <w:t>STUDENT NAME</w:t>
      </w:r>
      <w:r w:rsidRPr="00CF3101">
        <w:rPr>
          <w:rFonts w:cs="Arial"/>
          <w:b/>
          <w:bCs/>
          <w:sz w:val="32"/>
          <w:szCs w:val="32"/>
        </w:rPr>
        <w:t>:</w:t>
      </w:r>
      <w:r w:rsidRPr="00CF3101">
        <w:rPr>
          <w:rFonts w:cs="Arial"/>
          <w:b/>
          <w:sz w:val="32"/>
          <w:szCs w:val="32"/>
        </w:rPr>
        <w:t xml:space="preserve"> VRUSHABH RAKESHBHAI PATEL</w:t>
      </w:r>
    </w:p>
    <w:p w:rsidR="00A551D1" w:rsidRPr="00CF3101" w:rsidRDefault="00A551D1" w:rsidP="00A551D1">
      <w:pPr>
        <w:jc w:val="left"/>
        <w:rPr>
          <w:rFonts w:cs="Arial"/>
          <w:b/>
          <w:sz w:val="32"/>
          <w:szCs w:val="32"/>
        </w:rPr>
      </w:pPr>
      <w:r>
        <w:rPr>
          <w:rFonts w:cs="Arial"/>
          <w:b/>
          <w:bCs/>
          <w:sz w:val="32"/>
          <w:szCs w:val="32"/>
        </w:rPr>
        <w:t xml:space="preserve"> </w:t>
      </w:r>
      <w:r w:rsidRPr="00CF3101">
        <w:rPr>
          <w:rFonts w:cs="Arial"/>
          <w:b/>
          <w:bCs/>
          <w:sz w:val="32"/>
          <w:szCs w:val="32"/>
        </w:rPr>
        <w:t>STUDENT ID:</w:t>
      </w:r>
      <w:r w:rsidRPr="00CF3101">
        <w:rPr>
          <w:rFonts w:cs="Arial"/>
          <w:b/>
          <w:sz w:val="32"/>
          <w:szCs w:val="32"/>
        </w:rPr>
        <w:t xml:space="preserve"> 2528085</w:t>
      </w:r>
    </w:p>
    <w:p w:rsidR="00A551D1" w:rsidRPr="00CF3101" w:rsidRDefault="00A551D1" w:rsidP="00A551D1">
      <w:pPr>
        <w:jc w:val="left"/>
        <w:rPr>
          <w:rFonts w:cs="Arial"/>
          <w:b/>
          <w:bCs/>
          <w:sz w:val="32"/>
          <w:szCs w:val="32"/>
        </w:rPr>
      </w:pPr>
      <w:r>
        <w:rPr>
          <w:rFonts w:cs="Arial"/>
          <w:b/>
          <w:bCs/>
          <w:sz w:val="32"/>
          <w:szCs w:val="32"/>
        </w:rPr>
        <w:t xml:space="preserve"> </w:t>
      </w:r>
      <w:r w:rsidRPr="00CF3101">
        <w:rPr>
          <w:rFonts w:cs="Arial"/>
          <w:b/>
          <w:bCs/>
          <w:sz w:val="32"/>
          <w:szCs w:val="32"/>
        </w:rPr>
        <w:t xml:space="preserve">MODULE </w:t>
      </w:r>
      <w:r>
        <w:rPr>
          <w:rFonts w:cs="Arial"/>
          <w:b/>
          <w:bCs/>
          <w:sz w:val="32"/>
          <w:szCs w:val="32"/>
        </w:rPr>
        <w:t>NAME:</w:t>
      </w:r>
      <w:r w:rsidRPr="00A551D1">
        <w:rPr>
          <w:b/>
          <w:bCs/>
          <w:sz w:val="32"/>
          <w:szCs w:val="28"/>
        </w:rPr>
        <w:t xml:space="preserve"> </w:t>
      </w:r>
      <w:r w:rsidRPr="00E245C9">
        <w:rPr>
          <w:b/>
          <w:bCs/>
          <w:sz w:val="32"/>
          <w:szCs w:val="28"/>
        </w:rPr>
        <w:t>MARKETING MANAGEMENT</w:t>
      </w:r>
    </w:p>
    <w:p w:rsidR="00A551D1" w:rsidRPr="00CF3101" w:rsidRDefault="00A551D1" w:rsidP="00A551D1">
      <w:pPr>
        <w:jc w:val="left"/>
        <w:rPr>
          <w:rFonts w:cs="Arial"/>
          <w:b/>
          <w:bCs/>
          <w:sz w:val="32"/>
          <w:szCs w:val="32"/>
        </w:rPr>
      </w:pPr>
      <w:r>
        <w:rPr>
          <w:rFonts w:cs="Arial"/>
          <w:b/>
          <w:bCs/>
          <w:sz w:val="32"/>
          <w:szCs w:val="32"/>
        </w:rPr>
        <w:t xml:space="preserve"> MODULE CODE: LCMB7024</w:t>
      </w:r>
    </w:p>
    <w:p w:rsidR="00A551D1" w:rsidRPr="00CF3101" w:rsidRDefault="00A551D1" w:rsidP="00A551D1">
      <w:pPr>
        <w:jc w:val="left"/>
        <w:rPr>
          <w:rFonts w:cs="Arial"/>
          <w:b/>
          <w:sz w:val="32"/>
          <w:szCs w:val="32"/>
        </w:rPr>
      </w:pPr>
      <w:r w:rsidRPr="00CF3101">
        <w:rPr>
          <w:rFonts w:cs="Arial"/>
          <w:b/>
          <w:bCs/>
          <w:sz w:val="32"/>
          <w:szCs w:val="32"/>
        </w:rPr>
        <w:t xml:space="preserve"> LECTURER’S NAME:</w:t>
      </w:r>
      <w:r w:rsidRPr="00CF3101">
        <w:rPr>
          <w:rFonts w:cs="Arial"/>
          <w:b/>
          <w:sz w:val="32"/>
          <w:szCs w:val="32"/>
        </w:rPr>
        <w:t xml:space="preserve"> </w:t>
      </w:r>
      <w:r>
        <w:rPr>
          <w:rFonts w:cs="Arial"/>
          <w:b/>
          <w:sz w:val="32"/>
          <w:szCs w:val="32"/>
        </w:rPr>
        <w:t>DR. LAILA MAAZOUZ</w:t>
      </w:r>
    </w:p>
    <w:p w:rsidR="00A551D1" w:rsidRPr="00CF3101" w:rsidRDefault="00A551D1" w:rsidP="00A551D1">
      <w:pPr>
        <w:jc w:val="left"/>
        <w:rPr>
          <w:rFonts w:cs="Arial"/>
          <w:b/>
          <w:sz w:val="32"/>
          <w:szCs w:val="32"/>
        </w:rPr>
      </w:pPr>
      <w:r>
        <w:rPr>
          <w:rFonts w:cs="Arial"/>
          <w:b/>
          <w:sz w:val="32"/>
          <w:szCs w:val="32"/>
        </w:rPr>
        <w:t xml:space="preserve"> WORD COUNT: 2505</w:t>
      </w:r>
    </w:p>
    <w:p w:rsidR="00A551D1" w:rsidRPr="00CF3101" w:rsidRDefault="00A551D1" w:rsidP="00A551D1">
      <w:pPr>
        <w:jc w:val="left"/>
        <w:rPr>
          <w:rFonts w:cs="Arial"/>
          <w:b/>
          <w:sz w:val="32"/>
          <w:szCs w:val="32"/>
        </w:rPr>
      </w:pPr>
      <w:r>
        <w:rPr>
          <w:rFonts w:cs="Arial"/>
          <w:b/>
          <w:sz w:val="32"/>
          <w:szCs w:val="32"/>
        </w:rPr>
        <w:t xml:space="preserve"> DATE OF SUBMISSION: 27</w:t>
      </w:r>
      <w:r w:rsidRPr="00CF3101">
        <w:rPr>
          <w:rFonts w:cs="Arial"/>
          <w:b/>
          <w:sz w:val="32"/>
          <w:szCs w:val="32"/>
        </w:rPr>
        <w:t>/03/2026</w:t>
      </w:r>
    </w:p>
    <w:p w:rsidR="00A551D1" w:rsidRDefault="00A551D1" w:rsidP="00A551D1">
      <w:pPr>
        <w:rPr>
          <w:sz w:val="28"/>
          <w:szCs w:val="24"/>
        </w:rPr>
      </w:pPr>
    </w:p>
    <w:p w:rsidR="00246E76" w:rsidRDefault="00246E76" w:rsidP="00246E76">
      <w:pPr>
        <w:jc w:val="center"/>
        <w:rPr>
          <w:b/>
          <w:bCs/>
          <w:sz w:val="32"/>
          <w:szCs w:val="28"/>
        </w:rPr>
      </w:pPr>
      <w:r w:rsidRPr="00E245C9">
        <w:rPr>
          <w:b/>
          <w:bCs/>
          <w:sz w:val="32"/>
          <w:szCs w:val="28"/>
        </w:rPr>
        <w:t>ASSESSMENT COMPONENT 1</w:t>
      </w:r>
    </w:p>
    <w:p w:rsidR="00A551D1" w:rsidRDefault="00A551D1" w:rsidP="00A551D1">
      <w:pPr>
        <w:rPr>
          <w:sz w:val="28"/>
          <w:szCs w:val="24"/>
        </w:rPr>
      </w:pPr>
    </w:p>
    <w:p w:rsidR="00A551D1" w:rsidRDefault="00246E76" w:rsidP="00A551D1">
      <w:pPr>
        <w:rPr>
          <w:b/>
          <w:bCs/>
          <w:sz w:val="32"/>
          <w:szCs w:val="28"/>
        </w:rPr>
      </w:pPr>
      <w:r w:rsidRPr="00A77F06">
        <w:rPr>
          <w:b/>
          <w:bCs/>
          <w:sz w:val="32"/>
          <w:szCs w:val="28"/>
        </w:rPr>
        <w:t>MARKETING ENVIRONMENTAL ANALYSIS OF PIONEER AND FOLLOWER FIRMS: TESLA AND BYD IN THE ELECTRIC VEHICLE INDUSTRY</w:t>
      </w:r>
    </w:p>
    <w:p w:rsidR="00E40174" w:rsidRDefault="00E40174" w:rsidP="00E40174">
      <w:pPr>
        <w:jc w:val="center"/>
        <w:rPr>
          <w:b/>
          <w:bCs/>
          <w:sz w:val="32"/>
          <w:szCs w:val="28"/>
        </w:rPr>
      </w:pPr>
    </w:p>
    <w:p w:rsidR="00E40174" w:rsidRDefault="00E40174">
      <w:pPr>
        <w:spacing w:line="259" w:lineRule="auto"/>
        <w:jc w:val="left"/>
        <w:rPr>
          <w:b/>
          <w:bCs/>
          <w:sz w:val="32"/>
          <w:szCs w:val="28"/>
        </w:rPr>
      </w:pPr>
    </w:p>
    <w:sdt>
      <w:sdtPr>
        <w:rPr>
          <w:rFonts w:ascii="Times New Roman" w:eastAsiaTheme="minorHAnsi" w:hAnsi="Times New Roman" w:cs="Times New Roman"/>
          <w:b/>
          <w:bCs/>
          <w:color w:val="auto"/>
          <w:kern w:val="2"/>
          <w:sz w:val="28"/>
          <w:szCs w:val="28"/>
          <w:lang w:val="en-IN"/>
        </w:rPr>
        <w:id w:val="1183716895"/>
        <w:docPartObj>
          <w:docPartGallery w:val="Table of Contents"/>
          <w:docPartUnique/>
        </w:docPartObj>
      </w:sdtPr>
      <w:sdtEndPr>
        <w:rPr>
          <w:rFonts w:cstheme="minorBidi"/>
          <w:noProof/>
          <w:sz w:val="24"/>
          <w:szCs w:val="22"/>
        </w:rPr>
      </w:sdtEndPr>
      <w:sdtContent>
        <w:p w:rsidR="00E40174" w:rsidRPr="00E40174" w:rsidRDefault="00E40174" w:rsidP="00E40174">
          <w:pPr>
            <w:pStyle w:val="TOCHeading"/>
            <w:spacing w:line="360" w:lineRule="auto"/>
            <w:jc w:val="center"/>
            <w:rPr>
              <w:rFonts w:ascii="Times New Roman" w:hAnsi="Times New Roman" w:cs="Times New Roman"/>
              <w:b/>
              <w:bCs/>
              <w:color w:val="auto"/>
              <w:sz w:val="28"/>
              <w:szCs w:val="28"/>
            </w:rPr>
          </w:pPr>
          <w:r w:rsidRPr="00E40174">
            <w:rPr>
              <w:rFonts w:ascii="Times New Roman" w:hAnsi="Times New Roman" w:cs="Times New Roman"/>
              <w:b/>
              <w:bCs/>
              <w:color w:val="auto"/>
              <w:sz w:val="28"/>
              <w:szCs w:val="28"/>
            </w:rPr>
            <w:t>Table of Contents</w:t>
          </w:r>
        </w:p>
        <w:p w:rsidR="00E40174" w:rsidRDefault="00E8771F">
          <w:pPr>
            <w:pStyle w:val="TOC1"/>
            <w:tabs>
              <w:tab w:val="left" w:pos="480"/>
              <w:tab w:val="right" w:leader="dot" w:pos="9016"/>
            </w:tabs>
            <w:rPr>
              <w:rFonts w:asciiTheme="minorHAnsi" w:eastAsiaTheme="minorEastAsia" w:hAnsiTheme="minorHAnsi"/>
              <w:noProof/>
              <w:szCs w:val="24"/>
              <w:lang w:eastAsia="en-IN"/>
            </w:rPr>
          </w:pPr>
          <w:r w:rsidRPr="00E8771F">
            <w:fldChar w:fldCharType="begin"/>
          </w:r>
          <w:r w:rsidR="00E40174">
            <w:instrText xml:space="preserve"> TOC \o "1-3" \h \z \u </w:instrText>
          </w:r>
          <w:r w:rsidRPr="00E8771F">
            <w:fldChar w:fldCharType="separate"/>
          </w:r>
          <w:hyperlink w:anchor="_Toc225308990" w:history="1">
            <w:r w:rsidR="00E40174" w:rsidRPr="007F2F21">
              <w:rPr>
                <w:rStyle w:val="Hyperlink"/>
                <w:noProof/>
              </w:rPr>
              <w:t>1.</w:t>
            </w:r>
            <w:r w:rsidR="00E40174">
              <w:rPr>
                <w:rFonts w:asciiTheme="minorHAnsi" w:eastAsiaTheme="minorEastAsia" w:hAnsiTheme="minorHAnsi"/>
                <w:noProof/>
                <w:szCs w:val="24"/>
                <w:lang w:eastAsia="en-IN"/>
              </w:rPr>
              <w:tab/>
            </w:r>
            <w:r w:rsidR="00E40174" w:rsidRPr="007F2F21">
              <w:rPr>
                <w:rStyle w:val="Hyperlink"/>
                <w:noProof/>
              </w:rPr>
              <w:t>Introduction</w:t>
            </w:r>
            <w:r w:rsidR="00E40174">
              <w:rPr>
                <w:noProof/>
                <w:webHidden/>
              </w:rPr>
              <w:tab/>
            </w:r>
            <w:r>
              <w:rPr>
                <w:noProof/>
                <w:webHidden/>
              </w:rPr>
              <w:fldChar w:fldCharType="begin"/>
            </w:r>
            <w:r w:rsidR="00E40174">
              <w:rPr>
                <w:noProof/>
                <w:webHidden/>
              </w:rPr>
              <w:instrText xml:space="preserve"> PAGEREF _Toc225308990 \h </w:instrText>
            </w:r>
            <w:r>
              <w:rPr>
                <w:noProof/>
                <w:webHidden/>
              </w:rPr>
            </w:r>
            <w:r>
              <w:rPr>
                <w:noProof/>
                <w:webHidden/>
              </w:rPr>
              <w:fldChar w:fldCharType="separate"/>
            </w:r>
            <w:r w:rsidR="00E40174">
              <w:rPr>
                <w:noProof/>
                <w:webHidden/>
              </w:rPr>
              <w:t>3</w:t>
            </w:r>
            <w:r>
              <w:rPr>
                <w:noProof/>
                <w:webHidden/>
              </w:rPr>
              <w:fldChar w:fldCharType="end"/>
            </w:r>
          </w:hyperlink>
        </w:p>
        <w:p w:rsidR="00E40174" w:rsidRDefault="00E8771F">
          <w:pPr>
            <w:pStyle w:val="TOC1"/>
            <w:tabs>
              <w:tab w:val="left" w:pos="480"/>
              <w:tab w:val="right" w:leader="dot" w:pos="9016"/>
            </w:tabs>
            <w:rPr>
              <w:rFonts w:asciiTheme="minorHAnsi" w:eastAsiaTheme="minorEastAsia" w:hAnsiTheme="minorHAnsi"/>
              <w:noProof/>
              <w:szCs w:val="24"/>
              <w:lang w:eastAsia="en-IN"/>
            </w:rPr>
          </w:pPr>
          <w:hyperlink w:anchor="_Toc225308991" w:history="1">
            <w:r w:rsidR="00E40174" w:rsidRPr="007F2F21">
              <w:rPr>
                <w:rStyle w:val="Hyperlink"/>
                <w:noProof/>
              </w:rPr>
              <w:t>2.</w:t>
            </w:r>
            <w:r w:rsidR="00E40174">
              <w:rPr>
                <w:rFonts w:asciiTheme="minorHAnsi" w:eastAsiaTheme="minorEastAsia" w:hAnsiTheme="minorHAnsi"/>
                <w:noProof/>
                <w:szCs w:val="24"/>
                <w:lang w:eastAsia="en-IN"/>
              </w:rPr>
              <w:tab/>
            </w:r>
            <w:r w:rsidR="00E40174" w:rsidRPr="007F2F21">
              <w:rPr>
                <w:rStyle w:val="Hyperlink"/>
                <w:noProof/>
              </w:rPr>
              <w:t>Task 1: Macro-Environmental Analysis (PESTLE Focus)</w:t>
            </w:r>
            <w:r w:rsidR="00E40174">
              <w:rPr>
                <w:noProof/>
                <w:webHidden/>
              </w:rPr>
              <w:tab/>
            </w:r>
            <w:r>
              <w:rPr>
                <w:noProof/>
                <w:webHidden/>
              </w:rPr>
              <w:fldChar w:fldCharType="begin"/>
            </w:r>
            <w:r w:rsidR="00E40174">
              <w:rPr>
                <w:noProof/>
                <w:webHidden/>
              </w:rPr>
              <w:instrText xml:space="preserve"> PAGEREF _Toc225308991 \h </w:instrText>
            </w:r>
            <w:r>
              <w:rPr>
                <w:noProof/>
                <w:webHidden/>
              </w:rPr>
            </w:r>
            <w:r>
              <w:rPr>
                <w:noProof/>
                <w:webHidden/>
              </w:rPr>
              <w:fldChar w:fldCharType="separate"/>
            </w:r>
            <w:r w:rsidR="00E40174">
              <w:rPr>
                <w:noProof/>
                <w:webHidden/>
              </w:rPr>
              <w:t>3</w:t>
            </w:r>
            <w:r>
              <w:rPr>
                <w:noProof/>
                <w:webHidden/>
              </w:rPr>
              <w:fldChar w:fldCharType="end"/>
            </w:r>
          </w:hyperlink>
        </w:p>
        <w:p w:rsidR="00E40174" w:rsidRDefault="00E8771F">
          <w:pPr>
            <w:pStyle w:val="TOC2"/>
            <w:tabs>
              <w:tab w:val="left" w:pos="960"/>
              <w:tab w:val="right" w:leader="dot" w:pos="9016"/>
            </w:tabs>
            <w:rPr>
              <w:rFonts w:asciiTheme="minorHAnsi" w:eastAsiaTheme="minorEastAsia" w:hAnsiTheme="minorHAnsi"/>
              <w:noProof/>
              <w:szCs w:val="24"/>
              <w:lang w:eastAsia="en-IN"/>
            </w:rPr>
          </w:pPr>
          <w:hyperlink w:anchor="_Toc225308992" w:history="1">
            <w:r w:rsidR="00E40174" w:rsidRPr="007F2F21">
              <w:rPr>
                <w:rStyle w:val="Hyperlink"/>
                <w:noProof/>
              </w:rPr>
              <w:t>2.1</w:t>
            </w:r>
            <w:r w:rsidR="00E40174">
              <w:rPr>
                <w:rFonts w:asciiTheme="minorHAnsi" w:eastAsiaTheme="minorEastAsia" w:hAnsiTheme="minorHAnsi"/>
                <w:noProof/>
                <w:szCs w:val="24"/>
                <w:lang w:eastAsia="en-IN"/>
              </w:rPr>
              <w:t xml:space="preserve"> </w:t>
            </w:r>
            <w:r w:rsidR="00E40174" w:rsidRPr="007F2F21">
              <w:rPr>
                <w:rStyle w:val="Hyperlink"/>
                <w:noProof/>
              </w:rPr>
              <w:t>Macro-Environmental Context and Justification (PESTLE Perspective)</w:t>
            </w:r>
            <w:r w:rsidR="00E40174">
              <w:rPr>
                <w:noProof/>
                <w:webHidden/>
              </w:rPr>
              <w:tab/>
            </w:r>
            <w:r>
              <w:rPr>
                <w:noProof/>
                <w:webHidden/>
              </w:rPr>
              <w:fldChar w:fldCharType="begin"/>
            </w:r>
            <w:r w:rsidR="00E40174">
              <w:rPr>
                <w:noProof/>
                <w:webHidden/>
              </w:rPr>
              <w:instrText xml:space="preserve"> PAGEREF _Toc225308992 \h </w:instrText>
            </w:r>
            <w:r>
              <w:rPr>
                <w:noProof/>
                <w:webHidden/>
              </w:rPr>
            </w:r>
            <w:r>
              <w:rPr>
                <w:noProof/>
                <w:webHidden/>
              </w:rPr>
              <w:fldChar w:fldCharType="separate"/>
            </w:r>
            <w:r w:rsidR="00E40174">
              <w:rPr>
                <w:noProof/>
                <w:webHidden/>
              </w:rPr>
              <w:t>4</w:t>
            </w:r>
            <w:r>
              <w:rPr>
                <w:noProof/>
                <w:webHidden/>
              </w:rPr>
              <w:fldChar w:fldCharType="end"/>
            </w:r>
          </w:hyperlink>
        </w:p>
        <w:p w:rsidR="00E40174" w:rsidRDefault="00E8771F">
          <w:pPr>
            <w:pStyle w:val="TOC2"/>
            <w:tabs>
              <w:tab w:val="right" w:leader="dot" w:pos="9016"/>
            </w:tabs>
            <w:rPr>
              <w:rFonts w:asciiTheme="minorHAnsi" w:eastAsiaTheme="minorEastAsia" w:hAnsiTheme="minorHAnsi"/>
              <w:noProof/>
              <w:szCs w:val="24"/>
              <w:lang w:eastAsia="en-IN"/>
            </w:rPr>
          </w:pPr>
          <w:hyperlink w:anchor="_Toc225308993" w:history="1">
            <w:r w:rsidR="00E40174" w:rsidRPr="007F2F21">
              <w:rPr>
                <w:rStyle w:val="Hyperlink"/>
                <w:noProof/>
              </w:rPr>
              <w:t>2.2 Technological Factors: Innovation Leadership versus Adaptive Efficiency</w:t>
            </w:r>
            <w:r w:rsidR="00E40174">
              <w:rPr>
                <w:noProof/>
                <w:webHidden/>
              </w:rPr>
              <w:tab/>
            </w:r>
            <w:r>
              <w:rPr>
                <w:noProof/>
                <w:webHidden/>
              </w:rPr>
              <w:fldChar w:fldCharType="begin"/>
            </w:r>
            <w:r w:rsidR="00E40174">
              <w:rPr>
                <w:noProof/>
                <w:webHidden/>
              </w:rPr>
              <w:instrText xml:space="preserve"> PAGEREF _Toc225308993 \h </w:instrText>
            </w:r>
            <w:r>
              <w:rPr>
                <w:noProof/>
                <w:webHidden/>
              </w:rPr>
            </w:r>
            <w:r>
              <w:rPr>
                <w:noProof/>
                <w:webHidden/>
              </w:rPr>
              <w:fldChar w:fldCharType="separate"/>
            </w:r>
            <w:r w:rsidR="00E40174">
              <w:rPr>
                <w:noProof/>
                <w:webHidden/>
              </w:rPr>
              <w:t>5</w:t>
            </w:r>
            <w:r>
              <w:rPr>
                <w:noProof/>
                <w:webHidden/>
              </w:rPr>
              <w:fldChar w:fldCharType="end"/>
            </w:r>
          </w:hyperlink>
        </w:p>
        <w:p w:rsidR="00E40174" w:rsidRDefault="00E8771F">
          <w:pPr>
            <w:pStyle w:val="TOC2"/>
            <w:tabs>
              <w:tab w:val="right" w:leader="dot" w:pos="9016"/>
            </w:tabs>
            <w:rPr>
              <w:rFonts w:asciiTheme="minorHAnsi" w:eastAsiaTheme="minorEastAsia" w:hAnsiTheme="minorHAnsi"/>
              <w:noProof/>
              <w:szCs w:val="24"/>
              <w:lang w:eastAsia="en-IN"/>
            </w:rPr>
          </w:pPr>
          <w:hyperlink w:anchor="_Toc225308994" w:history="1">
            <w:r w:rsidR="00E40174" w:rsidRPr="007F2F21">
              <w:rPr>
                <w:rStyle w:val="Hyperlink"/>
                <w:noProof/>
              </w:rPr>
              <w:t>2.3 Political and Regulatory Factors: Market Enabler and Strategic Constraint</w:t>
            </w:r>
            <w:r w:rsidR="00E40174">
              <w:rPr>
                <w:noProof/>
                <w:webHidden/>
              </w:rPr>
              <w:tab/>
            </w:r>
            <w:r>
              <w:rPr>
                <w:noProof/>
                <w:webHidden/>
              </w:rPr>
              <w:fldChar w:fldCharType="begin"/>
            </w:r>
            <w:r w:rsidR="00E40174">
              <w:rPr>
                <w:noProof/>
                <w:webHidden/>
              </w:rPr>
              <w:instrText xml:space="preserve"> PAGEREF _Toc225308994 \h </w:instrText>
            </w:r>
            <w:r>
              <w:rPr>
                <w:noProof/>
                <w:webHidden/>
              </w:rPr>
            </w:r>
            <w:r>
              <w:rPr>
                <w:noProof/>
                <w:webHidden/>
              </w:rPr>
              <w:fldChar w:fldCharType="separate"/>
            </w:r>
            <w:r w:rsidR="00E40174">
              <w:rPr>
                <w:noProof/>
                <w:webHidden/>
              </w:rPr>
              <w:t>7</w:t>
            </w:r>
            <w:r>
              <w:rPr>
                <w:noProof/>
                <w:webHidden/>
              </w:rPr>
              <w:fldChar w:fldCharType="end"/>
            </w:r>
          </w:hyperlink>
        </w:p>
        <w:p w:rsidR="00E40174" w:rsidRDefault="00E8771F">
          <w:pPr>
            <w:pStyle w:val="TOC2"/>
            <w:tabs>
              <w:tab w:val="right" w:leader="dot" w:pos="9016"/>
            </w:tabs>
            <w:rPr>
              <w:rFonts w:asciiTheme="minorHAnsi" w:eastAsiaTheme="minorEastAsia" w:hAnsiTheme="minorHAnsi"/>
              <w:noProof/>
              <w:szCs w:val="24"/>
              <w:lang w:eastAsia="en-IN"/>
            </w:rPr>
          </w:pPr>
          <w:hyperlink w:anchor="_Toc225308995" w:history="1">
            <w:r w:rsidR="00E40174" w:rsidRPr="007F2F21">
              <w:rPr>
                <w:rStyle w:val="Hyperlink"/>
                <w:noProof/>
              </w:rPr>
              <w:t>2.4 Influence on Competitive Position</w:t>
            </w:r>
            <w:r w:rsidR="00E40174">
              <w:rPr>
                <w:noProof/>
                <w:webHidden/>
              </w:rPr>
              <w:tab/>
            </w:r>
            <w:r>
              <w:rPr>
                <w:noProof/>
                <w:webHidden/>
              </w:rPr>
              <w:fldChar w:fldCharType="begin"/>
            </w:r>
            <w:r w:rsidR="00E40174">
              <w:rPr>
                <w:noProof/>
                <w:webHidden/>
              </w:rPr>
              <w:instrText xml:space="preserve"> PAGEREF _Toc225308995 \h </w:instrText>
            </w:r>
            <w:r>
              <w:rPr>
                <w:noProof/>
                <w:webHidden/>
              </w:rPr>
            </w:r>
            <w:r>
              <w:rPr>
                <w:noProof/>
                <w:webHidden/>
              </w:rPr>
              <w:fldChar w:fldCharType="separate"/>
            </w:r>
            <w:r w:rsidR="00E40174">
              <w:rPr>
                <w:noProof/>
                <w:webHidden/>
              </w:rPr>
              <w:t>8</w:t>
            </w:r>
            <w:r>
              <w:rPr>
                <w:noProof/>
                <w:webHidden/>
              </w:rPr>
              <w:fldChar w:fldCharType="end"/>
            </w:r>
          </w:hyperlink>
        </w:p>
        <w:p w:rsidR="00E40174" w:rsidRDefault="00E8771F">
          <w:pPr>
            <w:pStyle w:val="TOC1"/>
            <w:tabs>
              <w:tab w:val="left" w:pos="480"/>
              <w:tab w:val="right" w:leader="dot" w:pos="9016"/>
            </w:tabs>
            <w:rPr>
              <w:rFonts w:asciiTheme="minorHAnsi" w:eastAsiaTheme="minorEastAsia" w:hAnsiTheme="minorHAnsi"/>
              <w:noProof/>
              <w:szCs w:val="24"/>
              <w:lang w:eastAsia="en-IN"/>
            </w:rPr>
          </w:pPr>
          <w:hyperlink w:anchor="_Toc225308996" w:history="1">
            <w:r w:rsidR="00E40174" w:rsidRPr="007F2F21">
              <w:rPr>
                <w:rStyle w:val="Hyperlink"/>
                <w:noProof/>
              </w:rPr>
              <w:t>3.</w:t>
            </w:r>
            <w:r w:rsidR="00E40174">
              <w:rPr>
                <w:rFonts w:asciiTheme="minorHAnsi" w:eastAsiaTheme="minorEastAsia" w:hAnsiTheme="minorHAnsi"/>
                <w:noProof/>
                <w:szCs w:val="24"/>
                <w:lang w:eastAsia="en-IN"/>
              </w:rPr>
              <w:tab/>
            </w:r>
            <w:r w:rsidR="00E40174" w:rsidRPr="007F2F21">
              <w:rPr>
                <w:rStyle w:val="Hyperlink"/>
                <w:noProof/>
              </w:rPr>
              <w:t>Task 2: Strategic Responses and Evaluation</w:t>
            </w:r>
            <w:r w:rsidR="00E40174">
              <w:rPr>
                <w:noProof/>
                <w:webHidden/>
              </w:rPr>
              <w:tab/>
            </w:r>
            <w:r>
              <w:rPr>
                <w:noProof/>
                <w:webHidden/>
              </w:rPr>
              <w:fldChar w:fldCharType="begin"/>
            </w:r>
            <w:r w:rsidR="00E40174">
              <w:rPr>
                <w:noProof/>
                <w:webHidden/>
              </w:rPr>
              <w:instrText xml:space="preserve"> PAGEREF _Toc225308996 \h </w:instrText>
            </w:r>
            <w:r>
              <w:rPr>
                <w:noProof/>
                <w:webHidden/>
              </w:rPr>
            </w:r>
            <w:r>
              <w:rPr>
                <w:noProof/>
                <w:webHidden/>
              </w:rPr>
              <w:fldChar w:fldCharType="separate"/>
            </w:r>
            <w:r w:rsidR="00E40174">
              <w:rPr>
                <w:noProof/>
                <w:webHidden/>
              </w:rPr>
              <w:t>8</w:t>
            </w:r>
            <w:r>
              <w:rPr>
                <w:noProof/>
                <w:webHidden/>
              </w:rPr>
              <w:fldChar w:fldCharType="end"/>
            </w:r>
          </w:hyperlink>
        </w:p>
        <w:p w:rsidR="00E40174" w:rsidRDefault="00E8771F">
          <w:pPr>
            <w:pStyle w:val="TOC2"/>
            <w:tabs>
              <w:tab w:val="left" w:pos="960"/>
              <w:tab w:val="right" w:leader="dot" w:pos="9016"/>
            </w:tabs>
            <w:rPr>
              <w:rFonts w:asciiTheme="minorHAnsi" w:eastAsiaTheme="minorEastAsia" w:hAnsiTheme="minorHAnsi"/>
              <w:noProof/>
              <w:szCs w:val="24"/>
              <w:lang w:eastAsia="en-IN"/>
            </w:rPr>
          </w:pPr>
          <w:hyperlink w:anchor="_Toc225308997" w:history="1">
            <w:r w:rsidR="00E40174" w:rsidRPr="007F2F21">
              <w:rPr>
                <w:rStyle w:val="Hyperlink"/>
                <w:noProof/>
              </w:rPr>
              <w:t>3.1</w:t>
            </w:r>
            <w:r w:rsidR="00E40174">
              <w:rPr>
                <w:rFonts w:asciiTheme="minorHAnsi" w:eastAsiaTheme="minorEastAsia" w:hAnsiTheme="minorHAnsi"/>
                <w:noProof/>
                <w:szCs w:val="24"/>
                <w:lang w:eastAsia="en-IN"/>
              </w:rPr>
              <w:t xml:space="preserve"> </w:t>
            </w:r>
            <w:r w:rsidR="00E40174" w:rsidRPr="007F2F21">
              <w:rPr>
                <w:rStyle w:val="Hyperlink"/>
                <w:noProof/>
              </w:rPr>
              <w:t>Tesla’s Strategic Response: Differentiation and Innovation-Led Growth</w:t>
            </w:r>
            <w:r w:rsidR="00E40174">
              <w:rPr>
                <w:noProof/>
                <w:webHidden/>
              </w:rPr>
              <w:tab/>
            </w:r>
            <w:r>
              <w:rPr>
                <w:noProof/>
                <w:webHidden/>
              </w:rPr>
              <w:fldChar w:fldCharType="begin"/>
            </w:r>
            <w:r w:rsidR="00E40174">
              <w:rPr>
                <w:noProof/>
                <w:webHidden/>
              </w:rPr>
              <w:instrText xml:space="preserve"> PAGEREF _Toc225308997 \h </w:instrText>
            </w:r>
            <w:r>
              <w:rPr>
                <w:noProof/>
                <w:webHidden/>
              </w:rPr>
            </w:r>
            <w:r>
              <w:rPr>
                <w:noProof/>
                <w:webHidden/>
              </w:rPr>
              <w:fldChar w:fldCharType="separate"/>
            </w:r>
            <w:r w:rsidR="00E40174">
              <w:rPr>
                <w:noProof/>
                <w:webHidden/>
              </w:rPr>
              <w:t>9</w:t>
            </w:r>
            <w:r>
              <w:rPr>
                <w:noProof/>
                <w:webHidden/>
              </w:rPr>
              <w:fldChar w:fldCharType="end"/>
            </w:r>
          </w:hyperlink>
        </w:p>
        <w:p w:rsidR="00E40174" w:rsidRDefault="00E8771F">
          <w:pPr>
            <w:pStyle w:val="TOC2"/>
            <w:tabs>
              <w:tab w:val="right" w:leader="dot" w:pos="9016"/>
            </w:tabs>
            <w:rPr>
              <w:rFonts w:asciiTheme="minorHAnsi" w:eastAsiaTheme="minorEastAsia" w:hAnsiTheme="minorHAnsi"/>
              <w:noProof/>
              <w:szCs w:val="24"/>
              <w:lang w:eastAsia="en-IN"/>
            </w:rPr>
          </w:pPr>
          <w:hyperlink w:anchor="_Toc225308998" w:history="1">
            <w:r w:rsidR="00E40174" w:rsidRPr="007F2F21">
              <w:rPr>
                <w:rStyle w:val="Hyperlink"/>
                <w:noProof/>
              </w:rPr>
              <w:t>3.2 BYD’s Strategic Response: Cost Leadership and Market Expansion</w:t>
            </w:r>
            <w:r w:rsidR="00E40174">
              <w:rPr>
                <w:noProof/>
                <w:webHidden/>
              </w:rPr>
              <w:tab/>
            </w:r>
            <w:r>
              <w:rPr>
                <w:noProof/>
                <w:webHidden/>
              </w:rPr>
              <w:fldChar w:fldCharType="begin"/>
            </w:r>
            <w:r w:rsidR="00E40174">
              <w:rPr>
                <w:noProof/>
                <w:webHidden/>
              </w:rPr>
              <w:instrText xml:space="preserve"> PAGEREF _Toc225308998 \h </w:instrText>
            </w:r>
            <w:r>
              <w:rPr>
                <w:noProof/>
                <w:webHidden/>
              </w:rPr>
            </w:r>
            <w:r>
              <w:rPr>
                <w:noProof/>
                <w:webHidden/>
              </w:rPr>
              <w:fldChar w:fldCharType="separate"/>
            </w:r>
            <w:r w:rsidR="00E40174">
              <w:rPr>
                <w:noProof/>
                <w:webHidden/>
              </w:rPr>
              <w:t>9</w:t>
            </w:r>
            <w:r>
              <w:rPr>
                <w:noProof/>
                <w:webHidden/>
              </w:rPr>
              <w:fldChar w:fldCharType="end"/>
            </w:r>
          </w:hyperlink>
        </w:p>
        <w:p w:rsidR="00E40174" w:rsidRDefault="00E8771F">
          <w:pPr>
            <w:pStyle w:val="TOC2"/>
            <w:tabs>
              <w:tab w:val="right" w:leader="dot" w:pos="9016"/>
            </w:tabs>
            <w:rPr>
              <w:rFonts w:asciiTheme="minorHAnsi" w:eastAsiaTheme="minorEastAsia" w:hAnsiTheme="minorHAnsi"/>
              <w:noProof/>
              <w:szCs w:val="24"/>
              <w:lang w:eastAsia="en-IN"/>
            </w:rPr>
          </w:pPr>
          <w:hyperlink w:anchor="_Toc225308999" w:history="1">
            <w:r w:rsidR="00E40174" w:rsidRPr="007F2F21">
              <w:rPr>
                <w:rStyle w:val="Hyperlink"/>
                <w:noProof/>
              </w:rPr>
              <w:t>3.3 Comparative Evaluation of Strategic Responses</w:t>
            </w:r>
            <w:r w:rsidR="00E40174">
              <w:rPr>
                <w:noProof/>
                <w:webHidden/>
              </w:rPr>
              <w:tab/>
            </w:r>
            <w:r>
              <w:rPr>
                <w:noProof/>
                <w:webHidden/>
              </w:rPr>
              <w:fldChar w:fldCharType="begin"/>
            </w:r>
            <w:r w:rsidR="00E40174">
              <w:rPr>
                <w:noProof/>
                <w:webHidden/>
              </w:rPr>
              <w:instrText xml:space="preserve"> PAGEREF _Toc225308999 \h </w:instrText>
            </w:r>
            <w:r>
              <w:rPr>
                <w:noProof/>
                <w:webHidden/>
              </w:rPr>
            </w:r>
            <w:r>
              <w:rPr>
                <w:noProof/>
                <w:webHidden/>
              </w:rPr>
              <w:fldChar w:fldCharType="separate"/>
            </w:r>
            <w:r w:rsidR="00E40174">
              <w:rPr>
                <w:noProof/>
                <w:webHidden/>
              </w:rPr>
              <w:t>10</w:t>
            </w:r>
            <w:r>
              <w:rPr>
                <w:noProof/>
                <w:webHidden/>
              </w:rPr>
              <w:fldChar w:fldCharType="end"/>
            </w:r>
          </w:hyperlink>
        </w:p>
        <w:p w:rsidR="00E40174" w:rsidRDefault="00E8771F">
          <w:pPr>
            <w:pStyle w:val="TOC1"/>
            <w:tabs>
              <w:tab w:val="left" w:pos="480"/>
              <w:tab w:val="right" w:leader="dot" w:pos="9016"/>
            </w:tabs>
            <w:rPr>
              <w:rFonts w:asciiTheme="minorHAnsi" w:eastAsiaTheme="minorEastAsia" w:hAnsiTheme="minorHAnsi"/>
              <w:noProof/>
              <w:szCs w:val="24"/>
              <w:lang w:eastAsia="en-IN"/>
            </w:rPr>
          </w:pPr>
          <w:hyperlink w:anchor="_Toc225309000" w:history="1">
            <w:r w:rsidR="00E40174" w:rsidRPr="007F2F21">
              <w:rPr>
                <w:rStyle w:val="Hyperlink"/>
                <w:noProof/>
              </w:rPr>
              <w:t>4.</w:t>
            </w:r>
            <w:r w:rsidR="00E40174">
              <w:rPr>
                <w:rFonts w:asciiTheme="minorHAnsi" w:eastAsiaTheme="minorEastAsia" w:hAnsiTheme="minorHAnsi"/>
                <w:noProof/>
                <w:szCs w:val="24"/>
                <w:lang w:eastAsia="en-IN"/>
              </w:rPr>
              <w:tab/>
            </w:r>
            <w:r w:rsidR="00E40174" w:rsidRPr="007F2F21">
              <w:rPr>
                <w:rStyle w:val="Hyperlink"/>
                <w:noProof/>
              </w:rPr>
              <w:t>Conclusion</w:t>
            </w:r>
            <w:r w:rsidR="00E40174">
              <w:rPr>
                <w:noProof/>
                <w:webHidden/>
              </w:rPr>
              <w:tab/>
            </w:r>
            <w:r>
              <w:rPr>
                <w:noProof/>
                <w:webHidden/>
              </w:rPr>
              <w:fldChar w:fldCharType="begin"/>
            </w:r>
            <w:r w:rsidR="00E40174">
              <w:rPr>
                <w:noProof/>
                <w:webHidden/>
              </w:rPr>
              <w:instrText xml:space="preserve"> PAGEREF _Toc225309000 \h </w:instrText>
            </w:r>
            <w:r>
              <w:rPr>
                <w:noProof/>
                <w:webHidden/>
              </w:rPr>
            </w:r>
            <w:r>
              <w:rPr>
                <w:noProof/>
                <w:webHidden/>
              </w:rPr>
              <w:fldChar w:fldCharType="separate"/>
            </w:r>
            <w:r w:rsidR="00E40174">
              <w:rPr>
                <w:noProof/>
                <w:webHidden/>
              </w:rPr>
              <w:t>10</w:t>
            </w:r>
            <w:r>
              <w:rPr>
                <w:noProof/>
                <w:webHidden/>
              </w:rPr>
              <w:fldChar w:fldCharType="end"/>
            </w:r>
          </w:hyperlink>
        </w:p>
        <w:p w:rsidR="00E40174" w:rsidRDefault="00E8771F">
          <w:pPr>
            <w:pStyle w:val="TOC1"/>
            <w:tabs>
              <w:tab w:val="left" w:pos="480"/>
              <w:tab w:val="right" w:leader="dot" w:pos="9016"/>
            </w:tabs>
            <w:rPr>
              <w:rFonts w:asciiTheme="minorHAnsi" w:eastAsiaTheme="minorEastAsia" w:hAnsiTheme="minorHAnsi"/>
              <w:noProof/>
              <w:szCs w:val="24"/>
              <w:lang w:eastAsia="en-IN"/>
            </w:rPr>
          </w:pPr>
          <w:hyperlink w:anchor="_Toc225309001" w:history="1">
            <w:r w:rsidR="00E40174" w:rsidRPr="007F2F21">
              <w:rPr>
                <w:rStyle w:val="Hyperlink"/>
                <w:noProof/>
              </w:rPr>
              <w:t>5.</w:t>
            </w:r>
            <w:r w:rsidR="00E40174">
              <w:rPr>
                <w:rFonts w:asciiTheme="minorHAnsi" w:eastAsiaTheme="minorEastAsia" w:hAnsiTheme="minorHAnsi"/>
                <w:noProof/>
                <w:szCs w:val="24"/>
                <w:lang w:eastAsia="en-IN"/>
              </w:rPr>
              <w:tab/>
            </w:r>
            <w:r w:rsidR="00E40174" w:rsidRPr="007F2F21">
              <w:rPr>
                <w:rStyle w:val="Hyperlink"/>
                <w:noProof/>
              </w:rPr>
              <w:t>References</w:t>
            </w:r>
            <w:r w:rsidR="00E40174">
              <w:rPr>
                <w:noProof/>
                <w:webHidden/>
              </w:rPr>
              <w:tab/>
            </w:r>
            <w:r>
              <w:rPr>
                <w:noProof/>
                <w:webHidden/>
              </w:rPr>
              <w:fldChar w:fldCharType="begin"/>
            </w:r>
            <w:r w:rsidR="00E40174">
              <w:rPr>
                <w:noProof/>
                <w:webHidden/>
              </w:rPr>
              <w:instrText xml:space="preserve"> PAGEREF _Toc225309001 \h </w:instrText>
            </w:r>
            <w:r>
              <w:rPr>
                <w:noProof/>
                <w:webHidden/>
              </w:rPr>
            </w:r>
            <w:r>
              <w:rPr>
                <w:noProof/>
                <w:webHidden/>
              </w:rPr>
              <w:fldChar w:fldCharType="separate"/>
            </w:r>
            <w:r w:rsidR="00E40174">
              <w:rPr>
                <w:noProof/>
                <w:webHidden/>
              </w:rPr>
              <w:t>12</w:t>
            </w:r>
            <w:r>
              <w:rPr>
                <w:noProof/>
                <w:webHidden/>
              </w:rPr>
              <w:fldChar w:fldCharType="end"/>
            </w:r>
          </w:hyperlink>
        </w:p>
        <w:p w:rsidR="00E40174" w:rsidRDefault="00E8771F">
          <w:r>
            <w:rPr>
              <w:b/>
              <w:bCs/>
              <w:noProof/>
            </w:rPr>
            <w:fldChar w:fldCharType="end"/>
          </w:r>
        </w:p>
      </w:sdtContent>
    </w:sdt>
    <w:p w:rsidR="00E245C9" w:rsidRDefault="00E245C9" w:rsidP="00E40174">
      <w:pPr>
        <w:jc w:val="center"/>
      </w:pPr>
      <w:r>
        <w:br w:type="page"/>
      </w:r>
    </w:p>
    <w:p w:rsidR="00A4754F" w:rsidRDefault="00E245C9" w:rsidP="00E245C9">
      <w:pPr>
        <w:pStyle w:val="Heading1"/>
      </w:pPr>
      <w:bookmarkStart w:id="0" w:name="_Toc225308990"/>
      <w:r>
        <w:lastRenderedPageBreak/>
        <w:t>Introduction</w:t>
      </w:r>
      <w:bookmarkEnd w:id="0"/>
      <w:r>
        <w:t xml:space="preserve"> </w:t>
      </w:r>
    </w:p>
    <w:p w:rsidR="00E245C9" w:rsidRPr="004D6FF4" w:rsidRDefault="00884208" w:rsidP="00E245C9">
      <w:pPr>
        <w:rPr>
          <w:lang w:val="en-GB"/>
        </w:rPr>
      </w:pPr>
      <w:r w:rsidRPr="00884208">
        <w:t xml:space="preserve">The introduction of new technology has led not only to simultaneous structural change in the global electric vehicle (EV) industry but also to changes in the environment and the emerging regulatory pressure to lower the carbon footprint (Zaino et al., 2024). Responsive macro-environment conditioning requires players in the EV industry to be responsive to emerging sustainable mobility momentum among governments and consumers. Tesla, in that regard, has </w:t>
      </w:r>
      <w:r>
        <w:t>emerged as the</w:t>
      </w:r>
      <w:r w:rsidRPr="00884208">
        <w:t xml:space="preserve"> pioneering organisations as it has reshaped the industry through unceasing innovations, diversifying brands, first-movers. By contrast, BYD is a follower organisation, and it has strategically used cost efficiency, vertical integration and adaptive innovation to compete effectively both locally and globally</w:t>
      </w:r>
      <w:r w:rsidR="00E245C9">
        <w:t>.</w:t>
      </w:r>
    </w:p>
    <w:p w:rsidR="00E245C9" w:rsidRPr="00E245C9" w:rsidRDefault="00884208" w:rsidP="00E245C9">
      <w:r w:rsidRPr="00884208">
        <w:t>This report is aimed at critically analyzing the macro-marketing environment influencing Tesla and BYD</w:t>
      </w:r>
      <w:r>
        <w:t xml:space="preserve">, focussing </w:t>
      </w:r>
      <w:r w:rsidRPr="00884208">
        <w:t xml:space="preserve">technological and political forces as the key sources of opportunity and threat. It also strategically benchmarks the reaction of each organisation to these forces to ensure growth and a competitive advantage. In the systematic arrangement, emphasizing on PESTEL analysis, </w:t>
      </w:r>
      <w:r w:rsidR="001A0B03">
        <w:t xml:space="preserve">and </w:t>
      </w:r>
      <w:r w:rsidRPr="00884208">
        <w:t xml:space="preserve">Porters generic strategies, the report </w:t>
      </w:r>
      <w:r>
        <w:t>provides</w:t>
      </w:r>
      <w:r w:rsidRPr="00884208">
        <w:t xml:space="preserve"> a comparative analysis of how to </w:t>
      </w:r>
      <w:r>
        <w:t>manage</w:t>
      </w:r>
      <w:r w:rsidRPr="00884208">
        <w:t xml:space="preserve"> the turbulent and dynamic circumstances in market, as a first mover company, and a second mover company</w:t>
      </w:r>
      <w:r w:rsidR="00E245C9" w:rsidRPr="00E245C9">
        <w:t>.</w:t>
      </w:r>
    </w:p>
    <w:p w:rsidR="00DA5BE0" w:rsidRDefault="00DA5BE0" w:rsidP="00DA5BE0">
      <w:pPr>
        <w:pStyle w:val="Heading1"/>
        <w:rPr>
          <w:rStyle w:val="Strong"/>
          <w:b/>
          <w:bCs w:val="0"/>
        </w:rPr>
      </w:pPr>
      <w:bookmarkStart w:id="1" w:name="_Toc225308991"/>
      <w:r>
        <w:rPr>
          <w:rStyle w:val="Strong"/>
          <w:b/>
          <w:bCs w:val="0"/>
        </w:rPr>
        <w:t>Task 1: Macro-Environmental Analysis (PESTLE Focus)</w:t>
      </w:r>
      <w:bookmarkEnd w:id="1"/>
    </w:p>
    <w:p w:rsidR="00CE7E46" w:rsidRPr="00CE7E46" w:rsidRDefault="00CE7E46" w:rsidP="00CE7E46">
      <w:r w:rsidRPr="00CE7E46">
        <w:t xml:space="preserve">Macro-marketing environment is a leading force in defining strategic marketing decisions with external forces deciding opportunities and limitations to organisations. The most significant macro-environmental drivers in the global electric vehicle (EV) market have turned out to be technological and political forces, with over 17 million EVs sold in 2024, </w:t>
      </w:r>
      <w:r w:rsidRPr="00562604">
        <w:t>accounting for over 20% of total global car sales</w:t>
      </w:r>
      <w:r>
        <w:t xml:space="preserve"> </w:t>
      </w:r>
      <w:r w:rsidRPr="00CE7E46">
        <w:t>(IEA, 2025). The forces help accelerate industrial expansion, and reuse competition dynamics between Tesla as an innovative company and BYD as a</w:t>
      </w:r>
      <w:r>
        <w:t xml:space="preserve">n </w:t>
      </w:r>
      <w:r w:rsidRPr="00CE7E46">
        <w:t xml:space="preserve">imitator. This is a critical assessment of the opportunities </w:t>
      </w:r>
      <w:r>
        <w:t>and</w:t>
      </w:r>
      <w:r w:rsidRPr="00CE7E46">
        <w:t xml:space="preserve"> threats of two players in the macro-environment and </w:t>
      </w:r>
      <w:r>
        <w:t>their</w:t>
      </w:r>
      <w:r w:rsidRPr="00CE7E46">
        <w:t xml:space="preserve"> play in determining the competitive position of each firm.</w:t>
      </w:r>
    </w:p>
    <w:p w:rsidR="00562604" w:rsidRDefault="00562604" w:rsidP="00562604">
      <w:pPr>
        <w:keepNext/>
        <w:jc w:val="center"/>
      </w:pPr>
      <w:r w:rsidRPr="00562604">
        <w:rPr>
          <w:noProof/>
          <w:lang w:val="en-GB" w:eastAsia="en-GB"/>
        </w:rPr>
        <w:lastRenderedPageBreak/>
        <w:drawing>
          <wp:inline distT="0" distB="0" distL="0" distR="0">
            <wp:extent cx="5350510" cy="2530475"/>
            <wp:effectExtent l="171450" t="171450" r="364490" b="384175"/>
            <wp:docPr id="2030674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674730" name=""/>
                    <pic:cNvPicPr/>
                  </pic:nvPicPr>
                  <pic:blipFill>
                    <a:blip r:embed="rId9" cstate="print"/>
                    <a:stretch>
                      <a:fillRect/>
                    </a:stretch>
                  </pic:blipFill>
                  <pic:spPr>
                    <a:xfrm>
                      <a:off x="0" y="0"/>
                      <a:ext cx="5350510" cy="2530475"/>
                    </a:xfrm>
                    <a:prstGeom prst="rect">
                      <a:avLst/>
                    </a:prstGeom>
                    <a:ln>
                      <a:solidFill>
                        <a:schemeClr val="accent1"/>
                      </a:solidFill>
                    </a:ln>
                    <a:effectLst>
                      <a:outerShdw blurRad="292100" dist="139700" dir="2700000" algn="tl" rotWithShape="0">
                        <a:srgbClr val="333333">
                          <a:alpha val="65000"/>
                        </a:srgbClr>
                      </a:outerShdw>
                    </a:effectLst>
                  </pic:spPr>
                </pic:pic>
              </a:graphicData>
            </a:graphic>
          </wp:inline>
        </w:drawing>
      </w:r>
    </w:p>
    <w:p w:rsidR="006B27B9" w:rsidRDefault="006B27B9" w:rsidP="00562604">
      <w:pPr>
        <w:keepNext/>
        <w:jc w:val="center"/>
      </w:pPr>
      <w:r w:rsidRPr="006B27B9">
        <w:rPr>
          <w:noProof/>
          <w:lang w:val="en-GB" w:eastAsia="en-GB"/>
        </w:rPr>
        <w:drawing>
          <wp:inline distT="0" distB="0" distL="0" distR="0">
            <wp:extent cx="5731510" cy="184150"/>
            <wp:effectExtent l="0" t="0" r="2540" b="6350"/>
            <wp:docPr id="997422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422591" name=""/>
                    <pic:cNvPicPr/>
                  </pic:nvPicPr>
                  <pic:blipFill>
                    <a:blip r:embed="rId10" cstate="print"/>
                    <a:stretch>
                      <a:fillRect/>
                    </a:stretch>
                  </pic:blipFill>
                  <pic:spPr>
                    <a:xfrm>
                      <a:off x="0" y="0"/>
                      <a:ext cx="5731510" cy="184150"/>
                    </a:xfrm>
                    <a:prstGeom prst="rect">
                      <a:avLst/>
                    </a:prstGeom>
                  </pic:spPr>
                </pic:pic>
              </a:graphicData>
            </a:graphic>
          </wp:inline>
        </w:drawing>
      </w:r>
    </w:p>
    <w:p w:rsidR="00DA5BE0" w:rsidRDefault="00562604" w:rsidP="00562604">
      <w:pPr>
        <w:jc w:val="center"/>
        <w:rPr>
          <w:b/>
          <w:bCs/>
        </w:rPr>
      </w:pPr>
      <w:r w:rsidRPr="00562604">
        <w:rPr>
          <w:b/>
          <w:bCs/>
        </w:rPr>
        <w:t xml:space="preserve">Figure </w:t>
      </w:r>
      <w:r w:rsidR="00E8771F" w:rsidRPr="00562604">
        <w:rPr>
          <w:b/>
          <w:bCs/>
        </w:rPr>
        <w:fldChar w:fldCharType="begin"/>
      </w:r>
      <w:r w:rsidRPr="00562604">
        <w:rPr>
          <w:b/>
          <w:bCs/>
        </w:rPr>
        <w:instrText xml:space="preserve"> SEQ Figure \* ARABIC </w:instrText>
      </w:r>
      <w:r w:rsidR="00E8771F" w:rsidRPr="00562604">
        <w:rPr>
          <w:b/>
          <w:bCs/>
        </w:rPr>
        <w:fldChar w:fldCharType="separate"/>
      </w:r>
      <w:r w:rsidR="00D405C4">
        <w:rPr>
          <w:b/>
          <w:bCs/>
          <w:noProof/>
        </w:rPr>
        <w:t>1</w:t>
      </w:r>
      <w:r w:rsidR="00E8771F" w:rsidRPr="00562604">
        <w:rPr>
          <w:b/>
          <w:bCs/>
        </w:rPr>
        <w:fldChar w:fldCharType="end"/>
      </w:r>
      <w:r w:rsidRPr="00562604">
        <w:rPr>
          <w:b/>
          <w:bCs/>
        </w:rPr>
        <w:t>: Global Electric Car Sales</w:t>
      </w:r>
    </w:p>
    <w:p w:rsidR="00562604" w:rsidRDefault="00562604" w:rsidP="00562604">
      <w:pPr>
        <w:jc w:val="center"/>
      </w:pPr>
      <w:r w:rsidRPr="00562604">
        <w:t>Source: (IEA, 2025)</w:t>
      </w:r>
    </w:p>
    <w:p w:rsidR="00562604" w:rsidRDefault="00562604" w:rsidP="00562604">
      <w:pPr>
        <w:pStyle w:val="Heading2"/>
        <w:numPr>
          <w:ilvl w:val="1"/>
          <w:numId w:val="1"/>
        </w:numPr>
      </w:pPr>
      <w:bookmarkStart w:id="2" w:name="_Toc225308992"/>
      <w:r w:rsidRPr="00562604">
        <w:t>Macro-Environmental Context and Justification (PESTLE Perspective)</w:t>
      </w:r>
      <w:bookmarkEnd w:id="2"/>
    </w:p>
    <w:p w:rsidR="00562604" w:rsidRPr="00CE7E46" w:rsidRDefault="00CE7E46" w:rsidP="00562604">
      <w:r w:rsidRPr="00CE7E46">
        <w:t xml:space="preserve">PESTLE analysis produces an organized method respectively to evaluation of the influence of macro-environmental forces on organisational strategy (Eichhorn et al., 2024). Technological and political are under the category of influences that have a deep impact on the EV industry because the sector is relying on innovation, infrastructure, and regulatory support. </w:t>
      </w:r>
      <w:r w:rsidR="00884208" w:rsidRPr="00884208">
        <w:t>The political and regulatory environment might influence the demand in the market through subsidies, environmental regulations, and trade regulations due to the sensitivity of forces to the EV industry, and it is directly related to the sustainability policy and technological progress in areas of battery efficiency and computerization. Therefore, technological innovation along with regulation provides a complex context in which the companies were forced to continue evolving and remain competitive</w:t>
      </w:r>
      <w:r w:rsidR="00884208">
        <w:t xml:space="preserve"> </w:t>
      </w:r>
      <w:r w:rsidR="004D6FF4" w:rsidRPr="004D6FF4">
        <w:rPr>
          <w:lang w:val="en-GB"/>
        </w:rPr>
        <w:t>(</w:t>
      </w:r>
      <w:proofErr w:type="spellStart"/>
      <w:r w:rsidR="004D6FF4" w:rsidRPr="004D6FF4">
        <w:rPr>
          <w:lang w:val="en-GB"/>
        </w:rPr>
        <w:t>Hamdouna</w:t>
      </w:r>
      <w:proofErr w:type="spellEnd"/>
      <w:r w:rsidR="004D6FF4" w:rsidRPr="004D6FF4">
        <w:rPr>
          <w:lang w:val="en-GB"/>
        </w:rPr>
        <w:t xml:space="preserve"> and </w:t>
      </w:r>
      <w:proofErr w:type="spellStart"/>
      <w:r w:rsidR="004D6FF4" w:rsidRPr="004D6FF4">
        <w:rPr>
          <w:lang w:val="en-GB"/>
        </w:rPr>
        <w:t>Khmelyarchuk</w:t>
      </w:r>
      <w:proofErr w:type="spellEnd"/>
      <w:r w:rsidR="004D6FF4" w:rsidRPr="004D6FF4">
        <w:rPr>
          <w:lang w:val="en-GB"/>
        </w:rPr>
        <w:t>, 2025)</w:t>
      </w:r>
      <w:r w:rsidR="00562604" w:rsidRPr="00562604">
        <w:t>.</w:t>
      </w:r>
    </w:p>
    <w:p w:rsidR="00562604" w:rsidRPr="00562604" w:rsidRDefault="00562604" w:rsidP="00562604">
      <w:pPr>
        <w:pStyle w:val="Heading2"/>
      </w:pPr>
      <w:bookmarkStart w:id="3" w:name="_Toc225308993"/>
      <w:r w:rsidRPr="00562604">
        <w:lastRenderedPageBreak/>
        <w:t>2.2 Technological Factors: Innovation Leadership versus Adaptive Efficiency</w:t>
      </w:r>
      <w:bookmarkEnd w:id="3"/>
    </w:p>
    <w:p w:rsidR="00562604" w:rsidRDefault="00884208" w:rsidP="00562604">
      <w:r w:rsidRPr="00884208">
        <w:t>Technological forces are one of the significant forces of competitiveness drivers of the EV market since they allow the firm to differentiate, scale and innovate. Nevertheless, they mention risks of imitation that are also high, as well as massive capital requirements</w:t>
      </w:r>
      <w:r w:rsidR="00562604" w:rsidRPr="00562604">
        <w:t>.</w:t>
      </w:r>
    </w:p>
    <w:p w:rsidR="00562604" w:rsidRPr="00562604" w:rsidRDefault="00562604" w:rsidP="00562604">
      <w:pPr>
        <w:rPr>
          <w:b/>
          <w:bCs/>
        </w:rPr>
      </w:pPr>
      <w:r w:rsidRPr="00562604">
        <w:rPr>
          <w:b/>
          <w:bCs/>
        </w:rPr>
        <w:t>2.2.1 Technological Impact on Tesla (Pioneer Organisation)</w:t>
      </w:r>
    </w:p>
    <w:p w:rsidR="00562604" w:rsidRPr="004D6FF4" w:rsidRDefault="00884208" w:rsidP="00562604">
      <w:pPr>
        <w:rPr>
          <w:lang w:val="en-GB"/>
        </w:rPr>
      </w:pPr>
      <w:r w:rsidRPr="00884208">
        <w:t>Tesla enjoys strategic location that lies in technology. The firm as a market leader has been innovative in terms of battery life costumes, real driving and computer software co-creation (Maro, 2025). This has helped Tesla to have a keen differentiation strategy that has helped it to regulate high prices and a strong brand image of innovation and sustainability</w:t>
      </w:r>
      <w:r w:rsidR="00D405C4" w:rsidRPr="00D405C4">
        <w:t>.</w:t>
      </w:r>
    </w:p>
    <w:p w:rsidR="00D405C4" w:rsidRDefault="00D405C4" w:rsidP="00D405C4">
      <w:pPr>
        <w:keepNext/>
        <w:jc w:val="center"/>
      </w:pPr>
      <w:r w:rsidRPr="00D405C4">
        <w:rPr>
          <w:noProof/>
          <w:lang w:val="en-GB" w:eastAsia="en-GB"/>
        </w:rPr>
        <w:drawing>
          <wp:inline distT="0" distB="0" distL="0" distR="0">
            <wp:extent cx="5205095" cy="3538445"/>
            <wp:effectExtent l="152400" t="152400" r="357505" b="367030"/>
            <wp:docPr id="1608170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170307" name=""/>
                    <pic:cNvPicPr/>
                  </pic:nvPicPr>
                  <pic:blipFill>
                    <a:blip r:embed="rId11" cstate="print"/>
                    <a:stretch>
                      <a:fillRect/>
                    </a:stretch>
                  </pic:blipFill>
                  <pic:spPr>
                    <a:xfrm>
                      <a:off x="0" y="0"/>
                      <a:ext cx="5211235" cy="3542619"/>
                    </a:xfrm>
                    <a:prstGeom prst="rect">
                      <a:avLst/>
                    </a:prstGeom>
                    <a:ln>
                      <a:noFill/>
                    </a:ln>
                    <a:effectLst>
                      <a:outerShdw blurRad="292100" dist="139700" dir="2700000" algn="tl" rotWithShape="0">
                        <a:srgbClr val="333333">
                          <a:alpha val="65000"/>
                        </a:srgbClr>
                      </a:outerShdw>
                    </a:effectLst>
                  </pic:spPr>
                </pic:pic>
              </a:graphicData>
            </a:graphic>
          </wp:inline>
        </w:drawing>
      </w:r>
    </w:p>
    <w:p w:rsidR="00D405C4" w:rsidRDefault="00D405C4" w:rsidP="00D405C4">
      <w:pPr>
        <w:jc w:val="center"/>
        <w:rPr>
          <w:b/>
          <w:bCs/>
        </w:rPr>
      </w:pPr>
      <w:r w:rsidRPr="00D405C4">
        <w:rPr>
          <w:b/>
          <w:bCs/>
        </w:rPr>
        <w:t xml:space="preserve">Figure </w:t>
      </w:r>
      <w:r w:rsidR="00E8771F" w:rsidRPr="00D405C4">
        <w:rPr>
          <w:b/>
          <w:bCs/>
        </w:rPr>
        <w:fldChar w:fldCharType="begin"/>
      </w:r>
      <w:r w:rsidRPr="00D405C4">
        <w:rPr>
          <w:b/>
          <w:bCs/>
        </w:rPr>
        <w:instrText xml:space="preserve"> SEQ Figure \* ARABIC </w:instrText>
      </w:r>
      <w:r w:rsidR="00E8771F" w:rsidRPr="00D405C4">
        <w:rPr>
          <w:b/>
          <w:bCs/>
        </w:rPr>
        <w:fldChar w:fldCharType="separate"/>
      </w:r>
      <w:r w:rsidRPr="00D405C4">
        <w:rPr>
          <w:b/>
          <w:bCs/>
          <w:noProof/>
        </w:rPr>
        <w:t>2</w:t>
      </w:r>
      <w:r w:rsidR="00E8771F" w:rsidRPr="00D405C4">
        <w:rPr>
          <w:b/>
          <w:bCs/>
        </w:rPr>
        <w:fldChar w:fldCharType="end"/>
      </w:r>
      <w:r w:rsidRPr="00D405C4">
        <w:rPr>
          <w:b/>
          <w:bCs/>
        </w:rPr>
        <w:t>: Annual BEV Sales of Tesla and BYD</w:t>
      </w:r>
    </w:p>
    <w:p w:rsidR="00D405C4" w:rsidRDefault="00D405C4" w:rsidP="00D405C4">
      <w:pPr>
        <w:jc w:val="center"/>
      </w:pPr>
      <w:r w:rsidRPr="00D405C4">
        <w:t>Source: (Richter, 2026)</w:t>
      </w:r>
    </w:p>
    <w:p w:rsidR="00D405C4" w:rsidRDefault="000121B8" w:rsidP="00C82117">
      <w:r w:rsidRPr="000121B8">
        <w:t xml:space="preserve">Nonetheless, the technological advantage of Tesla is becoming harder to sustain. As presented in Figure 2, Tesla, despite its early market dominance, has lost its growth ambition to a projection of approximately 1.64 million vehicles distributed in 2025, </w:t>
      </w:r>
      <w:r>
        <w:t>highlighting</w:t>
      </w:r>
      <w:r w:rsidRPr="000121B8">
        <w:t xml:space="preserve"> rising </w:t>
      </w:r>
      <w:r w:rsidRPr="000121B8">
        <w:lastRenderedPageBreak/>
        <w:t>competition (Richter, 2026). This implies that first-mover advantage is not inevitable, especially in sectors that are volatile to fast diffusion of technology</w:t>
      </w:r>
      <w:r w:rsidR="00C82117">
        <w:t>.</w:t>
      </w:r>
    </w:p>
    <w:p w:rsidR="00C82117" w:rsidRPr="004D6FF4" w:rsidRDefault="000121B8" w:rsidP="00C82117">
      <w:pPr>
        <w:rPr>
          <w:lang w:val="en-GB"/>
        </w:rPr>
      </w:pPr>
      <w:r w:rsidRPr="000121B8">
        <w:t xml:space="preserve">Technologically, Tesla is at risk of several factors. </w:t>
      </w:r>
      <w:r>
        <w:t>First</w:t>
      </w:r>
      <w:r w:rsidRPr="000121B8">
        <w:t xml:space="preserve">, competitors such as BYD and other car manufacturers are rapidly copying innovations that are crucial and </w:t>
      </w:r>
      <w:proofErr w:type="spellStart"/>
      <w:r>
        <w:t>neglict</w:t>
      </w:r>
      <w:proofErr w:type="spellEnd"/>
      <w:r w:rsidRPr="000121B8">
        <w:t xml:space="preserve"> Tesla units (</w:t>
      </w:r>
      <w:proofErr w:type="spellStart"/>
      <w:r w:rsidRPr="000121B8">
        <w:t>Xu</w:t>
      </w:r>
      <w:proofErr w:type="spellEnd"/>
      <w:r w:rsidRPr="000121B8">
        <w:t>, 2024). Second, high degree of reliance on constant research and development done by the firm also causes pressure on costs which can pose a threat to its profitability. Third, Tesla offers a rather limited variety of products, which does not enable Tesla to enter many market segments, including ones with lower costs, where the demand is growing</w:t>
      </w:r>
      <w:r w:rsidR="00C82117" w:rsidRPr="00C82117">
        <w:t>. Thus, technological innovation has granted Tesla a considerable competitive advantage, but it now exposes the company to competitive convergence, where differentiation becomes increasingly difficult to sustain.</w:t>
      </w:r>
    </w:p>
    <w:p w:rsidR="00C82117" w:rsidRDefault="00C82117" w:rsidP="00C82117">
      <w:pPr>
        <w:rPr>
          <w:b/>
          <w:bCs/>
        </w:rPr>
      </w:pPr>
      <w:r w:rsidRPr="00C82117">
        <w:rPr>
          <w:b/>
          <w:bCs/>
        </w:rPr>
        <w:t>2.2.2 Technological Impact on BYD (Follower Organisation)</w:t>
      </w:r>
    </w:p>
    <w:p w:rsidR="00C82117" w:rsidRPr="004D6FF4" w:rsidRDefault="00C82117" w:rsidP="00C82117">
      <w:pPr>
        <w:rPr>
          <w:lang w:val="en-GB"/>
        </w:rPr>
      </w:pPr>
      <w:r>
        <w:t>In contrast</w:t>
      </w:r>
      <w:r w:rsidRPr="00C82117">
        <w:t>, BYD utilizes an incremental innovation and technological adjustment</w:t>
      </w:r>
      <w:r>
        <w:t>-</w:t>
      </w:r>
      <w:r w:rsidRPr="00C82117">
        <w:t>based approach as opposed to radical innovation. The strategy enables the firm to reduce risk, lower the cost of development and hasten production. The vertically integrated estate of business conducted especially in battery manufacturing makes BYD even cost efficient and operation controlled</w:t>
      </w:r>
      <w:r w:rsidR="004D6FF4">
        <w:t xml:space="preserve"> </w:t>
      </w:r>
      <w:r w:rsidR="004D6FF4" w:rsidRPr="004D6FF4">
        <w:rPr>
          <w:lang w:val="en-GB"/>
        </w:rPr>
        <w:t>(Kumar, 2025)</w:t>
      </w:r>
      <w:r w:rsidRPr="00C82117">
        <w:t>.</w:t>
      </w:r>
      <w:r>
        <w:t xml:space="preserve"> </w:t>
      </w:r>
      <w:r w:rsidRPr="00C82117">
        <w:t xml:space="preserve">This approach has proven successful in the growth of BYD. </w:t>
      </w:r>
      <w:r>
        <w:t>As demonstrated in Figure 2, b</w:t>
      </w:r>
      <w:r w:rsidRPr="00C82117">
        <w:t>y 2025, the company sold about 2.26 million EVs, attaining the USA market leadership over Tesla</w:t>
      </w:r>
      <w:r>
        <w:t xml:space="preserve"> </w:t>
      </w:r>
      <w:r w:rsidRPr="00D405C4">
        <w:t>(Richter, 2026)</w:t>
      </w:r>
      <w:r w:rsidRPr="00C82117">
        <w:t>. This shows how follower firms can effectively use technological improvements introduced by pioneers while avoiding the associated risks and costs.</w:t>
      </w:r>
    </w:p>
    <w:p w:rsidR="00C82117" w:rsidRPr="004D6FF4" w:rsidRDefault="00884208" w:rsidP="00C82117">
      <w:pPr>
        <w:rPr>
          <w:lang w:val="en-GB"/>
        </w:rPr>
      </w:pPr>
      <w:r w:rsidRPr="00884208">
        <w:t>However, BYD’s technological approach is not without limitations. It needs existing technologies to be applied, so its ability to reach a high level of differentiation in premium markets is limited and the factor of innovation and brand awareness plays an important role (Dwivedi and McDonald, 2025). Moreover, its global brand positioning can be impeded by perception of being an imitator, as opposed to innovative, given that developed nations associate value with technological leadership</w:t>
      </w:r>
      <w:r w:rsidR="00C82117" w:rsidRPr="00C82117">
        <w:t>.</w:t>
      </w:r>
    </w:p>
    <w:p w:rsidR="00C82117" w:rsidRPr="00C82117" w:rsidRDefault="00C82117" w:rsidP="00C82117">
      <w:pPr>
        <w:rPr>
          <w:b/>
          <w:bCs/>
        </w:rPr>
      </w:pPr>
      <w:r w:rsidRPr="00C82117">
        <w:rPr>
          <w:b/>
          <w:bCs/>
        </w:rPr>
        <w:t>2.2.3 Critical Evaluation of Technological Forces</w:t>
      </w:r>
    </w:p>
    <w:p w:rsidR="00884208" w:rsidRDefault="00884208" w:rsidP="00884208">
      <w:r>
        <w:t xml:space="preserve">The technological forces arise an asymmetric competition outcome amongst the Tesla and BYD firms. Tesla possesses a differentiation strategy based on innovation which has diminishing returns as the other firms also imitate it (Mangram, 2012). Rather, BYD enjoys </w:t>
      </w:r>
      <w:r>
        <w:lastRenderedPageBreak/>
        <w:t>the benefits of affordable flexibility and scalability to expand its market segment to ultimate mass market.</w:t>
      </w:r>
    </w:p>
    <w:p w:rsidR="00C82117" w:rsidRDefault="001A0B03" w:rsidP="00884208">
      <w:r>
        <w:t>These</w:t>
      </w:r>
      <w:r w:rsidR="00884208" w:rsidRPr="00884208">
        <w:t xml:space="preserve"> dynamic supports theoretical assertion that the cost of originality must be high to seal new markets and moisture gathers on such innovation by efficiency and copying</w:t>
      </w:r>
      <w:r w:rsidR="00884208">
        <w:t>. Therefore, technological forces are not always good, their impacts are conditioned by the success of a correspondence between the strategies of firms and the evolving conditions in the industry</w:t>
      </w:r>
      <w:r w:rsidR="005257FF">
        <w:t>.</w:t>
      </w:r>
    </w:p>
    <w:p w:rsidR="005257FF" w:rsidRPr="00E40174" w:rsidRDefault="00E40174" w:rsidP="00E40174">
      <w:pPr>
        <w:pStyle w:val="Heading2"/>
      </w:pPr>
      <w:bookmarkStart w:id="4" w:name="_Toc225308994"/>
      <w:r>
        <w:t xml:space="preserve">2.3 </w:t>
      </w:r>
      <w:r w:rsidR="005257FF" w:rsidRPr="00E40174">
        <w:t>Political and Regulatory Factors: Market Enabler and Strategic Constraint</w:t>
      </w:r>
      <w:bookmarkEnd w:id="4"/>
    </w:p>
    <w:p w:rsidR="005257FF" w:rsidRDefault="000121B8" w:rsidP="005257FF">
      <w:r w:rsidRPr="000121B8">
        <w:t>The EV sector is sensitive to the political and regulating forces where it disrupts consumer demand, costs of production, and access to markets. Enablers and constraints to firms are government policies like subsidies, tax incentives, and environmental regulations</w:t>
      </w:r>
      <w:r w:rsidR="005257FF" w:rsidRPr="005257FF">
        <w:t>.</w:t>
      </w:r>
    </w:p>
    <w:p w:rsidR="005257FF" w:rsidRPr="005257FF" w:rsidRDefault="005257FF" w:rsidP="005257FF">
      <w:pPr>
        <w:rPr>
          <w:b/>
          <w:bCs/>
        </w:rPr>
      </w:pPr>
      <w:r w:rsidRPr="005257FF">
        <w:rPr>
          <w:b/>
          <w:bCs/>
        </w:rPr>
        <w:t>2.3.1 Political Impact on Tesla (Pioneer Organisation)</w:t>
      </w:r>
    </w:p>
    <w:p w:rsidR="005257FF" w:rsidRDefault="000121B8" w:rsidP="005257FF">
      <w:r w:rsidRPr="000121B8">
        <w:t xml:space="preserve">Tesla has been blessed with </w:t>
      </w:r>
      <w:proofErr w:type="spellStart"/>
      <w:r w:rsidRPr="000121B8">
        <w:t>favorable</w:t>
      </w:r>
      <w:proofErr w:type="spellEnd"/>
      <w:r w:rsidRPr="000121B8">
        <w:t xml:space="preserve"> regulatory environments and, more so, in the US and Europe. The availability of tax credits and emission policies have also influenced consumers to purchase EVs and it has helped Tesla to receive a more powerful market presence (He et al., 2023). </w:t>
      </w:r>
      <w:r>
        <w:t>For</w:t>
      </w:r>
      <w:r w:rsidRPr="000121B8">
        <w:t xml:space="preserve"> example, Tesla has </w:t>
      </w:r>
      <w:r>
        <w:t>generated</w:t>
      </w:r>
      <w:r w:rsidRPr="000121B8">
        <w:t xml:space="preserve"> healthy regulatory credit income, worth billions of dollars to its bottom line</w:t>
      </w:r>
      <w:r w:rsidR="005257FF" w:rsidRPr="005257FF">
        <w:t>.</w:t>
      </w:r>
    </w:p>
    <w:p w:rsidR="005257FF" w:rsidRPr="004D6FF4" w:rsidRDefault="00C43F20" w:rsidP="005257FF">
      <w:pPr>
        <w:rPr>
          <w:lang w:val="en-GB"/>
        </w:rPr>
      </w:pPr>
      <w:r w:rsidRPr="00C43F20">
        <w:t>Nevertheless, Tesla is a risky one because of the reliance on the regulations. The decrease in the subsidies in the developed markets has already started to affect the demand and the firm has to modify its pricing policies. In addition, Tesla is more regulated regarding autonomous driving technologies, which can be converted into complicated compliance and increased operational expenses (Jin, 2022). Another problem, besides supply chains and market access disruption, is geopolitics and trade. These facts indicate how exposed the Tesla strategy is to outside politics, and its expansion is partly connected to the positive policy environment</w:t>
      </w:r>
      <w:r w:rsidR="005257FF">
        <w:t>.</w:t>
      </w:r>
    </w:p>
    <w:p w:rsidR="005257FF" w:rsidRPr="005257FF" w:rsidRDefault="005257FF" w:rsidP="005257FF">
      <w:pPr>
        <w:rPr>
          <w:b/>
          <w:bCs/>
        </w:rPr>
      </w:pPr>
      <w:r w:rsidRPr="005257FF">
        <w:rPr>
          <w:b/>
          <w:bCs/>
        </w:rPr>
        <w:t>2.3.2 Political Impact on BYD (Follower Organisation)</w:t>
      </w:r>
    </w:p>
    <w:p w:rsidR="005257FF" w:rsidRPr="00C82117" w:rsidRDefault="000121B8" w:rsidP="00E40174">
      <w:r w:rsidRPr="000121B8">
        <w:t>BYD has been reaping the benefits of strong government support in China, the world biggest EV market. In 2024, China recorded almost two-thirds of the worldwide EV sales as a result of massive subsidies, investments in infrastructures, and the industrial policy that enhanced local producers (IEA, 2025). This positive rate has seen BYD expand rapidly and gain a market leader status in the domestic market</w:t>
      </w:r>
      <w:r w:rsidR="005257FF" w:rsidRPr="005257FF">
        <w:t>.</w:t>
      </w:r>
    </w:p>
    <w:p w:rsidR="00562604" w:rsidRPr="004D6FF4" w:rsidRDefault="000121B8" w:rsidP="005257FF">
      <w:pPr>
        <w:rPr>
          <w:lang w:val="en-GB"/>
        </w:rPr>
      </w:pPr>
      <w:r w:rsidRPr="000121B8">
        <w:lastRenderedPageBreak/>
        <w:t>In addition to domestic advantages, BYD has made inroads in other countries by selling more than 1 million vehicles in 2025. This growth suggests that the company can tap into domestic policy support and the growing demand of affordable global EVs. However, BYD is susceptible to the political conditions within the foreign markets (Xin, 2025). Entry barriers and obstacles to its competitiveness in the global market are being created by forces like protectionism particularly in Europe and the United States. Its expansion strategy is also complicated by the risk of geopolitical tensions and dependence on supply chain</w:t>
      </w:r>
      <w:r w:rsidR="005257FF" w:rsidRPr="005257FF">
        <w:t>.</w:t>
      </w:r>
    </w:p>
    <w:p w:rsidR="005257FF" w:rsidRDefault="005257FF" w:rsidP="005257FF">
      <w:pPr>
        <w:rPr>
          <w:b/>
          <w:bCs/>
        </w:rPr>
      </w:pPr>
      <w:r w:rsidRPr="005257FF">
        <w:rPr>
          <w:b/>
          <w:bCs/>
        </w:rPr>
        <w:t>2.3.3 Critical Evaluation of Political Forces</w:t>
      </w:r>
    </w:p>
    <w:p w:rsidR="005257FF" w:rsidRPr="00B64E8E" w:rsidRDefault="005257FF" w:rsidP="005257FF">
      <w:pPr>
        <w:rPr>
          <w:lang w:val="en-GB"/>
        </w:rPr>
      </w:pPr>
      <w:r w:rsidRPr="005257FF">
        <w:t xml:space="preserve">Political and regulatory forces have a radically different impact on Tesla and BYD. Tesla has a more disjointed regulatory climate, which puts it at policy risk and subsidy cuts. Conversely, the BYD enjoys the privilege of </w:t>
      </w:r>
      <w:r w:rsidR="006B27B9">
        <w:t xml:space="preserve">highly </w:t>
      </w:r>
      <w:r w:rsidRPr="005257FF">
        <w:t>conducive domestic policy environment and suffers a draw back in foreign markets</w:t>
      </w:r>
      <w:r w:rsidR="00B64E8E">
        <w:t xml:space="preserve"> </w:t>
      </w:r>
      <w:r w:rsidR="00B64E8E" w:rsidRPr="00B64E8E">
        <w:rPr>
          <w:lang w:val="en-GB"/>
        </w:rPr>
        <w:t>(Fan, 2024)</w:t>
      </w:r>
      <w:r w:rsidRPr="005257FF">
        <w:t>.</w:t>
      </w:r>
      <w:r>
        <w:t xml:space="preserve"> </w:t>
      </w:r>
      <w:r w:rsidRPr="005257FF">
        <w:t>This demonstrates that political factors fail to produce even opportunities; rather they produce a competitive advantage that is geographically different, where those firms are more attuned to national policy goals.</w:t>
      </w:r>
    </w:p>
    <w:p w:rsidR="00E85DB4" w:rsidRPr="00E85DB4" w:rsidRDefault="00E85DB4" w:rsidP="00E85DB4">
      <w:pPr>
        <w:pStyle w:val="Heading2"/>
      </w:pPr>
      <w:bookmarkStart w:id="5" w:name="_Toc225308995"/>
      <w:r w:rsidRPr="00E85DB4">
        <w:t>2.4 Influence on Competitive Position</w:t>
      </w:r>
      <w:bookmarkEnd w:id="5"/>
    </w:p>
    <w:p w:rsidR="005257FF" w:rsidRPr="00B64E8E" w:rsidRDefault="00744953" w:rsidP="00E85DB4">
      <w:pPr>
        <w:rPr>
          <w:lang w:val="en-GB"/>
        </w:rPr>
      </w:pPr>
      <w:r w:rsidRPr="00744953">
        <w:t xml:space="preserve">Tesla and BYD have been significantly impacted by technological and political forces with regard to their competitive position. </w:t>
      </w:r>
      <w:r w:rsidR="00884208" w:rsidRPr="00884208">
        <w:t>Tesla being an innovator enjoys a great brand equity and technological expertise but is being threatened by imitation, regulation and low market cover (Rakesh Chinta, 2025). On the other side, BYD has been able to enter the market due to cost leadership, scale as well as desirable government policies. Its ability to deliver low-cost EVs across the diverse segments has made it grab a larger share of the worldwide market that has moved on the Tesla in regards to volumes of sales</w:t>
      </w:r>
      <w:r w:rsidR="00E85DB4">
        <w:t>.</w:t>
      </w:r>
    </w:p>
    <w:p w:rsidR="00E245C9" w:rsidRPr="00CB6906" w:rsidRDefault="00884208" w:rsidP="00E245C9">
      <w:r w:rsidRPr="00884208">
        <w:t>This shift also becomes the indication of even greater change in the EV sector in whose competitive edge is no longer anchored on novelty but, instead, on a combination of its cost-effectiveness, size, and attention to macro-environmental realities (Rakesh Chinta, 2025). Lastly, the discussion reveals that the macro-environmental forces do not impact all firms equally; they concentrate the benefits of competitive strategies between pioneers and those who follow on long-term, competitive trajectories</w:t>
      </w:r>
      <w:r w:rsidR="00E85DB4" w:rsidRPr="00CB6906">
        <w:t>.</w:t>
      </w:r>
    </w:p>
    <w:p w:rsidR="00E85DB4" w:rsidRDefault="00E85DB4" w:rsidP="00E85DB4">
      <w:pPr>
        <w:pStyle w:val="Heading1"/>
      </w:pPr>
      <w:bookmarkStart w:id="6" w:name="_Toc225308996"/>
      <w:r w:rsidRPr="00E85DB4">
        <w:lastRenderedPageBreak/>
        <w:t>Task 2: Strategic Responses and Evaluation</w:t>
      </w:r>
      <w:bookmarkEnd w:id="6"/>
    </w:p>
    <w:p w:rsidR="00E85DB4" w:rsidRDefault="00E85DB4" w:rsidP="00E85DB4">
      <w:r w:rsidRPr="00E85DB4">
        <w:t>Expanding on the macro-environmental analysis, Tesla and BYD have pursued opposite strategic course of action to technological and political forces to continue growth and stay afloat. The responses may be disapprovingly appraised by applying the Porters Generic Stra</w:t>
      </w:r>
      <w:r w:rsidR="00361C81">
        <w:t xml:space="preserve">tegies </w:t>
      </w:r>
      <w:r w:rsidRPr="00E85DB4">
        <w:t>with emphasis on remarkable and imitative strategies.</w:t>
      </w:r>
    </w:p>
    <w:p w:rsidR="00E85DB4" w:rsidRDefault="00E85DB4" w:rsidP="00E85DB4">
      <w:pPr>
        <w:pStyle w:val="Heading2"/>
        <w:numPr>
          <w:ilvl w:val="1"/>
          <w:numId w:val="1"/>
        </w:numPr>
      </w:pPr>
      <w:bookmarkStart w:id="7" w:name="_Toc225308997"/>
      <w:r w:rsidRPr="00E85DB4">
        <w:t>Tesla’s Strategic Response: Differentiation and Innovation-Led Growth</w:t>
      </w:r>
      <w:bookmarkEnd w:id="7"/>
    </w:p>
    <w:p w:rsidR="00B46E77" w:rsidRPr="00B64E8E" w:rsidRDefault="00E85DB4" w:rsidP="00E85DB4">
      <w:pPr>
        <w:rPr>
          <w:lang w:val="en-GB"/>
        </w:rPr>
      </w:pPr>
      <w:r w:rsidRPr="00E85DB4">
        <w:t xml:space="preserve">The reaction of Tesla to technological disruption has been based on differentiation strategy, </w:t>
      </w:r>
      <w:proofErr w:type="spellStart"/>
      <w:r w:rsidRPr="00E85DB4">
        <w:t>centered</w:t>
      </w:r>
      <w:proofErr w:type="spellEnd"/>
      <w:r w:rsidRPr="00E85DB4">
        <w:t xml:space="preserve"> on innovation, brand and </w:t>
      </w:r>
      <w:r w:rsidR="00B46E77" w:rsidRPr="00B46E77">
        <w:t xml:space="preserve">product </w:t>
      </w:r>
      <w:r w:rsidRPr="00E85DB4">
        <w:t>performance. With their ongoing battery technology, autonomous driving and software integration Tesla has developed a value proposition that is unique, enabling it to set top prices on its products</w:t>
      </w:r>
      <w:r w:rsidR="00B64E8E">
        <w:t xml:space="preserve"> </w:t>
      </w:r>
      <w:r w:rsidR="00B64E8E" w:rsidRPr="00B64E8E">
        <w:rPr>
          <w:lang w:val="en-GB"/>
        </w:rPr>
        <w:t>(Xiao, 2025)</w:t>
      </w:r>
      <w:r w:rsidRPr="00E85DB4">
        <w:t>. This is consistent with Porters argument that differentiation allows firms to gain competitive advantage based on apparent uniqueness compared to efficiency in terms of cost.</w:t>
      </w:r>
      <w:r w:rsidR="00361C81">
        <w:rPr>
          <w:lang w:val="en-GB"/>
        </w:rPr>
        <w:t xml:space="preserve"> </w:t>
      </w:r>
      <w:r>
        <w:t>However</w:t>
      </w:r>
      <w:r w:rsidRPr="00E85DB4">
        <w:t xml:space="preserve">, </w:t>
      </w:r>
      <w:r w:rsidR="00B46E77" w:rsidRPr="00B46E77">
        <w:t>the effectiveness of Tesla’s differentiation strategy is increasingly contested</w:t>
      </w:r>
      <w:r w:rsidRPr="00E85DB4">
        <w:t>. With rivals imitating central technologies, the uniqueness of Tesla products is slowly disappearing. In addition, premium pricing restricts its affordability in the price-sensitive markets, especially in the emerging markets where EVs with low prices are in high demand</w:t>
      </w:r>
      <w:r w:rsidR="00B64E8E">
        <w:t xml:space="preserve"> </w:t>
      </w:r>
      <w:r w:rsidR="00B64E8E" w:rsidRPr="00B64E8E">
        <w:rPr>
          <w:lang w:val="en-GB"/>
        </w:rPr>
        <w:t>(Molnár Vendel Bendegúz, 2025)</w:t>
      </w:r>
      <w:r w:rsidRPr="00E85DB4">
        <w:t>. This implies that Tesla differentiation strategy though successful initially has lessening returns as the market matures.</w:t>
      </w:r>
    </w:p>
    <w:p w:rsidR="00B46E77" w:rsidRPr="00B46E77" w:rsidRDefault="00B46E77" w:rsidP="00E40174">
      <w:pPr>
        <w:pStyle w:val="Heading2"/>
      </w:pPr>
      <w:bookmarkStart w:id="8" w:name="_Toc225308998"/>
      <w:r w:rsidRPr="00B46E77">
        <w:t>3.2 BYD’s Strategic Response: Cost Leadership and Market Expansion</w:t>
      </w:r>
      <w:bookmarkEnd w:id="8"/>
    </w:p>
    <w:p w:rsidR="00B46E77" w:rsidRPr="00B64E8E" w:rsidRDefault="00B46E77" w:rsidP="00E85DB4">
      <w:pPr>
        <w:rPr>
          <w:lang w:val="en-GB"/>
        </w:rPr>
      </w:pPr>
      <w:r w:rsidRPr="00B46E77">
        <w:t xml:space="preserve">In contrast, BYD has made use of a cost leadership strategy, being focused on affordability, operational efficiency, and large-scale production. </w:t>
      </w:r>
      <w:r w:rsidR="00C43F20" w:rsidRPr="00C43F20">
        <w:t>Through vertical integration, particularly battery production, BYD has achieved tremendous economies of scale that have ensured that they sell relatively cheap EVs in a variety of markets (Zhao and Luethje, 2025). This translates into the Porters cost leadership strategy whereby firms play off against one another whereby the cheapest cost producer in the industry. High growth and market share of BYD is an expression of the success of this approach. Its strategic capability to manufacture many low</w:t>
      </w:r>
      <w:r w:rsidR="00C43F20">
        <w:t>-</w:t>
      </w:r>
      <w:r w:rsidR="00C43F20" w:rsidRPr="00C43F20">
        <w:t>cost vehicles has enabled it to attain high market share particularly in China and other markets where price is sensitive. In addition, the value-based strategy is not inconsistent with the BYD price strategy; here, consumers are likely to adopt due to affordability and access</w:t>
      </w:r>
      <w:r w:rsidR="00C43F20">
        <w:t xml:space="preserve"> </w:t>
      </w:r>
      <w:r w:rsidR="00B64E8E" w:rsidRPr="00B64E8E">
        <w:rPr>
          <w:lang w:val="en-GB"/>
        </w:rPr>
        <w:t>(Liu, 2025)</w:t>
      </w:r>
      <w:r w:rsidRPr="00B46E77">
        <w:t>.</w:t>
      </w:r>
    </w:p>
    <w:p w:rsidR="00B46E77" w:rsidRDefault="00B46E77" w:rsidP="00B46E77">
      <w:pPr>
        <w:pStyle w:val="Heading2"/>
      </w:pPr>
      <w:bookmarkStart w:id="9" w:name="_Toc225308999"/>
      <w:r w:rsidRPr="00B46E77">
        <w:lastRenderedPageBreak/>
        <w:t>3.3 Comparative Evaluation of Strategic Responses</w:t>
      </w:r>
      <w:bookmarkEnd w:id="9"/>
    </w:p>
    <w:p w:rsidR="00B46E77" w:rsidRDefault="00744953" w:rsidP="00B46E77">
      <w:r w:rsidRPr="00744953">
        <w:t xml:space="preserve">Tesla and BYD strategic responses demonstrate that these companies approach managing macro-environmental pressures differently. </w:t>
      </w:r>
      <w:r w:rsidR="00593171" w:rsidRPr="00593171">
        <w:t>Tesla</w:t>
      </w:r>
      <w:r w:rsidR="001D2842">
        <w:t>’s</w:t>
      </w:r>
      <w:r w:rsidR="00593171" w:rsidRPr="00593171">
        <w:t xml:space="preserve"> differentiation and innovation directed strategy focuses on technology leadership and brand </w:t>
      </w:r>
      <w:r w:rsidR="001D2842">
        <w:t>image</w:t>
      </w:r>
      <w:r w:rsidR="00593171" w:rsidRPr="00593171">
        <w:t xml:space="preserve">, </w:t>
      </w:r>
      <w:r w:rsidR="001D2842">
        <w:t>while</w:t>
      </w:r>
      <w:r w:rsidR="00593171" w:rsidRPr="00593171">
        <w:t xml:space="preserve"> the BYD cost leadership and growth strategy focuses on efficiency and market coverage (Liu, 2025). Critically, Tesla</w:t>
      </w:r>
      <w:r w:rsidR="001D2842">
        <w:t xml:space="preserve">’s </w:t>
      </w:r>
      <w:r w:rsidR="00593171" w:rsidRPr="00593171">
        <w:t>strategy has a superior long-term capacity of sustaining competitive advantage in innovativeness</w:t>
      </w:r>
      <w:r w:rsidR="001D2842">
        <w:t xml:space="preserve">, however, </w:t>
      </w:r>
      <w:r w:rsidR="00593171" w:rsidRPr="00593171">
        <w:t>is pressured by increasing competition and market saturation. Conversely, BYD plan is strong within short to mid</w:t>
      </w:r>
      <w:r w:rsidR="00593171">
        <w:t>-t</w:t>
      </w:r>
      <w:r w:rsidR="00593171" w:rsidRPr="00593171">
        <w:t>erm, since it is tightly matched with the current market trend of affordable EV demand, and positive political atmosphere. Nevertheless, the sustainability of every strategy is based on the changing macro-environment (</w:t>
      </w:r>
      <w:proofErr w:type="spellStart"/>
      <w:r w:rsidR="00593171" w:rsidRPr="00593171">
        <w:t>Oppon</w:t>
      </w:r>
      <w:proofErr w:type="spellEnd"/>
      <w:r w:rsidR="00593171" w:rsidRPr="00593171">
        <w:t xml:space="preserve"> et al., 2023). With standardisation of technology, differentiation might not be easily maintained, at the expense of cost</w:t>
      </w:r>
      <w:r w:rsidR="00593171">
        <w:t>-e</w:t>
      </w:r>
      <w:r w:rsidR="00593171" w:rsidRPr="00593171">
        <w:t xml:space="preserve">fficient manufacturers like BYD. </w:t>
      </w:r>
      <w:r w:rsidR="00593171">
        <w:t>In contrast</w:t>
      </w:r>
      <w:r w:rsidR="00593171" w:rsidRPr="00593171">
        <w:t>, Tesla focus on innovations can be strategic as consumer demands shift to innovative functionality and brand experience</w:t>
      </w:r>
      <w:r w:rsidR="00B46E77">
        <w:t>.</w:t>
      </w:r>
    </w:p>
    <w:p w:rsidR="00361C81" w:rsidRPr="00361C81" w:rsidRDefault="001A0B03" w:rsidP="00361C81">
      <w:r w:rsidRPr="001A0B03">
        <w:t>Furthermore, the sustainability of these strategies must be evaluated in relation to evolving macro-environmental conditions. Although Tesla differentiation strategy has long-term cooperative value, it is increasingly limited in technical standardisation and competition that dilute perceived exclusivity</w:t>
      </w:r>
      <w:r w:rsidR="005C78DF">
        <w:t xml:space="preserve"> </w:t>
      </w:r>
      <w:r w:rsidR="005C78DF" w:rsidRPr="005C78DF">
        <w:t>(Wu et al., 2022)</w:t>
      </w:r>
      <w:r w:rsidRPr="001A0B03">
        <w:t xml:space="preserve">. This indicates that Tesla might be forced to incorporate the aspects of affordability to stay within market segments in the mass market. </w:t>
      </w:r>
      <w:r w:rsidR="00C43F20" w:rsidRPr="00C43F20">
        <w:t xml:space="preserve">In comparison, the cost leadership strategy preferred at BYD is aligned with market dynamics, particularly the need to have low-end electric cars in the new economies (JUNYU, 2024). Yet, excessive reliance on the cost of operations may also lead to strategic weakness because price war may make the profits the </w:t>
      </w:r>
      <w:proofErr w:type="spellStart"/>
      <w:r w:rsidR="00C43F20" w:rsidRPr="00C43F20">
        <w:t>razin</w:t>
      </w:r>
      <w:proofErr w:type="spellEnd"/>
      <w:r w:rsidR="00C43F20" w:rsidRPr="00C43F20">
        <w:t xml:space="preserve"> edge, limiting the long-term capacity to be profitable</w:t>
      </w:r>
      <w:r w:rsidR="00361C81" w:rsidRPr="00361C81">
        <w:t>.</w:t>
      </w:r>
    </w:p>
    <w:p w:rsidR="00361C81" w:rsidRPr="00361C81" w:rsidRDefault="005F2738" w:rsidP="00B46E77">
      <w:r w:rsidRPr="005F2738">
        <w:t>Accordingly, Tesla and BYD rivalry presupposes the approach toward the integration of strategies in which differentiation and the cost leadership are no longer sufficient. Firms should embark on pursuing hybrid solutions that can be innovative and efficient at the same time. This underlines that sustainable competitive advantage within the EV sector is not fixed</w:t>
      </w:r>
      <w:r>
        <w:t xml:space="preserve">, </w:t>
      </w:r>
      <w:r w:rsidRPr="005F2738">
        <w:t>but it will rely on the process of strategic adjustment to changes in technology and regulation</w:t>
      </w:r>
      <w:r w:rsidR="00361C81" w:rsidRPr="00361C81">
        <w:t>.</w:t>
      </w:r>
    </w:p>
    <w:p w:rsidR="00E40174" w:rsidRPr="00B46E77" w:rsidRDefault="00E40174" w:rsidP="00E40174">
      <w:pPr>
        <w:pStyle w:val="Heading1"/>
      </w:pPr>
      <w:bookmarkStart w:id="10" w:name="_Toc225309000"/>
      <w:r>
        <w:lastRenderedPageBreak/>
        <w:t>Conclusion</w:t>
      </w:r>
      <w:bookmarkEnd w:id="10"/>
      <w:r>
        <w:t xml:space="preserve"> </w:t>
      </w:r>
    </w:p>
    <w:p w:rsidR="00E85DB4" w:rsidRDefault="005F2738" w:rsidP="00E85DB4">
      <w:r w:rsidRPr="005F2738">
        <w:t>This report critically exposed the fact that not only the technological environmental factors but also the political ones have been very crucial to dictate the competitive advantage of Tesla and BYD. The innovation-led differentiation within Tesla has resulted in high-brand leadership and threats of substitution and governmental changes. Conversely, the cost leadership strategies and market expansion strategies have enabled BYD to grow swiftly and conquer markets especially the price sensitive ones. Finally, sustainable competitive advantage in the EV industry depends on the ability to respond strategically to changeable external conditions with efficiency, scalability and never-ending adaptation becoming as important as innovation</w:t>
      </w:r>
      <w:r w:rsidR="00E40174" w:rsidRPr="00E40174">
        <w:t>.</w:t>
      </w:r>
    </w:p>
    <w:p w:rsidR="00E40174" w:rsidRDefault="00E40174">
      <w:pPr>
        <w:spacing w:line="259" w:lineRule="auto"/>
        <w:jc w:val="left"/>
      </w:pPr>
      <w:r>
        <w:br w:type="page"/>
      </w:r>
    </w:p>
    <w:p w:rsidR="00E40174" w:rsidRPr="00E85DB4" w:rsidRDefault="00E40174" w:rsidP="00E40174">
      <w:pPr>
        <w:pStyle w:val="Heading1"/>
      </w:pPr>
      <w:bookmarkStart w:id="11" w:name="_Toc225309001"/>
      <w:r>
        <w:lastRenderedPageBreak/>
        <w:t>References</w:t>
      </w:r>
      <w:bookmarkEnd w:id="11"/>
      <w:r>
        <w:t xml:space="preserve"> </w:t>
      </w:r>
    </w:p>
    <w:p w:rsidR="00CB6906" w:rsidRPr="00CB6906" w:rsidRDefault="00CB6906" w:rsidP="00CB6906">
      <w:pPr>
        <w:rPr>
          <w:lang w:val="en-US"/>
        </w:rPr>
      </w:pPr>
      <w:r w:rsidRPr="00CB6906">
        <w:rPr>
          <w:lang w:val="en-US"/>
        </w:rPr>
        <w:t xml:space="preserve">Dwivedi, A. and McDonald, B. (2025). A model of brand price </w:t>
      </w:r>
      <w:proofErr w:type="spellStart"/>
      <w:r w:rsidRPr="00CB6906">
        <w:rPr>
          <w:lang w:val="en-US"/>
        </w:rPr>
        <w:t>premiumness</w:t>
      </w:r>
      <w:proofErr w:type="spellEnd"/>
      <w:r w:rsidRPr="00CB6906">
        <w:rPr>
          <w:lang w:val="en-US"/>
        </w:rPr>
        <w:t xml:space="preserve"> and its marketing outcomes. </w:t>
      </w:r>
      <w:r w:rsidRPr="00CB6906">
        <w:rPr>
          <w:i/>
          <w:iCs/>
          <w:lang w:val="en-US"/>
        </w:rPr>
        <w:t>Journal of Marketing Theory and Practice</w:t>
      </w:r>
      <w:r w:rsidRPr="00CB6906">
        <w:rPr>
          <w:lang w:val="en-US"/>
        </w:rPr>
        <w:t xml:space="preserve">, pp.1–22. </w:t>
      </w:r>
      <w:proofErr w:type="spellStart"/>
      <w:r w:rsidRPr="00CB6906">
        <w:rPr>
          <w:lang w:val="en-US"/>
        </w:rPr>
        <w:t>doi:</w:t>
      </w:r>
      <w:hyperlink r:id="rId12" w:history="1">
        <w:r w:rsidRPr="00CB6906">
          <w:rPr>
            <w:rStyle w:val="Hyperlink"/>
            <w:lang w:val="en-US"/>
          </w:rPr>
          <w:t>https</w:t>
        </w:r>
        <w:proofErr w:type="spellEnd"/>
        <w:r w:rsidRPr="00CB6906">
          <w:rPr>
            <w:rStyle w:val="Hyperlink"/>
            <w:lang w:val="en-US"/>
          </w:rPr>
          <w:t>://doi.org/10.1080/10696679.2025.2544671</w:t>
        </w:r>
      </w:hyperlink>
      <w:r w:rsidRPr="00CB6906">
        <w:rPr>
          <w:lang w:val="en-US"/>
        </w:rPr>
        <w:t>.</w:t>
      </w:r>
    </w:p>
    <w:p w:rsidR="00CB6906" w:rsidRPr="00CB6906" w:rsidRDefault="00CB6906" w:rsidP="00CB6906">
      <w:pPr>
        <w:rPr>
          <w:lang w:val="en-US"/>
        </w:rPr>
      </w:pPr>
      <w:r w:rsidRPr="00CB6906">
        <w:rPr>
          <w:lang w:val="en-US"/>
        </w:rPr>
        <w:t xml:space="preserve">Eichhorn, T., Schaller, L., </w:t>
      </w:r>
      <w:proofErr w:type="spellStart"/>
      <w:r w:rsidRPr="00CB6906">
        <w:rPr>
          <w:lang w:val="en-US"/>
        </w:rPr>
        <w:t>Hamunen</w:t>
      </w:r>
      <w:proofErr w:type="spellEnd"/>
      <w:r w:rsidRPr="00CB6906">
        <w:rPr>
          <w:lang w:val="en-US"/>
        </w:rPr>
        <w:t xml:space="preserve">, K. and Runge, T. (2024). </w:t>
      </w:r>
      <w:r w:rsidRPr="00CB6906">
        <w:rPr>
          <w:i/>
          <w:iCs/>
          <w:lang w:val="en-US"/>
        </w:rPr>
        <w:t xml:space="preserve">Exploring macro-environmental factors influencing adoption of result-based and collective agri-environmental </w:t>
      </w:r>
      <w:proofErr w:type="gramStart"/>
      <w:r w:rsidRPr="00CB6906">
        <w:rPr>
          <w:i/>
          <w:iCs/>
          <w:lang w:val="en-US"/>
        </w:rPr>
        <w:t>measures :</w:t>
      </w:r>
      <w:proofErr w:type="gramEnd"/>
      <w:r w:rsidRPr="00CB6906">
        <w:rPr>
          <w:i/>
          <w:iCs/>
          <w:lang w:val="en-US"/>
        </w:rPr>
        <w:t xml:space="preserve"> a PESTLE approach based on stakeholder statements</w:t>
      </w:r>
      <w:r w:rsidRPr="00CB6906">
        <w:rPr>
          <w:lang w:val="en-US"/>
        </w:rPr>
        <w:t xml:space="preserve">. [online] Luke.fi. Available at: </w:t>
      </w:r>
      <w:hyperlink r:id="rId13" w:history="1">
        <w:r w:rsidRPr="00CB6906">
          <w:rPr>
            <w:rStyle w:val="Hyperlink"/>
            <w:lang w:val="en-US"/>
          </w:rPr>
          <w:t>https://jukuri.luke.fi/items/933793f3-2281-4719-9154-3a2393b9a210</w:t>
        </w:r>
      </w:hyperlink>
      <w:r w:rsidRPr="00CB6906">
        <w:rPr>
          <w:lang w:val="en-US"/>
        </w:rPr>
        <w:t>.</w:t>
      </w:r>
    </w:p>
    <w:p w:rsidR="00CB6906" w:rsidRPr="00CB6906" w:rsidRDefault="00CB6906" w:rsidP="00CB6906">
      <w:pPr>
        <w:rPr>
          <w:lang w:val="en-US"/>
        </w:rPr>
      </w:pPr>
      <w:r w:rsidRPr="00CB6906">
        <w:rPr>
          <w:lang w:val="en-US"/>
        </w:rPr>
        <w:t xml:space="preserve">Fan, X. (2024). </w:t>
      </w:r>
      <w:r w:rsidRPr="00CB6906">
        <w:rPr>
          <w:i/>
          <w:iCs/>
          <w:lang w:val="en-US"/>
        </w:rPr>
        <w:t>Navigating the German EV Market: Strategies for BYD’s Sales Growth</w:t>
      </w:r>
      <w:r w:rsidRPr="00CB6906">
        <w:rPr>
          <w:lang w:val="en-US"/>
        </w:rPr>
        <w:t xml:space="preserve">. [online] Available at: </w:t>
      </w:r>
      <w:hyperlink r:id="rId14" w:history="1">
        <w:r w:rsidRPr="00CB6906">
          <w:rPr>
            <w:rStyle w:val="Hyperlink"/>
            <w:lang w:val="en-US"/>
          </w:rPr>
          <w:t>https://research-api.cbs.dk/ws/portalfiles/portal/108050208/1853954_Master_Thesis_Xinyi_Fan_May_2024.pdf</w:t>
        </w:r>
      </w:hyperlink>
      <w:r w:rsidRPr="00CB6906">
        <w:rPr>
          <w:lang w:val="en-US"/>
        </w:rPr>
        <w:t>.</w:t>
      </w:r>
    </w:p>
    <w:p w:rsidR="00CB6906" w:rsidRDefault="00CB6906" w:rsidP="00E245C9">
      <w:r w:rsidRPr="00A77F06">
        <w:t xml:space="preserve">Gini, K.B. and Agala, H.O., </w:t>
      </w:r>
      <w:r>
        <w:t>(</w:t>
      </w:r>
      <w:r w:rsidRPr="00A77F06">
        <w:t>2023</w:t>
      </w:r>
      <w:r>
        <w:t>)</w:t>
      </w:r>
      <w:r w:rsidRPr="00A77F06">
        <w:t>. The Impact of Macro-Environmental Factors on Business Performance. </w:t>
      </w:r>
      <w:r w:rsidRPr="00A77F06">
        <w:rPr>
          <w:i/>
          <w:iCs/>
        </w:rPr>
        <w:t>International Journal of Research and Innovation in Social Science</w:t>
      </w:r>
      <w:r w:rsidRPr="00A77F06">
        <w:t>, </w:t>
      </w:r>
      <w:r w:rsidRPr="00A77F06">
        <w:rPr>
          <w:i/>
          <w:iCs/>
        </w:rPr>
        <w:t>7</w:t>
      </w:r>
      <w:r w:rsidRPr="00A77F06">
        <w:t>(11), pp.1837-1843.</w:t>
      </w:r>
      <w:r>
        <w:t xml:space="preserve"> </w:t>
      </w:r>
      <w:hyperlink r:id="rId15" w:history="1">
        <w:r w:rsidRPr="0000653C">
          <w:rPr>
            <w:rStyle w:val="Hyperlink"/>
          </w:rPr>
          <w:t>https://www.researchgate.net/profile/Kiyentei-Gini/publication/376792903_The_Impact_of_Macro-Environmental_Factors_on_Business_Performance/links/6588b2f30bb2c7472b09d265/The-Impact-of-Macro-Environmental-Factors-on-Business-Performance.pdf</w:t>
        </w:r>
      </w:hyperlink>
      <w:r>
        <w:t>.</w:t>
      </w:r>
    </w:p>
    <w:p w:rsidR="00CB6906" w:rsidRPr="00CB6906" w:rsidRDefault="00CB6906" w:rsidP="00CB6906">
      <w:pPr>
        <w:rPr>
          <w:lang w:val="en-US"/>
        </w:rPr>
      </w:pPr>
      <w:proofErr w:type="spellStart"/>
      <w:r w:rsidRPr="00CB6906">
        <w:rPr>
          <w:lang w:val="en-US"/>
        </w:rPr>
        <w:t>Hamdouna</w:t>
      </w:r>
      <w:proofErr w:type="spellEnd"/>
      <w:r w:rsidRPr="00CB6906">
        <w:rPr>
          <w:lang w:val="en-US"/>
        </w:rPr>
        <w:t xml:space="preserve">, M. and </w:t>
      </w:r>
      <w:proofErr w:type="spellStart"/>
      <w:r w:rsidRPr="00CB6906">
        <w:rPr>
          <w:lang w:val="en-US"/>
        </w:rPr>
        <w:t>Khmelyarchuk</w:t>
      </w:r>
      <w:proofErr w:type="spellEnd"/>
      <w:r w:rsidRPr="00CB6906">
        <w:rPr>
          <w:lang w:val="en-US"/>
        </w:rPr>
        <w:t xml:space="preserve">, M. (2025). Technological Innovations Shaping Sustainable Competitiveness—A Systematic Review. </w:t>
      </w:r>
      <w:r w:rsidRPr="00CB6906">
        <w:rPr>
          <w:i/>
          <w:iCs/>
          <w:lang w:val="en-US"/>
        </w:rPr>
        <w:t>Sustainability</w:t>
      </w:r>
      <w:r w:rsidRPr="00CB6906">
        <w:rPr>
          <w:lang w:val="en-US"/>
        </w:rPr>
        <w:t xml:space="preserve">, [online] 17(5), pp.1953–1953. </w:t>
      </w:r>
      <w:proofErr w:type="spellStart"/>
      <w:r w:rsidRPr="00CB6906">
        <w:rPr>
          <w:lang w:val="en-US"/>
        </w:rPr>
        <w:t>doi:</w:t>
      </w:r>
      <w:hyperlink r:id="rId16" w:history="1">
        <w:r w:rsidRPr="00CB6906">
          <w:rPr>
            <w:rStyle w:val="Hyperlink"/>
            <w:lang w:val="en-US"/>
          </w:rPr>
          <w:t>https</w:t>
        </w:r>
        <w:proofErr w:type="spellEnd"/>
        <w:r w:rsidRPr="00CB6906">
          <w:rPr>
            <w:rStyle w:val="Hyperlink"/>
            <w:lang w:val="en-US"/>
          </w:rPr>
          <w:t>://doi.org/10.3390/su17051953</w:t>
        </w:r>
      </w:hyperlink>
      <w:r w:rsidRPr="00CB6906">
        <w:rPr>
          <w:lang w:val="en-US"/>
        </w:rPr>
        <w:t>.</w:t>
      </w:r>
    </w:p>
    <w:p w:rsidR="00CB6906" w:rsidRPr="00CB6906" w:rsidRDefault="00CB6906" w:rsidP="00CB6906">
      <w:pPr>
        <w:rPr>
          <w:lang w:val="en-US"/>
        </w:rPr>
      </w:pPr>
      <w:r w:rsidRPr="00CB6906">
        <w:rPr>
          <w:lang w:val="en-US"/>
        </w:rPr>
        <w:t xml:space="preserve">He, C., Ozturk, O.C., Gu, C. and </w:t>
      </w:r>
      <w:proofErr w:type="spellStart"/>
      <w:r w:rsidRPr="00CB6906">
        <w:rPr>
          <w:lang w:val="en-US"/>
        </w:rPr>
        <w:t>Chintagunta</w:t>
      </w:r>
      <w:proofErr w:type="spellEnd"/>
      <w:r w:rsidRPr="00CB6906">
        <w:rPr>
          <w:lang w:val="en-US"/>
        </w:rPr>
        <w:t xml:space="preserve">, P.K. (2023). Consumer Tax Credits for EVs: Some Quasi-Experimental Evidence on Consumer Demand, Product Substitution, and Carbon Emissions. </w:t>
      </w:r>
      <w:r w:rsidRPr="00CB6906">
        <w:rPr>
          <w:i/>
          <w:iCs/>
          <w:lang w:val="en-US"/>
        </w:rPr>
        <w:t>Management Science</w:t>
      </w:r>
      <w:r w:rsidRPr="00CB6906">
        <w:rPr>
          <w:lang w:val="en-US"/>
        </w:rPr>
        <w:t xml:space="preserve">, 69(12). </w:t>
      </w:r>
      <w:proofErr w:type="spellStart"/>
      <w:r w:rsidRPr="00CB6906">
        <w:rPr>
          <w:lang w:val="en-US"/>
        </w:rPr>
        <w:t>doi:</w:t>
      </w:r>
      <w:hyperlink r:id="rId17" w:history="1">
        <w:r w:rsidRPr="00CB6906">
          <w:rPr>
            <w:rStyle w:val="Hyperlink"/>
            <w:lang w:val="en-US"/>
          </w:rPr>
          <w:t>https</w:t>
        </w:r>
        <w:proofErr w:type="spellEnd"/>
        <w:r w:rsidRPr="00CB6906">
          <w:rPr>
            <w:rStyle w:val="Hyperlink"/>
            <w:lang w:val="en-US"/>
          </w:rPr>
          <w:t>://doi.org/10.1287/mnsc.2023.4781</w:t>
        </w:r>
      </w:hyperlink>
      <w:r w:rsidRPr="00CB6906">
        <w:rPr>
          <w:lang w:val="en-US"/>
        </w:rPr>
        <w:t>.</w:t>
      </w:r>
    </w:p>
    <w:p w:rsidR="00CB6906" w:rsidRPr="00E40174" w:rsidRDefault="00CB6906" w:rsidP="00E40174">
      <w:pPr>
        <w:rPr>
          <w:lang w:val="en-US"/>
        </w:rPr>
      </w:pPr>
      <w:r w:rsidRPr="00E40174">
        <w:rPr>
          <w:lang w:val="en-US"/>
        </w:rPr>
        <w:t xml:space="preserve">IEA (2025). </w:t>
      </w:r>
      <w:r w:rsidRPr="00E40174">
        <w:rPr>
          <w:i/>
          <w:iCs/>
          <w:lang w:val="en-US"/>
        </w:rPr>
        <w:t>Trends in electric car markets – Global EV Outlook 2025</w:t>
      </w:r>
      <w:r w:rsidRPr="00E40174">
        <w:rPr>
          <w:lang w:val="en-US"/>
        </w:rPr>
        <w:t xml:space="preserve">. [online] IEA. Available at: </w:t>
      </w:r>
      <w:hyperlink r:id="rId18" w:history="1">
        <w:r w:rsidRPr="00E40174">
          <w:rPr>
            <w:rStyle w:val="Hyperlink"/>
            <w:lang w:val="en-US"/>
          </w:rPr>
          <w:t>https://www.iea.org/reports/global-ev-outlook-2025/trends-in-electric-car-markets-2</w:t>
        </w:r>
      </w:hyperlink>
      <w:r w:rsidRPr="00E40174">
        <w:rPr>
          <w:lang w:val="en-US"/>
        </w:rPr>
        <w:t>.</w:t>
      </w:r>
    </w:p>
    <w:p w:rsidR="00050618" w:rsidRDefault="00050618" w:rsidP="00CB6906">
      <w:r w:rsidRPr="00050618">
        <w:t xml:space="preserve">JUNYU, N. (2024). </w:t>
      </w:r>
      <w:r w:rsidRPr="00050618">
        <w:rPr>
          <w:i/>
          <w:iCs/>
        </w:rPr>
        <w:t>A STUDY OF THE COMPETITIVE STRATEGY OF BYD’S NEW ENERGY VEHICLE BUSINESS</w:t>
      </w:r>
      <w:r w:rsidRPr="00050618">
        <w:t xml:space="preserve">. [online] Available at: </w:t>
      </w:r>
      <w:hyperlink r:id="rId19" w:history="1">
        <w:r w:rsidRPr="00050618">
          <w:rPr>
            <w:rStyle w:val="Hyperlink"/>
          </w:rPr>
          <w:t>https://e-research.siam.edu/wp-</w:t>
        </w:r>
        <w:r w:rsidRPr="00050618">
          <w:rPr>
            <w:rStyle w:val="Hyperlink"/>
          </w:rPr>
          <w:lastRenderedPageBreak/>
          <w:t>content/uploads/2025/07/MBA-2024-IS-Ning-JunYu-6517195001-A-Study-of-the-Competitive.pdf</w:t>
        </w:r>
      </w:hyperlink>
      <w:r w:rsidRPr="00050618">
        <w:t>.</w:t>
      </w:r>
    </w:p>
    <w:p w:rsidR="00CB6906" w:rsidRPr="00050618" w:rsidRDefault="00CB6906" w:rsidP="00CB6906">
      <w:r w:rsidRPr="00CB6906">
        <w:rPr>
          <w:lang w:val="en-US"/>
        </w:rPr>
        <w:t xml:space="preserve">Jin, H. (2022). </w:t>
      </w:r>
      <w:proofErr w:type="spellStart"/>
      <w:r w:rsidRPr="00CB6906">
        <w:rPr>
          <w:lang w:val="en-US"/>
        </w:rPr>
        <w:t>Factbox</w:t>
      </w:r>
      <w:proofErr w:type="spellEnd"/>
      <w:r w:rsidRPr="00CB6906">
        <w:rPr>
          <w:lang w:val="en-US"/>
        </w:rPr>
        <w:t xml:space="preserve">: Tesla’s Autopilot faces unprecedented scrutiny. </w:t>
      </w:r>
      <w:r w:rsidRPr="00CB6906">
        <w:rPr>
          <w:i/>
          <w:iCs/>
          <w:lang w:val="en-US"/>
        </w:rPr>
        <w:t>Reuters</w:t>
      </w:r>
      <w:r w:rsidRPr="00CB6906">
        <w:rPr>
          <w:lang w:val="en-US"/>
        </w:rPr>
        <w:t xml:space="preserve">. [online] 1 Nov. Available at: </w:t>
      </w:r>
      <w:hyperlink r:id="rId20" w:history="1">
        <w:r w:rsidRPr="00CB6906">
          <w:rPr>
            <w:rStyle w:val="Hyperlink"/>
            <w:lang w:val="en-US"/>
          </w:rPr>
          <w:t>https://www.reuters.com/business/autos-transportation/teslas-autopilot-faces-unprecedented-scrutiny-2022-11-01/</w:t>
        </w:r>
      </w:hyperlink>
      <w:r w:rsidRPr="00CB6906">
        <w:rPr>
          <w:lang w:val="en-US"/>
        </w:rPr>
        <w:t>.</w:t>
      </w:r>
    </w:p>
    <w:p w:rsidR="00CB6906" w:rsidRPr="00CB6906" w:rsidRDefault="00CB6906" w:rsidP="00CB6906">
      <w:pPr>
        <w:rPr>
          <w:lang w:val="en-US"/>
        </w:rPr>
      </w:pPr>
      <w:r w:rsidRPr="00CB6906">
        <w:rPr>
          <w:lang w:val="en-US"/>
        </w:rPr>
        <w:t xml:space="preserve">Kumar, A. (2025). </w:t>
      </w:r>
      <w:r w:rsidRPr="00CB6906">
        <w:rPr>
          <w:i/>
          <w:iCs/>
          <w:lang w:val="en-US"/>
        </w:rPr>
        <w:t>Case Study Addendum: Why BYD Leads in EV Battery Manufacturing</w:t>
      </w:r>
      <w:r w:rsidRPr="00CB6906">
        <w:rPr>
          <w:lang w:val="en-US"/>
        </w:rPr>
        <w:t xml:space="preserve">. [online] Energy Central. Available at: </w:t>
      </w:r>
      <w:hyperlink r:id="rId21" w:history="1">
        <w:r w:rsidRPr="00CB6906">
          <w:rPr>
            <w:rStyle w:val="Hyperlink"/>
            <w:lang w:val="en-US"/>
          </w:rPr>
          <w:t>https://www.energycentral.com/energy-biz/post/case-study-addendum-why-byd-leads-ev-battery-manufacturing-0-Z6FpdiT9HWH79sb</w:t>
        </w:r>
      </w:hyperlink>
      <w:r w:rsidRPr="00CB6906">
        <w:rPr>
          <w:lang w:val="en-US"/>
        </w:rPr>
        <w:t>.</w:t>
      </w:r>
    </w:p>
    <w:p w:rsidR="00CB6906" w:rsidRPr="00CB6906" w:rsidRDefault="00CB6906" w:rsidP="00CB6906">
      <w:pPr>
        <w:rPr>
          <w:lang w:val="en-US"/>
        </w:rPr>
      </w:pPr>
      <w:r w:rsidRPr="00CB6906">
        <w:rPr>
          <w:lang w:val="en-US"/>
        </w:rPr>
        <w:t xml:space="preserve">Liu, Y. (2025). BYD’s Pricing Strategy in the EV Market: Comparative Analysis with Tesla and Strategic Recommendations for Sustainable Development. </w:t>
      </w:r>
      <w:r w:rsidRPr="00CB6906">
        <w:rPr>
          <w:i/>
          <w:iCs/>
          <w:lang w:val="en-US"/>
        </w:rPr>
        <w:t>Finance &amp; Economics</w:t>
      </w:r>
      <w:r w:rsidRPr="00CB6906">
        <w:rPr>
          <w:lang w:val="en-US"/>
        </w:rPr>
        <w:t xml:space="preserve">, [online] 1(6). </w:t>
      </w:r>
      <w:proofErr w:type="spellStart"/>
      <w:r w:rsidRPr="00CB6906">
        <w:rPr>
          <w:lang w:val="en-US"/>
        </w:rPr>
        <w:t>doi:</w:t>
      </w:r>
      <w:hyperlink r:id="rId22" w:history="1">
        <w:r w:rsidRPr="00CB6906">
          <w:rPr>
            <w:rStyle w:val="Hyperlink"/>
            <w:lang w:val="en-US"/>
          </w:rPr>
          <w:t>https</w:t>
        </w:r>
        <w:proofErr w:type="spellEnd"/>
        <w:r w:rsidRPr="00CB6906">
          <w:rPr>
            <w:rStyle w:val="Hyperlink"/>
            <w:lang w:val="en-US"/>
          </w:rPr>
          <w:t>://doi.org/10.61173/jwzch613</w:t>
        </w:r>
      </w:hyperlink>
      <w:r w:rsidRPr="00CB6906">
        <w:rPr>
          <w:lang w:val="en-US"/>
        </w:rPr>
        <w:t>.</w:t>
      </w:r>
    </w:p>
    <w:p w:rsidR="00CB6906" w:rsidRPr="00CB6906" w:rsidRDefault="00CB6906" w:rsidP="00CB6906">
      <w:pPr>
        <w:rPr>
          <w:lang w:val="en-US"/>
        </w:rPr>
      </w:pPr>
      <w:r w:rsidRPr="00CB6906">
        <w:rPr>
          <w:lang w:val="en-US"/>
        </w:rPr>
        <w:t xml:space="preserve">Mangram, M. (2012). </w:t>
      </w:r>
      <w:r w:rsidRPr="00CB6906">
        <w:rPr>
          <w:i/>
          <w:iCs/>
          <w:lang w:val="en-US"/>
        </w:rPr>
        <w:t>The globalization of Tesla Motors: A strategic marketing plan analysis</w:t>
      </w:r>
      <w:r w:rsidRPr="00CB6906">
        <w:rPr>
          <w:lang w:val="en-US"/>
        </w:rPr>
        <w:t xml:space="preserve">. [online] ResearchGate. Available at: </w:t>
      </w:r>
      <w:hyperlink r:id="rId23" w:history="1">
        <w:r w:rsidRPr="00CB6906">
          <w:rPr>
            <w:rStyle w:val="Hyperlink"/>
            <w:lang w:val="en-US"/>
          </w:rPr>
          <w:t>https://www.researchgate.net/publication/254322834_The_globalization_of_Tesla_Motors_A_strategic_marketing_plan_analysis</w:t>
        </w:r>
      </w:hyperlink>
      <w:r w:rsidRPr="00CB6906">
        <w:rPr>
          <w:lang w:val="en-US"/>
        </w:rPr>
        <w:t>.</w:t>
      </w:r>
    </w:p>
    <w:p w:rsidR="00CB6906" w:rsidRPr="00CB6906" w:rsidRDefault="00CB6906" w:rsidP="00CB6906">
      <w:pPr>
        <w:rPr>
          <w:lang w:val="en-US"/>
        </w:rPr>
      </w:pPr>
      <w:r w:rsidRPr="00CB6906">
        <w:rPr>
          <w:lang w:val="en-US"/>
        </w:rPr>
        <w:t xml:space="preserve">Maro, D. (2025). Business Model Innovation in the Renewable Energy Storage Market: An Empirical Analysis of Leading Global Battery Energy Storage System </w:t>
      </w:r>
      <w:proofErr w:type="gramStart"/>
      <w:r w:rsidRPr="00CB6906">
        <w:rPr>
          <w:lang w:val="en-US"/>
        </w:rPr>
        <w:t>Companies  -</w:t>
      </w:r>
      <w:proofErr w:type="gramEnd"/>
      <w:r w:rsidRPr="00CB6906">
        <w:rPr>
          <w:lang w:val="en-US"/>
        </w:rPr>
        <w:t xml:space="preserve"> </w:t>
      </w:r>
      <w:proofErr w:type="spellStart"/>
      <w:r w:rsidRPr="00CB6906">
        <w:rPr>
          <w:lang w:val="en-US"/>
        </w:rPr>
        <w:t>WebThesis</w:t>
      </w:r>
      <w:proofErr w:type="spellEnd"/>
      <w:r w:rsidRPr="00CB6906">
        <w:rPr>
          <w:lang w:val="en-US"/>
        </w:rPr>
        <w:t xml:space="preserve">. </w:t>
      </w:r>
      <w:r w:rsidRPr="00CB6906">
        <w:rPr>
          <w:i/>
          <w:iCs/>
          <w:lang w:val="en-US"/>
        </w:rPr>
        <w:t>Polito.it</w:t>
      </w:r>
      <w:r w:rsidRPr="00CB6906">
        <w:rPr>
          <w:lang w:val="en-US"/>
        </w:rPr>
        <w:t xml:space="preserve">. [online] </w:t>
      </w:r>
      <w:proofErr w:type="spellStart"/>
      <w:r w:rsidRPr="00CB6906">
        <w:rPr>
          <w:lang w:val="en-US"/>
        </w:rPr>
        <w:t>doi:</w:t>
      </w:r>
      <w:hyperlink r:id="rId24" w:history="1">
        <w:r w:rsidRPr="00CB6906">
          <w:rPr>
            <w:rStyle w:val="Hyperlink"/>
            <w:lang w:val="en-US"/>
          </w:rPr>
          <w:t>https</w:t>
        </w:r>
        <w:proofErr w:type="spellEnd"/>
        <w:r w:rsidRPr="00CB6906">
          <w:rPr>
            <w:rStyle w:val="Hyperlink"/>
            <w:lang w:val="en-US"/>
          </w:rPr>
          <w:t>://</w:t>
        </w:r>
        <w:proofErr w:type="spellStart"/>
        <w:r w:rsidRPr="00CB6906">
          <w:rPr>
            <w:rStyle w:val="Hyperlink"/>
            <w:lang w:val="en-US"/>
          </w:rPr>
          <w:t>webthesis.biblio.polito.it</w:t>
        </w:r>
        <w:proofErr w:type="spellEnd"/>
        <w:r w:rsidRPr="00CB6906">
          <w:rPr>
            <w:rStyle w:val="Hyperlink"/>
            <w:lang w:val="en-US"/>
          </w:rPr>
          <w:t>/35543/1/</w:t>
        </w:r>
        <w:proofErr w:type="spellStart"/>
        <w:r w:rsidRPr="00CB6906">
          <w:rPr>
            <w:rStyle w:val="Hyperlink"/>
            <w:lang w:val="en-US"/>
          </w:rPr>
          <w:t>tesi.pdf</w:t>
        </w:r>
        <w:proofErr w:type="spellEnd"/>
      </w:hyperlink>
      <w:r w:rsidRPr="00CB6906">
        <w:rPr>
          <w:lang w:val="en-US"/>
        </w:rPr>
        <w:t>.</w:t>
      </w:r>
    </w:p>
    <w:p w:rsidR="00CB6906" w:rsidRPr="00CB6906" w:rsidRDefault="00CB6906" w:rsidP="00CB6906">
      <w:pPr>
        <w:rPr>
          <w:lang w:val="en-US"/>
        </w:rPr>
      </w:pPr>
      <w:r w:rsidRPr="00CB6906">
        <w:rPr>
          <w:lang w:val="en-US"/>
        </w:rPr>
        <w:t xml:space="preserve">Molnár Vendel Bendegúz (2025). </w:t>
      </w:r>
      <w:proofErr w:type="spellStart"/>
      <w:r w:rsidRPr="00CB6906">
        <w:rPr>
          <w:lang w:val="en-US"/>
        </w:rPr>
        <w:t>Teslas</w:t>
      </w:r>
      <w:proofErr w:type="spellEnd"/>
      <w:r w:rsidRPr="00CB6906">
        <w:rPr>
          <w:lang w:val="en-US"/>
        </w:rPr>
        <w:t xml:space="preserve"> pricing strategy and its economic impact on market demand - </w:t>
      </w:r>
      <w:proofErr w:type="spellStart"/>
      <w:r w:rsidRPr="00CB6906">
        <w:rPr>
          <w:lang w:val="en-US"/>
        </w:rPr>
        <w:t>Dolgozattár</w:t>
      </w:r>
      <w:proofErr w:type="spellEnd"/>
      <w:r w:rsidRPr="00CB6906">
        <w:rPr>
          <w:lang w:val="en-US"/>
        </w:rPr>
        <w:t xml:space="preserve">. </w:t>
      </w:r>
      <w:r w:rsidRPr="00CB6906">
        <w:rPr>
          <w:i/>
          <w:iCs/>
          <w:lang w:val="en-US"/>
        </w:rPr>
        <w:t>Uni-bge.hu</w:t>
      </w:r>
      <w:r w:rsidRPr="00CB6906">
        <w:rPr>
          <w:lang w:val="en-US"/>
        </w:rPr>
        <w:t>. [online] doi:</w:t>
      </w:r>
      <w:hyperlink r:id="rId25" w:history="1">
        <w:r w:rsidRPr="00CB6906">
          <w:rPr>
            <w:rStyle w:val="Hyperlink"/>
            <w:lang w:val="en-US"/>
          </w:rPr>
          <w:t>http://dolgozattar.uni-bge.hu/58720/1/Teslas%20pricing%20strategy%20and%20its%20economic%20impact%20on%20market%20demand-CJWDM5.pdf</w:t>
        </w:r>
      </w:hyperlink>
      <w:r w:rsidRPr="00CB6906">
        <w:rPr>
          <w:lang w:val="en-US"/>
        </w:rPr>
        <w:t>.</w:t>
      </w:r>
    </w:p>
    <w:p w:rsidR="00CB6906" w:rsidRPr="00CB6906" w:rsidRDefault="00CB6906" w:rsidP="00CB6906">
      <w:pPr>
        <w:rPr>
          <w:lang w:val="en-US"/>
        </w:rPr>
      </w:pPr>
      <w:proofErr w:type="spellStart"/>
      <w:r w:rsidRPr="00CB6906">
        <w:rPr>
          <w:lang w:val="en-US"/>
        </w:rPr>
        <w:t>Oppon</w:t>
      </w:r>
      <w:proofErr w:type="spellEnd"/>
      <w:r w:rsidRPr="00CB6906">
        <w:rPr>
          <w:lang w:val="en-US"/>
        </w:rPr>
        <w:t xml:space="preserve">, E., Richter, J.S., Koh, S.C.L. and </w:t>
      </w:r>
      <w:proofErr w:type="spellStart"/>
      <w:r w:rsidRPr="00CB6906">
        <w:rPr>
          <w:lang w:val="en-US"/>
        </w:rPr>
        <w:t>Nabayiga</w:t>
      </w:r>
      <w:proofErr w:type="spellEnd"/>
      <w:r w:rsidRPr="00CB6906">
        <w:rPr>
          <w:lang w:val="en-US"/>
        </w:rPr>
        <w:t xml:space="preserve">, H. (2023). Macro-level economic and environmental sustainability of negative emission technologies; Case study of crushed silicate production for enhanced weathering. </w:t>
      </w:r>
      <w:r w:rsidRPr="00CB6906">
        <w:rPr>
          <w:i/>
          <w:iCs/>
          <w:lang w:val="en-US"/>
        </w:rPr>
        <w:t>Ecological Economics</w:t>
      </w:r>
      <w:r w:rsidRPr="00CB6906">
        <w:rPr>
          <w:lang w:val="en-US"/>
        </w:rPr>
        <w:t xml:space="preserve">, 204, p.107636. </w:t>
      </w:r>
      <w:proofErr w:type="spellStart"/>
      <w:r w:rsidRPr="00CB6906">
        <w:rPr>
          <w:lang w:val="en-US"/>
        </w:rPr>
        <w:t>doi:</w:t>
      </w:r>
      <w:hyperlink r:id="rId26" w:history="1">
        <w:r w:rsidRPr="00CB6906">
          <w:rPr>
            <w:rStyle w:val="Hyperlink"/>
            <w:lang w:val="en-US"/>
          </w:rPr>
          <w:t>https</w:t>
        </w:r>
        <w:proofErr w:type="spellEnd"/>
        <w:r w:rsidRPr="00CB6906">
          <w:rPr>
            <w:rStyle w:val="Hyperlink"/>
            <w:lang w:val="en-US"/>
          </w:rPr>
          <w:t>://doi.org/10.1016/j.ecolecon.2022.107636</w:t>
        </w:r>
      </w:hyperlink>
      <w:r w:rsidRPr="00CB6906">
        <w:rPr>
          <w:lang w:val="en-US"/>
        </w:rPr>
        <w:t>.</w:t>
      </w:r>
    </w:p>
    <w:p w:rsidR="00CB6906" w:rsidRPr="00CB6906" w:rsidRDefault="00CB6906" w:rsidP="00CB6906">
      <w:pPr>
        <w:rPr>
          <w:lang w:val="en-US"/>
        </w:rPr>
      </w:pPr>
      <w:r w:rsidRPr="00CB6906">
        <w:rPr>
          <w:lang w:val="en-US"/>
        </w:rPr>
        <w:t xml:space="preserve">Rakesh Chinta, R.C. (2025). Tesla -Porter Five Forces Analysis &amp; Competitive Rivalry. </w:t>
      </w:r>
      <w:r w:rsidRPr="00CB6906">
        <w:rPr>
          <w:i/>
          <w:iCs/>
          <w:lang w:val="en-US"/>
        </w:rPr>
        <w:t>SSRN Electronic Journal</w:t>
      </w:r>
      <w:r w:rsidRPr="00CB6906">
        <w:rPr>
          <w:lang w:val="en-US"/>
        </w:rPr>
        <w:t xml:space="preserve">. </w:t>
      </w:r>
      <w:proofErr w:type="spellStart"/>
      <w:r w:rsidRPr="00CB6906">
        <w:rPr>
          <w:lang w:val="en-US"/>
        </w:rPr>
        <w:t>doi:</w:t>
      </w:r>
      <w:hyperlink r:id="rId27" w:history="1">
        <w:r w:rsidRPr="00CB6906">
          <w:rPr>
            <w:rStyle w:val="Hyperlink"/>
            <w:lang w:val="en-US"/>
          </w:rPr>
          <w:t>https</w:t>
        </w:r>
        <w:proofErr w:type="spellEnd"/>
        <w:r w:rsidRPr="00CB6906">
          <w:rPr>
            <w:rStyle w:val="Hyperlink"/>
            <w:lang w:val="en-US"/>
          </w:rPr>
          <w:t>://doi.org/10.2139/ssrn.5539159</w:t>
        </w:r>
      </w:hyperlink>
      <w:r w:rsidRPr="00CB6906">
        <w:rPr>
          <w:lang w:val="en-US"/>
        </w:rPr>
        <w:t>.</w:t>
      </w:r>
    </w:p>
    <w:p w:rsidR="00CB6906" w:rsidRPr="00E40174" w:rsidRDefault="00CB6906" w:rsidP="00E40174">
      <w:pPr>
        <w:rPr>
          <w:lang w:val="en-US"/>
        </w:rPr>
      </w:pPr>
      <w:r w:rsidRPr="00E40174">
        <w:rPr>
          <w:lang w:val="en-US"/>
        </w:rPr>
        <w:lastRenderedPageBreak/>
        <w:t xml:space="preserve">Reuters (2025). China’s BYD forecasts exports to top 20% of 2025 sales, SCMP reports. </w:t>
      </w:r>
      <w:r w:rsidRPr="00E40174">
        <w:rPr>
          <w:i/>
          <w:iCs/>
          <w:lang w:val="en-US"/>
        </w:rPr>
        <w:t>Reuters</w:t>
      </w:r>
      <w:r w:rsidRPr="00E40174">
        <w:rPr>
          <w:lang w:val="en-US"/>
        </w:rPr>
        <w:t xml:space="preserve">. [online] 29 Sep. Available at: </w:t>
      </w:r>
      <w:hyperlink r:id="rId28" w:history="1">
        <w:r w:rsidRPr="00E40174">
          <w:rPr>
            <w:rStyle w:val="Hyperlink"/>
            <w:lang w:val="en-US"/>
          </w:rPr>
          <w:t>https://www.reuters.com/world/china/chinas-byd-forecasts-exports-top-20-2025-sales-scmp-reports-2025-09-29/</w:t>
        </w:r>
      </w:hyperlink>
      <w:r w:rsidRPr="00E40174">
        <w:rPr>
          <w:lang w:val="en-US"/>
        </w:rPr>
        <w:t>.</w:t>
      </w:r>
    </w:p>
    <w:p w:rsidR="00CB6906" w:rsidRDefault="00CB6906" w:rsidP="00E40174">
      <w:pPr>
        <w:rPr>
          <w:lang w:val="en-US"/>
        </w:rPr>
      </w:pPr>
      <w:r w:rsidRPr="00E40174">
        <w:rPr>
          <w:lang w:val="en-US"/>
        </w:rPr>
        <w:t xml:space="preserve">Richter, F. (2026). </w:t>
      </w:r>
      <w:r w:rsidRPr="00E40174">
        <w:rPr>
          <w:i/>
          <w:iCs/>
          <w:lang w:val="en-US"/>
        </w:rPr>
        <w:t>Infographic: BYD Surges Past Tesla to Become World’s Leading EV Brand</w:t>
      </w:r>
      <w:r w:rsidRPr="00E40174">
        <w:rPr>
          <w:lang w:val="en-US"/>
        </w:rPr>
        <w:t xml:space="preserve">. [online] Statista Daily Data. Available at: </w:t>
      </w:r>
      <w:hyperlink r:id="rId29" w:history="1">
        <w:r w:rsidRPr="00E40174">
          <w:rPr>
            <w:rStyle w:val="Hyperlink"/>
            <w:lang w:val="en-US"/>
          </w:rPr>
          <w:t>https://www.statista.com/chart/33709/tesla-byd-electric-vehicle-production/?srsltid=AfmBOopc5rd0lmMYRgofJykk6ZweS97WyadZ0kWhV_l-ZnEbcPFGinsa</w:t>
        </w:r>
      </w:hyperlink>
      <w:r w:rsidRPr="00E40174">
        <w:rPr>
          <w:lang w:val="en-US"/>
        </w:rPr>
        <w:t xml:space="preserve"> [Accessed 24 Mar. 2026].</w:t>
      </w:r>
    </w:p>
    <w:p w:rsidR="00CB6906" w:rsidRPr="00CB6906" w:rsidRDefault="00CB6906" w:rsidP="00CB6906">
      <w:pPr>
        <w:rPr>
          <w:lang w:val="en-US"/>
        </w:rPr>
      </w:pPr>
      <w:r w:rsidRPr="00CB6906">
        <w:rPr>
          <w:lang w:val="en-US"/>
        </w:rPr>
        <w:t xml:space="preserve">Rita, J. (2022). </w:t>
      </w:r>
      <w:r w:rsidRPr="00CB6906">
        <w:rPr>
          <w:i/>
          <w:iCs/>
          <w:lang w:val="en-US"/>
        </w:rPr>
        <w:t>Tesla´s technological shift - the world-s transition to sustainable energy</w:t>
      </w:r>
      <w:r w:rsidRPr="00CB6906">
        <w:rPr>
          <w:lang w:val="en-US"/>
        </w:rPr>
        <w:t xml:space="preserve">. [online] Run.unl.pt. Available at: </w:t>
      </w:r>
      <w:hyperlink r:id="rId30" w:history="1">
        <w:r w:rsidRPr="00CB6906">
          <w:rPr>
            <w:rStyle w:val="Hyperlink"/>
            <w:lang w:val="en-US"/>
          </w:rPr>
          <w:t>https://run.unl.pt/entities/publication/4a0062a3-e219-4953-a970-50c9bf93697d</w:t>
        </w:r>
      </w:hyperlink>
      <w:r w:rsidRPr="00CB6906">
        <w:rPr>
          <w:lang w:val="en-US"/>
        </w:rPr>
        <w:t>.</w:t>
      </w:r>
    </w:p>
    <w:p w:rsidR="00CB6906" w:rsidRPr="00CB6906" w:rsidRDefault="00CB6906" w:rsidP="00CB6906">
      <w:pPr>
        <w:rPr>
          <w:lang w:val="en-US"/>
        </w:rPr>
      </w:pPr>
      <w:r w:rsidRPr="00CB6906">
        <w:rPr>
          <w:lang w:val="en-US"/>
        </w:rPr>
        <w:t xml:space="preserve">Xiao, Y. (2025). A Case-study on Tesla Inc. Based on the Value Chain Theory. </w:t>
      </w:r>
      <w:r w:rsidRPr="00CB6906">
        <w:rPr>
          <w:i/>
          <w:iCs/>
          <w:lang w:val="en-US"/>
        </w:rPr>
        <w:t>Academic Journal of Business &amp; Management</w:t>
      </w:r>
      <w:r w:rsidRPr="00CB6906">
        <w:rPr>
          <w:lang w:val="en-US"/>
        </w:rPr>
        <w:t xml:space="preserve">, [online] 7, pp.35–40. </w:t>
      </w:r>
      <w:proofErr w:type="spellStart"/>
      <w:r w:rsidRPr="00CB6906">
        <w:rPr>
          <w:lang w:val="en-US"/>
        </w:rPr>
        <w:t>doi:</w:t>
      </w:r>
      <w:hyperlink r:id="rId31" w:history="1">
        <w:r w:rsidRPr="00CB6906">
          <w:rPr>
            <w:rStyle w:val="Hyperlink"/>
            <w:lang w:val="en-US"/>
          </w:rPr>
          <w:t>https</w:t>
        </w:r>
        <w:proofErr w:type="spellEnd"/>
        <w:r w:rsidRPr="00CB6906">
          <w:rPr>
            <w:rStyle w:val="Hyperlink"/>
            <w:lang w:val="en-US"/>
          </w:rPr>
          <w:t>://doi.org/10.25236/AJBM.2025.071006</w:t>
        </w:r>
      </w:hyperlink>
      <w:r w:rsidRPr="00CB6906">
        <w:rPr>
          <w:lang w:val="en-US"/>
        </w:rPr>
        <w:t>.</w:t>
      </w:r>
    </w:p>
    <w:p w:rsidR="00CB6906" w:rsidRPr="00CB6906" w:rsidRDefault="00CB6906" w:rsidP="00CB6906">
      <w:pPr>
        <w:rPr>
          <w:lang w:val="en-US"/>
        </w:rPr>
      </w:pPr>
      <w:r w:rsidRPr="00CB6906">
        <w:rPr>
          <w:lang w:val="en-US"/>
        </w:rPr>
        <w:t xml:space="preserve">Xin, C. (2025). From China to the World BYD’s Distinctive Path to Internationalization in the NEV Market. </w:t>
      </w:r>
      <w:r w:rsidRPr="00CB6906">
        <w:rPr>
          <w:i/>
          <w:iCs/>
          <w:lang w:val="en-US"/>
        </w:rPr>
        <w:t>Journal of Asian Management Studies</w:t>
      </w:r>
      <w:r w:rsidRPr="00CB6906">
        <w:rPr>
          <w:lang w:val="en-US"/>
        </w:rPr>
        <w:t xml:space="preserve">, [online] 31, pp.3–28. </w:t>
      </w:r>
      <w:proofErr w:type="spellStart"/>
      <w:r w:rsidRPr="00CB6906">
        <w:rPr>
          <w:lang w:val="en-US"/>
        </w:rPr>
        <w:t>doi:</w:t>
      </w:r>
      <w:hyperlink r:id="rId32" w:history="1">
        <w:r w:rsidRPr="00CB6906">
          <w:rPr>
            <w:rStyle w:val="Hyperlink"/>
            <w:lang w:val="en-US"/>
          </w:rPr>
          <w:t>https</w:t>
        </w:r>
        <w:proofErr w:type="spellEnd"/>
        <w:r w:rsidRPr="00CB6906">
          <w:rPr>
            <w:rStyle w:val="Hyperlink"/>
            <w:lang w:val="en-US"/>
          </w:rPr>
          <w:t>://doi.org/10.20784/jamsjsaam.31.0_3</w:t>
        </w:r>
      </w:hyperlink>
      <w:r w:rsidRPr="00CB6906">
        <w:rPr>
          <w:lang w:val="en-US"/>
        </w:rPr>
        <w:t>.</w:t>
      </w:r>
    </w:p>
    <w:p w:rsidR="00CB6906" w:rsidRPr="00CB6906" w:rsidRDefault="00CB6906" w:rsidP="00CB6906">
      <w:pPr>
        <w:rPr>
          <w:lang w:val="en-US"/>
        </w:rPr>
      </w:pPr>
      <w:r w:rsidRPr="00CB6906">
        <w:rPr>
          <w:lang w:val="en-US"/>
        </w:rPr>
        <w:t xml:space="preserve">Xu, J. (2024). Strategic Emerging Industry: Analysis of Development of New Energy Vehicle - </w:t>
      </w:r>
      <w:proofErr w:type="spellStart"/>
      <w:r w:rsidRPr="00CB6906">
        <w:rPr>
          <w:lang w:val="en-US"/>
        </w:rPr>
        <w:t>Webthesis</w:t>
      </w:r>
      <w:proofErr w:type="spellEnd"/>
      <w:r w:rsidRPr="00CB6906">
        <w:rPr>
          <w:lang w:val="en-US"/>
        </w:rPr>
        <w:t xml:space="preserve">. </w:t>
      </w:r>
      <w:r w:rsidRPr="00CB6906">
        <w:rPr>
          <w:i/>
          <w:iCs/>
          <w:lang w:val="en-US"/>
        </w:rPr>
        <w:t>Polito.it</w:t>
      </w:r>
      <w:r w:rsidRPr="00CB6906">
        <w:rPr>
          <w:lang w:val="en-US"/>
        </w:rPr>
        <w:t>.</w:t>
      </w:r>
    </w:p>
    <w:p w:rsidR="00050618" w:rsidRDefault="00050618" w:rsidP="00CB6906">
      <w:r w:rsidRPr="00050618">
        <w:t xml:space="preserve">Wu, Z.-Q., Nguyen, P.-Q., </w:t>
      </w:r>
      <w:proofErr w:type="spellStart"/>
      <w:r w:rsidRPr="00050618">
        <w:t>Phankasemsan</w:t>
      </w:r>
      <w:proofErr w:type="spellEnd"/>
      <w:r w:rsidRPr="00050618">
        <w:t xml:space="preserve">, I. and Wolf, E. (2022). Driving Sustainability and Electric Vehicles Evolution: Tesla Company’s Success Strategies. </w:t>
      </w:r>
      <w:r w:rsidRPr="00050618">
        <w:rPr>
          <w:i/>
          <w:iCs/>
        </w:rPr>
        <w:t>dspace.fcu.edu.tw</w:t>
      </w:r>
      <w:r w:rsidRPr="00050618">
        <w:t>.</w:t>
      </w:r>
    </w:p>
    <w:p w:rsidR="00CB6906" w:rsidRPr="00050618" w:rsidRDefault="00CB6906" w:rsidP="00CB6906">
      <w:r w:rsidRPr="00CB6906">
        <w:rPr>
          <w:lang w:val="en-US"/>
        </w:rPr>
        <w:t xml:space="preserve">Zaino, R., Ahmed, V., Alhammadi, A.M. and </w:t>
      </w:r>
      <w:proofErr w:type="spellStart"/>
      <w:r w:rsidRPr="00CB6906">
        <w:rPr>
          <w:lang w:val="en-US"/>
        </w:rPr>
        <w:t>Alghoush</w:t>
      </w:r>
      <w:proofErr w:type="spellEnd"/>
      <w:r w:rsidRPr="00CB6906">
        <w:rPr>
          <w:lang w:val="en-US"/>
        </w:rPr>
        <w:t xml:space="preserve">, M. (2024). Electric Vehicle Adoption: A Comprehensive Systematic Review of Technological, Environmental, Organizational and Policy Impacts. </w:t>
      </w:r>
      <w:r w:rsidRPr="00CB6906">
        <w:rPr>
          <w:i/>
          <w:iCs/>
          <w:lang w:val="en-US"/>
        </w:rPr>
        <w:t>World Electric Vehicle Journal</w:t>
      </w:r>
      <w:r w:rsidRPr="00CB6906">
        <w:rPr>
          <w:lang w:val="en-US"/>
        </w:rPr>
        <w:t xml:space="preserve">, [online] 15(8), p.375. </w:t>
      </w:r>
      <w:proofErr w:type="spellStart"/>
      <w:r w:rsidRPr="00CB6906">
        <w:rPr>
          <w:lang w:val="en-US"/>
        </w:rPr>
        <w:t>doi:</w:t>
      </w:r>
      <w:hyperlink r:id="rId33" w:history="1">
        <w:r w:rsidRPr="00CB6906">
          <w:rPr>
            <w:rStyle w:val="Hyperlink"/>
            <w:lang w:val="en-US"/>
          </w:rPr>
          <w:t>https</w:t>
        </w:r>
        <w:proofErr w:type="spellEnd"/>
        <w:r w:rsidRPr="00CB6906">
          <w:rPr>
            <w:rStyle w:val="Hyperlink"/>
            <w:lang w:val="en-US"/>
          </w:rPr>
          <w:t>://doi.org/10.3390/wevj15080375</w:t>
        </w:r>
      </w:hyperlink>
      <w:r w:rsidRPr="00CB6906">
        <w:rPr>
          <w:lang w:val="en-US"/>
        </w:rPr>
        <w:t>.</w:t>
      </w:r>
    </w:p>
    <w:p w:rsidR="00CB6906" w:rsidRPr="00CB6906" w:rsidRDefault="00CB6906" w:rsidP="00CB6906">
      <w:pPr>
        <w:rPr>
          <w:lang w:val="en-US"/>
        </w:rPr>
      </w:pPr>
      <w:r w:rsidRPr="00CB6906">
        <w:rPr>
          <w:lang w:val="en-US"/>
        </w:rPr>
        <w:t xml:space="preserve">Zhao, W. and Luethje, B. (2025). Manufacturing Competency from Local Clusters: Roots of the Competitive Advantage of the Chinese Electric Vehicle Battery Industry. </w:t>
      </w:r>
      <w:r w:rsidRPr="00CB6906">
        <w:rPr>
          <w:i/>
          <w:iCs/>
          <w:lang w:val="en-US"/>
        </w:rPr>
        <w:t>World Electric Vehicle Journal</w:t>
      </w:r>
      <w:r w:rsidRPr="00CB6906">
        <w:rPr>
          <w:lang w:val="en-US"/>
        </w:rPr>
        <w:t xml:space="preserve">, [online] 16(6), p.319. </w:t>
      </w:r>
      <w:proofErr w:type="spellStart"/>
      <w:r w:rsidRPr="00CB6906">
        <w:rPr>
          <w:lang w:val="en-US"/>
        </w:rPr>
        <w:t>doi:</w:t>
      </w:r>
      <w:hyperlink r:id="rId34" w:history="1">
        <w:r w:rsidRPr="00CB6906">
          <w:rPr>
            <w:rStyle w:val="Hyperlink"/>
            <w:lang w:val="en-US"/>
          </w:rPr>
          <w:t>https</w:t>
        </w:r>
        <w:proofErr w:type="spellEnd"/>
        <w:r w:rsidRPr="00CB6906">
          <w:rPr>
            <w:rStyle w:val="Hyperlink"/>
            <w:lang w:val="en-US"/>
          </w:rPr>
          <w:t>://doi.org/10.3390/wevj16060319</w:t>
        </w:r>
      </w:hyperlink>
      <w:r w:rsidRPr="00CB6906">
        <w:rPr>
          <w:lang w:val="en-US"/>
        </w:rPr>
        <w:t>.</w:t>
      </w:r>
    </w:p>
    <w:sectPr w:rsidR="00CB6906" w:rsidRPr="00CB6906" w:rsidSect="00E40174">
      <w:footerReference w:type="default" r:id="rId35"/>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F61A8" w:rsidRDefault="001F61A8" w:rsidP="00E40174">
      <w:pPr>
        <w:spacing w:after="0" w:line="240" w:lineRule="auto"/>
      </w:pPr>
      <w:r>
        <w:separator/>
      </w:r>
    </w:p>
  </w:endnote>
  <w:endnote w:type="continuationSeparator" w:id="0">
    <w:p w:rsidR="001F61A8" w:rsidRDefault="001F61A8" w:rsidP="00E4017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9612613"/>
      <w:docPartObj>
        <w:docPartGallery w:val="Page Numbers (Bottom of Page)"/>
        <w:docPartUnique/>
      </w:docPartObj>
    </w:sdtPr>
    <w:sdtEndPr>
      <w:rPr>
        <w:noProof/>
      </w:rPr>
    </w:sdtEndPr>
    <w:sdtContent>
      <w:p w:rsidR="00E40174" w:rsidRDefault="00E8771F">
        <w:pPr>
          <w:pStyle w:val="Footer"/>
          <w:jc w:val="center"/>
        </w:pPr>
        <w:r>
          <w:fldChar w:fldCharType="begin"/>
        </w:r>
        <w:r w:rsidR="00E40174">
          <w:instrText xml:space="preserve"> PAGE   \* MERGEFORMAT </w:instrText>
        </w:r>
        <w:r>
          <w:fldChar w:fldCharType="separate"/>
        </w:r>
        <w:r w:rsidR="00246E76">
          <w:rPr>
            <w:noProof/>
          </w:rPr>
          <w:t>14</w:t>
        </w:r>
        <w:r>
          <w:rPr>
            <w:noProof/>
          </w:rPr>
          <w:fldChar w:fldCharType="end"/>
        </w:r>
      </w:p>
    </w:sdtContent>
  </w:sdt>
  <w:p w:rsidR="00E40174" w:rsidRDefault="00E4017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F61A8" w:rsidRDefault="001F61A8" w:rsidP="00E40174">
      <w:pPr>
        <w:spacing w:after="0" w:line="240" w:lineRule="auto"/>
      </w:pPr>
      <w:r>
        <w:separator/>
      </w:r>
    </w:p>
  </w:footnote>
  <w:footnote w:type="continuationSeparator" w:id="0">
    <w:p w:rsidR="001F61A8" w:rsidRDefault="001F61A8" w:rsidP="00E4017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DD3539"/>
    <w:multiLevelType w:val="multilevel"/>
    <w:tmpl w:val="2758C282"/>
    <w:lvl w:ilvl="0">
      <w:start w:val="1"/>
      <w:numFmt w:val="decimal"/>
      <w:pStyle w:val="Heading1"/>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 w:numId="2">
    <w:abstractNumId w:val="0"/>
    <w:lvlOverride w:ilvl="0">
      <w:startOverride w:val="2"/>
    </w:lvlOverride>
    <w:lvlOverride w:ilvl="1">
      <w:startOverride w:val="3"/>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E245C9"/>
    <w:rsid w:val="000121B8"/>
    <w:rsid w:val="00050618"/>
    <w:rsid w:val="00060BF4"/>
    <w:rsid w:val="00117777"/>
    <w:rsid w:val="001A0B03"/>
    <w:rsid w:val="001D2842"/>
    <w:rsid w:val="001F61A8"/>
    <w:rsid w:val="002427D8"/>
    <w:rsid w:val="00246E76"/>
    <w:rsid w:val="002520F9"/>
    <w:rsid w:val="00361C81"/>
    <w:rsid w:val="00381929"/>
    <w:rsid w:val="003D5CB9"/>
    <w:rsid w:val="004D6FF4"/>
    <w:rsid w:val="00503F78"/>
    <w:rsid w:val="005257FF"/>
    <w:rsid w:val="00553994"/>
    <w:rsid w:val="00562604"/>
    <w:rsid w:val="00593171"/>
    <w:rsid w:val="005C78DF"/>
    <w:rsid w:val="005F2738"/>
    <w:rsid w:val="006620F5"/>
    <w:rsid w:val="006B27B9"/>
    <w:rsid w:val="006F52F4"/>
    <w:rsid w:val="00744953"/>
    <w:rsid w:val="00852EA8"/>
    <w:rsid w:val="00884208"/>
    <w:rsid w:val="009343D5"/>
    <w:rsid w:val="009B0532"/>
    <w:rsid w:val="009C096A"/>
    <w:rsid w:val="00A20665"/>
    <w:rsid w:val="00A4754F"/>
    <w:rsid w:val="00A551D1"/>
    <w:rsid w:val="00B46E77"/>
    <w:rsid w:val="00B64E8E"/>
    <w:rsid w:val="00C20E4A"/>
    <w:rsid w:val="00C2459C"/>
    <w:rsid w:val="00C43F20"/>
    <w:rsid w:val="00C82117"/>
    <w:rsid w:val="00CB6906"/>
    <w:rsid w:val="00CE7E46"/>
    <w:rsid w:val="00D405C4"/>
    <w:rsid w:val="00DA5BE0"/>
    <w:rsid w:val="00E245C9"/>
    <w:rsid w:val="00E40174"/>
    <w:rsid w:val="00E85DB4"/>
    <w:rsid w:val="00E8771F"/>
    <w:rsid w:val="00F260C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45C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A5BE0"/>
    <w:pPr>
      <w:keepNext/>
      <w:keepLines/>
      <w:numPr>
        <w:numId w:val="1"/>
      </w:numPr>
      <w:spacing w:before="480" w:after="200" w:line="259" w:lineRule="auto"/>
      <w:jc w:val="left"/>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562604"/>
    <w:pPr>
      <w:keepNext/>
      <w:keepLines/>
      <w:spacing w:before="400" w:after="320" w:line="259" w:lineRule="auto"/>
      <w:jc w:val="left"/>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E245C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45C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245C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45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45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45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45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BE0"/>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562604"/>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semiHidden/>
    <w:rsid w:val="00E245C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45C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45C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45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45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45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45C9"/>
    <w:rPr>
      <w:rFonts w:eastAsiaTheme="majorEastAsia" w:cstheme="majorBidi"/>
      <w:color w:val="272727" w:themeColor="text1" w:themeTint="D8"/>
    </w:rPr>
  </w:style>
  <w:style w:type="paragraph" w:styleId="Title">
    <w:name w:val="Title"/>
    <w:basedOn w:val="Normal"/>
    <w:next w:val="Normal"/>
    <w:link w:val="TitleChar"/>
    <w:uiPriority w:val="10"/>
    <w:qFormat/>
    <w:rsid w:val="00E245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45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45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45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45C9"/>
    <w:pPr>
      <w:spacing w:before="160"/>
      <w:jc w:val="center"/>
    </w:pPr>
    <w:rPr>
      <w:i/>
      <w:iCs/>
      <w:color w:val="404040" w:themeColor="text1" w:themeTint="BF"/>
    </w:rPr>
  </w:style>
  <w:style w:type="character" w:customStyle="1" w:styleId="QuoteChar">
    <w:name w:val="Quote Char"/>
    <w:basedOn w:val="DefaultParagraphFont"/>
    <w:link w:val="Quote"/>
    <w:uiPriority w:val="29"/>
    <w:rsid w:val="00E245C9"/>
    <w:rPr>
      <w:i/>
      <w:iCs/>
      <w:color w:val="404040" w:themeColor="text1" w:themeTint="BF"/>
    </w:rPr>
  </w:style>
  <w:style w:type="paragraph" w:styleId="ListParagraph">
    <w:name w:val="List Paragraph"/>
    <w:basedOn w:val="Normal"/>
    <w:uiPriority w:val="34"/>
    <w:qFormat/>
    <w:rsid w:val="00E245C9"/>
    <w:pPr>
      <w:ind w:left="720"/>
      <w:contextualSpacing/>
    </w:pPr>
  </w:style>
  <w:style w:type="character" w:styleId="IntenseEmphasis">
    <w:name w:val="Intense Emphasis"/>
    <w:basedOn w:val="DefaultParagraphFont"/>
    <w:uiPriority w:val="21"/>
    <w:qFormat/>
    <w:rsid w:val="00E245C9"/>
    <w:rPr>
      <w:i/>
      <w:iCs/>
      <w:color w:val="2F5496" w:themeColor="accent1" w:themeShade="BF"/>
    </w:rPr>
  </w:style>
  <w:style w:type="paragraph" w:styleId="IntenseQuote">
    <w:name w:val="Intense Quote"/>
    <w:basedOn w:val="Normal"/>
    <w:next w:val="Normal"/>
    <w:link w:val="IntenseQuoteChar"/>
    <w:uiPriority w:val="30"/>
    <w:qFormat/>
    <w:rsid w:val="00E245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45C9"/>
    <w:rPr>
      <w:i/>
      <w:iCs/>
      <w:color w:val="2F5496" w:themeColor="accent1" w:themeShade="BF"/>
    </w:rPr>
  </w:style>
  <w:style w:type="character" w:styleId="IntenseReference">
    <w:name w:val="Intense Reference"/>
    <w:basedOn w:val="DefaultParagraphFont"/>
    <w:uiPriority w:val="32"/>
    <w:qFormat/>
    <w:rsid w:val="00E245C9"/>
    <w:rPr>
      <w:b/>
      <w:bCs/>
      <w:smallCaps/>
      <w:color w:val="2F5496" w:themeColor="accent1" w:themeShade="BF"/>
      <w:spacing w:val="5"/>
    </w:rPr>
  </w:style>
  <w:style w:type="character" w:styleId="Strong">
    <w:name w:val="Strong"/>
    <w:basedOn w:val="DefaultParagraphFont"/>
    <w:uiPriority w:val="22"/>
    <w:qFormat/>
    <w:rsid w:val="00DA5BE0"/>
    <w:rPr>
      <w:b/>
      <w:bCs/>
    </w:rPr>
  </w:style>
  <w:style w:type="paragraph" w:styleId="Caption">
    <w:name w:val="caption"/>
    <w:basedOn w:val="Normal"/>
    <w:next w:val="Normal"/>
    <w:uiPriority w:val="35"/>
    <w:unhideWhenUsed/>
    <w:qFormat/>
    <w:rsid w:val="00562604"/>
    <w:pPr>
      <w:spacing w:after="200" w:line="240" w:lineRule="auto"/>
    </w:pPr>
    <w:rPr>
      <w:i/>
      <w:iCs/>
      <w:color w:val="44546A" w:themeColor="text2"/>
      <w:sz w:val="18"/>
      <w:szCs w:val="18"/>
    </w:rPr>
  </w:style>
  <w:style w:type="paragraph" w:styleId="NormalWeb">
    <w:name w:val="Normal (Web)"/>
    <w:basedOn w:val="Normal"/>
    <w:uiPriority w:val="99"/>
    <w:semiHidden/>
    <w:unhideWhenUsed/>
    <w:rsid w:val="00C82117"/>
    <w:rPr>
      <w:rFonts w:cs="Times New Roman"/>
      <w:szCs w:val="24"/>
    </w:rPr>
  </w:style>
  <w:style w:type="paragraph" w:styleId="TOCHeading">
    <w:name w:val="TOC Heading"/>
    <w:basedOn w:val="Heading1"/>
    <w:next w:val="Normal"/>
    <w:uiPriority w:val="39"/>
    <w:unhideWhenUsed/>
    <w:qFormat/>
    <w:rsid w:val="00E40174"/>
    <w:pPr>
      <w:numPr>
        <w:numId w:val="0"/>
      </w:numPr>
      <w:spacing w:before="240" w:after="0"/>
      <w:outlineLvl w:val="9"/>
    </w:pPr>
    <w:rPr>
      <w:rFonts w:asciiTheme="majorHAnsi" w:hAnsiTheme="majorHAnsi"/>
      <w:b w:val="0"/>
      <w:color w:val="2F5496" w:themeColor="accent1" w:themeShade="BF"/>
      <w:kern w:val="0"/>
      <w:sz w:val="32"/>
      <w:szCs w:val="32"/>
      <w:lang w:val="en-US"/>
    </w:rPr>
  </w:style>
  <w:style w:type="paragraph" w:styleId="TOC1">
    <w:name w:val="toc 1"/>
    <w:basedOn w:val="Normal"/>
    <w:next w:val="Normal"/>
    <w:autoRedefine/>
    <w:uiPriority w:val="39"/>
    <w:unhideWhenUsed/>
    <w:rsid w:val="00E40174"/>
    <w:pPr>
      <w:spacing w:after="100"/>
    </w:pPr>
  </w:style>
  <w:style w:type="paragraph" w:styleId="TOC2">
    <w:name w:val="toc 2"/>
    <w:basedOn w:val="Normal"/>
    <w:next w:val="Normal"/>
    <w:autoRedefine/>
    <w:uiPriority w:val="39"/>
    <w:unhideWhenUsed/>
    <w:rsid w:val="00E40174"/>
    <w:pPr>
      <w:spacing w:after="100"/>
      <w:ind w:left="240"/>
    </w:pPr>
  </w:style>
  <w:style w:type="character" w:styleId="Hyperlink">
    <w:name w:val="Hyperlink"/>
    <w:basedOn w:val="DefaultParagraphFont"/>
    <w:uiPriority w:val="99"/>
    <w:unhideWhenUsed/>
    <w:rsid w:val="00E40174"/>
    <w:rPr>
      <w:color w:val="0563C1" w:themeColor="hyperlink"/>
      <w:u w:val="single"/>
    </w:rPr>
  </w:style>
  <w:style w:type="character" w:customStyle="1" w:styleId="UnresolvedMention">
    <w:name w:val="Unresolved Mention"/>
    <w:basedOn w:val="DefaultParagraphFont"/>
    <w:uiPriority w:val="99"/>
    <w:semiHidden/>
    <w:unhideWhenUsed/>
    <w:rsid w:val="00E40174"/>
    <w:rPr>
      <w:color w:val="605E5C"/>
      <w:shd w:val="clear" w:color="auto" w:fill="E1DFDD"/>
    </w:rPr>
  </w:style>
  <w:style w:type="paragraph" w:styleId="Header">
    <w:name w:val="header"/>
    <w:basedOn w:val="Normal"/>
    <w:link w:val="HeaderChar"/>
    <w:uiPriority w:val="99"/>
    <w:unhideWhenUsed/>
    <w:rsid w:val="00E401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174"/>
    <w:rPr>
      <w:rFonts w:ascii="Times New Roman" w:hAnsi="Times New Roman"/>
      <w:sz w:val="24"/>
    </w:rPr>
  </w:style>
  <w:style w:type="paragraph" w:styleId="Footer">
    <w:name w:val="footer"/>
    <w:basedOn w:val="Normal"/>
    <w:link w:val="FooterChar"/>
    <w:uiPriority w:val="99"/>
    <w:unhideWhenUsed/>
    <w:rsid w:val="00E401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174"/>
    <w:rPr>
      <w:rFonts w:ascii="Times New Roman" w:hAnsi="Times New Roman"/>
      <w:sz w:val="24"/>
    </w:rPr>
  </w:style>
  <w:style w:type="paragraph" w:styleId="BalloonText">
    <w:name w:val="Balloon Text"/>
    <w:basedOn w:val="Normal"/>
    <w:link w:val="BalloonTextChar"/>
    <w:uiPriority w:val="99"/>
    <w:semiHidden/>
    <w:unhideWhenUsed/>
    <w:rsid w:val="00A551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51D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ukuri.luke.fi/items/933793f3-2281-4719-9154-3a2393b9a210" TargetMode="External"/><Relationship Id="rId18" Type="http://schemas.openxmlformats.org/officeDocument/2006/relationships/hyperlink" Target="https://www.iea.org/reports/global-ev-outlook-2025/trends-in-electric-car-markets-2" TargetMode="External"/><Relationship Id="rId26" Type="http://schemas.openxmlformats.org/officeDocument/2006/relationships/hyperlink" Target="https://doi.org/10.1016/j.ecolecon.2022.107636" TargetMode="External"/><Relationship Id="rId3" Type="http://schemas.openxmlformats.org/officeDocument/2006/relationships/styles" Target="styles.xml"/><Relationship Id="rId21" Type="http://schemas.openxmlformats.org/officeDocument/2006/relationships/hyperlink" Target="https://www.energycentral.com/energy-biz/post/case-study-addendum-why-byd-leads-ev-battery-manufacturing-0-Z6FpdiT9HWH79sb" TargetMode="External"/><Relationship Id="rId34" Type="http://schemas.openxmlformats.org/officeDocument/2006/relationships/hyperlink" Target="https://doi.org/10.3390/wevj16060319" TargetMode="External"/><Relationship Id="rId7" Type="http://schemas.openxmlformats.org/officeDocument/2006/relationships/endnotes" Target="endnotes.xml"/><Relationship Id="rId12" Type="http://schemas.openxmlformats.org/officeDocument/2006/relationships/hyperlink" Target="https://doi.org/10.1080/10696679.2025.2544671" TargetMode="External"/><Relationship Id="rId17" Type="http://schemas.openxmlformats.org/officeDocument/2006/relationships/hyperlink" Target="https://doi.org/10.1287/mnsc.2023.4781" TargetMode="External"/><Relationship Id="rId25" Type="http://schemas.openxmlformats.org/officeDocument/2006/relationships/hyperlink" Target="http://dolgozattar.uni-bge.hu/58720/1/Teslas%20pricing%20strategy%20and%20its%20economic%20impact%20on%20market%20demand-CJWDM5.pdf" TargetMode="External"/><Relationship Id="rId33" Type="http://schemas.openxmlformats.org/officeDocument/2006/relationships/hyperlink" Target="https://doi.org/10.3390/wevj15080375" TargetMode="External"/><Relationship Id="rId2" Type="http://schemas.openxmlformats.org/officeDocument/2006/relationships/numbering" Target="numbering.xml"/><Relationship Id="rId16" Type="http://schemas.openxmlformats.org/officeDocument/2006/relationships/hyperlink" Target="https://doi.org/10.3390/su17051953" TargetMode="External"/><Relationship Id="rId20" Type="http://schemas.openxmlformats.org/officeDocument/2006/relationships/hyperlink" Target="https://www.reuters.com/business/autos-transportation/teslas-autopilot-faces-unprecedented-scrutiny-2022-11-01/" TargetMode="External"/><Relationship Id="rId29" Type="http://schemas.openxmlformats.org/officeDocument/2006/relationships/hyperlink" Target="https://www.statista.com/chart/33709/tesla-byd-electric-vehicle-production/?srsltid=AfmBOopc5rd0lmMYRgofJykk6ZweS97WyadZ0kWhV_l-ZnEbcPFGins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ebthesis.biblio.polito.it/35543/1/tesi.pdf" TargetMode="External"/><Relationship Id="rId32" Type="http://schemas.openxmlformats.org/officeDocument/2006/relationships/hyperlink" Target="https://doi.org/10.20784/jamsjsaam.31.0_3"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profile/Kiyentei-Gini/publication/376792903_The_Impact_of_Macro-Environmental_Factors_on_Business_Performance/links/6588b2f30bb2c7472b09d265/The-Impact-of-Macro-Environmental-Factors-on-Business-Performance.pdf" TargetMode="External"/><Relationship Id="rId23" Type="http://schemas.openxmlformats.org/officeDocument/2006/relationships/hyperlink" Target="https://www.researchgate.net/publication/254322834_The_globalization_of_Tesla_Motors_A_strategic_marketing_plan_analysis" TargetMode="External"/><Relationship Id="rId28" Type="http://schemas.openxmlformats.org/officeDocument/2006/relationships/hyperlink" Target="https://www.reuters.com/world/china/chinas-byd-forecasts-exports-top-20-2025-sales-scmp-reports-2025-09-29/"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e-research.siam.edu/wp-content/uploads/2025/07/MBA-2024-IS-Ning-JunYu-6517195001-A-Study-of-the-Competitive.pdf" TargetMode="External"/><Relationship Id="rId31" Type="http://schemas.openxmlformats.org/officeDocument/2006/relationships/hyperlink" Target="https://doi.org/10.25236/AJBM.2025.07100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search-api.cbs.dk/ws/portalfiles/portal/108050208/1853954_Master_Thesis_Xinyi_Fan_May_2024.pdf" TargetMode="External"/><Relationship Id="rId22" Type="http://schemas.openxmlformats.org/officeDocument/2006/relationships/hyperlink" Target="https://doi.org/10.61173/jwzch613" TargetMode="External"/><Relationship Id="rId27" Type="http://schemas.openxmlformats.org/officeDocument/2006/relationships/hyperlink" Target="https://doi.org/10.2139/ssrn.5539159" TargetMode="External"/><Relationship Id="rId30" Type="http://schemas.openxmlformats.org/officeDocument/2006/relationships/hyperlink" Target="https://run.unl.pt/entities/publication/4a0062a3-e219-4953-a970-50c9bf93697d"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A8B0F0-2074-4CDF-AA75-239100498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TotalTime>
  <Pages>14</Pages>
  <Words>4092</Words>
  <Characters>23330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Happy</cp:lastModifiedBy>
  <cp:revision>2</cp:revision>
  <dcterms:created xsi:type="dcterms:W3CDTF">2026-03-25T00:29:00Z</dcterms:created>
  <dcterms:modified xsi:type="dcterms:W3CDTF">2026-03-26T14:04:00Z</dcterms:modified>
</cp:coreProperties>
</file>