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D98579" w14:textId="77777777" w:rsidR="00E87EA8" w:rsidRDefault="00E87EA8">
      <w:pPr>
        <w:pStyle w:val="Title"/>
        <w:spacing w:line="480" w:lineRule="auto"/>
      </w:pPr>
    </w:p>
    <w:p w14:paraId="2DE2489A" w14:textId="77777777" w:rsidR="00E87EA8" w:rsidRDefault="00E87EA8">
      <w:pPr>
        <w:pStyle w:val="Title"/>
        <w:spacing w:line="480" w:lineRule="auto"/>
      </w:pPr>
    </w:p>
    <w:p w14:paraId="5D080706" w14:textId="77777777" w:rsidR="00E87EA8" w:rsidRDefault="00E87EA8">
      <w:pPr>
        <w:pStyle w:val="Title"/>
        <w:spacing w:line="480" w:lineRule="auto"/>
      </w:pPr>
    </w:p>
    <w:p w14:paraId="18024B2C" w14:textId="77777777" w:rsidR="00E87EA8" w:rsidRDefault="00E87EA8">
      <w:pPr>
        <w:pStyle w:val="Title"/>
        <w:spacing w:line="480" w:lineRule="auto"/>
      </w:pPr>
    </w:p>
    <w:p w14:paraId="2B0A903B" w14:textId="77777777" w:rsidR="00E87EA8" w:rsidRDefault="00BD12CA">
      <w:pPr>
        <w:pStyle w:val="Title"/>
        <w:spacing w:line="480" w:lineRule="auto"/>
      </w:pPr>
      <w:r>
        <w:t>ACCOUNTING FUNDAMENTALS - ASSIGNMENT A1</w:t>
      </w:r>
    </w:p>
    <w:p w14:paraId="4F4BF895" w14:textId="4821106F" w:rsidR="00E87EA8" w:rsidRDefault="00BD12CA">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w:t>
      </w:r>
      <w:r w:rsidR="007F3BE1">
        <w:rPr>
          <w:rFonts w:ascii="Times New Roman" w:eastAsia="Times New Roman" w:hAnsi="Times New Roman" w:cs="Times New Roman"/>
          <w:sz w:val="24"/>
          <w:szCs w:val="24"/>
        </w:rPr>
        <w:t>Desislav Danailov Dyankov</w:t>
      </w:r>
    </w:p>
    <w:p w14:paraId="308C3B1B" w14:textId="77777777" w:rsidR="00E87EA8" w:rsidRDefault="00E87EA8">
      <w:pPr>
        <w:spacing w:after="0" w:line="480" w:lineRule="auto"/>
        <w:jc w:val="center"/>
        <w:rPr>
          <w:rFonts w:ascii="Times New Roman" w:eastAsia="Times New Roman" w:hAnsi="Times New Roman" w:cs="Times New Roman"/>
          <w:sz w:val="24"/>
          <w:szCs w:val="24"/>
        </w:rPr>
      </w:pPr>
    </w:p>
    <w:p w14:paraId="0EC43F85" w14:textId="77777777" w:rsidR="00E87EA8" w:rsidRDefault="00BD12CA">
      <w:pPr>
        <w:tabs>
          <w:tab w:val="left" w:pos="7080"/>
        </w:tabs>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p w14:paraId="19C59A73" w14:textId="77777777" w:rsidR="00E87EA8" w:rsidRDefault="00E87EA8">
      <w:pPr>
        <w:spacing w:after="0" w:line="480" w:lineRule="auto"/>
        <w:jc w:val="center"/>
        <w:rPr>
          <w:rFonts w:ascii="Times New Roman" w:eastAsia="Times New Roman" w:hAnsi="Times New Roman" w:cs="Times New Roman"/>
          <w:sz w:val="24"/>
          <w:szCs w:val="24"/>
        </w:rPr>
      </w:pPr>
    </w:p>
    <w:p w14:paraId="4CC2EC0B" w14:textId="77777777" w:rsidR="00E87EA8" w:rsidRDefault="00E87EA8">
      <w:pPr>
        <w:spacing w:after="0" w:line="480" w:lineRule="auto"/>
        <w:jc w:val="center"/>
        <w:rPr>
          <w:rFonts w:ascii="Times New Roman" w:eastAsia="Times New Roman" w:hAnsi="Times New Roman" w:cs="Times New Roman"/>
          <w:sz w:val="24"/>
          <w:szCs w:val="24"/>
        </w:rPr>
      </w:pPr>
    </w:p>
    <w:p w14:paraId="6CE639A9" w14:textId="2250F437" w:rsidR="00E87EA8" w:rsidRDefault="00BD12CA">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Course</w:t>
      </w:r>
      <w:r w:rsidR="007F3BE1">
        <w:rPr>
          <w:rFonts w:ascii="Times New Roman" w:eastAsia="Times New Roman" w:hAnsi="Times New Roman" w:cs="Times New Roman"/>
          <w:sz w:val="24"/>
          <w:szCs w:val="24"/>
        </w:rPr>
        <w:t xml:space="preserve"> BABM</w:t>
      </w:r>
      <w:r w:rsidR="00AB09E5">
        <w:rPr>
          <w:rFonts w:ascii="Times New Roman" w:eastAsia="Times New Roman" w:hAnsi="Times New Roman" w:cs="Times New Roman"/>
          <w:sz w:val="24"/>
          <w:szCs w:val="24"/>
        </w:rPr>
        <w:t xml:space="preserve"> T3 G2</w:t>
      </w:r>
    </w:p>
    <w:p w14:paraId="573EF62A" w14:textId="77777777" w:rsidR="00E87EA8" w:rsidRDefault="00BD12CA">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Professor</w:t>
      </w:r>
    </w:p>
    <w:p w14:paraId="51F3BB7D" w14:textId="5487AF82" w:rsidR="00AB09E5" w:rsidRDefault="003644C7">
      <w:pPr>
        <w:spacing w:after="0" w:line="480" w:lineRule="auto"/>
        <w:jc w:val="center"/>
        <w:rPr>
          <w:rFonts w:ascii="Times New Roman" w:eastAsia="Times New Roman" w:hAnsi="Times New Roman" w:cs="Times New Roman"/>
          <w:sz w:val="24"/>
          <w:szCs w:val="24"/>
        </w:rPr>
      </w:pPr>
      <w:proofErr w:type="spellStart"/>
      <w:r>
        <w:rPr>
          <w:rStyle w:val="Emphasis"/>
          <w:rFonts w:ascii="Segoe UI" w:eastAsia="Times New Roman" w:hAnsi="Segoe UI" w:cs="Segoe UI"/>
          <w:color w:val="373A3C"/>
        </w:rPr>
        <w:t>Emad</w:t>
      </w:r>
      <w:proofErr w:type="spellEnd"/>
      <w:r>
        <w:rPr>
          <w:rStyle w:val="Emphasis"/>
          <w:rFonts w:ascii="Segoe UI" w:eastAsia="Times New Roman" w:hAnsi="Segoe UI" w:cs="Segoe UI"/>
          <w:color w:val="373A3C"/>
        </w:rPr>
        <w:t xml:space="preserve"> </w:t>
      </w:r>
      <w:proofErr w:type="spellStart"/>
      <w:r>
        <w:rPr>
          <w:rStyle w:val="Emphasis"/>
          <w:rFonts w:ascii="Segoe UI" w:eastAsia="Times New Roman" w:hAnsi="Segoe UI" w:cs="Segoe UI"/>
          <w:color w:val="373A3C"/>
        </w:rPr>
        <w:t>Elkhashen</w:t>
      </w:r>
      <w:proofErr w:type="spellEnd"/>
    </w:p>
    <w:p w14:paraId="77D6E73C" w14:textId="5D9BA580" w:rsidR="00C107C5" w:rsidRDefault="00BD12CA" w:rsidP="00C107C5">
      <w:pPr>
        <w:spacing w:after="0" w:line="480" w:lineRule="auto"/>
        <w:jc w:val="center"/>
        <w:divId w:val="711927137"/>
        <w:rPr>
          <w:rFonts w:ascii="Times New Roman" w:eastAsia="Times New Roman" w:hAnsi="Times New Roman" w:cs="Times New Roman"/>
          <w:sz w:val="24"/>
          <w:szCs w:val="24"/>
        </w:rPr>
      </w:pPr>
      <w:r>
        <w:rPr>
          <w:rFonts w:ascii="Times New Roman" w:eastAsia="Times New Roman" w:hAnsi="Times New Roman" w:cs="Times New Roman"/>
          <w:sz w:val="24"/>
          <w:szCs w:val="24"/>
        </w:rPr>
        <w:t>University’s Name</w:t>
      </w:r>
    </w:p>
    <w:p w14:paraId="39DE312F" w14:textId="7DF2FB55" w:rsidR="00C107C5" w:rsidRPr="00C107C5" w:rsidRDefault="00C107C5" w:rsidP="00C107C5">
      <w:pPr>
        <w:spacing w:after="0" w:line="480" w:lineRule="auto"/>
        <w:jc w:val="center"/>
        <w:divId w:val="711927137"/>
        <w:rPr>
          <w:rFonts w:ascii="Segoe UI" w:eastAsia="Times New Roman" w:hAnsi="Segoe UI" w:cs="Segoe UI"/>
          <w:color w:val="FFFFFF"/>
          <w:sz w:val="27"/>
          <w:szCs w:val="27"/>
          <w:lang w:eastAsia="en-GB"/>
        </w:rPr>
      </w:pPr>
      <w:r>
        <w:rPr>
          <w:rFonts w:ascii="Times New Roman" w:eastAsia="Times New Roman" w:hAnsi="Times New Roman" w:cs="Times New Roman"/>
          <w:sz w:val="24"/>
          <w:szCs w:val="24"/>
        </w:rPr>
        <w:t xml:space="preserve">University of Wales Trinity Saint </w:t>
      </w:r>
      <w:r w:rsidR="003347A1">
        <w:rPr>
          <w:rFonts w:ascii="Times New Roman" w:eastAsia="Times New Roman" w:hAnsi="Times New Roman" w:cs="Times New Roman"/>
          <w:sz w:val="24"/>
          <w:szCs w:val="24"/>
        </w:rPr>
        <w:t>David</w:t>
      </w:r>
    </w:p>
    <w:p w14:paraId="4F2B60C5" w14:textId="77777777" w:rsidR="00E87EA8" w:rsidRDefault="00BD12CA">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City</w:t>
      </w:r>
    </w:p>
    <w:p w14:paraId="51BBB14E" w14:textId="5CF3D7F5" w:rsidR="003347A1" w:rsidRDefault="003347A1">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London</w:t>
      </w:r>
    </w:p>
    <w:p w14:paraId="4E2C4699" w14:textId="77777777" w:rsidR="00E87EA8" w:rsidRDefault="00BD12CA">
      <w:pPr>
        <w:spacing w:after="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Date of Submission</w:t>
      </w:r>
    </w:p>
    <w:p w14:paraId="2CB4CC97" w14:textId="045D078D" w:rsidR="003347A1" w:rsidRDefault="003347A1">
      <w:pPr>
        <w:spacing w:after="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07/05/2023</w:t>
      </w:r>
    </w:p>
    <w:p w14:paraId="139D3E0A" w14:textId="72A250D2" w:rsidR="00E87EA8" w:rsidRDefault="00E87EA8"/>
    <w:p w14:paraId="1650ECDF" w14:textId="77777777" w:rsidR="003347A1" w:rsidRDefault="003347A1">
      <w:pPr>
        <w:rPr>
          <w:rFonts w:ascii="Times New Roman" w:eastAsia="Times New Roman" w:hAnsi="Times New Roman" w:cs="Times New Roman"/>
          <w:sz w:val="24"/>
          <w:szCs w:val="24"/>
        </w:rPr>
      </w:pPr>
    </w:p>
    <w:p w14:paraId="1261D309" w14:textId="77777777" w:rsidR="00E87EA8" w:rsidRDefault="00E87EA8">
      <w:pPr>
        <w:keepNext/>
        <w:keepLines/>
        <w:pBdr>
          <w:top w:val="nil"/>
          <w:left w:val="nil"/>
          <w:bottom w:val="nil"/>
          <w:right w:val="nil"/>
          <w:between w:val="nil"/>
        </w:pBdr>
        <w:spacing w:before="240" w:after="0" w:line="360" w:lineRule="auto"/>
        <w:rPr>
          <w:rFonts w:ascii="Times New Roman" w:eastAsia="Times New Roman" w:hAnsi="Times New Roman" w:cs="Times New Roman"/>
          <w:sz w:val="24"/>
          <w:szCs w:val="24"/>
        </w:rPr>
      </w:pPr>
      <w:bookmarkStart w:id="0" w:name="_on4p22ma35j" w:colFirst="0" w:colLast="0"/>
      <w:bookmarkEnd w:id="0"/>
    </w:p>
    <w:p w14:paraId="4DE9CC19" w14:textId="77777777" w:rsidR="00E87EA8" w:rsidRDefault="00BD12CA">
      <w:pPr>
        <w:keepNext/>
        <w:keepLines/>
        <w:pBdr>
          <w:top w:val="nil"/>
          <w:left w:val="nil"/>
          <w:bottom w:val="nil"/>
          <w:right w:val="nil"/>
          <w:between w:val="nil"/>
        </w:pBdr>
        <w:spacing w:before="240" w:after="0" w:line="360" w:lineRule="auto"/>
        <w:rPr>
          <w:rFonts w:ascii="Times New Roman" w:eastAsia="Times New Roman" w:hAnsi="Times New Roman" w:cs="Times New Roman"/>
          <w:b/>
          <w:sz w:val="32"/>
          <w:szCs w:val="32"/>
        </w:rPr>
      </w:pPr>
      <w:bookmarkStart w:id="1" w:name="_gjdgxs" w:colFirst="0" w:colLast="0"/>
      <w:bookmarkEnd w:id="1"/>
      <w:r>
        <w:rPr>
          <w:rFonts w:ascii="Times New Roman" w:eastAsia="Times New Roman" w:hAnsi="Times New Roman" w:cs="Times New Roman"/>
          <w:b/>
          <w:sz w:val="32"/>
          <w:szCs w:val="32"/>
        </w:rPr>
        <w:t>Table of Contents</w:t>
      </w:r>
    </w:p>
    <w:sdt>
      <w:sdtPr>
        <w:id w:val="-1945144642"/>
        <w:docPartObj>
          <w:docPartGallery w:val="Table of Contents"/>
          <w:docPartUnique/>
        </w:docPartObj>
      </w:sdtPr>
      <w:sdtEndPr/>
      <w:sdtContent>
        <w:p w14:paraId="1D47AE08" w14:textId="77777777" w:rsidR="00E87EA8" w:rsidRDefault="00BD12CA">
          <w:pPr>
            <w:widowControl w:val="0"/>
            <w:tabs>
              <w:tab w:val="right" w:leader="dot" w:pos="12000"/>
            </w:tabs>
            <w:spacing w:before="60" w:after="0" w:line="240" w:lineRule="auto"/>
            <w:rPr>
              <w:rFonts w:ascii="Arial" w:eastAsia="Arial" w:hAnsi="Arial" w:cs="Arial"/>
              <w:b/>
              <w:color w:val="000000"/>
            </w:rPr>
          </w:pPr>
          <w:r>
            <w:fldChar w:fldCharType="begin"/>
          </w:r>
          <w:r>
            <w:instrText xml:space="preserve"> TOC \h \u \z \t "Heading 1,1,Heading 2,2,Heading 3,3,"</w:instrText>
          </w:r>
          <w:r>
            <w:fldChar w:fldCharType="separate"/>
          </w:r>
          <w:hyperlink w:anchor="_30j0zll">
            <w:r>
              <w:rPr>
                <w:rFonts w:ascii="Times New Roman" w:eastAsia="Times New Roman" w:hAnsi="Times New Roman" w:cs="Times New Roman"/>
                <w:color w:val="000000"/>
                <w:sz w:val="24"/>
                <w:szCs w:val="24"/>
              </w:rPr>
              <w:t>Question 1</w:t>
            </w:r>
            <w:r>
              <w:rPr>
                <w:rFonts w:ascii="Times New Roman" w:eastAsia="Times New Roman" w:hAnsi="Times New Roman" w:cs="Times New Roman"/>
                <w:color w:val="000000"/>
                <w:sz w:val="24"/>
                <w:szCs w:val="24"/>
              </w:rPr>
              <w:tab/>
              <w:t>3</w:t>
            </w:r>
          </w:hyperlink>
        </w:p>
        <w:p w14:paraId="61EC1F4D" w14:textId="77777777" w:rsidR="00E87EA8" w:rsidRDefault="00BD12CA">
          <w:pPr>
            <w:widowControl w:val="0"/>
            <w:tabs>
              <w:tab w:val="right" w:leader="dot" w:pos="12000"/>
            </w:tabs>
            <w:spacing w:before="60" w:after="0" w:line="240" w:lineRule="auto"/>
            <w:ind w:left="360"/>
            <w:rPr>
              <w:rFonts w:ascii="Arial" w:eastAsia="Arial" w:hAnsi="Arial" w:cs="Arial"/>
              <w:color w:val="000000"/>
            </w:rPr>
          </w:pPr>
          <w:hyperlink w:anchor="_1fob9te">
            <w:r>
              <w:rPr>
                <w:rFonts w:ascii="Times New Roman" w:eastAsia="Times New Roman" w:hAnsi="Times New Roman" w:cs="Times New Roman"/>
                <w:color w:val="000000"/>
                <w:sz w:val="24"/>
                <w:szCs w:val="24"/>
              </w:rPr>
              <w:t>a) Prepare an income statement for the year ended 31st December 2022 for Wales plc and a statem</w:t>
            </w:r>
            <w:r>
              <w:rPr>
                <w:rFonts w:ascii="Times New Roman" w:eastAsia="Times New Roman" w:hAnsi="Times New Roman" w:cs="Times New Roman"/>
                <w:color w:val="000000"/>
                <w:sz w:val="24"/>
                <w:szCs w:val="24"/>
              </w:rPr>
              <w:t>ent of financial position as at that date.</w:t>
            </w:r>
            <w:r>
              <w:rPr>
                <w:rFonts w:ascii="Times New Roman" w:eastAsia="Times New Roman" w:hAnsi="Times New Roman" w:cs="Times New Roman"/>
                <w:color w:val="000000"/>
                <w:sz w:val="24"/>
                <w:szCs w:val="24"/>
              </w:rPr>
              <w:tab/>
              <w:t>3</w:t>
            </w:r>
          </w:hyperlink>
        </w:p>
        <w:p w14:paraId="3A79C83B" w14:textId="77777777" w:rsidR="00E87EA8" w:rsidRDefault="00BD12CA">
          <w:pPr>
            <w:widowControl w:val="0"/>
            <w:tabs>
              <w:tab w:val="right" w:leader="dot" w:pos="12000"/>
            </w:tabs>
            <w:spacing w:before="60" w:after="0" w:line="240" w:lineRule="auto"/>
            <w:ind w:left="720"/>
            <w:rPr>
              <w:rFonts w:ascii="Arial" w:eastAsia="Arial" w:hAnsi="Arial" w:cs="Arial"/>
              <w:color w:val="000000"/>
            </w:rPr>
          </w:pPr>
          <w:hyperlink w:anchor="_3znysh7">
            <w:r>
              <w:rPr>
                <w:rFonts w:ascii="Times New Roman" w:eastAsia="Times New Roman" w:hAnsi="Times New Roman" w:cs="Times New Roman"/>
                <w:color w:val="000000"/>
                <w:sz w:val="24"/>
                <w:szCs w:val="24"/>
              </w:rPr>
              <w:t>Income statement</w:t>
            </w:r>
            <w:r>
              <w:rPr>
                <w:rFonts w:ascii="Times New Roman" w:eastAsia="Times New Roman" w:hAnsi="Times New Roman" w:cs="Times New Roman"/>
                <w:color w:val="000000"/>
                <w:sz w:val="24"/>
                <w:szCs w:val="24"/>
              </w:rPr>
              <w:tab/>
              <w:t>3</w:t>
            </w:r>
          </w:hyperlink>
        </w:p>
        <w:p w14:paraId="6D03518D" w14:textId="77777777" w:rsidR="00E87EA8" w:rsidRDefault="00BD12CA">
          <w:pPr>
            <w:widowControl w:val="0"/>
            <w:tabs>
              <w:tab w:val="right" w:leader="dot" w:pos="12000"/>
            </w:tabs>
            <w:spacing w:before="60" w:after="0" w:line="240" w:lineRule="auto"/>
            <w:ind w:left="720"/>
            <w:rPr>
              <w:rFonts w:ascii="Arial" w:eastAsia="Arial" w:hAnsi="Arial" w:cs="Arial"/>
              <w:color w:val="000000"/>
            </w:rPr>
          </w:pPr>
          <w:hyperlink w:anchor="_2et92p0">
            <w:r>
              <w:rPr>
                <w:rFonts w:ascii="Times New Roman" w:eastAsia="Times New Roman" w:hAnsi="Times New Roman" w:cs="Times New Roman"/>
                <w:color w:val="000000"/>
                <w:sz w:val="24"/>
                <w:szCs w:val="24"/>
              </w:rPr>
              <w:t>Statement of Financial Position</w:t>
            </w:r>
            <w:r>
              <w:rPr>
                <w:rFonts w:ascii="Times New Roman" w:eastAsia="Times New Roman" w:hAnsi="Times New Roman" w:cs="Times New Roman"/>
                <w:color w:val="000000"/>
                <w:sz w:val="24"/>
                <w:szCs w:val="24"/>
              </w:rPr>
              <w:tab/>
              <w:t>5</w:t>
            </w:r>
          </w:hyperlink>
        </w:p>
        <w:p w14:paraId="335C916C" w14:textId="77777777" w:rsidR="00E87EA8" w:rsidRDefault="00BD12CA">
          <w:pPr>
            <w:widowControl w:val="0"/>
            <w:tabs>
              <w:tab w:val="right" w:leader="dot" w:pos="12000"/>
            </w:tabs>
            <w:spacing w:before="60" w:after="0" w:line="240" w:lineRule="auto"/>
            <w:ind w:left="360"/>
            <w:rPr>
              <w:rFonts w:ascii="Arial" w:eastAsia="Arial" w:hAnsi="Arial" w:cs="Arial"/>
              <w:color w:val="000000"/>
            </w:rPr>
          </w:pPr>
          <w:hyperlink w:anchor="_tyjcwt">
            <w:r>
              <w:rPr>
                <w:rFonts w:ascii="Times New Roman" w:eastAsia="Times New Roman" w:hAnsi="Times New Roman" w:cs="Times New Roman"/>
                <w:color w:val="000000"/>
                <w:sz w:val="24"/>
                <w:szCs w:val="24"/>
              </w:rPr>
              <w:t>b) Why does the statement of financial position balance?</w:t>
            </w:r>
            <w:r>
              <w:rPr>
                <w:rFonts w:ascii="Times New Roman" w:eastAsia="Times New Roman" w:hAnsi="Times New Roman" w:cs="Times New Roman"/>
                <w:color w:val="000000"/>
                <w:sz w:val="24"/>
                <w:szCs w:val="24"/>
              </w:rPr>
              <w:tab/>
              <w:t>7</w:t>
            </w:r>
          </w:hyperlink>
        </w:p>
        <w:p w14:paraId="0143B82D" w14:textId="77777777" w:rsidR="00E87EA8" w:rsidRDefault="00BD12CA">
          <w:pPr>
            <w:widowControl w:val="0"/>
            <w:tabs>
              <w:tab w:val="right" w:leader="dot" w:pos="12000"/>
            </w:tabs>
            <w:spacing w:before="60" w:after="0" w:line="240" w:lineRule="auto"/>
            <w:rPr>
              <w:rFonts w:ascii="Arial" w:eastAsia="Arial" w:hAnsi="Arial" w:cs="Arial"/>
              <w:b/>
              <w:color w:val="000000"/>
            </w:rPr>
          </w:pPr>
          <w:hyperlink w:anchor="_3dy6vkm">
            <w:r>
              <w:rPr>
                <w:rFonts w:ascii="Times New Roman" w:eastAsia="Times New Roman" w:hAnsi="Times New Roman" w:cs="Times New Roman"/>
                <w:color w:val="000000"/>
                <w:sz w:val="24"/>
                <w:szCs w:val="24"/>
              </w:rPr>
              <w:t>Question 2</w:t>
            </w:r>
            <w:r>
              <w:rPr>
                <w:rFonts w:ascii="Times New Roman" w:eastAsia="Times New Roman" w:hAnsi="Times New Roman" w:cs="Times New Roman"/>
                <w:color w:val="000000"/>
                <w:sz w:val="24"/>
                <w:szCs w:val="24"/>
              </w:rPr>
              <w:tab/>
              <w:t>8</w:t>
            </w:r>
          </w:hyperlink>
        </w:p>
        <w:p w14:paraId="1DFD44F5" w14:textId="77777777" w:rsidR="00E87EA8" w:rsidRDefault="00BD12CA">
          <w:pPr>
            <w:widowControl w:val="0"/>
            <w:tabs>
              <w:tab w:val="right" w:leader="dot" w:pos="12000"/>
            </w:tabs>
            <w:spacing w:before="60" w:after="0" w:line="240" w:lineRule="auto"/>
            <w:ind w:left="360"/>
            <w:rPr>
              <w:rFonts w:ascii="Arial" w:eastAsia="Arial" w:hAnsi="Arial" w:cs="Arial"/>
              <w:color w:val="000000"/>
            </w:rPr>
          </w:pPr>
          <w:hyperlink w:anchor="_1t3h5sf">
            <w:r>
              <w:rPr>
                <w:rFonts w:ascii="Times New Roman" w:eastAsia="Times New Roman" w:hAnsi="Times New Roman" w:cs="Times New Roman"/>
                <w:color w:val="000000"/>
                <w:sz w:val="24"/>
                <w:szCs w:val="24"/>
              </w:rPr>
              <w:t>a. Calculate the foll</w:t>
            </w:r>
            <w:r>
              <w:rPr>
                <w:rFonts w:ascii="Times New Roman" w:eastAsia="Times New Roman" w:hAnsi="Times New Roman" w:cs="Times New Roman"/>
                <w:color w:val="000000"/>
                <w:sz w:val="24"/>
                <w:szCs w:val="24"/>
              </w:rPr>
              <w:t>owing ratios for Sweets plc for 2021 and 2020, showing the formulas and workings</w:t>
            </w:r>
            <w:r>
              <w:rPr>
                <w:rFonts w:ascii="Times New Roman" w:eastAsia="Times New Roman" w:hAnsi="Times New Roman" w:cs="Times New Roman"/>
                <w:color w:val="000000"/>
                <w:sz w:val="24"/>
                <w:szCs w:val="24"/>
              </w:rPr>
              <w:tab/>
              <w:t>8</w:t>
            </w:r>
          </w:hyperlink>
        </w:p>
        <w:p w14:paraId="184B1DBC" w14:textId="77777777" w:rsidR="00E87EA8" w:rsidRDefault="00BD12CA">
          <w:pPr>
            <w:widowControl w:val="0"/>
            <w:tabs>
              <w:tab w:val="right" w:leader="dot" w:pos="12000"/>
            </w:tabs>
            <w:spacing w:before="60" w:after="0" w:line="240" w:lineRule="auto"/>
            <w:ind w:left="720"/>
            <w:rPr>
              <w:rFonts w:ascii="Arial" w:eastAsia="Arial" w:hAnsi="Arial" w:cs="Arial"/>
              <w:color w:val="000000"/>
            </w:rPr>
          </w:pPr>
          <w:hyperlink w:anchor="_4d34og8">
            <w:r>
              <w:rPr>
                <w:rFonts w:ascii="Times New Roman" w:eastAsia="Times New Roman" w:hAnsi="Times New Roman" w:cs="Times New Roman"/>
                <w:color w:val="000000"/>
                <w:sz w:val="24"/>
                <w:szCs w:val="24"/>
              </w:rPr>
              <w:t>1. ROCE – Return of Capital Employed</w:t>
            </w:r>
            <w:r>
              <w:rPr>
                <w:rFonts w:ascii="Times New Roman" w:eastAsia="Times New Roman" w:hAnsi="Times New Roman" w:cs="Times New Roman"/>
                <w:color w:val="000000"/>
                <w:sz w:val="24"/>
                <w:szCs w:val="24"/>
              </w:rPr>
              <w:tab/>
              <w:t>8</w:t>
            </w:r>
          </w:hyperlink>
        </w:p>
        <w:p w14:paraId="14C07327" w14:textId="77777777" w:rsidR="00E87EA8" w:rsidRDefault="00BD12CA">
          <w:pPr>
            <w:widowControl w:val="0"/>
            <w:tabs>
              <w:tab w:val="right" w:leader="dot" w:pos="12000"/>
            </w:tabs>
            <w:spacing w:before="60" w:after="0" w:line="240" w:lineRule="auto"/>
            <w:ind w:left="720"/>
            <w:rPr>
              <w:rFonts w:ascii="Arial" w:eastAsia="Arial" w:hAnsi="Arial" w:cs="Arial"/>
              <w:color w:val="000000"/>
            </w:rPr>
          </w:pPr>
          <w:hyperlink w:anchor="_2s8eyo1">
            <w:r>
              <w:rPr>
                <w:rFonts w:ascii="Times New Roman" w:eastAsia="Times New Roman" w:hAnsi="Times New Roman" w:cs="Times New Roman"/>
                <w:color w:val="000000"/>
                <w:sz w:val="24"/>
                <w:szCs w:val="24"/>
              </w:rPr>
              <w:t>2. RO</w:t>
            </w:r>
            <w:r>
              <w:rPr>
                <w:rFonts w:ascii="Times New Roman" w:eastAsia="Times New Roman" w:hAnsi="Times New Roman" w:cs="Times New Roman"/>
                <w:color w:val="000000"/>
                <w:sz w:val="24"/>
                <w:szCs w:val="24"/>
              </w:rPr>
              <w:t>E -  Return on Equity</w:t>
            </w:r>
            <w:r>
              <w:rPr>
                <w:rFonts w:ascii="Times New Roman" w:eastAsia="Times New Roman" w:hAnsi="Times New Roman" w:cs="Times New Roman"/>
                <w:color w:val="000000"/>
                <w:sz w:val="24"/>
                <w:szCs w:val="24"/>
              </w:rPr>
              <w:tab/>
              <w:t>9</w:t>
            </w:r>
          </w:hyperlink>
        </w:p>
        <w:p w14:paraId="360E63B1" w14:textId="77777777" w:rsidR="00E87EA8" w:rsidRDefault="00BD12CA">
          <w:pPr>
            <w:widowControl w:val="0"/>
            <w:tabs>
              <w:tab w:val="right" w:leader="dot" w:pos="12000"/>
            </w:tabs>
            <w:spacing w:before="60" w:after="0" w:line="240" w:lineRule="auto"/>
            <w:ind w:left="720"/>
            <w:rPr>
              <w:rFonts w:ascii="Arial" w:eastAsia="Arial" w:hAnsi="Arial" w:cs="Arial"/>
              <w:color w:val="000000"/>
            </w:rPr>
          </w:pPr>
          <w:hyperlink w:anchor="_17dp8vu">
            <w:r>
              <w:rPr>
                <w:rFonts w:ascii="Times New Roman" w:eastAsia="Times New Roman" w:hAnsi="Times New Roman" w:cs="Times New Roman"/>
                <w:color w:val="000000"/>
                <w:sz w:val="24"/>
                <w:szCs w:val="24"/>
              </w:rPr>
              <w:t>3. Earnings per share (EPS)</w:t>
            </w:r>
            <w:r>
              <w:rPr>
                <w:rFonts w:ascii="Times New Roman" w:eastAsia="Times New Roman" w:hAnsi="Times New Roman" w:cs="Times New Roman"/>
                <w:color w:val="000000"/>
                <w:sz w:val="24"/>
                <w:szCs w:val="24"/>
              </w:rPr>
              <w:tab/>
              <w:t>9</w:t>
            </w:r>
          </w:hyperlink>
        </w:p>
        <w:p w14:paraId="61134831" w14:textId="77777777" w:rsidR="00E87EA8" w:rsidRDefault="00BD12CA">
          <w:pPr>
            <w:widowControl w:val="0"/>
            <w:tabs>
              <w:tab w:val="right" w:leader="dot" w:pos="12000"/>
            </w:tabs>
            <w:spacing w:before="60" w:after="0" w:line="240" w:lineRule="auto"/>
            <w:ind w:left="720"/>
            <w:rPr>
              <w:rFonts w:ascii="Arial" w:eastAsia="Arial" w:hAnsi="Arial" w:cs="Arial"/>
              <w:color w:val="000000"/>
            </w:rPr>
          </w:pPr>
          <w:hyperlink w:anchor="_3rdcrjn">
            <w:r>
              <w:rPr>
                <w:rFonts w:ascii="Times New Roman" w:eastAsia="Times New Roman" w:hAnsi="Times New Roman" w:cs="Times New Roman"/>
                <w:color w:val="000000"/>
                <w:sz w:val="24"/>
                <w:szCs w:val="24"/>
              </w:rPr>
              <w:t>4. Net profit margin</w:t>
            </w:r>
            <w:r>
              <w:rPr>
                <w:rFonts w:ascii="Times New Roman" w:eastAsia="Times New Roman" w:hAnsi="Times New Roman" w:cs="Times New Roman"/>
                <w:color w:val="000000"/>
                <w:sz w:val="24"/>
                <w:szCs w:val="24"/>
              </w:rPr>
              <w:tab/>
              <w:t>10</w:t>
            </w:r>
          </w:hyperlink>
        </w:p>
        <w:p w14:paraId="3BC55B83" w14:textId="77777777" w:rsidR="00E87EA8" w:rsidRDefault="00BD12CA">
          <w:pPr>
            <w:widowControl w:val="0"/>
            <w:tabs>
              <w:tab w:val="right" w:leader="dot" w:pos="12000"/>
            </w:tabs>
            <w:spacing w:before="60" w:after="0" w:line="240" w:lineRule="auto"/>
            <w:ind w:left="720"/>
            <w:rPr>
              <w:rFonts w:ascii="Arial" w:eastAsia="Arial" w:hAnsi="Arial" w:cs="Arial"/>
              <w:color w:val="000000"/>
            </w:rPr>
          </w:pPr>
          <w:hyperlink w:anchor="_26in1rg">
            <w:r>
              <w:rPr>
                <w:rFonts w:ascii="Times New Roman" w:eastAsia="Times New Roman" w:hAnsi="Times New Roman" w:cs="Times New Roman"/>
                <w:color w:val="000000"/>
                <w:sz w:val="24"/>
                <w:szCs w:val="24"/>
              </w:rPr>
              <w:t>5. Asset Turnover</w:t>
            </w:r>
            <w:r>
              <w:rPr>
                <w:rFonts w:ascii="Times New Roman" w:eastAsia="Times New Roman" w:hAnsi="Times New Roman" w:cs="Times New Roman"/>
                <w:color w:val="000000"/>
                <w:sz w:val="24"/>
                <w:szCs w:val="24"/>
              </w:rPr>
              <w:tab/>
              <w:t>11</w:t>
            </w:r>
          </w:hyperlink>
        </w:p>
        <w:p w14:paraId="1D549705" w14:textId="77777777" w:rsidR="00E87EA8" w:rsidRDefault="00BD12CA">
          <w:pPr>
            <w:widowControl w:val="0"/>
            <w:tabs>
              <w:tab w:val="right" w:leader="dot" w:pos="12000"/>
            </w:tabs>
            <w:spacing w:before="60" w:after="0" w:line="240" w:lineRule="auto"/>
            <w:ind w:left="720"/>
            <w:rPr>
              <w:rFonts w:ascii="Arial" w:eastAsia="Arial" w:hAnsi="Arial" w:cs="Arial"/>
              <w:color w:val="000000"/>
            </w:rPr>
          </w:pPr>
          <w:hyperlink w:anchor="_lnxbz9">
            <w:r>
              <w:rPr>
                <w:rFonts w:ascii="Times New Roman" w:eastAsia="Times New Roman" w:hAnsi="Times New Roman" w:cs="Times New Roman"/>
                <w:color w:val="000000"/>
                <w:sz w:val="24"/>
                <w:szCs w:val="24"/>
              </w:rPr>
              <w:t>6. Stock holding d</w:t>
            </w:r>
            <w:r>
              <w:rPr>
                <w:rFonts w:ascii="Times New Roman" w:eastAsia="Times New Roman" w:hAnsi="Times New Roman" w:cs="Times New Roman"/>
                <w:color w:val="000000"/>
                <w:sz w:val="24"/>
                <w:szCs w:val="24"/>
              </w:rPr>
              <w:t>ays</w:t>
            </w:r>
            <w:r>
              <w:rPr>
                <w:rFonts w:ascii="Times New Roman" w:eastAsia="Times New Roman" w:hAnsi="Times New Roman" w:cs="Times New Roman"/>
                <w:color w:val="000000"/>
                <w:sz w:val="24"/>
                <w:szCs w:val="24"/>
              </w:rPr>
              <w:tab/>
              <w:t>11</w:t>
            </w:r>
          </w:hyperlink>
        </w:p>
        <w:p w14:paraId="513259E8" w14:textId="77777777" w:rsidR="00E87EA8" w:rsidRDefault="00BD12CA">
          <w:pPr>
            <w:widowControl w:val="0"/>
            <w:tabs>
              <w:tab w:val="right" w:leader="dot" w:pos="12000"/>
            </w:tabs>
            <w:spacing w:before="60" w:after="0" w:line="240" w:lineRule="auto"/>
            <w:ind w:left="720"/>
            <w:rPr>
              <w:rFonts w:ascii="Arial" w:eastAsia="Arial" w:hAnsi="Arial" w:cs="Arial"/>
              <w:color w:val="000000"/>
            </w:rPr>
          </w:pPr>
          <w:hyperlink w:anchor="_35nkun2">
            <w:r>
              <w:rPr>
                <w:rFonts w:ascii="Times New Roman" w:eastAsia="Times New Roman" w:hAnsi="Times New Roman" w:cs="Times New Roman"/>
                <w:color w:val="000000"/>
                <w:sz w:val="24"/>
                <w:szCs w:val="24"/>
              </w:rPr>
              <w:t>7. Debtors collection period</w:t>
            </w:r>
            <w:r>
              <w:rPr>
                <w:rFonts w:ascii="Times New Roman" w:eastAsia="Times New Roman" w:hAnsi="Times New Roman" w:cs="Times New Roman"/>
                <w:color w:val="000000"/>
                <w:sz w:val="24"/>
                <w:szCs w:val="24"/>
              </w:rPr>
              <w:tab/>
              <w:t>12</w:t>
            </w:r>
          </w:hyperlink>
        </w:p>
        <w:p w14:paraId="13AFF0E0" w14:textId="77777777" w:rsidR="00E87EA8" w:rsidRDefault="00BD12CA">
          <w:pPr>
            <w:widowControl w:val="0"/>
            <w:tabs>
              <w:tab w:val="right" w:leader="dot" w:pos="12000"/>
            </w:tabs>
            <w:spacing w:before="60" w:after="0" w:line="240" w:lineRule="auto"/>
            <w:ind w:left="720"/>
            <w:rPr>
              <w:rFonts w:ascii="Arial" w:eastAsia="Arial" w:hAnsi="Arial" w:cs="Arial"/>
              <w:color w:val="000000"/>
            </w:rPr>
          </w:pPr>
          <w:hyperlink w:anchor="_1ksv4uv">
            <w:r>
              <w:rPr>
                <w:rFonts w:ascii="Times New Roman" w:eastAsia="Times New Roman" w:hAnsi="Times New Roman" w:cs="Times New Roman"/>
                <w:color w:val="000000"/>
                <w:sz w:val="24"/>
                <w:szCs w:val="24"/>
              </w:rPr>
              <w:t>8. Current ratio</w:t>
            </w:r>
            <w:r>
              <w:rPr>
                <w:rFonts w:ascii="Times New Roman" w:eastAsia="Times New Roman" w:hAnsi="Times New Roman" w:cs="Times New Roman"/>
                <w:color w:val="000000"/>
                <w:sz w:val="24"/>
                <w:szCs w:val="24"/>
              </w:rPr>
              <w:tab/>
              <w:t>12</w:t>
            </w:r>
          </w:hyperlink>
        </w:p>
        <w:p w14:paraId="5FB881D0" w14:textId="77777777" w:rsidR="00E87EA8" w:rsidRDefault="00BD12CA">
          <w:pPr>
            <w:widowControl w:val="0"/>
            <w:tabs>
              <w:tab w:val="right" w:leader="dot" w:pos="12000"/>
            </w:tabs>
            <w:spacing w:before="60" w:after="0" w:line="240" w:lineRule="auto"/>
            <w:ind w:left="720"/>
            <w:rPr>
              <w:rFonts w:ascii="Arial" w:eastAsia="Arial" w:hAnsi="Arial" w:cs="Arial"/>
              <w:color w:val="000000"/>
            </w:rPr>
          </w:pPr>
          <w:hyperlink w:anchor="_44sinio">
            <w:r>
              <w:rPr>
                <w:rFonts w:ascii="Times New Roman" w:eastAsia="Times New Roman" w:hAnsi="Times New Roman" w:cs="Times New Roman"/>
                <w:color w:val="000000"/>
                <w:sz w:val="24"/>
                <w:szCs w:val="24"/>
              </w:rPr>
              <w:t>9. Gearing ratio</w:t>
            </w:r>
            <w:r>
              <w:rPr>
                <w:rFonts w:ascii="Times New Roman" w:eastAsia="Times New Roman" w:hAnsi="Times New Roman" w:cs="Times New Roman"/>
                <w:color w:val="000000"/>
                <w:sz w:val="24"/>
                <w:szCs w:val="24"/>
              </w:rPr>
              <w:tab/>
              <w:t>13</w:t>
            </w:r>
          </w:hyperlink>
        </w:p>
        <w:p w14:paraId="4458EA7E" w14:textId="77777777" w:rsidR="00E87EA8" w:rsidRDefault="00BD12CA">
          <w:pPr>
            <w:widowControl w:val="0"/>
            <w:tabs>
              <w:tab w:val="right" w:leader="dot" w:pos="12000"/>
            </w:tabs>
            <w:spacing w:before="60" w:after="0" w:line="240" w:lineRule="auto"/>
            <w:ind w:left="720"/>
            <w:rPr>
              <w:rFonts w:ascii="Arial" w:eastAsia="Arial" w:hAnsi="Arial" w:cs="Arial"/>
              <w:color w:val="000000"/>
            </w:rPr>
          </w:pPr>
          <w:hyperlink w:anchor="_2jxsxqh">
            <w:r>
              <w:rPr>
                <w:rFonts w:ascii="Times New Roman" w:eastAsia="Times New Roman" w:hAnsi="Times New Roman" w:cs="Times New Roman"/>
                <w:color w:val="000000"/>
                <w:sz w:val="24"/>
                <w:szCs w:val="24"/>
              </w:rPr>
              <w:t>10. Interest cover</w:t>
            </w:r>
            <w:r>
              <w:rPr>
                <w:rFonts w:ascii="Times New Roman" w:eastAsia="Times New Roman" w:hAnsi="Times New Roman" w:cs="Times New Roman"/>
                <w:color w:val="000000"/>
                <w:sz w:val="24"/>
                <w:szCs w:val="24"/>
              </w:rPr>
              <w:tab/>
              <w:t>14</w:t>
            </w:r>
          </w:hyperlink>
        </w:p>
        <w:p w14:paraId="2228CD20" w14:textId="77777777" w:rsidR="00E87EA8" w:rsidRDefault="00BD12CA">
          <w:pPr>
            <w:widowControl w:val="0"/>
            <w:tabs>
              <w:tab w:val="right" w:leader="dot" w:pos="12000"/>
            </w:tabs>
            <w:spacing w:before="60" w:after="0" w:line="240" w:lineRule="auto"/>
            <w:ind w:left="360"/>
            <w:rPr>
              <w:rFonts w:ascii="Arial" w:eastAsia="Arial" w:hAnsi="Arial" w:cs="Arial"/>
              <w:color w:val="000000"/>
            </w:rPr>
          </w:pPr>
          <w:hyperlink w:anchor="_z337ya">
            <w:r>
              <w:rPr>
                <w:rFonts w:ascii="Times New Roman" w:eastAsia="Times New Roman" w:hAnsi="Times New Roman" w:cs="Times New Roman"/>
                <w:color w:val="000000"/>
                <w:sz w:val="24"/>
                <w:szCs w:val="24"/>
              </w:rPr>
              <w:t>b. Using the information in the financial statements and the</w:t>
            </w:r>
            <w:r>
              <w:rPr>
                <w:rFonts w:ascii="Times New Roman" w:eastAsia="Times New Roman" w:hAnsi="Times New Roman" w:cs="Times New Roman"/>
                <w:color w:val="000000"/>
                <w:sz w:val="24"/>
                <w:szCs w:val="24"/>
              </w:rPr>
              <w:t xml:space="preserve"> ratios you have calculated, comment on the financial performance and position of Sweets plc.</w:t>
            </w:r>
            <w:r>
              <w:rPr>
                <w:rFonts w:ascii="Times New Roman" w:eastAsia="Times New Roman" w:hAnsi="Times New Roman" w:cs="Times New Roman"/>
                <w:color w:val="000000"/>
                <w:sz w:val="24"/>
                <w:szCs w:val="24"/>
              </w:rPr>
              <w:tab/>
              <w:t>14</w:t>
            </w:r>
          </w:hyperlink>
        </w:p>
        <w:p w14:paraId="125206F1" w14:textId="77777777" w:rsidR="00E87EA8" w:rsidRDefault="00BD12CA">
          <w:pPr>
            <w:widowControl w:val="0"/>
            <w:tabs>
              <w:tab w:val="right" w:leader="dot" w:pos="12000"/>
            </w:tabs>
            <w:spacing w:before="60" w:after="0" w:line="240" w:lineRule="auto"/>
            <w:rPr>
              <w:rFonts w:ascii="Arial" w:eastAsia="Arial" w:hAnsi="Arial" w:cs="Arial"/>
              <w:b/>
              <w:color w:val="000000"/>
            </w:rPr>
          </w:pPr>
          <w:hyperlink w:anchor="_3j2qqm3">
            <w:r>
              <w:rPr>
                <w:rFonts w:ascii="Times New Roman" w:eastAsia="Times New Roman" w:hAnsi="Times New Roman" w:cs="Times New Roman"/>
                <w:color w:val="000000"/>
                <w:sz w:val="24"/>
                <w:szCs w:val="24"/>
              </w:rPr>
              <w:t>References List</w:t>
            </w:r>
            <w:r>
              <w:rPr>
                <w:rFonts w:ascii="Times New Roman" w:eastAsia="Times New Roman" w:hAnsi="Times New Roman" w:cs="Times New Roman"/>
                <w:color w:val="000000"/>
                <w:sz w:val="24"/>
                <w:szCs w:val="24"/>
              </w:rPr>
              <w:tab/>
              <w:t>16</w:t>
            </w:r>
          </w:hyperlink>
          <w:r>
            <w:fldChar w:fldCharType="end"/>
          </w:r>
        </w:p>
      </w:sdtContent>
    </w:sdt>
    <w:p w14:paraId="6FE0F582" w14:textId="77777777" w:rsidR="00E87EA8" w:rsidRDefault="00E87EA8">
      <w:pPr>
        <w:spacing w:after="0"/>
        <w:rPr>
          <w:rFonts w:ascii="Times New Roman" w:eastAsia="Times New Roman" w:hAnsi="Times New Roman" w:cs="Times New Roman"/>
          <w:sz w:val="24"/>
          <w:szCs w:val="24"/>
        </w:rPr>
      </w:pPr>
    </w:p>
    <w:p w14:paraId="243771A4" w14:textId="77777777" w:rsidR="00E87EA8" w:rsidRDefault="00BD12CA">
      <w:pPr>
        <w:spacing w:after="0"/>
        <w:rPr>
          <w:rFonts w:ascii="Times New Roman" w:eastAsia="Times New Roman" w:hAnsi="Times New Roman" w:cs="Times New Roman"/>
          <w:sz w:val="24"/>
          <w:szCs w:val="24"/>
        </w:rPr>
      </w:pPr>
      <w:r>
        <w:br w:type="page"/>
      </w:r>
    </w:p>
    <w:p w14:paraId="7E0F6C54" w14:textId="77777777" w:rsidR="00E87EA8" w:rsidRDefault="00E87EA8">
      <w:pPr>
        <w:rPr>
          <w:rFonts w:ascii="Times New Roman" w:eastAsia="Times New Roman" w:hAnsi="Times New Roman" w:cs="Times New Roman"/>
          <w:b/>
          <w:sz w:val="24"/>
          <w:szCs w:val="24"/>
        </w:rPr>
      </w:pPr>
    </w:p>
    <w:p w14:paraId="30BBC4DC" w14:textId="77777777" w:rsidR="00E87EA8" w:rsidRDefault="00BD12CA">
      <w:pPr>
        <w:pStyle w:val="Heading1"/>
        <w:spacing w:line="480" w:lineRule="auto"/>
        <w:rPr>
          <w:sz w:val="32"/>
          <w:szCs w:val="32"/>
        </w:rPr>
      </w:pPr>
      <w:bookmarkStart w:id="2" w:name="_30j0zll" w:colFirst="0" w:colLast="0"/>
      <w:bookmarkEnd w:id="2"/>
      <w:r>
        <w:rPr>
          <w:sz w:val="32"/>
          <w:szCs w:val="32"/>
        </w:rPr>
        <w:t xml:space="preserve">Question 1  </w:t>
      </w:r>
    </w:p>
    <w:p w14:paraId="2E7BE698" w14:textId="77777777" w:rsidR="00E87EA8" w:rsidRDefault="00BD12CA">
      <w:pPr>
        <w:pStyle w:val="Heading2"/>
        <w:spacing w:line="480" w:lineRule="auto"/>
        <w:rPr>
          <w:sz w:val="28"/>
          <w:szCs w:val="28"/>
        </w:rPr>
      </w:pPr>
      <w:bookmarkStart w:id="3" w:name="_1fob9te" w:colFirst="0" w:colLast="0"/>
      <w:bookmarkEnd w:id="3"/>
      <w:r>
        <w:rPr>
          <w:sz w:val="28"/>
          <w:szCs w:val="28"/>
        </w:rPr>
        <w:t>a) Prepare an income statement for the year ended 31st December 2022 for Wales plc and a statement of financial position as at that date.</w:t>
      </w:r>
    </w:p>
    <w:p w14:paraId="624A114F" w14:textId="77777777" w:rsidR="00E87EA8" w:rsidRDefault="00BD12CA">
      <w:pPr>
        <w:pStyle w:val="Heading3"/>
        <w:spacing w:line="480" w:lineRule="auto"/>
        <w:ind w:firstLine="720"/>
      </w:pPr>
      <w:bookmarkStart w:id="4" w:name="_3znysh7" w:colFirst="0" w:colLast="0"/>
      <w:bookmarkEnd w:id="4"/>
      <w:r>
        <w:t>Income statement</w:t>
      </w:r>
    </w:p>
    <w:p w14:paraId="4E86F776" w14:textId="5724D4D2"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income statement is one of the core fin</w:t>
      </w:r>
      <w:r>
        <w:rPr>
          <w:rFonts w:ascii="Times New Roman" w:eastAsia="Times New Roman" w:hAnsi="Times New Roman" w:cs="Times New Roman"/>
          <w:sz w:val="24"/>
          <w:szCs w:val="24"/>
        </w:rPr>
        <w:t xml:space="preserve">ancial statements of a corporation. Also referred to as a statement of profit and loss or statement of earnings, operates under the fundamental equation that net income is the excess of revenue over expenses (Thomas &amp; Ward, 2019). </w:t>
      </w:r>
      <w:r w:rsidR="006919A8">
        <w:rPr>
          <w:rFonts w:ascii="Times New Roman" w:eastAsia="Times New Roman" w:hAnsi="Times New Roman" w:cs="Times New Roman"/>
          <w:sz w:val="24"/>
          <w:szCs w:val="24"/>
        </w:rPr>
        <w:t>W</w:t>
      </w:r>
      <w:r>
        <w:rPr>
          <w:rFonts w:ascii="Times New Roman" w:eastAsia="Times New Roman" w:hAnsi="Times New Roman" w:cs="Times New Roman"/>
          <w:sz w:val="24"/>
          <w:szCs w:val="24"/>
        </w:rPr>
        <w:t>hen a company is formed,</w:t>
      </w:r>
      <w:r>
        <w:rPr>
          <w:rFonts w:ascii="Times New Roman" w:eastAsia="Times New Roman" w:hAnsi="Times New Roman" w:cs="Times New Roman"/>
          <w:sz w:val="24"/>
          <w:szCs w:val="24"/>
        </w:rPr>
        <w:t xml:space="preserve"> the goal is to maximise profit. To achieve this goal, a company's shareholders delegate their decisions to the managers and task them to make decisions that maximise shareholder value (</w:t>
      </w:r>
      <w:proofErr w:type="spellStart"/>
      <w:r>
        <w:rPr>
          <w:rFonts w:ascii="Times New Roman" w:eastAsia="Times New Roman" w:hAnsi="Times New Roman" w:cs="Times New Roman"/>
          <w:sz w:val="24"/>
          <w:szCs w:val="24"/>
        </w:rPr>
        <w:t>Socea</w:t>
      </w:r>
      <w:proofErr w:type="spellEnd"/>
      <w:r>
        <w:rPr>
          <w:rFonts w:ascii="Times New Roman" w:eastAsia="Times New Roman" w:hAnsi="Times New Roman" w:cs="Times New Roman"/>
          <w:sz w:val="24"/>
          <w:szCs w:val="24"/>
        </w:rPr>
        <w:t xml:space="preserve">, 2012). Therefore, in the case of Wales Plc, using the extracts </w:t>
      </w:r>
      <w:r>
        <w:rPr>
          <w:rFonts w:ascii="Times New Roman" w:eastAsia="Times New Roman" w:hAnsi="Times New Roman" w:cs="Times New Roman"/>
          <w:sz w:val="24"/>
          <w:szCs w:val="24"/>
        </w:rPr>
        <w:t>from the trial balance to construct the income statement is critical in evaluating whether the managers have achieved the expectation of the shareholders. The income statement elements can subsequently be used to determine the company’s financial health in</w:t>
      </w:r>
      <w:r>
        <w:rPr>
          <w:rFonts w:ascii="Times New Roman" w:eastAsia="Times New Roman" w:hAnsi="Times New Roman" w:cs="Times New Roman"/>
          <w:sz w:val="24"/>
          <w:szCs w:val="24"/>
        </w:rPr>
        <w:t xml:space="preserve"> absolute terms or through ratio calculations. </w:t>
      </w:r>
    </w:p>
    <w:p w14:paraId="2AD05C0F"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step before drafting the income statement is to calculate net sales that will be extracted into the income statement as follows. </w:t>
      </w:r>
    </w:p>
    <w:p w14:paraId="16687E66"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Net sales = Cash sales + Credit sales</w:t>
      </w:r>
    </w:p>
    <w:p w14:paraId="41C5C574" w14:textId="77777777" w:rsidR="00E87EA8" w:rsidRDefault="00BD12CA">
      <w:pPr>
        <w:spacing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sz w:val="24"/>
          <w:szCs w:val="24"/>
        </w:rPr>
        <w:t>Net sales = £800,000 + £980 =</w:t>
      </w:r>
      <w:r>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800,980.00</w:t>
      </w:r>
    </w:p>
    <w:p w14:paraId="5B34C808" w14:textId="77777777" w:rsidR="00E87EA8" w:rsidRDefault="00E87EA8">
      <w:pPr>
        <w:spacing w:line="480" w:lineRule="auto"/>
        <w:ind w:firstLine="720"/>
        <w:rPr>
          <w:rFonts w:ascii="Times New Roman" w:eastAsia="Times New Roman" w:hAnsi="Times New Roman" w:cs="Times New Roman"/>
          <w:b/>
          <w:sz w:val="24"/>
          <w:szCs w:val="24"/>
        </w:rPr>
      </w:pPr>
    </w:p>
    <w:p w14:paraId="12EAD365" w14:textId="77777777" w:rsidR="00E87EA8" w:rsidRDefault="00E87EA8">
      <w:pPr>
        <w:spacing w:line="480" w:lineRule="auto"/>
        <w:ind w:firstLine="720"/>
        <w:rPr>
          <w:rFonts w:ascii="Times New Roman" w:eastAsia="Times New Roman" w:hAnsi="Times New Roman" w:cs="Times New Roman"/>
          <w:b/>
          <w:sz w:val="24"/>
          <w:szCs w:val="24"/>
        </w:rPr>
      </w:pPr>
    </w:p>
    <w:p w14:paraId="55BC802A" w14:textId="77777777" w:rsidR="00E87EA8" w:rsidRDefault="00E87EA8">
      <w:pPr>
        <w:spacing w:line="480" w:lineRule="auto"/>
        <w:ind w:firstLine="720"/>
        <w:rPr>
          <w:rFonts w:ascii="Times New Roman" w:eastAsia="Times New Roman" w:hAnsi="Times New Roman" w:cs="Times New Roman"/>
          <w:b/>
          <w:sz w:val="24"/>
          <w:szCs w:val="24"/>
        </w:rPr>
      </w:pPr>
    </w:p>
    <w:p w14:paraId="3B8DA71F" w14:textId="77777777" w:rsidR="00E87EA8" w:rsidRDefault="00E87EA8">
      <w:pPr>
        <w:spacing w:line="480" w:lineRule="auto"/>
        <w:ind w:firstLine="720"/>
        <w:rPr>
          <w:rFonts w:ascii="Times New Roman" w:eastAsia="Times New Roman" w:hAnsi="Times New Roman" w:cs="Times New Roman"/>
          <w:b/>
          <w:sz w:val="24"/>
          <w:szCs w:val="24"/>
        </w:rPr>
      </w:pPr>
    </w:p>
    <w:p w14:paraId="44511E43" w14:textId="77777777" w:rsidR="00E87EA8" w:rsidRDefault="00E87EA8">
      <w:pPr>
        <w:spacing w:line="480" w:lineRule="auto"/>
        <w:rPr>
          <w:rFonts w:ascii="Times New Roman" w:eastAsia="Times New Roman" w:hAnsi="Times New Roman" w:cs="Times New Roman"/>
          <w:b/>
          <w:sz w:val="24"/>
          <w:szCs w:val="24"/>
        </w:rPr>
      </w:pPr>
    </w:p>
    <w:tbl>
      <w:tblPr>
        <w:tblStyle w:val="a"/>
        <w:tblW w:w="9016" w:type="dxa"/>
        <w:jc w:val="center"/>
        <w:tblInd w:w="0"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7620"/>
        <w:gridCol w:w="1396"/>
      </w:tblGrid>
      <w:tr w:rsidR="00E87EA8" w14:paraId="41947290" w14:textId="77777777">
        <w:trPr>
          <w:trHeight w:val="300"/>
          <w:jc w:val="center"/>
        </w:trPr>
        <w:tc>
          <w:tcPr>
            <w:tcW w:w="9016" w:type="dxa"/>
            <w:gridSpan w:val="2"/>
            <w:vMerge w:val="restart"/>
            <w:shd w:val="clear" w:color="auto" w:fill="auto"/>
            <w:vAlign w:val="center"/>
          </w:tcPr>
          <w:p w14:paraId="7702CD8C" w14:textId="77777777" w:rsidR="00E87EA8" w:rsidRDefault="00BD12CA">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Wales plc</w:t>
            </w:r>
          </w:p>
        </w:tc>
      </w:tr>
      <w:tr w:rsidR="00E87EA8" w14:paraId="3786177F" w14:textId="77777777">
        <w:trPr>
          <w:trHeight w:val="337"/>
          <w:jc w:val="center"/>
        </w:trPr>
        <w:tc>
          <w:tcPr>
            <w:tcW w:w="9016" w:type="dxa"/>
            <w:gridSpan w:val="2"/>
            <w:vMerge/>
            <w:shd w:val="clear" w:color="auto" w:fill="auto"/>
            <w:vAlign w:val="center"/>
          </w:tcPr>
          <w:p w14:paraId="76FBDE25" w14:textId="77777777" w:rsidR="00E87EA8" w:rsidRDefault="00E87EA8">
            <w:pPr>
              <w:widowControl w:val="0"/>
              <w:pBdr>
                <w:top w:val="nil"/>
                <w:left w:val="nil"/>
                <w:bottom w:val="nil"/>
                <w:right w:val="nil"/>
                <w:between w:val="nil"/>
              </w:pBdr>
              <w:spacing w:after="0" w:line="276" w:lineRule="auto"/>
              <w:rPr>
                <w:rFonts w:ascii="Times New Roman" w:eastAsia="Times New Roman" w:hAnsi="Times New Roman" w:cs="Times New Roman"/>
                <w:b/>
                <w:sz w:val="24"/>
                <w:szCs w:val="24"/>
              </w:rPr>
            </w:pPr>
          </w:p>
        </w:tc>
      </w:tr>
      <w:tr w:rsidR="00E87EA8" w14:paraId="6DFABC52" w14:textId="77777777">
        <w:trPr>
          <w:trHeight w:val="337"/>
          <w:jc w:val="center"/>
        </w:trPr>
        <w:tc>
          <w:tcPr>
            <w:tcW w:w="9016" w:type="dxa"/>
            <w:gridSpan w:val="2"/>
            <w:vMerge/>
            <w:shd w:val="clear" w:color="auto" w:fill="auto"/>
            <w:vAlign w:val="center"/>
          </w:tcPr>
          <w:p w14:paraId="2E4025E6" w14:textId="77777777" w:rsidR="00E87EA8" w:rsidRDefault="00E87EA8">
            <w:pPr>
              <w:widowControl w:val="0"/>
              <w:pBdr>
                <w:top w:val="nil"/>
                <w:left w:val="nil"/>
                <w:bottom w:val="nil"/>
                <w:right w:val="nil"/>
                <w:between w:val="nil"/>
              </w:pBdr>
              <w:spacing w:after="0" w:line="276" w:lineRule="auto"/>
              <w:rPr>
                <w:rFonts w:ascii="Times New Roman" w:eastAsia="Times New Roman" w:hAnsi="Times New Roman" w:cs="Times New Roman"/>
                <w:b/>
                <w:sz w:val="24"/>
                <w:szCs w:val="24"/>
              </w:rPr>
            </w:pPr>
          </w:p>
        </w:tc>
      </w:tr>
      <w:tr w:rsidR="00E87EA8" w14:paraId="6F4F3E1A" w14:textId="77777777">
        <w:trPr>
          <w:trHeight w:val="330"/>
          <w:jc w:val="center"/>
        </w:trPr>
        <w:tc>
          <w:tcPr>
            <w:tcW w:w="9016" w:type="dxa"/>
            <w:gridSpan w:val="2"/>
            <w:tcBorders>
              <w:bottom w:val="single" w:sz="4" w:space="0" w:color="000000"/>
            </w:tcBorders>
            <w:shd w:val="clear" w:color="auto" w:fill="auto"/>
            <w:vAlign w:val="center"/>
          </w:tcPr>
          <w:p w14:paraId="471798D7" w14:textId="77777777" w:rsidR="00E87EA8" w:rsidRDefault="00BD12CA">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Profit and Loss Statement for the Year Ended 31st December 2022</w:t>
            </w:r>
          </w:p>
        </w:tc>
      </w:tr>
      <w:tr w:rsidR="00E87EA8" w14:paraId="35DB3D4A" w14:textId="77777777">
        <w:trPr>
          <w:trHeight w:val="330"/>
          <w:jc w:val="center"/>
        </w:trPr>
        <w:tc>
          <w:tcPr>
            <w:tcW w:w="7620" w:type="dxa"/>
            <w:tcBorders>
              <w:top w:val="single" w:sz="4" w:space="0" w:color="000000"/>
              <w:bottom w:val="single" w:sz="4" w:space="0" w:color="000000"/>
              <w:right w:val="single" w:sz="4" w:space="0" w:color="000000"/>
            </w:tcBorders>
            <w:shd w:val="clear" w:color="auto" w:fill="auto"/>
            <w:vAlign w:val="center"/>
          </w:tcPr>
          <w:p w14:paraId="4E0E6F05" w14:textId="77777777" w:rsidR="00E87EA8" w:rsidRDefault="00BD12CA">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Particulars </w:t>
            </w:r>
          </w:p>
        </w:tc>
        <w:tc>
          <w:tcPr>
            <w:tcW w:w="1396" w:type="dxa"/>
            <w:tcBorders>
              <w:top w:val="single" w:sz="4" w:space="0" w:color="000000"/>
              <w:left w:val="single" w:sz="4" w:space="0" w:color="000000"/>
              <w:bottom w:val="single" w:sz="4" w:space="0" w:color="000000"/>
            </w:tcBorders>
            <w:shd w:val="clear" w:color="auto" w:fill="auto"/>
            <w:vAlign w:val="center"/>
          </w:tcPr>
          <w:p w14:paraId="1AC5EB29" w14:textId="77777777" w:rsidR="00E87EA8" w:rsidRDefault="00BD12CA">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Amount (£)</w:t>
            </w:r>
          </w:p>
        </w:tc>
      </w:tr>
      <w:tr w:rsidR="00E87EA8" w14:paraId="42914879" w14:textId="77777777">
        <w:trPr>
          <w:trHeight w:val="330"/>
          <w:jc w:val="center"/>
        </w:trPr>
        <w:tc>
          <w:tcPr>
            <w:tcW w:w="7620" w:type="dxa"/>
            <w:tcBorders>
              <w:top w:val="single" w:sz="4" w:space="0" w:color="000000"/>
            </w:tcBorders>
            <w:shd w:val="clear" w:color="auto" w:fill="auto"/>
            <w:vAlign w:val="center"/>
          </w:tcPr>
          <w:p w14:paraId="36CB1EF8"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Net Sales</w:t>
            </w:r>
          </w:p>
        </w:tc>
        <w:tc>
          <w:tcPr>
            <w:tcW w:w="1396" w:type="dxa"/>
            <w:tcBorders>
              <w:top w:val="single" w:sz="4" w:space="0" w:color="000000"/>
            </w:tcBorders>
            <w:shd w:val="clear" w:color="auto" w:fill="auto"/>
            <w:vAlign w:val="center"/>
          </w:tcPr>
          <w:p w14:paraId="296FD6D4" w14:textId="77777777" w:rsidR="00E87EA8" w:rsidRDefault="00BD12CA">
            <w:pPr>
              <w:spacing w:after="0" w:line="24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800,980.00</w:t>
            </w:r>
          </w:p>
        </w:tc>
      </w:tr>
      <w:tr w:rsidR="00E87EA8" w14:paraId="7EFAECB9" w14:textId="77777777">
        <w:trPr>
          <w:trHeight w:val="330"/>
          <w:jc w:val="center"/>
        </w:trPr>
        <w:tc>
          <w:tcPr>
            <w:tcW w:w="7620" w:type="dxa"/>
            <w:shd w:val="clear" w:color="auto" w:fill="auto"/>
            <w:vAlign w:val="center"/>
          </w:tcPr>
          <w:p w14:paraId="5A963268"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Cost of sales</w:t>
            </w:r>
          </w:p>
        </w:tc>
        <w:tc>
          <w:tcPr>
            <w:tcW w:w="1396" w:type="dxa"/>
            <w:shd w:val="clear" w:color="auto" w:fill="auto"/>
            <w:vAlign w:val="center"/>
          </w:tcPr>
          <w:p w14:paraId="4F18A190" w14:textId="77777777" w:rsidR="00E87EA8" w:rsidRDefault="00BD12CA">
            <w:pPr>
              <w:spacing w:after="0" w:line="24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578,650.00</w:t>
            </w:r>
          </w:p>
        </w:tc>
      </w:tr>
      <w:tr w:rsidR="00E87EA8" w14:paraId="4334BF91" w14:textId="77777777">
        <w:trPr>
          <w:trHeight w:val="330"/>
          <w:jc w:val="center"/>
        </w:trPr>
        <w:tc>
          <w:tcPr>
            <w:tcW w:w="7620" w:type="dxa"/>
            <w:shd w:val="clear" w:color="auto" w:fill="auto"/>
            <w:vAlign w:val="center"/>
          </w:tcPr>
          <w:p w14:paraId="7B58661F" w14:textId="77777777" w:rsidR="00E87EA8" w:rsidRDefault="00BD12CA">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Gross profit (GP)</w:t>
            </w:r>
          </w:p>
        </w:tc>
        <w:tc>
          <w:tcPr>
            <w:tcW w:w="1396" w:type="dxa"/>
            <w:shd w:val="clear" w:color="auto" w:fill="auto"/>
            <w:vAlign w:val="center"/>
          </w:tcPr>
          <w:p w14:paraId="0952A947" w14:textId="77777777" w:rsidR="00E87EA8" w:rsidRDefault="00BD12CA">
            <w:pPr>
              <w:spacing w:after="0"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222,330.00</w:t>
            </w:r>
          </w:p>
        </w:tc>
      </w:tr>
      <w:tr w:rsidR="00E87EA8" w14:paraId="534799DE" w14:textId="77777777">
        <w:trPr>
          <w:trHeight w:val="330"/>
          <w:jc w:val="center"/>
        </w:trPr>
        <w:tc>
          <w:tcPr>
            <w:tcW w:w="7620" w:type="dxa"/>
            <w:shd w:val="clear" w:color="auto" w:fill="auto"/>
            <w:vAlign w:val="center"/>
          </w:tcPr>
          <w:p w14:paraId="59A5EF0C" w14:textId="77777777" w:rsidR="00E87EA8" w:rsidRDefault="00BD12CA">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w:t>
            </w:r>
          </w:p>
        </w:tc>
        <w:tc>
          <w:tcPr>
            <w:tcW w:w="1396" w:type="dxa"/>
            <w:shd w:val="clear" w:color="auto" w:fill="auto"/>
            <w:vAlign w:val="center"/>
          </w:tcPr>
          <w:p w14:paraId="4DD0833D"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tc>
      </w:tr>
      <w:tr w:rsidR="00E87EA8" w14:paraId="085B81EF" w14:textId="77777777">
        <w:trPr>
          <w:trHeight w:val="330"/>
          <w:jc w:val="center"/>
        </w:trPr>
        <w:tc>
          <w:tcPr>
            <w:tcW w:w="7620" w:type="dxa"/>
            <w:shd w:val="clear" w:color="auto" w:fill="auto"/>
            <w:vAlign w:val="center"/>
          </w:tcPr>
          <w:p w14:paraId="7CE6CA43"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Administrative expenses</w:t>
            </w:r>
          </w:p>
        </w:tc>
        <w:tc>
          <w:tcPr>
            <w:tcW w:w="1396" w:type="dxa"/>
            <w:shd w:val="clear" w:color="auto" w:fill="auto"/>
            <w:vAlign w:val="center"/>
          </w:tcPr>
          <w:p w14:paraId="3CEA6CC4" w14:textId="77777777" w:rsidR="00E87EA8" w:rsidRDefault="00BD12CA">
            <w:pPr>
              <w:spacing w:after="0" w:line="24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30,000.00</w:t>
            </w:r>
          </w:p>
        </w:tc>
      </w:tr>
      <w:tr w:rsidR="00E87EA8" w14:paraId="26BDFFB1" w14:textId="77777777">
        <w:trPr>
          <w:trHeight w:val="330"/>
          <w:jc w:val="center"/>
        </w:trPr>
        <w:tc>
          <w:tcPr>
            <w:tcW w:w="7620" w:type="dxa"/>
            <w:shd w:val="clear" w:color="auto" w:fill="auto"/>
            <w:vAlign w:val="center"/>
          </w:tcPr>
          <w:p w14:paraId="3994626D"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Directors remuneration</w:t>
            </w:r>
          </w:p>
        </w:tc>
        <w:tc>
          <w:tcPr>
            <w:tcW w:w="1396" w:type="dxa"/>
            <w:shd w:val="clear" w:color="auto" w:fill="auto"/>
            <w:vAlign w:val="center"/>
          </w:tcPr>
          <w:p w14:paraId="0C90B6B5" w14:textId="77777777" w:rsidR="00E87EA8" w:rsidRDefault="00BD12CA">
            <w:pPr>
              <w:spacing w:after="0" w:line="24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5,000.00</w:t>
            </w:r>
          </w:p>
        </w:tc>
      </w:tr>
      <w:tr w:rsidR="00E87EA8" w14:paraId="108280E4" w14:textId="77777777">
        <w:trPr>
          <w:trHeight w:val="330"/>
          <w:jc w:val="center"/>
        </w:trPr>
        <w:tc>
          <w:tcPr>
            <w:tcW w:w="7620" w:type="dxa"/>
            <w:shd w:val="clear" w:color="auto" w:fill="auto"/>
            <w:vAlign w:val="center"/>
          </w:tcPr>
          <w:p w14:paraId="6206FD25"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Distribution costs</w:t>
            </w:r>
          </w:p>
        </w:tc>
        <w:tc>
          <w:tcPr>
            <w:tcW w:w="1396" w:type="dxa"/>
            <w:shd w:val="clear" w:color="auto" w:fill="auto"/>
            <w:vAlign w:val="center"/>
          </w:tcPr>
          <w:p w14:paraId="412A5819" w14:textId="77777777" w:rsidR="00E87EA8" w:rsidRDefault="00BD12CA">
            <w:pPr>
              <w:spacing w:after="0" w:line="24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28,000.00</w:t>
            </w:r>
          </w:p>
        </w:tc>
      </w:tr>
      <w:tr w:rsidR="00E87EA8" w14:paraId="6AAB64E4" w14:textId="77777777">
        <w:trPr>
          <w:trHeight w:val="330"/>
          <w:jc w:val="center"/>
        </w:trPr>
        <w:tc>
          <w:tcPr>
            <w:tcW w:w="7620" w:type="dxa"/>
            <w:shd w:val="clear" w:color="auto" w:fill="auto"/>
            <w:vAlign w:val="center"/>
          </w:tcPr>
          <w:p w14:paraId="79975B14"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Sales Commission </w:t>
            </w:r>
          </w:p>
        </w:tc>
        <w:tc>
          <w:tcPr>
            <w:tcW w:w="1396" w:type="dxa"/>
            <w:shd w:val="clear" w:color="auto" w:fill="auto"/>
            <w:vAlign w:val="center"/>
          </w:tcPr>
          <w:p w14:paraId="3E8E0D92" w14:textId="77777777" w:rsidR="00E87EA8" w:rsidRDefault="00BD12CA">
            <w:pPr>
              <w:spacing w:after="0" w:line="24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3,000.00</w:t>
            </w:r>
          </w:p>
        </w:tc>
      </w:tr>
      <w:tr w:rsidR="00E87EA8" w14:paraId="58E29E71" w14:textId="77777777">
        <w:trPr>
          <w:trHeight w:val="330"/>
          <w:jc w:val="center"/>
        </w:trPr>
        <w:tc>
          <w:tcPr>
            <w:tcW w:w="7620" w:type="dxa"/>
            <w:shd w:val="clear" w:color="auto" w:fill="auto"/>
            <w:vAlign w:val="center"/>
          </w:tcPr>
          <w:p w14:paraId="4C4A6A46"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Operating Expenses (OE)</w:t>
            </w:r>
          </w:p>
        </w:tc>
        <w:tc>
          <w:tcPr>
            <w:tcW w:w="1396" w:type="dxa"/>
            <w:shd w:val="clear" w:color="auto" w:fill="auto"/>
            <w:vAlign w:val="center"/>
          </w:tcPr>
          <w:p w14:paraId="5DDBEB66" w14:textId="77777777" w:rsidR="00E87EA8" w:rsidRDefault="00BD12CA">
            <w:pPr>
              <w:spacing w:after="0"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66,000.00</w:t>
            </w:r>
          </w:p>
        </w:tc>
      </w:tr>
      <w:tr w:rsidR="00E87EA8" w14:paraId="3C670A54" w14:textId="77777777">
        <w:trPr>
          <w:trHeight w:val="330"/>
          <w:jc w:val="center"/>
        </w:trPr>
        <w:tc>
          <w:tcPr>
            <w:tcW w:w="7620" w:type="dxa"/>
            <w:shd w:val="clear" w:color="auto" w:fill="auto"/>
            <w:vAlign w:val="center"/>
          </w:tcPr>
          <w:p w14:paraId="08E52E98" w14:textId="77777777" w:rsidR="00E87EA8" w:rsidRDefault="00BD12CA">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Earnings Before Interest and Taxes (EBIT) = (GP-OI)</w:t>
            </w:r>
          </w:p>
        </w:tc>
        <w:tc>
          <w:tcPr>
            <w:tcW w:w="1396" w:type="dxa"/>
            <w:shd w:val="clear" w:color="auto" w:fill="auto"/>
            <w:vAlign w:val="center"/>
          </w:tcPr>
          <w:p w14:paraId="5B393304" w14:textId="77777777" w:rsidR="00E87EA8" w:rsidRDefault="00BD12CA">
            <w:pPr>
              <w:spacing w:after="0"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156,330.00</w:t>
            </w:r>
          </w:p>
        </w:tc>
      </w:tr>
      <w:tr w:rsidR="00E87EA8" w14:paraId="0956C276" w14:textId="77777777">
        <w:trPr>
          <w:trHeight w:val="330"/>
          <w:jc w:val="center"/>
        </w:trPr>
        <w:tc>
          <w:tcPr>
            <w:tcW w:w="7620" w:type="dxa"/>
            <w:shd w:val="clear" w:color="auto" w:fill="auto"/>
            <w:vAlign w:val="center"/>
          </w:tcPr>
          <w:p w14:paraId="5804053E"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tc>
        <w:tc>
          <w:tcPr>
            <w:tcW w:w="1396" w:type="dxa"/>
            <w:shd w:val="clear" w:color="auto" w:fill="auto"/>
            <w:vAlign w:val="center"/>
          </w:tcPr>
          <w:p w14:paraId="2D49F55D" w14:textId="77777777" w:rsidR="00E87EA8" w:rsidRDefault="00BD12CA">
            <w:pPr>
              <w:spacing w:after="0"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 </w:t>
            </w:r>
          </w:p>
        </w:tc>
      </w:tr>
      <w:tr w:rsidR="00E87EA8" w14:paraId="6D8E0A9F" w14:textId="77777777">
        <w:trPr>
          <w:trHeight w:val="330"/>
          <w:jc w:val="center"/>
        </w:trPr>
        <w:tc>
          <w:tcPr>
            <w:tcW w:w="7620" w:type="dxa"/>
            <w:shd w:val="clear" w:color="auto" w:fill="auto"/>
            <w:vAlign w:val="center"/>
          </w:tcPr>
          <w:p w14:paraId="606EDBE4"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Interest paid</w:t>
            </w:r>
          </w:p>
        </w:tc>
        <w:tc>
          <w:tcPr>
            <w:tcW w:w="1396" w:type="dxa"/>
            <w:shd w:val="clear" w:color="auto" w:fill="auto"/>
            <w:vAlign w:val="center"/>
          </w:tcPr>
          <w:p w14:paraId="17F6AE6B" w14:textId="77777777" w:rsidR="00E87EA8" w:rsidRDefault="00BD12CA">
            <w:pPr>
              <w:spacing w:after="0" w:line="24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r>
      <w:tr w:rsidR="00E87EA8" w14:paraId="773EC0D9" w14:textId="77777777">
        <w:trPr>
          <w:trHeight w:val="330"/>
          <w:jc w:val="center"/>
        </w:trPr>
        <w:tc>
          <w:tcPr>
            <w:tcW w:w="7620" w:type="dxa"/>
            <w:shd w:val="clear" w:color="auto" w:fill="auto"/>
            <w:vAlign w:val="center"/>
          </w:tcPr>
          <w:p w14:paraId="7D3A6819" w14:textId="77777777" w:rsidR="00E87EA8" w:rsidRDefault="00BD12CA">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Earnings Before Taxes (EBT)</w:t>
            </w:r>
          </w:p>
        </w:tc>
        <w:tc>
          <w:tcPr>
            <w:tcW w:w="1396" w:type="dxa"/>
            <w:shd w:val="clear" w:color="auto" w:fill="auto"/>
            <w:vAlign w:val="center"/>
          </w:tcPr>
          <w:p w14:paraId="44B88E7A" w14:textId="77777777" w:rsidR="00E87EA8" w:rsidRDefault="00BD12CA">
            <w:pPr>
              <w:spacing w:after="0"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154,330.00</w:t>
            </w:r>
          </w:p>
        </w:tc>
      </w:tr>
      <w:tr w:rsidR="00E87EA8" w14:paraId="5EABF3A9" w14:textId="77777777">
        <w:trPr>
          <w:trHeight w:val="330"/>
          <w:jc w:val="center"/>
        </w:trPr>
        <w:tc>
          <w:tcPr>
            <w:tcW w:w="7620" w:type="dxa"/>
            <w:shd w:val="clear" w:color="auto" w:fill="auto"/>
            <w:vAlign w:val="center"/>
          </w:tcPr>
          <w:p w14:paraId="3D793F91" w14:textId="77777777" w:rsidR="00E87EA8" w:rsidRDefault="00BD12CA">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w:t>
            </w:r>
          </w:p>
        </w:tc>
        <w:tc>
          <w:tcPr>
            <w:tcW w:w="1396" w:type="dxa"/>
            <w:shd w:val="clear" w:color="auto" w:fill="auto"/>
            <w:vAlign w:val="center"/>
          </w:tcPr>
          <w:p w14:paraId="6F886588" w14:textId="77777777" w:rsidR="00E87EA8" w:rsidRDefault="00BD12CA">
            <w:pPr>
              <w:spacing w:after="0"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 </w:t>
            </w:r>
          </w:p>
        </w:tc>
      </w:tr>
      <w:tr w:rsidR="00E87EA8" w14:paraId="4F16E8AF" w14:textId="77777777">
        <w:trPr>
          <w:trHeight w:val="330"/>
          <w:jc w:val="center"/>
        </w:trPr>
        <w:tc>
          <w:tcPr>
            <w:tcW w:w="7620" w:type="dxa"/>
            <w:shd w:val="clear" w:color="auto" w:fill="auto"/>
            <w:vAlign w:val="center"/>
          </w:tcPr>
          <w:p w14:paraId="05AF91E9"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Income Tax Expense</w:t>
            </w:r>
          </w:p>
        </w:tc>
        <w:tc>
          <w:tcPr>
            <w:tcW w:w="1396" w:type="dxa"/>
            <w:shd w:val="clear" w:color="auto" w:fill="auto"/>
            <w:vAlign w:val="center"/>
          </w:tcPr>
          <w:p w14:paraId="3B7D4042" w14:textId="77777777" w:rsidR="00E87EA8" w:rsidRDefault="00BD12CA">
            <w:pPr>
              <w:spacing w:after="0" w:line="24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100,000.00</w:t>
            </w:r>
          </w:p>
        </w:tc>
      </w:tr>
      <w:tr w:rsidR="00E87EA8" w14:paraId="351E1F81" w14:textId="77777777">
        <w:trPr>
          <w:trHeight w:val="330"/>
          <w:jc w:val="center"/>
        </w:trPr>
        <w:tc>
          <w:tcPr>
            <w:tcW w:w="7620" w:type="dxa"/>
            <w:shd w:val="clear" w:color="auto" w:fill="auto"/>
            <w:vAlign w:val="center"/>
          </w:tcPr>
          <w:p w14:paraId="3CE97111" w14:textId="77777777" w:rsidR="00E87EA8" w:rsidRDefault="00BD12CA">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Net Income (NI)</w:t>
            </w:r>
          </w:p>
        </w:tc>
        <w:tc>
          <w:tcPr>
            <w:tcW w:w="1396" w:type="dxa"/>
            <w:shd w:val="clear" w:color="auto" w:fill="auto"/>
            <w:vAlign w:val="center"/>
          </w:tcPr>
          <w:p w14:paraId="62A37DCD" w14:textId="77777777" w:rsidR="00E87EA8" w:rsidRDefault="00BD12CA">
            <w:pPr>
              <w:spacing w:after="0"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54,330.00</w:t>
            </w:r>
          </w:p>
        </w:tc>
      </w:tr>
    </w:tbl>
    <w:p w14:paraId="5FAB5F45" w14:textId="77777777" w:rsidR="00E87EA8" w:rsidRDefault="00E87EA8">
      <w:pPr>
        <w:spacing w:after="0" w:line="480" w:lineRule="auto"/>
        <w:ind w:firstLine="720"/>
        <w:rPr>
          <w:rFonts w:ascii="Times New Roman" w:eastAsia="Times New Roman" w:hAnsi="Times New Roman" w:cs="Times New Roman"/>
          <w:sz w:val="24"/>
          <w:szCs w:val="24"/>
        </w:rPr>
      </w:pPr>
    </w:p>
    <w:p w14:paraId="4C72B7E0" w14:textId="77777777" w:rsidR="00E87EA8" w:rsidRDefault="00BD12C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stakeholders of Wales Plc namely the shareholders, managers, employees, creditors, and the government can use the information to make their respective decisions. For </w:t>
      </w:r>
      <w:r>
        <w:rPr>
          <w:rFonts w:ascii="Times New Roman" w:eastAsia="Times New Roman" w:hAnsi="Times New Roman" w:cs="Times New Roman"/>
          <w:sz w:val="24"/>
          <w:szCs w:val="24"/>
        </w:rPr>
        <w:t>example, the shareholder will primarily focus on the net income section to do a time series analysis to note any changes (</w:t>
      </w:r>
      <w:proofErr w:type="spellStart"/>
      <w:r>
        <w:rPr>
          <w:rFonts w:ascii="Times New Roman" w:eastAsia="Times New Roman" w:hAnsi="Times New Roman" w:cs="Times New Roman"/>
          <w:sz w:val="24"/>
          <w:szCs w:val="24"/>
        </w:rPr>
        <w:t>Socea</w:t>
      </w:r>
      <w:proofErr w:type="spellEnd"/>
      <w:r>
        <w:rPr>
          <w:rFonts w:ascii="Times New Roman" w:eastAsia="Times New Roman" w:hAnsi="Times New Roman" w:cs="Times New Roman"/>
          <w:sz w:val="24"/>
          <w:szCs w:val="24"/>
        </w:rPr>
        <w:t>, 2012). On the other hand, creditors will focus on the EBT to determine the headroom for interest payments in the event that the</w:t>
      </w:r>
      <w:r>
        <w:rPr>
          <w:rFonts w:ascii="Times New Roman" w:eastAsia="Times New Roman" w:hAnsi="Times New Roman" w:cs="Times New Roman"/>
          <w:sz w:val="24"/>
          <w:szCs w:val="24"/>
        </w:rPr>
        <w:t xml:space="preserve"> company experiences a decline in revenue. The managers will focus on all sections including the gross margins to determine if they need to improve the rate of cost of sales and the net income to evaluate their performance in maximising shareholder wealth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Socea</w:t>
      </w:r>
      <w:proofErr w:type="spellEnd"/>
      <w:r>
        <w:rPr>
          <w:rFonts w:ascii="Times New Roman" w:eastAsia="Times New Roman" w:hAnsi="Times New Roman" w:cs="Times New Roman"/>
          <w:sz w:val="24"/>
          <w:szCs w:val="24"/>
        </w:rPr>
        <w:t xml:space="preserve">, 2012). </w:t>
      </w:r>
    </w:p>
    <w:p w14:paraId="6804F619" w14:textId="77777777" w:rsidR="00E87EA8" w:rsidRDefault="00E87EA8">
      <w:pPr>
        <w:spacing w:line="480" w:lineRule="auto"/>
        <w:ind w:firstLine="720"/>
        <w:rPr>
          <w:rFonts w:ascii="Times New Roman" w:eastAsia="Times New Roman" w:hAnsi="Times New Roman" w:cs="Times New Roman"/>
          <w:sz w:val="24"/>
          <w:szCs w:val="24"/>
        </w:rPr>
      </w:pPr>
    </w:p>
    <w:p w14:paraId="2162023D" w14:textId="77777777" w:rsidR="00E87EA8" w:rsidRDefault="00BD12CA">
      <w:pPr>
        <w:pStyle w:val="Heading3"/>
        <w:spacing w:line="480" w:lineRule="auto"/>
        <w:ind w:firstLine="720"/>
      </w:pPr>
      <w:bookmarkStart w:id="5" w:name="_2et92p0" w:colFirst="0" w:colLast="0"/>
      <w:bookmarkEnd w:id="5"/>
      <w:r>
        <w:lastRenderedPageBreak/>
        <w:t>Statement of Financial Position</w:t>
      </w:r>
    </w:p>
    <w:p w14:paraId="47FC99E1"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 company’s statement of financial position, also called the balance sheet, is a statement that shows the balance between the assets on one end, and the liabilities and equity on the other end. It is a criti</w:t>
      </w:r>
      <w:r>
        <w:rPr>
          <w:rFonts w:ascii="Times New Roman" w:eastAsia="Times New Roman" w:hAnsi="Times New Roman" w:cs="Times New Roman"/>
          <w:sz w:val="24"/>
          <w:szCs w:val="24"/>
        </w:rPr>
        <w:t>cal financial statement because it can be used to evaluate several aspects of the financial health of a company such as solvency and liquidity as well as provide information on the size of shareholders’ equity in the company (Thomas &amp; Ward, 2019). Before p</w:t>
      </w:r>
      <w:r>
        <w:rPr>
          <w:rFonts w:ascii="Times New Roman" w:eastAsia="Times New Roman" w:hAnsi="Times New Roman" w:cs="Times New Roman"/>
          <w:sz w:val="24"/>
          <w:szCs w:val="24"/>
        </w:rPr>
        <w:t xml:space="preserve">reparing the balance sheet, it is important to proceed with the preparation of the statement of changes in equity to find the closing equity position to be extracted into the balance sheet. </w:t>
      </w:r>
    </w:p>
    <w:p w14:paraId="40A81DA9" w14:textId="77777777" w:rsidR="00E87EA8" w:rsidRDefault="00E87EA8">
      <w:pPr>
        <w:rPr>
          <w:rFonts w:ascii="Times New Roman" w:eastAsia="Times New Roman" w:hAnsi="Times New Roman" w:cs="Times New Roman"/>
          <w:sz w:val="24"/>
          <w:szCs w:val="24"/>
        </w:rPr>
      </w:pPr>
    </w:p>
    <w:tbl>
      <w:tblPr>
        <w:tblStyle w:val="a0"/>
        <w:tblW w:w="8296" w:type="dxa"/>
        <w:jc w:val="center"/>
        <w:tblInd w:w="0" w:type="dxa"/>
        <w:tblLayout w:type="fixed"/>
        <w:tblLook w:val="0400" w:firstRow="0" w:lastRow="0" w:firstColumn="0" w:lastColumn="0" w:noHBand="0" w:noVBand="1"/>
      </w:tblPr>
      <w:tblGrid>
        <w:gridCol w:w="6820"/>
        <w:gridCol w:w="1476"/>
      </w:tblGrid>
      <w:tr w:rsidR="00E87EA8" w14:paraId="5A6B4227" w14:textId="77777777">
        <w:trPr>
          <w:trHeight w:val="862"/>
          <w:jc w:val="center"/>
        </w:trPr>
        <w:tc>
          <w:tcPr>
            <w:tcW w:w="8296" w:type="dxa"/>
            <w:gridSpan w:val="2"/>
            <w:tcBorders>
              <w:top w:val="single" w:sz="4" w:space="0" w:color="000000"/>
              <w:left w:val="single" w:sz="4" w:space="0" w:color="000000"/>
              <w:bottom w:val="single" w:sz="4" w:space="0" w:color="000000"/>
              <w:right w:val="single" w:sz="4" w:space="0" w:color="000000"/>
            </w:tcBorders>
            <w:shd w:val="clear" w:color="auto" w:fill="auto"/>
            <w:vAlign w:val="bottom"/>
          </w:tcPr>
          <w:p w14:paraId="0C86BCD5" w14:textId="77777777" w:rsidR="00E87EA8" w:rsidRDefault="00BD12CA">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Wales Plc</w:t>
            </w:r>
          </w:p>
          <w:p w14:paraId="2806E217"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p w14:paraId="2B1C545D" w14:textId="77777777" w:rsidR="00E87EA8" w:rsidRDefault="00BD12CA">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Statement of changes in Equity for the Year Ended 31</w:t>
            </w:r>
            <w:r>
              <w:rPr>
                <w:rFonts w:ascii="Times New Roman" w:eastAsia="Times New Roman" w:hAnsi="Times New Roman" w:cs="Times New Roman"/>
                <w:b/>
                <w:sz w:val="24"/>
                <w:szCs w:val="24"/>
              </w:rPr>
              <w:t>st December 2022</w:t>
            </w:r>
          </w:p>
          <w:p w14:paraId="78DD3C9D"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tc>
      </w:tr>
      <w:tr w:rsidR="00E87EA8" w14:paraId="68E37F73" w14:textId="77777777">
        <w:trPr>
          <w:trHeight w:val="300"/>
          <w:jc w:val="center"/>
        </w:trPr>
        <w:tc>
          <w:tcPr>
            <w:tcW w:w="6820" w:type="dxa"/>
            <w:tcBorders>
              <w:top w:val="single" w:sz="4" w:space="0" w:color="000000"/>
              <w:left w:val="single" w:sz="4" w:space="0" w:color="000000"/>
              <w:bottom w:val="single" w:sz="4" w:space="0" w:color="000000"/>
              <w:right w:val="single" w:sz="4" w:space="0" w:color="000000"/>
            </w:tcBorders>
            <w:shd w:val="clear" w:color="auto" w:fill="auto"/>
            <w:vAlign w:val="bottom"/>
          </w:tcPr>
          <w:p w14:paraId="5FD5BA64"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Particulars</w:t>
            </w:r>
          </w:p>
        </w:tc>
        <w:tc>
          <w:tcPr>
            <w:tcW w:w="1476" w:type="dxa"/>
            <w:tcBorders>
              <w:top w:val="single" w:sz="4" w:space="0" w:color="000000"/>
              <w:left w:val="single" w:sz="4" w:space="0" w:color="000000"/>
              <w:bottom w:val="single" w:sz="4" w:space="0" w:color="000000"/>
              <w:right w:val="single" w:sz="4" w:space="0" w:color="000000"/>
            </w:tcBorders>
            <w:shd w:val="clear" w:color="auto" w:fill="auto"/>
            <w:vAlign w:val="bottom"/>
          </w:tcPr>
          <w:p w14:paraId="255C8192"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Amount (£) </w:t>
            </w:r>
          </w:p>
        </w:tc>
      </w:tr>
      <w:tr w:rsidR="00E87EA8" w14:paraId="388BD8F8" w14:textId="77777777">
        <w:trPr>
          <w:trHeight w:val="300"/>
          <w:jc w:val="center"/>
        </w:trPr>
        <w:tc>
          <w:tcPr>
            <w:tcW w:w="6820" w:type="dxa"/>
            <w:tcBorders>
              <w:top w:val="single" w:sz="4" w:space="0" w:color="000000"/>
              <w:left w:val="single" w:sz="4" w:space="0" w:color="000000"/>
              <w:bottom w:val="nil"/>
              <w:right w:val="nil"/>
            </w:tcBorders>
            <w:shd w:val="clear" w:color="auto" w:fill="auto"/>
            <w:vAlign w:val="bottom"/>
          </w:tcPr>
          <w:p w14:paraId="7A9D4E91"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ordinary shares</w:t>
            </w:r>
          </w:p>
        </w:tc>
        <w:tc>
          <w:tcPr>
            <w:tcW w:w="1476" w:type="dxa"/>
            <w:tcBorders>
              <w:top w:val="single" w:sz="4" w:space="0" w:color="000000"/>
              <w:left w:val="nil"/>
              <w:bottom w:val="nil"/>
              <w:right w:val="single" w:sz="4" w:space="0" w:color="000000"/>
            </w:tcBorders>
            <w:shd w:val="clear" w:color="auto" w:fill="auto"/>
            <w:vAlign w:val="bottom"/>
          </w:tcPr>
          <w:p w14:paraId="7FDC112D"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900,000.00 </w:t>
            </w:r>
          </w:p>
        </w:tc>
      </w:tr>
      <w:tr w:rsidR="00E87EA8" w14:paraId="3E7EB4F6" w14:textId="77777777">
        <w:trPr>
          <w:trHeight w:val="300"/>
          <w:jc w:val="center"/>
        </w:trPr>
        <w:tc>
          <w:tcPr>
            <w:tcW w:w="6820" w:type="dxa"/>
            <w:tcBorders>
              <w:top w:val="nil"/>
              <w:left w:val="single" w:sz="4" w:space="0" w:color="000000"/>
              <w:bottom w:val="nil"/>
              <w:right w:val="nil"/>
            </w:tcBorders>
            <w:shd w:val="clear" w:color="auto" w:fill="auto"/>
            <w:vAlign w:val="bottom"/>
          </w:tcPr>
          <w:p w14:paraId="680F720A"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Add </w:t>
            </w:r>
            <w:r>
              <w:rPr>
                <w:rFonts w:ascii="Times New Roman" w:eastAsia="Times New Roman" w:hAnsi="Times New Roman" w:cs="Times New Roman"/>
                <w:sz w:val="24"/>
                <w:szCs w:val="24"/>
              </w:rPr>
              <w:t>10% £1 preference shares</w:t>
            </w:r>
          </w:p>
        </w:tc>
        <w:tc>
          <w:tcPr>
            <w:tcW w:w="1476" w:type="dxa"/>
            <w:tcBorders>
              <w:top w:val="nil"/>
              <w:left w:val="nil"/>
              <w:bottom w:val="nil"/>
              <w:right w:val="single" w:sz="4" w:space="0" w:color="000000"/>
            </w:tcBorders>
            <w:shd w:val="clear" w:color="auto" w:fill="auto"/>
            <w:vAlign w:val="bottom"/>
          </w:tcPr>
          <w:p w14:paraId="3396E291"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500,000.00 </w:t>
            </w:r>
          </w:p>
        </w:tc>
      </w:tr>
      <w:tr w:rsidR="00E87EA8" w14:paraId="296CB59E" w14:textId="77777777">
        <w:trPr>
          <w:trHeight w:val="300"/>
          <w:jc w:val="center"/>
        </w:trPr>
        <w:tc>
          <w:tcPr>
            <w:tcW w:w="6820" w:type="dxa"/>
            <w:tcBorders>
              <w:top w:val="nil"/>
              <w:left w:val="single" w:sz="4" w:space="0" w:color="000000"/>
              <w:bottom w:val="nil"/>
              <w:right w:val="nil"/>
            </w:tcBorders>
            <w:shd w:val="clear" w:color="auto" w:fill="auto"/>
            <w:vAlign w:val="bottom"/>
          </w:tcPr>
          <w:p w14:paraId="1DF10481"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Add </w:t>
            </w:r>
            <w:r>
              <w:rPr>
                <w:rFonts w:ascii="Times New Roman" w:eastAsia="Times New Roman" w:hAnsi="Times New Roman" w:cs="Times New Roman"/>
                <w:sz w:val="24"/>
                <w:szCs w:val="24"/>
              </w:rPr>
              <w:t>Retained profits at 1st January 2021</w:t>
            </w:r>
          </w:p>
        </w:tc>
        <w:tc>
          <w:tcPr>
            <w:tcW w:w="1476" w:type="dxa"/>
            <w:tcBorders>
              <w:top w:val="nil"/>
              <w:left w:val="nil"/>
              <w:bottom w:val="nil"/>
              <w:right w:val="single" w:sz="4" w:space="0" w:color="000000"/>
            </w:tcBorders>
            <w:shd w:val="clear" w:color="auto" w:fill="auto"/>
            <w:vAlign w:val="bottom"/>
          </w:tcPr>
          <w:p w14:paraId="4246991D"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132,000.00 </w:t>
            </w:r>
          </w:p>
        </w:tc>
      </w:tr>
      <w:tr w:rsidR="00E87EA8" w14:paraId="6789E06B" w14:textId="77777777">
        <w:trPr>
          <w:trHeight w:val="315"/>
          <w:jc w:val="center"/>
        </w:trPr>
        <w:tc>
          <w:tcPr>
            <w:tcW w:w="6820" w:type="dxa"/>
            <w:tcBorders>
              <w:top w:val="nil"/>
              <w:left w:val="single" w:sz="4" w:space="0" w:color="000000"/>
              <w:bottom w:val="nil"/>
              <w:right w:val="nil"/>
            </w:tcBorders>
            <w:shd w:val="clear" w:color="auto" w:fill="auto"/>
            <w:vAlign w:val="center"/>
          </w:tcPr>
          <w:p w14:paraId="4A803E32"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Add</w:t>
            </w:r>
            <w:r>
              <w:rPr>
                <w:rFonts w:ascii="Times New Roman" w:eastAsia="Times New Roman" w:hAnsi="Times New Roman" w:cs="Times New Roman"/>
                <w:sz w:val="24"/>
                <w:szCs w:val="24"/>
              </w:rPr>
              <w:t xml:space="preserve"> Profit for the year ended 31st December 2022</w:t>
            </w:r>
          </w:p>
        </w:tc>
        <w:tc>
          <w:tcPr>
            <w:tcW w:w="1476" w:type="dxa"/>
            <w:tcBorders>
              <w:top w:val="nil"/>
              <w:left w:val="nil"/>
              <w:bottom w:val="nil"/>
              <w:right w:val="single" w:sz="4" w:space="0" w:color="000000"/>
            </w:tcBorders>
            <w:shd w:val="clear" w:color="auto" w:fill="auto"/>
            <w:vAlign w:val="center"/>
          </w:tcPr>
          <w:p w14:paraId="34DEEF2A"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54,330.00</w:t>
            </w:r>
          </w:p>
        </w:tc>
      </w:tr>
      <w:tr w:rsidR="00E87EA8" w14:paraId="3C1A9C04" w14:textId="77777777">
        <w:trPr>
          <w:trHeight w:val="315"/>
          <w:jc w:val="center"/>
        </w:trPr>
        <w:tc>
          <w:tcPr>
            <w:tcW w:w="6820" w:type="dxa"/>
            <w:tcBorders>
              <w:top w:val="nil"/>
              <w:left w:val="single" w:sz="4" w:space="0" w:color="000000"/>
              <w:bottom w:val="nil"/>
              <w:right w:val="nil"/>
            </w:tcBorders>
            <w:shd w:val="clear" w:color="auto" w:fill="auto"/>
            <w:vAlign w:val="center"/>
          </w:tcPr>
          <w:p w14:paraId="2F73519F"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Less </w:t>
            </w:r>
            <w:r>
              <w:rPr>
                <w:rFonts w:ascii="Times New Roman" w:eastAsia="Times New Roman" w:hAnsi="Times New Roman" w:cs="Times New Roman"/>
                <w:sz w:val="24"/>
                <w:szCs w:val="24"/>
              </w:rPr>
              <w:t>ordinary dividends</w:t>
            </w:r>
          </w:p>
        </w:tc>
        <w:tc>
          <w:tcPr>
            <w:tcW w:w="1476" w:type="dxa"/>
            <w:tcBorders>
              <w:top w:val="nil"/>
              <w:left w:val="nil"/>
              <w:bottom w:val="nil"/>
              <w:right w:val="single" w:sz="4" w:space="0" w:color="000000"/>
            </w:tcBorders>
            <w:shd w:val="clear" w:color="auto" w:fill="auto"/>
            <w:vAlign w:val="center"/>
          </w:tcPr>
          <w:p w14:paraId="760F180D"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20,000.00</w:t>
            </w:r>
          </w:p>
        </w:tc>
      </w:tr>
      <w:tr w:rsidR="00E87EA8" w14:paraId="454061E1" w14:textId="77777777">
        <w:trPr>
          <w:trHeight w:val="315"/>
          <w:jc w:val="center"/>
        </w:trPr>
        <w:tc>
          <w:tcPr>
            <w:tcW w:w="6820" w:type="dxa"/>
            <w:tcBorders>
              <w:top w:val="nil"/>
              <w:left w:val="single" w:sz="4" w:space="0" w:color="000000"/>
              <w:bottom w:val="nil"/>
              <w:right w:val="nil"/>
            </w:tcBorders>
            <w:shd w:val="clear" w:color="auto" w:fill="auto"/>
            <w:vAlign w:val="center"/>
          </w:tcPr>
          <w:p w14:paraId="63E01181"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Less</w:t>
            </w:r>
            <w:r>
              <w:rPr>
                <w:rFonts w:ascii="Times New Roman" w:eastAsia="Times New Roman" w:hAnsi="Times New Roman" w:cs="Times New Roman"/>
                <w:sz w:val="24"/>
                <w:szCs w:val="24"/>
              </w:rPr>
              <w:t>:  preference dividends</w:t>
            </w:r>
          </w:p>
        </w:tc>
        <w:tc>
          <w:tcPr>
            <w:tcW w:w="1476" w:type="dxa"/>
            <w:tcBorders>
              <w:top w:val="nil"/>
              <w:left w:val="nil"/>
              <w:bottom w:val="nil"/>
              <w:right w:val="single" w:sz="4" w:space="0" w:color="000000"/>
            </w:tcBorders>
            <w:shd w:val="clear" w:color="auto" w:fill="auto"/>
            <w:vAlign w:val="center"/>
          </w:tcPr>
          <w:p w14:paraId="260C69B7"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30,000.00</w:t>
            </w:r>
          </w:p>
        </w:tc>
      </w:tr>
      <w:tr w:rsidR="00E87EA8" w14:paraId="314DEAA8" w14:textId="77777777">
        <w:trPr>
          <w:trHeight w:val="315"/>
          <w:jc w:val="center"/>
        </w:trPr>
        <w:tc>
          <w:tcPr>
            <w:tcW w:w="6820" w:type="dxa"/>
            <w:tcBorders>
              <w:top w:val="nil"/>
              <w:left w:val="single" w:sz="4" w:space="0" w:color="000000"/>
              <w:bottom w:val="single" w:sz="4" w:space="0" w:color="000000"/>
              <w:right w:val="nil"/>
            </w:tcBorders>
            <w:shd w:val="clear" w:color="auto" w:fill="auto"/>
            <w:vAlign w:val="center"/>
          </w:tcPr>
          <w:p w14:paraId="51F7CAC1" w14:textId="77777777" w:rsidR="00E87EA8" w:rsidRDefault="00BD12CA">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Equity </w:t>
            </w:r>
          </w:p>
        </w:tc>
        <w:tc>
          <w:tcPr>
            <w:tcW w:w="1476" w:type="dxa"/>
            <w:tcBorders>
              <w:top w:val="nil"/>
              <w:left w:val="nil"/>
              <w:bottom w:val="single" w:sz="4" w:space="0" w:color="000000"/>
              <w:right w:val="single" w:sz="4" w:space="0" w:color="000000"/>
            </w:tcBorders>
            <w:shd w:val="clear" w:color="auto" w:fill="auto"/>
            <w:vAlign w:val="center"/>
          </w:tcPr>
          <w:p w14:paraId="2A2A3C09" w14:textId="77777777" w:rsidR="00E87EA8" w:rsidRDefault="00BD12CA">
            <w:pPr>
              <w:spacing w:after="0"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1,536,330.00</w:t>
            </w:r>
          </w:p>
        </w:tc>
      </w:tr>
    </w:tbl>
    <w:p w14:paraId="152FEA27" w14:textId="77777777" w:rsidR="00E87EA8" w:rsidRDefault="00E87EA8">
      <w:pPr>
        <w:spacing w:after="0"/>
        <w:rPr>
          <w:rFonts w:ascii="Times New Roman" w:eastAsia="Times New Roman" w:hAnsi="Times New Roman" w:cs="Times New Roman"/>
          <w:sz w:val="24"/>
          <w:szCs w:val="24"/>
        </w:rPr>
      </w:pPr>
    </w:p>
    <w:p w14:paraId="6A3699B4" w14:textId="77777777" w:rsidR="00E87EA8" w:rsidRDefault="00E87EA8">
      <w:pPr>
        <w:spacing w:line="480" w:lineRule="auto"/>
        <w:ind w:firstLine="720"/>
        <w:rPr>
          <w:rFonts w:ascii="Times New Roman" w:eastAsia="Times New Roman" w:hAnsi="Times New Roman" w:cs="Times New Roman"/>
          <w:sz w:val="24"/>
          <w:szCs w:val="24"/>
        </w:rPr>
      </w:pPr>
    </w:p>
    <w:p w14:paraId="4BB38FCB" w14:textId="77777777" w:rsidR="00E87EA8" w:rsidRDefault="00E87EA8">
      <w:pPr>
        <w:spacing w:line="480" w:lineRule="auto"/>
        <w:ind w:firstLine="720"/>
        <w:rPr>
          <w:rFonts w:ascii="Times New Roman" w:eastAsia="Times New Roman" w:hAnsi="Times New Roman" w:cs="Times New Roman"/>
          <w:sz w:val="24"/>
          <w:szCs w:val="24"/>
        </w:rPr>
      </w:pPr>
    </w:p>
    <w:p w14:paraId="42A02CD2" w14:textId="77777777" w:rsidR="00E87EA8" w:rsidRDefault="00E87EA8">
      <w:pPr>
        <w:spacing w:line="480" w:lineRule="auto"/>
        <w:ind w:firstLine="720"/>
        <w:rPr>
          <w:rFonts w:ascii="Times New Roman" w:eastAsia="Times New Roman" w:hAnsi="Times New Roman" w:cs="Times New Roman"/>
          <w:sz w:val="24"/>
          <w:szCs w:val="24"/>
        </w:rPr>
      </w:pPr>
    </w:p>
    <w:p w14:paraId="15E45879" w14:textId="77777777" w:rsidR="00E87EA8" w:rsidRDefault="00E87EA8">
      <w:pPr>
        <w:spacing w:line="480" w:lineRule="auto"/>
        <w:ind w:firstLine="720"/>
        <w:rPr>
          <w:rFonts w:ascii="Times New Roman" w:eastAsia="Times New Roman" w:hAnsi="Times New Roman" w:cs="Times New Roman"/>
          <w:sz w:val="24"/>
          <w:szCs w:val="24"/>
        </w:rPr>
      </w:pPr>
    </w:p>
    <w:p w14:paraId="7422C7CF" w14:textId="77777777" w:rsidR="00E87EA8" w:rsidRDefault="00E87EA8">
      <w:pPr>
        <w:spacing w:line="480" w:lineRule="auto"/>
        <w:ind w:firstLine="720"/>
        <w:rPr>
          <w:rFonts w:ascii="Times New Roman" w:eastAsia="Times New Roman" w:hAnsi="Times New Roman" w:cs="Times New Roman"/>
          <w:sz w:val="24"/>
          <w:szCs w:val="24"/>
        </w:rPr>
      </w:pPr>
    </w:p>
    <w:p w14:paraId="755856B1" w14:textId="77777777" w:rsidR="00E87EA8" w:rsidRDefault="00E87EA8">
      <w:pPr>
        <w:spacing w:line="480" w:lineRule="auto"/>
        <w:ind w:firstLine="720"/>
        <w:rPr>
          <w:rFonts w:ascii="Times New Roman" w:eastAsia="Times New Roman" w:hAnsi="Times New Roman" w:cs="Times New Roman"/>
          <w:sz w:val="24"/>
          <w:szCs w:val="24"/>
        </w:rPr>
      </w:pPr>
    </w:p>
    <w:p w14:paraId="5902C64D" w14:textId="77777777" w:rsidR="00E87EA8" w:rsidRDefault="00BD12C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figure of £1,536,330.00 will be extracted into the statement of financial position as presented below. </w:t>
      </w:r>
    </w:p>
    <w:tbl>
      <w:tblPr>
        <w:tblStyle w:val="a1"/>
        <w:tblW w:w="7756" w:type="dxa"/>
        <w:jc w:val="center"/>
        <w:tblInd w:w="0" w:type="dxa"/>
        <w:tblLayout w:type="fixed"/>
        <w:tblLook w:val="0400" w:firstRow="0" w:lastRow="0" w:firstColumn="0" w:lastColumn="0" w:noHBand="0" w:noVBand="1"/>
      </w:tblPr>
      <w:tblGrid>
        <w:gridCol w:w="6280"/>
        <w:gridCol w:w="1476"/>
      </w:tblGrid>
      <w:tr w:rsidR="00E87EA8" w14:paraId="3BEFE068" w14:textId="77777777">
        <w:trPr>
          <w:trHeight w:val="300"/>
          <w:jc w:val="center"/>
        </w:trPr>
        <w:tc>
          <w:tcPr>
            <w:tcW w:w="7756" w:type="dxa"/>
            <w:gridSpan w:val="2"/>
            <w:vMerge w:val="restart"/>
            <w:tcBorders>
              <w:top w:val="single" w:sz="4" w:space="0" w:color="000000"/>
              <w:left w:val="single" w:sz="4" w:space="0" w:color="000000"/>
              <w:bottom w:val="nil"/>
              <w:right w:val="single" w:sz="4" w:space="0" w:color="000000"/>
            </w:tcBorders>
            <w:shd w:val="clear" w:color="auto" w:fill="auto"/>
            <w:vAlign w:val="center"/>
          </w:tcPr>
          <w:p w14:paraId="5A7E5781" w14:textId="77777777" w:rsidR="00E87EA8" w:rsidRDefault="00BD12CA">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Wales Plc</w:t>
            </w:r>
          </w:p>
        </w:tc>
      </w:tr>
      <w:tr w:rsidR="00E87EA8" w14:paraId="73A72412" w14:textId="77777777">
        <w:trPr>
          <w:trHeight w:val="337"/>
          <w:jc w:val="center"/>
        </w:trPr>
        <w:tc>
          <w:tcPr>
            <w:tcW w:w="7756" w:type="dxa"/>
            <w:gridSpan w:val="2"/>
            <w:vMerge/>
            <w:tcBorders>
              <w:top w:val="single" w:sz="4" w:space="0" w:color="000000"/>
              <w:left w:val="single" w:sz="4" w:space="0" w:color="000000"/>
              <w:bottom w:val="nil"/>
              <w:right w:val="single" w:sz="4" w:space="0" w:color="000000"/>
            </w:tcBorders>
            <w:shd w:val="clear" w:color="auto" w:fill="auto"/>
            <w:vAlign w:val="center"/>
          </w:tcPr>
          <w:p w14:paraId="7C80C8E0" w14:textId="77777777" w:rsidR="00E87EA8" w:rsidRDefault="00E87EA8">
            <w:pPr>
              <w:widowControl w:val="0"/>
              <w:pBdr>
                <w:top w:val="nil"/>
                <w:left w:val="nil"/>
                <w:bottom w:val="nil"/>
                <w:right w:val="nil"/>
                <w:between w:val="nil"/>
              </w:pBdr>
              <w:spacing w:after="0" w:line="276" w:lineRule="auto"/>
              <w:rPr>
                <w:rFonts w:ascii="Times New Roman" w:eastAsia="Times New Roman" w:hAnsi="Times New Roman" w:cs="Times New Roman"/>
                <w:b/>
                <w:sz w:val="24"/>
                <w:szCs w:val="24"/>
              </w:rPr>
            </w:pPr>
          </w:p>
        </w:tc>
      </w:tr>
      <w:tr w:rsidR="00E87EA8" w14:paraId="521E4F88" w14:textId="77777777">
        <w:trPr>
          <w:trHeight w:val="337"/>
          <w:jc w:val="center"/>
        </w:trPr>
        <w:tc>
          <w:tcPr>
            <w:tcW w:w="7756" w:type="dxa"/>
            <w:gridSpan w:val="2"/>
            <w:vMerge/>
            <w:tcBorders>
              <w:top w:val="single" w:sz="4" w:space="0" w:color="000000"/>
              <w:left w:val="single" w:sz="4" w:space="0" w:color="000000"/>
              <w:bottom w:val="nil"/>
              <w:right w:val="single" w:sz="4" w:space="0" w:color="000000"/>
            </w:tcBorders>
            <w:shd w:val="clear" w:color="auto" w:fill="auto"/>
            <w:vAlign w:val="center"/>
          </w:tcPr>
          <w:p w14:paraId="6E1FB98D" w14:textId="77777777" w:rsidR="00E87EA8" w:rsidRDefault="00E87EA8">
            <w:pPr>
              <w:widowControl w:val="0"/>
              <w:pBdr>
                <w:top w:val="nil"/>
                <w:left w:val="nil"/>
                <w:bottom w:val="nil"/>
                <w:right w:val="nil"/>
                <w:between w:val="nil"/>
              </w:pBdr>
              <w:spacing w:after="0" w:line="276" w:lineRule="auto"/>
              <w:rPr>
                <w:rFonts w:ascii="Times New Roman" w:eastAsia="Times New Roman" w:hAnsi="Times New Roman" w:cs="Times New Roman"/>
                <w:b/>
                <w:sz w:val="24"/>
                <w:szCs w:val="24"/>
              </w:rPr>
            </w:pPr>
          </w:p>
        </w:tc>
      </w:tr>
      <w:tr w:rsidR="00E87EA8" w14:paraId="307CB363" w14:textId="77777777">
        <w:trPr>
          <w:trHeight w:val="300"/>
          <w:jc w:val="center"/>
        </w:trPr>
        <w:tc>
          <w:tcPr>
            <w:tcW w:w="7756" w:type="dxa"/>
            <w:gridSpan w:val="2"/>
            <w:vMerge w:val="restart"/>
            <w:tcBorders>
              <w:top w:val="nil"/>
              <w:left w:val="single" w:sz="4" w:space="0" w:color="000000"/>
              <w:bottom w:val="nil"/>
              <w:right w:val="single" w:sz="4" w:space="0" w:color="000000"/>
            </w:tcBorders>
            <w:shd w:val="clear" w:color="auto" w:fill="auto"/>
            <w:vAlign w:val="center"/>
          </w:tcPr>
          <w:p w14:paraId="6FDDF13D" w14:textId="77777777" w:rsidR="00E87EA8" w:rsidRDefault="00BD12CA">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Statement of Financial Position as at 31st December 2022</w:t>
            </w:r>
          </w:p>
        </w:tc>
      </w:tr>
      <w:tr w:rsidR="00E87EA8" w14:paraId="3D8362AF" w14:textId="77777777">
        <w:trPr>
          <w:trHeight w:val="337"/>
          <w:jc w:val="center"/>
        </w:trPr>
        <w:tc>
          <w:tcPr>
            <w:tcW w:w="7756" w:type="dxa"/>
            <w:gridSpan w:val="2"/>
            <w:vMerge/>
            <w:tcBorders>
              <w:top w:val="nil"/>
              <w:left w:val="single" w:sz="4" w:space="0" w:color="000000"/>
              <w:bottom w:val="nil"/>
              <w:right w:val="single" w:sz="4" w:space="0" w:color="000000"/>
            </w:tcBorders>
            <w:shd w:val="clear" w:color="auto" w:fill="auto"/>
            <w:vAlign w:val="center"/>
          </w:tcPr>
          <w:p w14:paraId="3AFAAB1E" w14:textId="77777777" w:rsidR="00E87EA8" w:rsidRDefault="00E87EA8">
            <w:pPr>
              <w:widowControl w:val="0"/>
              <w:pBdr>
                <w:top w:val="nil"/>
                <w:left w:val="nil"/>
                <w:bottom w:val="nil"/>
                <w:right w:val="nil"/>
                <w:between w:val="nil"/>
              </w:pBdr>
              <w:spacing w:after="0" w:line="276" w:lineRule="auto"/>
              <w:rPr>
                <w:rFonts w:ascii="Times New Roman" w:eastAsia="Times New Roman" w:hAnsi="Times New Roman" w:cs="Times New Roman"/>
                <w:b/>
                <w:sz w:val="24"/>
                <w:szCs w:val="24"/>
              </w:rPr>
            </w:pPr>
          </w:p>
        </w:tc>
      </w:tr>
      <w:tr w:rsidR="00E87EA8" w14:paraId="2D2CDDFE" w14:textId="77777777">
        <w:trPr>
          <w:trHeight w:val="337"/>
          <w:jc w:val="center"/>
        </w:trPr>
        <w:tc>
          <w:tcPr>
            <w:tcW w:w="7756" w:type="dxa"/>
            <w:gridSpan w:val="2"/>
            <w:vMerge/>
            <w:tcBorders>
              <w:top w:val="nil"/>
              <w:left w:val="single" w:sz="4" w:space="0" w:color="000000"/>
              <w:bottom w:val="nil"/>
              <w:right w:val="single" w:sz="4" w:space="0" w:color="000000"/>
            </w:tcBorders>
            <w:shd w:val="clear" w:color="auto" w:fill="auto"/>
            <w:vAlign w:val="center"/>
          </w:tcPr>
          <w:p w14:paraId="746DA3AB" w14:textId="77777777" w:rsidR="00E87EA8" w:rsidRDefault="00E87EA8">
            <w:pPr>
              <w:widowControl w:val="0"/>
              <w:pBdr>
                <w:top w:val="nil"/>
                <w:left w:val="nil"/>
                <w:bottom w:val="nil"/>
                <w:right w:val="nil"/>
                <w:between w:val="nil"/>
              </w:pBdr>
              <w:spacing w:after="0" w:line="276" w:lineRule="auto"/>
              <w:rPr>
                <w:rFonts w:ascii="Times New Roman" w:eastAsia="Times New Roman" w:hAnsi="Times New Roman" w:cs="Times New Roman"/>
                <w:b/>
                <w:sz w:val="24"/>
                <w:szCs w:val="24"/>
              </w:rPr>
            </w:pPr>
          </w:p>
        </w:tc>
      </w:tr>
      <w:tr w:rsidR="00E87EA8" w14:paraId="43372A44" w14:textId="77777777">
        <w:trPr>
          <w:trHeight w:val="315"/>
          <w:jc w:val="center"/>
        </w:trPr>
        <w:tc>
          <w:tcPr>
            <w:tcW w:w="628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D4D3151" w14:textId="77777777" w:rsidR="00E87EA8" w:rsidRDefault="00BD12CA">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Particulars</w:t>
            </w:r>
          </w:p>
        </w:tc>
        <w:tc>
          <w:tcPr>
            <w:tcW w:w="147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569B451" w14:textId="77777777" w:rsidR="00E87EA8" w:rsidRDefault="00BD12CA">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Amount (£) </w:t>
            </w:r>
          </w:p>
        </w:tc>
      </w:tr>
      <w:tr w:rsidR="00E87EA8" w14:paraId="507D4D19" w14:textId="77777777">
        <w:trPr>
          <w:trHeight w:val="315"/>
          <w:jc w:val="center"/>
        </w:trPr>
        <w:tc>
          <w:tcPr>
            <w:tcW w:w="6280" w:type="dxa"/>
            <w:tcBorders>
              <w:top w:val="single" w:sz="4" w:space="0" w:color="000000"/>
              <w:left w:val="single" w:sz="4" w:space="0" w:color="000000"/>
              <w:bottom w:val="nil"/>
              <w:right w:val="nil"/>
            </w:tcBorders>
            <w:shd w:val="clear" w:color="auto" w:fill="auto"/>
            <w:vAlign w:val="center"/>
          </w:tcPr>
          <w:p w14:paraId="365D5E4D" w14:textId="77777777" w:rsidR="00E87EA8" w:rsidRDefault="00BD12CA">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ASSETS</w:t>
            </w:r>
          </w:p>
        </w:tc>
        <w:tc>
          <w:tcPr>
            <w:tcW w:w="1476" w:type="dxa"/>
            <w:tcBorders>
              <w:top w:val="single" w:sz="4" w:space="0" w:color="000000"/>
              <w:left w:val="nil"/>
              <w:bottom w:val="nil"/>
              <w:right w:val="single" w:sz="4" w:space="0" w:color="000000"/>
            </w:tcBorders>
            <w:shd w:val="clear" w:color="auto" w:fill="auto"/>
            <w:vAlign w:val="center"/>
          </w:tcPr>
          <w:p w14:paraId="36F78385"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tc>
      </w:tr>
      <w:tr w:rsidR="00E87EA8" w14:paraId="0E17D685" w14:textId="77777777">
        <w:trPr>
          <w:trHeight w:val="315"/>
          <w:jc w:val="center"/>
        </w:trPr>
        <w:tc>
          <w:tcPr>
            <w:tcW w:w="6280" w:type="dxa"/>
            <w:tcBorders>
              <w:top w:val="nil"/>
              <w:left w:val="single" w:sz="4" w:space="0" w:color="000000"/>
              <w:bottom w:val="nil"/>
              <w:right w:val="nil"/>
            </w:tcBorders>
            <w:shd w:val="clear" w:color="auto" w:fill="auto"/>
            <w:vAlign w:val="center"/>
          </w:tcPr>
          <w:p w14:paraId="7203925E" w14:textId="77777777" w:rsidR="00E87EA8" w:rsidRDefault="00BD12CA">
            <w:pPr>
              <w:spacing w:after="0" w:line="24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Fixed Assets</w:t>
            </w:r>
          </w:p>
        </w:tc>
        <w:tc>
          <w:tcPr>
            <w:tcW w:w="1476" w:type="dxa"/>
            <w:tcBorders>
              <w:top w:val="nil"/>
              <w:left w:val="nil"/>
              <w:bottom w:val="nil"/>
              <w:right w:val="single" w:sz="4" w:space="0" w:color="000000"/>
            </w:tcBorders>
            <w:shd w:val="clear" w:color="auto" w:fill="auto"/>
            <w:vAlign w:val="center"/>
          </w:tcPr>
          <w:p w14:paraId="0E131BA2"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tc>
      </w:tr>
      <w:tr w:rsidR="00E87EA8" w14:paraId="56A0EDED" w14:textId="77777777">
        <w:trPr>
          <w:trHeight w:val="315"/>
          <w:jc w:val="center"/>
        </w:trPr>
        <w:tc>
          <w:tcPr>
            <w:tcW w:w="6280" w:type="dxa"/>
            <w:tcBorders>
              <w:top w:val="nil"/>
              <w:left w:val="single" w:sz="4" w:space="0" w:color="000000"/>
              <w:bottom w:val="nil"/>
              <w:right w:val="nil"/>
            </w:tcBorders>
            <w:shd w:val="clear" w:color="auto" w:fill="auto"/>
            <w:vAlign w:val="center"/>
          </w:tcPr>
          <w:p w14:paraId="438D566D"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Plant and </w:t>
            </w:r>
            <w:r>
              <w:rPr>
                <w:rFonts w:ascii="Times New Roman" w:eastAsia="Times New Roman" w:hAnsi="Times New Roman" w:cs="Times New Roman"/>
                <w:sz w:val="24"/>
                <w:szCs w:val="24"/>
              </w:rPr>
              <w:t>equipment</w:t>
            </w:r>
          </w:p>
        </w:tc>
        <w:tc>
          <w:tcPr>
            <w:tcW w:w="1476" w:type="dxa"/>
            <w:tcBorders>
              <w:top w:val="nil"/>
              <w:left w:val="nil"/>
              <w:bottom w:val="nil"/>
              <w:right w:val="single" w:sz="4" w:space="0" w:color="000000"/>
            </w:tcBorders>
            <w:shd w:val="clear" w:color="auto" w:fill="auto"/>
            <w:vAlign w:val="center"/>
          </w:tcPr>
          <w:p w14:paraId="20397096" w14:textId="77777777" w:rsidR="00E87EA8" w:rsidRDefault="00BD12CA">
            <w:pPr>
              <w:spacing w:after="0"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1,250,000.00</w:t>
            </w:r>
          </w:p>
        </w:tc>
      </w:tr>
      <w:tr w:rsidR="00E87EA8" w14:paraId="06A20CC9" w14:textId="77777777">
        <w:trPr>
          <w:trHeight w:val="315"/>
          <w:jc w:val="center"/>
        </w:trPr>
        <w:tc>
          <w:tcPr>
            <w:tcW w:w="6280" w:type="dxa"/>
            <w:tcBorders>
              <w:top w:val="nil"/>
              <w:left w:val="single" w:sz="4" w:space="0" w:color="000000"/>
              <w:bottom w:val="nil"/>
              <w:right w:val="nil"/>
            </w:tcBorders>
            <w:shd w:val="clear" w:color="auto" w:fill="auto"/>
            <w:vAlign w:val="center"/>
          </w:tcPr>
          <w:p w14:paraId="76D48937" w14:textId="77777777" w:rsidR="00E87EA8" w:rsidRDefault="00BD12CA">
            <w:pPr>
              <w:spacing w:after="0" w:line="24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Current Assets</w:t>
            </w:r>
          </w:p>
        </w:tc>
        <w:tc>
          <w:tcPr>
            <w:tcW w:w="1476" w:type="dxa"/>
            <w:tcBorders>
              <w:top w:val="nil"/>
              <w:left w:val="nil"/>
              <w:bottom w:val="nil"/>
              <w:right w:val="single" w:sz="4" w:space="0" w:color="000000"/>
            </w:tcBorders>
            <w:shd w:val="clear" w:color="auto" w:fill="auto"/>
            <w:vAlign w:val="center"/>
          </w:tcPr>
          <w:p w14:paraId="52A1074E"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tc>
      </w:tr>
      <w:tr w:rsidR="00E87EA8" w14:paraId="3696B6C5" w14:textId="77777777">
        <w:trPr>
          <w:trHeight w:val="315"/>
          <w:jc w:val="center"/>
        </w:trPr>
        <w:tc>
          <w:tcPr>
            <w:tcW w:w="6280" w:type="dxa"/>
            <w:tcBorders>
              <w:top w:val="nil"/>
              <w:left w:val="single" w:sz="4" w:space="0" w:color="000000"/>
              <w:bottom w:val="nil"/>
              <w:right w:val="nil"/>
            </w:tcBorders>
            <w:shd w:val="clear" w:color="auto" w:fill="auto"/>
            <w:vAlign w:val="center"/>
          </w:tcPr>
          <w:p w14:paraId="11D13F82"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Trade receivables</w:t>
            </w:r>
          </w:p>
        </w:tc>
        <w:tc>
          <w:tcPr>
            <w:tcW w:w="1476" w:type="dxa"/>
            <w:tcBorders>
              <w:top w:val="nil"/>
              <w:left w:val="nil"/>
              <w:bottom w:val="nil"/>
              <w:right w:val="single" w:sz="4" w:space="0" w:color="000000"/>
            </w:tcBorders>
            <w:shd w:val="clear" w:color="auto" w:fill="auto"/>
            <w:vAlign w:val="center"/>
          </w:tcPr>
          <w:p w14:paraId="237E1274" w14:textId="77777777" w:rsidR="00E87EA8" w:rsidRDefault="00BD12CA">
            <w:pPr>
              <w:spacing w:after="0" w:line="24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171,105.00</w:t>
            </w:r>
          </w:p>
        </w:tc>
      </w:tr>
      <w:tr w:rsidR="00E87EA8" w14:paraId="06289858" w14:textId="77777777">
        <w:trPr>
          <w:trHeight w:val="315"/>
          <w:jc w:val="center"/>
        </w:trPr>
        <w:tc>
          <w:tcPr>
            <w:tcW w:w="6280" w:type="dxa"/>
            <w:tcBorders>
              <w:top w:val="nil"/>
              <w:left w:val="single" w:sz="4" w:space="0" w:color="000000"/>
              <w:bottom w:val="nil"/>
              <w:right w:val="nil"/>
            </w:tcBorders>
            <w:shd w:val="clear" w:color="auto" w:fill="auto"/>
            <w:vAlign w:val="center"/>
          </w:tcPr>
          <w:p w14:paraId="4EEE7A1C"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Cash and bank</w:t>
            </w:r>
          </w:p>
        </w:tc>
        <w:tc>
          <w:tcPr>
            <w:tcW w:w="1476" w:type="dxa"/>
            <w:tcBorders>
              <w:top w:val="nil"/>
              <w:left w:val="nil"/>
              <w:bottom w:val="nil"/>
              <w:right w:val="single" w:sz="4" w:space="0" w:color="000000"/>
            </w:tcBorders>
            <w:shd w:val="clear" w:color="auto" w:fill="auto"/>
            <w:vAlign w:val="center"/>
          </w:tcPr>
          <w:p w14:paraId="2DCF5625" w14:textId="77777777" w:rsidR="00E87EA8" w:rsidRDefault="00BD12CA">
            <w:pPr>
              <w:spacing w:after="0" w:line="24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96,000.00</w:t>
            </w:r>
          </w:p>
        </w:tc>
      </w:tr>
      <w:tr w:rsidR="00E87EA8" w14:paraId="475AEE67" w14:textId="77777777">
        <w:trPr>
          <w:trHeight w:val="315"/>
          <w:jc w:val="center"/>
        </w:trPr>
        <w:tc>
          <w:tcPr>
            <w:tcW w:w="6280" w:type="dxa"/>
            <w:tcBorders>
              <w:top w:val="nil"/>
              <w:left w:val="single" w:sz="4" w:space="0" w:color="000000"/>
              <w:bottom w:val="nil"/>
              <w:right w:val="nil"/>
            </w:tcBorders>
            <w:shd w:val="clear" w:color="auto" w:fill="auto"/>
            <w:vAlign w:val="center"/>
          </w:tcPr>
          <w:p w14:paraId="5E6925B5"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Stock</w:t>
            </w:r>
          </w:p>
        </w:tc>
        <w:tc>
          <w:tcPr>
            <w:tcW w:w="1476" w:type="dxa"/>
            <w:tcBorders>
              <w:top w:val="nil"/>
              <w:left w:val="nil"/>
              <w:bottom w:val="nil"/>
              <w:right w:val="single" w:sz="4" w:space="0" w:color="000000"/>
            </w:tcBorders>
            <w:shd w:val="clear" w:color="auto" w:fill="auto"/>
            <w:vAlign w:val="center"/>
          </w:tcPr>
          <w:p w14:paraId="02D8845F" w14:textId="77777777" w:rsidR="00E87EA8" w:rsidRDefault="00BD12CA">
            <w:pPr>
              <w:spacing w:after="0" w:line="24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510,850.00</w:t>
            </w:r>
          </w:p>
        </w:tc>
      </w:tr>
      <w:tr w:rsidR="00E87EA8" w14:paraId="507A5C06" w14:textId="77777777">
        <w:trPr>
          <w:trHeight w:val="315"/>
          <w:jc w:val="center"/>
        </w:trPr>
        <w:tc>
          <w:tcPr>
            <w:tcW w:w="6280" w:type="dxa"/>
            <w:tcBorders>
              <w:top w:val="nil"/>
              <w:left w:val="single" w:sz="4" w:space="0" w:color="000000"/>
              <w:bottom w:val="nil"/>
              <w:right w:val="nil"/>
            </w:tcBorders>
            <w:shd w:val="clear" w:color="auto" w:fill="auto"/>
            <w:vAlign w:val="center"/>
          </w:tcPr>
          <w:p w14:paraId="0678C09D"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Total Current assets</w:t>
            </w:r>
          </w:p>
        </w:tc>
        <w:tc>
          <w:tcPr>
            <w:tcW w:w="1476" w:type="dxa"/>
            <w:tcBorders>
              <w:top w:val="nil"/>
              <w:left w:val="nil"/>
              <w:bottom w:val="nil"/>
              <w:right w:val="single" w:sz="4" w:space="0" w:color="000000"/>
            </w:tcBorders>
            <w:shd w:val="clear" w:color="auto" w:fill="auto"/>
            <w:vAlign w:val="center"/>
          </w:tcPr>
          <w:p w14:paraId="6181ED52" w14:textId="77777777" w:rsidR="00E87EA8" w:rsidRDefault="00BD12CA">
            <w:pPr>
              <w:spacing w:after="0"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777,955.00</w:t>
            </w:r>
          </w:p>
        </w:tc>
      </w:tr>
      <w:tr w:rsidR="00E87EA8" w14:paraId="528877B4" w14:textId="77777777">
        <w:trPr>
          <w:trHeight w:val="315"/>
          <w:jc w:val="center"/>
        </w:trPr>
        <w:tc>
          <w:tcPr>
            <w:tcW w:w="6280" w:type="dxa"/>
            <w:tcBorders>
              <w:top w:val="nil"/>
              <w:left w:val="single" w:sz="4" w:space="0" w:color="000000"/>
              <w:bottom w:val="nil"/>
              <w:right w:val="nil"/>
            </w:tcBorders>
            <w:shd w:val="clear" w:color="auto" w:fill="auto"/>
            <w:vAlign w:val="center"/>
          </w:tcPr>
          <w:p w14:paraId="012927FA"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Total Assets</w:t>
            </w:r>
          </w:p>
        </w:tc>
        <w:tc>
          <w:tcPr>
            <w:tcW w:w="1476" w:type="dxa"/>
            <w:tcBorders>
              <w:top w:val="nil"/>
              <w:left w:val="nil"/>
              <w:bottom w:val="nil"/>
              <w:right w:val="single" w:sz="4" w:space="0" w:color="000000"/>
            </w:tcBorders>
            <w:shd w:val="clear" w:color="auto" w:fill="auto"/>
            <w:vAlign w:val="center"/>
          </w:tcPr>
          <w:p w14:paraId="22EF5479" w14:textId="77777777" w:rsidR="00E87EA8" w:rsidRDefault="00BD12CA">
            <w:pPr>
              <w:spacing w:after="0"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2,027,955.00</w:t>
            </w:r>
          </w:p>
        </w:tc>
      </w:tr>
      <w:tr w:rsidR="00E87EA8" w14:paraId="36D852F8" w14:textId="77777777">
        <w:trPr>
          <w:trHeight w:val="315"/>
          <w:jc w:val="center"/>
        </w:trPr>
        <w:tc>
          <w:tcPr>
            <w:tcW w:w="6280" w:type="dxa"/>
            <w:tcBorders>
              <w:top w:val="nil"/>
              <w:left w:val="single" w:sz="4" w:space="0" w:color="000000"/>
              <w:bottom w:val="nil"/>
              <w:right w:val="nil"/>
            </w:tcBorders>
            <w:shd w:val="clear" w:color="auto" w:fill="auto"/>
            <w:vAlign w:val="center"/>
          </w:tcPr>
          <w:p w14:paraId="58652040" w14:textId="77777777" w:rsidR="00E87EA8" w:rsidRDefault="00BD12CA">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LIABILITIES AND EQUITY</w:t>
            </w:r>
          </w:p>
        </w:tc>
        <w:tc>
          <w:tcPr>
            <w:tcW w:w="1476" w:type="dxa"/>
            <w:tcBorders>
              <w:top w:val="nil"/>
              <w:left w:val="nil"/>
              <w:bottom w:val="nil"/>
              <w:right w:val="single" w:sz="4" w:space="0" w:color="000000"/>
            </w:tcBorders>
            <w:shd w:val="clear" w:color="auto" w:fill="auto"/>
            <w:vAlign w:val="center"/>
          </w:tcPr>
          <w:p w14:paraId="3A930FF7"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tc>
      </w:tr>
      <w:tr w:rsidR="00E87EA8" w14:paraId="1138E4F2" w14:textId="77777777">
        <w:trPr>
          <w:trHeight w:val="315"/>
          <w:jc w:val="center"/>
        </w:trPr>
        <w:tc>
          <w:tcPr>
            <w:tcW w:w="6280" w:type="dxa"/>
            <w:tcBorders>
              <w:top w:val="nil"/>
              <w:left w:val="single" w:sz="4" w:space="0" w:color="000000"/>
              <w:bottom w:val="nil"/>
              <w:right w:val="nil"/>
            </w:tcBorders>
            <w:shd w:val="clear" w:color="auto" w:fill="auto"/>
            <w:vAlign w:val="center"/>
          </w:tcPr>
          <w:p w14:paraId="23F3BE93" w14:textId="77777777" w:rsidR="00E87EA8" w:rsidRDefault="00BD12CA">
            <w:pPr>
              <w:spacing w:after="0" w:line="24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Long Term Liabilities</w:t>
            </w:r>
          </w:p>
        </w:tc>
        <w:tc>
          <w:tcPr>
            <w:tcW w:w="1476" w:type="dxa"/>
            <w:tcBorders>
              <w:top w:val="nil"/>
              <w:left w:val="nil"/>
              <w:bottom w:val="nil"/>
              <w:right w:val="single" w:sz="4" w:space="0" w:color="000000"/>
            </w:tcBorders>
            <w:shd w:val="clear" w:color="auto" w:fill="auto"/>
            <w:vAlign w:val="center"/>
          </w:tcPr>
          <w:p w14:paraId="58E2D602"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tc>
      </w:tr>
      <w:tr w:rsidR="00E87EA8" w14:paraId="5EDB8B72" w14:textId="77777777">
        <w:trPr>
          <w:trHeight w:val="315"/>
          <w:jc w:val="center"/>
        </w:trPr>
        <w:tc>
          <w:tcPr>
            <w:tcW w:w="6280" w:type="dxa"/>
            <w:tcBorders>
              <w:top w:val="nil"/>
              <w:left w:val="single" w:sz="4" w:space="0" w:color="000000"/>
              <w:bottom w:val="nil"/>
              <w:right w:val="nil"/>
            </w:tcBorders>
            <w:shd w:val="clear" w:color="auto" w:fill="auto"/>
            <w:vAlign w:val="center"/>
          </w:tcPr>
          <w:p w14:paraId="4EB3BFB3"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 Debentures</w:t>
            </w:r>
          </w:p>
        </w:tc>
        <w:tc>
          <w:tcPr>
            <w:tcW w:w="1476" w:type="dxa"/>
            <w:tcBorders>
              <w:top w:val="nil"/>
              <w:left w:val="nil"/>
              <w:bottom w:val="nil"/>
              <w:right w:val="single" w:sz="4" w:space="0" w:color="000000"/>
            </w:tcBorders>
            <w:shd w:val="clear" w:color="auto" w:fill="auto"/>
            <w:vAlign w:val="center"/>
          </w:tcPr>
          <w:p w14:paraId="60CE212C" w14:textId="77777777" w:rsidR="00E87EA8" w:rsidRDefault="00BD12CA">
            <w:pPr>
              <w:spacing w:after="0" w:line="24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200,000.00</w:t>
            </w:r>
          </w:p>
        </w:tc>
      </w:tr>
      <w:tr w:rsidR="00E87EA8" w14:paraId="46D3EB2E" w14:textId="77777777">
        <w:trPr>
          <w:trHeight w:val="315"/>
          <w:jc w:val="center"/>
        </w:trPr>
        <w:tc>
          <w:tcPr>
            <w:tcW w:w="6280" w:type="dxa"/>
            <w:tcBorders>
              <w:top w:val="nil"/>
              <w:left w:val="single" w:sz="4" w:space="0" w:color="000000"/>
              <w:bottom w:val="nil"/>
              <w:right w:val="nil"/>
            </w:tcBorders>
            <w:shd w:val="clear" w:color="auto" w:fill="auto"/>
            <w:vAlign w:val="center"/>
          </w:tcPr>
          <w:p w14:paraId="278174EC" w14:textId="77777777" w:rsidR="00E87EA8" w:rsidRDefault="00BD12CA">
            <w:pPr>
              <w:spacing w:after="0" w:line="24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Current liabilities </w:t>
            </w:r>
          </w:p>
        </w:tc>
        <w:tc>
          <w:tcPr>
            <w:tcW w:w="1476" w:type="dxa"/>
            <w:tcBorders>
              <w:top w:val="nil"/>
              <w:left w:val="nil"/>
              <w:bottom w:val="nil"/>
              <w:right w:val="single" w:sz="4" w:space="0" w:color="000000"/>
            </w:tcBorders>
            <w:shd w:val="clear" w:color="auto" w:fill="auto"/>
            <w:vAlign w:val="center"/>
          </w:tcPr>
          <w:p w14:paraId="2C6F59C7"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tc>
      </w:tr>
      <w:tr w:rsidR="00E87EA8" w14:paraId="19E205DB" w14:textId="77777777">
        <w:trPr>
          <w:trHeight w:val="315"/>
          <w:jc w:val="center"/>
        </w:trPr>
        <w:tc>
          <w:tcPr>
            <w:tcW w:w="6280" w:type="dxa"/>
            <w:tcBorders>
              <w:top w:val="nil"/>
              <w:left w:val="single" w:sz="4" w:space="0" w:color="000000"/>
              <w:bottom w:val="nil"/>
              <w:right w:val="nil"/>
            </w:tcBorders>
            <w:shd w:val="clear" w:color="auto" w:fill="auto"/>
            <w:vAlign w:val="center"/>
          </w:tcPr>
          <w:p w14:paraId="4AF20CEA"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Trade payables</w:t>
            </w:r>
          </w:p>
        </w:tc>
        <w:tc>
          <w:tcPr>
            <w:tcW w:w="1476" w:type="dxa"/>
            <w:tcBorders>
              <w:top w:val="nil"/>
              <w:left w:val="nil"/>
              <w:bottom w:val="nil"/>
              <w:right w:val="single" w:sz="4" w:space="0" w:color="000000"/>
            </w:tcBorders>
            <w:shd w:val="clear" w:color="auto" w:fill="auto"/>
            <w:vAlign w:val="center"/>
          </w:tcPr>
          <w:p w14:paraId="42E6589B" w14:textId="77777777" w:rsidR="00E87EA8" w:rsidRDefault="00BD12CA">
            <w:pPr>
              <w:spacing w:after="0" w:line="24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188,625.00</w:t>
            </w:r>
          </w:p>
        </w:tc>
      </w:tr>
      <w:tr w:rsidR="00E87EA8" w14:paraId="275CD750" w14:textId="77777777">
        <w:trPr>
          <w:trHeight w:val="315"/>
          <w:jc w:val="center"/>
        </w:trPr>
        <w:tc>
          <w:tcPr>
            <w:tcW w:w="6280" w:type="dxa"/>
            <w:tcBorders>
              <w:top w:val="nil"/>
              <w:left w:val="single" w:sz="4" w:space="0" w:color="000000"/>
              <w:bottom w:val="nil"/>
              <w:right w:val="nil"/>
            </w:tcBorders>
            <w:shd w:val="clear" w:color="auto" w:fill="auto"/>
            <w:vAlign w:val="center"/>
          </w:tcPr>
          <w:p w14:paraId="0F076A58"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Accrued sales commission</w:t>
            </w:r>
          </w:p>
        </w:tc>
        <w:tc>
          <w:tcPr>
            <w:tcW w:w="1476" w:type="dxa"/>
            <w:tcBorders>
              <w:top w:val="nil"/>
              <w:left w:val="nil"/>
              <w:bottom w:val="nil"/>
              <w:right w:val="single" w:sz="4" w:space="0" w:color="000000"/>
            </w:tcBorders>
            <w:shd w:val="clear" w:color="auto" w:fill="auto"/>
            <w:vAlign w:val="center"/>
          </w:tcPr>
          <w:p w14:paraId="2A8765E5" w14:textId="77777777" w:rsidR="00E87EA8" w:rsidRDefault="00BD12CA">
            <w:pPr>
              <w:spacing w:after="0" w:line="24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3,000.00</w:t>
            </w:r>
          </w:p>
        </w:tc>
      </w:tr>
      <w:tr w:rsidR="00E87EA8" w14:paraId="11B40AFC" w14:textId="77777777">
        <w:trPr>
          <w:trHeight w:val="315"/>
          <w:jc w:val="center"/>
        </w:trPr>
        <w:tc>
          <w:tcPr>
            <w:tcW w:w="6280" w:type="dxa"/>
            <w:tcBorders>
              <w:top w:val="nil"/>
              <w:left w:val="single" w:sz="4" w:space="0" w:color="000000"/>
              <w:bottom w:val="nil"/>
              <w:right w:val="nil"/>
            </w:tcBorders>
            <w:shd w:val="clear" w:color="auto" w:fill="auto"/>
            <w:vAlign w:val="center"/>
          </w:tcPr>
          <w:p w14:paraId="2FBCD8BA"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Accrued Taxes</w:t>
            </w:r>
          </w:p>
        </w:tc>
        <w:tc>
          <w:tcPr>
            <w:tcW w:w="1476" w:type="dxa"/>
            <w:tcBorders>
              <w:top w:val="nil"/>
              <w:left w:val="nil"/>
              <w:bottom w:val="nil"/>
              <w:right w:val="single" w:sz="4" w:space="0" w:color="000000"/>
            </w:tcBorders>
            <w:shd w:val="clear" w:color="auto" w:fill="auto"/>
            <w:vAlign w:val="center"/>
          </w:tcPr>
          <w:p w14:paraId="7AD3280A" w14:textId="77777777" w:rsidR="00E87EA8" w:rsidRDefault="00BD12CA">
            <w:pPr>
              <w:spacing w:after="0" w:line="24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100,000.00</w:t>
            </w:r>
          </w:p>
        </w:tc>
      </w:tr>
      <w:tr w:rsidR="00E87EA8" w14:paraId="4AFE2530" w14:textId="77777777">
        <w:trPr>
          <w:trHeight w:val="315"/>
          <w:jc w:val="center"/>
        </w:trPr>
        <w:tc>
          <w:tcPr>
            <w:tcW w:w="6280" w:type="dxa"/>
            <w:tcBorders>
              <w:top w:val="nil"/>
              <w:left w:val="single" w:sz="4" w:space="0" w:color="000000"/>
              <w:bottom w:val="nil"/>
              <w:right w:val="nil"/>
            </w:tcBorders>
            <w:shd w:val="clear" w:color="auto" w:fill="auto"/>
            <w:vAlign w:val="center"/>
          </w:tcPr>
          <w:p w14:paraId="4316290F"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Total current liabilities</w:t>
            </w:r>
          </w:p>
        </w:tc>
        <w:tc>
          <w:tcPr>
            <w:tcW w:w="1476" w:type="dxa"/>
            <w:tcBorders>
              <w:top w:val="nil"/>
              <w:left w:val="nil"/>
              <w:bottom w:val="nil"/>
              <w:right w:val="single" w:sz="4" w:space="0" w:color="000000"/>
            </w:tcBorders>
            <w:shd w:val="clear" w:color="auto" w:fill="auto"/>
            <w:vAlign w:val="center"/>
          </w:tcPr>
          <w:p w14:paraId="4431F12D" w14:textId="77777777" w:rsidR="00E87EA8" w:rsidRDefault="00BD12CA">
            <w:pPr>
              <w:spacing w:after="0"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291,625.00</w:t>
            </w:r>
          </w:p>
        </w:tc>
      </w:tr>
      <w:tr w:rsidR="00E87EA8" w14:paraId="40C1758A" w14:textId="77777777">
        <w:trPr>
          <w:trHeight w:val="315"/>
          <w:jc w:val="center"/>
        </w:trPr>
        <w:tc>
          <w:tcPr>
            <w:tcW w:w="6280" w:type="dxa"/>
            <w:tcBorders>
              <w:top w:val="nil"/>
              <w:left w:val="single" w:sz="4" w:space="0" w:color="000000"/>
              <w:bottom w:val="nil"/>
              <w:right w:val="nil"/>
            </w:tcBorders>
            <w:shd w:val="clear" w:color="auto" w:fill="auto"/>
            <w:vAlign w:val="center"/>
          </w:tcPr>
          <w:p w14:paraId="12E5741D"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Total Liabilities</w:t>
            </w:r>
          </w:p>
        </w:tc>
        <w:tc>
          <w:tcPr>
            <w:tcW w:w="1476" w:type="dxa"/>
            <w:tcBorders>
              <w:top w:val="nil"/>
              <w:left w:val="nil"/>
              <w:bottom w:val="nil"/>
              <w:right w:val="single" w:sz="4" w:space="0" w:color="000000"/>
            </w:tcBorders>
            <w:shd w:val="clear" w:color="auto" w:fill="auto"/>
            <w:vAlign w:val="center"/>
          </w:tcPr>
          <w:p w14:paraId="07A42F91" w14:textId="77777777" w:rsidR="00E87EA8" w:rsidRDefault="00BD12CA">
            <w:pPr>
              <w:spacing w:after="0"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491,625.00</w:t>
            </w:r>
          </w:p>
        </w:tc>
      </w:tr>
      <w:tr w:rsidR="00E87EA8" w14:paraId="0ECBA9F0" w14:textId="77777777">
        <w:trPr>
          <w:trHeight w:val="315"/>
          <w:jc w:val="center"/>
        </w:trPr>
        <w:tc>
          <w:tcPr>
            <w:tcW w:w="6280" w:type="dxa"/>
            <w:tcBorders>
              <w:top w:val="nil"/>
              <w:left w:val="single" w:sz="4" w:space="0" w:color="000000"/>
              <w:bottom w:val="nil"/>
              <w:right w:val="nil"/>
            </w:tcBorders>
            <w:shd w:val="clear" w:color="auto" w:fill="auto"/>
            <w:vAlign w:val="center"/>
          </w:tcPr>
          <w:p w14:paraId="58C6FAE2" w14:textId="77777777" w:rsidR="00E87EA8" w:rsidRDefault="00BD12CA">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EQUITY</w:t>
            </w:r>
          </w:p>
        </w:tc>
        <w:tc>
          <w:tcPr>
            <w:tcW w:w="1476" w:type="dxa"/>
            <w:tcBorders>
              <w:top w:val="nil"/>
              <w:left w:val="nil"/>
              <w:bottom w:val="nil"/>
              <w:right w:val="single" w:sz="4" w:space="0" w:color="000000"/>
            </w:tcBorders>
            <w:shd w:val="clear" w:color="auto" w:fill="auto"/>
            <w:vAlign w:val="center"/>
          </w:tcPr>
          <w:p w14:paraId="6493A271"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tc>
      </w:tr>
      <w:tr w:rsidR="00E87EA8" w14:paraId="5F5AFD1D" w14:textId="77777777">
        <w:trPr>
          <w:trHeight w:val="315"/>
          <w:jc w:val="center"/>
        </w:trPr>
        <w:tc>
          <w:tcPr>
            <w:tcW w:w="6280" w:type="dxa"/>
            <w:tcBorders>
              <w:top w:val="nil"/>
              <w:left w:val="single" w:sz="4" w:space="0" w:color="000000"/>
              <w:bottom w:val="nil"/>
              <w:right w:val="nil"/>
            </w:tcBorders>
            <w:shd w:val="clear" w:color="auto" w:fill="auto"/>
            <w:vAlign w:val="center"/>
          </w:tcPr>
          <w:p w14:paraId="36430A58"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Equity</w:t>
            </w:r>
          </w:p>
        </w:tc>
        <w:tc>
          <w:tcPr>
            <w:tcW w:w="1476" w:type="dxa"/>
            <w:tcBorders>
              <w:top w:val="nil"/>
              <w:left w:val="nil"/>
              <w:bottom w:val="nil"/>
              <w:right w:val="single" w:sz="4" w:space="0" w:color="000000"/>
            </w:tcBorders>
            <w:shd w:val="clear" w:color="auto" w:fill="auto"/>
            <w:vAlign w:val="center"/>
          </w:tcPr>
          <w:p w14:paraId="44F0A79D" w14:textId="77777777" w:rsidR="00E87EA8" w:rsidRDefault="00BD12CA">
            <w:pPr>
              <w:spacing w:after="0"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1,536,330.00</w:t>
            </w:r>
          </w:p>
        </w:tc>
      </w:tr>
      <w:tr w:rsidR="00E87EA8" w14:paraId="1421BF08" w14:textId="77777777">
        <w:trPr>
          <w:trHeight w:val="315"/>
          <w:jc w:val="center"/>
        </w:trPr>
        <w:tc>
          <w:tcPr>
            <w:tcW w:w="6280" w:type="dxa"/>
            <w:tcBorders>
              <w:top w:val="nil"/>
              <w:left w:val="single" w:sz="4" w:space="0" w:color="000000"/>
              <w:bottom w:val="nil"/>
              <w:right w:val="nil"/>
            </w:tcBorders>
            <w:shd w:val="clear" w:color="auto" w:fill="auto"/>
            <w:vAlign w:val="center"/>
          </w:tcPr>
          <w:p w14:paraId="40AD1B86"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tc>
        <w:tc>
          <w:tcPr>
            <w:tcW w:w="1476" w:type="dxa"/>
            <w:tcBorders>
              <w:top w:val="nil"/>
              <w:left w:val="nil"/>
              <w:bottom w:val="nil"/>
              <w:right w:val="single" w:sz="4" w:space="0" w:color="000000"/>
            </w:tcBorders>
            <w:shd w:val="clear" w:color="auto" w:fill="auto"/>
            <w:vAlign w:val="center"/>
          </w:tcPr>
          <w:p w14:paraId="4C05C34A" w14:textId="77777777" w:rsidR="00E87EA8" w:rsidRDefault="00BD12C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tc>
      </w:tr>
      <w:tr w:rsidR="00E87EA8" w14:paraId="69C552C4" w14:textId="77777777">
        <w:trPr>
          <w:trHeight w:val="315"/>
          <w:jc w:val="center"/>
        </w:trPr>
        <w:tc>
          <w:tcPr>
            <w:tcW w:w="6280" w:type="dxa"/>
            <w:tcBorders>
              <w:top w:val="nil"/>
              <w:left w:val="single" w:sz="4" w:space="0" w:color="000000"/>
              <w:bottom w:val="single" w:sz="4" w:space="0" w:color="000000"/>
              <w:right w:val="nil"/>
            </w:tcBorders>
            <w:shd w:val="clear" w:color="auto" w:fill="auto"/>
            <w:vAlign w:val="center"/>
          </w:tcPr>
          <w:p w14:paraId="6DAA64E1" w14:textId="77777777" w:rsidR="00E87EA8" w:rsidRDefault="00BD12CA">
            <w:pP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LIABILITIES AND </w:t>
            </w:r>
            <w:r>
              <w:rPr>
                <w:rFonts w:ascii="Times New Roman" w:eastAsia="Times New Roman" w:hAnsi="Times New Roman" w:cs="Times New Roman"/>
                <w:b/>
                <w:sz w:val="24"/>
                <w:szCs w:val="24"/>
              </w:rPr>
              <w:t>EQUITY</w:t>
            </w:r>
          </w:p>
        </w:tc>
        <w:tc>
          <w:tcPr>
            <w:tcW w:w="1476" w:type="dxa"/>
            <w:tcBorders>
              <w:top w:val="nil"/>
              <w:left w:val="nil"/>
              <w:bottom w:val="single" w:sz="4" w:space="0" w:color="000000"/>
              <w:right w:val="single" w:sz="4" w:space="0" w:color="000000"/>
            </w:tcBorders>
            <w:shd w:val="clear" w:color="auto" w:fill="auto"/>
            <w:vAlign w:val="center"/>
          </w:tcPr>
          <w:p w14:paraId="3CECF6D0" w14:textId="77777777" w:rsidR="00E87EA8" w:rsidRDefault="00BD12CA">
            <w:pPr>
              <w:spacing w:after="0"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2,027,955.00</w:t>
            </w:r>
          </w:p>
        </w:tc>
      </w:tr>
    </w:tbl>
    <w:p w14:paraId="520514CD" w14:textId="77777777" w:rsidR="00E87EA8" w:rsidRDefault="00E87EA8">
      <w:pPr>
        <w:spacing w:after="0" w:line="480" w:lineRule="auto"/>
        <w:ind w:firstLine="720"/>
        <w:rPr>
          <w:rFonts w:ascii="Times New Roman" w:eastAsia="Times New Roman" w:hAnsi="Times New Roman" w:cs="Times New Roman"/>
          <w:sz w:val="24"/>
          <w:szCs w:val="24"/>
        </w:rPr>
      </w:pPr>
    </w:p>
    <w:p w14:paraId="27FBD005" w14:textId="77777777" w:rsidR="00E87EA8" w:rsidRDefault="00BD12C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several deductions from the statement of financial position. First, it can be noted that the total assets of £2,027,955.00 are equal to the total liabilities and equity. This </w:t>
      </w:r>
      <w:r>
        <w:rPr>
          <w:rFonts w:ascii="Times New Roman" w:eastAsia="Times New Roman" w:hAnsi="Times New Roman" w:cs="Times New Roman"/>
          <w:sz w:val="24"/>
          <w:szCs w:val="24"/>
        </w:rPr>
        <w:lastRenderedPageBreak/>
        <w:t>observation is critical because it validated the correctness of the bal</w:t>
      </w:r>
      <w:r>
        <w:rPr>
          <w:rFonts w:ascii="Times New Roman" w:eastAsia="Times New Roman" w:hAnsi="Times New Roman" w:cs="Times New Roman"/>
          <w:sz w:val="24"/>
          <w:szCs w:val="24"/>
        </w:rPr>
        <w:t>ance sheet (Thomas &amp; Ward, 2019). Secondly, a financial analyst of the internal stakeholders of Wales Plc can use the figures in the balance sheet to make financial inferences. For example, comparing the current assets of £777,955.00 against the current li</w:t>
      </w:r>
      <w:r>
        <w:rPr>
          <w:rFonts w:ascii="Times New Roman" w:eastAsia="Times New Roman" w:hAnsi="Times New Roman" w:cs="Times New Roman"/>
          <w:sz w:val="24"/>
          <w:szCs w:val="24"/>
        </w:rPr>
        <w:t>abilities of £291,625.00 would show that Wales plc liquidity is optimal because the current assets are sufficient to offset the current liabilities when they fall due. Overall, similar inferences can be made in aspects such as leverage and operating effici</w:t>
      </w:r>
      <w:r>
        <w:rPr>
          <w:rFonts w:ascii="Times New Roman" w:eastAsia="Times New Roman" w:hAnsi="Times New Roman" w:cs="Times New Roman"/>
          <w:sz w:val="24"/>
          <w:szCs w:val="24"/>
        </w:rPr>
        <w:t xml:space="preserve">ency. </w:t>
      </w:r>
    </w:p>
    <w:p w14:paraId="0268179A" w14:textId="77777777" w:rsidR="00E87EA8" w:rsidRDefault="00E87EA8">
      <w:pPr>
        <w:spacing w:line="480" w:lineRule="auto"/>
        <w:ind w:firstLine="720"/>
        <w:rPr>
          <w:rFonts w:ascii="Times New Roman" w:eastAsia="Times New Roman" w:hAnsi="Times New Roman" w:cs="Times New Roman"/>
          <w:sz w:val="24"/>
          <w:szCs w:val="24"/>
        </w:rPr>
      </w:pPr>
    </w:p>
    <w:p w14:paraId="6E5E22DE" w14:textId="77777777" w:rsidR="00E87EA8" w:rsidRDefault="00BD12CA">
      <w:pPr>
        <w:pStyle w:val="Heading2"/>
        <w:spacing w:line="480" w:lineRule="auto"/>
        <w:rPr>
          <w:sz w:val="28"/>
          <w:szCs w:val="28"/>
        </w:rPr>
      </w:pPr>
      <w:bookmarkStart w:id="6" w:name="_tyjcwt" w:colFirst="0" w:colLast="0"/>
      <w:bookmarkEnd w:id="6"/>
      <w:r>
        <w:rPr>
          <w:sz w:val="28"/>
          <w:szCs w:val="28"/>
        </w:rPr>
        <w:t>b) Why does the statement of financial position balance?</w:t>
      </w:r>
    </w:p>
    <w:p w14:paraId="2C6C9A22" w14:textId="7607A419"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fundamental principle is that the total assets should be equal to the total liabilities and equity. This is called the balance sheet equation and is achieved because of several factors (</w:t>
      </w:r>
      <w:proofErr w:type="spellStart"/>
      <w:r>
        <w:rPr>
          <w:rFonts w:ascii="Times New Roman" w:eastAsia="Times New Roman" w:hAnsi="Times New Roman" w:cs="Times New Roman"/>
          <w:sz w:val="24"/>
          <w:szCs w:val="24"/>
        </w:rPr>
        <w:t>S</w:t>
      </w:r>
      <w:r>
        <w:rPr>
          <w:rFonts w:ascii="Times New Roman" w:eastAsia="Times New Roman" w:hAnsi="Times New Roman" w:cs="Times New Roman"/>
          <w:sz w:val="24"/>
          <w:szCs w:val="24"/>
        </w:rPr>
        <w:t>piceland</w:t>
      </w:r>
      <w:proofErr w:type="spellEnd"/>
      <w:r>
        <w:rPr>
          <w:rFonts w:ascii="Times New Roman" w:eastAsia="Times New Roman" w:hAnsi="Times New Roman" w:cs="Times New Roman"/>
          <w:sz w:val="24"/>
          <w:szCs w:val="24"/>
        </w:rPr>
        <w:t xml:space="preserve"> et al., 2022). The first one of the double-entry accounting principles. Under this principle, each entry in a ledger should be accompanied by an equivalent but an opposite entry in a different ledger. For example, when Wales plc makes sales in cas</w:t>
      </w:r>
      <w:r>
        <w:rPr>
          <w:rFonts w:ascii="Times New Roman" w:eastAsia="Times New Roman" w:hAnsi="Times New Roman" w:cs="Times New Roman"/>
          <w:sz w:val="24"/>
          <w:szCs w:val="24"/>
        </w:rPr>
        <w:t>h, the sales account is credited and the cash at hand or in the bank is debited by an equal amount (</w:t>
      </w:r>
      <w:proofErr w:type="spellStart"/>
      <w:r>
        <w:rPr>
          <w:rFonts w:ascii="Times New Roman" w:eastAsia="Times New Roman" w:hAnsi="Times New Roman" w:cs="Times New Roman"/>
          <w:sz w:val="24"/>
          <w:szCs w:val="24"/>
        </w:rPr>
        <w:t>Spiceland</w:t>
      </w:r>
      <w:proofErr w:type="spellEnd"/>
      <w:r>
        <w:rPr>
          <w:rFonts w:ascii="Times New Roman" w:eastAsia="Times New Roman" w:hAnsi="Times New Roman" w:cs="Times New Roman"/>
          <w:sz w:val="24"/>
          <w:szCs w:val="24"/>
        </w:rPr>
        <w:t xml:space="preserve"> et al., 2022). Similarly, an increase in accounts payable is credited in the accounts payable ledger account, accompanied by an equal debit in the</w:t>
      </w:r>
      <w:r>
        <w:rPr>
          <w:rFonts w:ascii="Times New Roman" w:eastAsia="Times New Roman" w:hAnsi="Times New Roman" w:cs="Times New Roman"/>
          <w:sz w:val="24"/>
          <w:szCs w:val="24"/>
        </w:rPr>
        <w:t xml:space="preserve"> inventory ledger. Therefore, when the balance in the individuals is extracted into the balance sheet the debits should always be equal to the credits, such that the statement of financial position will balance. </w:t>
      </w:r>
    </w:p>
    <w:p w14:paraId="5D61E217" w14:textId="77777777" w:rsidR="00E87EA8" w:rsidRDefault="00BD12C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Another reason why the balance sheet should</w:t>
      </w:r>
      <w:r>
        <w:rPr>
          <w:rFonts w:ascii="Times New Roman" w:eastAsia="Times New Roman" w:hAnsi="Times New Roman" w:cs="Times New Roman"/>
          <w:sz w:val="24"/>
          <w:szCs w:val="24"/>
        </w:rPr>
        <w:t xml:space="preserve"> balance is that at the foundation level of a company, capital is injected in the form of either liability or equity. Since the primary goal of the company is to generate revenue, it is essential to acquire assets such as plants, equipment, and inventory (</w:t>
      </w:r>
      <w:proofErr w:type="spellStart"/>
      <w:r>
        <w:rPr>
          <w:rFonts w:ascii="Times New Roman" w:eastAsia="Times New Roman" w:hAnsi="Times New Roman" w:cs="Times New Roman"/>
          <w:sz w:val="24"/>
          <w:szCs w:val="24"/>
        </w:rPr>
        <w:t>Spiceland</w:t>
      </w:r>
      <w:proofErr w:type="spellEnd"/>
      <w:r>
        <w:rPr>
          <w:rFonts w:ascii="Times New Roman" w:eastAsia="Times New Roman" w:hAnsi="Times New Roman" w:cs="Times New Roman"/>
          <w:sz w:val="24"/>
          <w:szCs w:val="24"/>
        </w:rPr>
        <w:t xml:space="preserve"> et al., 2022). These assets are acquired using the proceeds of liabilities and equity such that for every entry on the assets side, there is an equivalent entry on the liabilities and equity side. Notably, the preceding reasons do not exist </w:t>
      </w:r>
      <w:r>
        <w:rPr>
          <w:rFonts w:ascii="Times New Roman" w:eastAsia="Times New Roman" w:hAnsi="Times New Roman" w:cs="Times New Roman"/>
          <w:sz w:val="24"/>
          <w:szCs w:val="24"/>
        </w:rPr>
        <w:lastRenderedPageBreak/>
        <w:t xml:space="preserve">in a </w:t>
      </w:r>
      <w:r>
        <w:rPr>
          <w:rFonts w:ascii="Times New Roman" w:eastAsia="Times New Roman" w:hAnsi="Times New Roman" w:cs="Times New Roman"/>
          <w:sz w:val="24"/>
          <w:szCs w:val="24"/>
        </w:rPr>
        <w:t>mutually exclusive system, implying that they should all be present for the two sides of the balance sheet to balance (</w:t>
      </w:r>
      <w:proofErr w:type="spellStart"/>
      <w:r>
        <w:rPr>
          <w:rFonts w:ascii="Times New Roman" w:eastAsia="Times New Roman" w:hAnsi="Times New Roman" w:cs="Times New Roman"/>
          <w:sz w:val="24"/>
          <w:szCs w:val="24"/>
        </w:rPr>
        <w:t>Spiceland</w:t>
      </w:r>
      <w:proofErr w:type="spellEnd"/>
      <w:r>
        <w:rPr>
          <w:rFonts w:ascii="Times New Roman" w:eastAsia="Times New Roman" w:hAnsi="Times New Roman" w:cs="Times New Roman"/>
          <w:sz w:val="24"/>
          <w:szCs w:val="24"/>
        </w:rPr>
        <w:t xml:space="preserve"> et al., 2022). </w:t>
      </w:r>
    </w:p>
    <w:p w14:paraId="0F2B8119" w14:textId="77777777" w:rsidR="00E87EA8" w:rsidRDefault="00E87EA8">
      <w:pPr>
        <w:spacing w:line="480" w:lineRule="auto"/>
        <w:ind w:firstLine="720"/>
        <w:rPr>
          <w:rFonts w:ascii="Times New Roman" w:eastAsia="Times New Roman" w:hAnsi="Times New Roman" w:cs="Times New Roman"/>
          <w:sz w:val="24"/>
          <w:szCs w:val="24"/>
        </w:rPr>
      </w:pPr>
    </w:p>
    <w:p w14:paraId="13044F69" w14:textId="77777777" w:rsidR="00E87EA8" w:rsidRDefault="00BD12CA">
      <w:pPr>
        <w:pStyle w:val="Heading1"/>
        <w:spacing w:line="480" w:lineRule="auto"/>
        <w:rPr>
          <w:sz w:val="32"/>
          <w:szCs w:val="32"/>
        </w:rPr>
      </w:pPr>
      <w:bookmarkStart w:id="7" w:name="_3dy6vkm" w:colFirst="0" w:colLast="0"/>
      <w:bookmarkEnd w:id="7"/>
      <w:r>
        <w:rPr>
          <w:sz w:val="32"/>
          <w:szCs w:val="32"/>
        </w:rPr>
        <w:t>Question 2</w:t>
      </w:r>
    </w:p>
    <w:p w14:paraId="276732E2" w14:textId="77777777" w:rsidR="00E87EA8" w:rsidRDefault="00BD12CA">
      <w:pPr>
        <w:pStyle w:val="Heading2"/>
        <w:spacing w:line="480" w:lineRule="auto"/>
        <w:rPr>
          <w:sz w:val="28"/>
          <w:szCs w:val="28"/>
        </w:rPr>
      </w:pPr>
      <w:bookmarkStart w:id="8" w:name="_1t3h5sf" w:colFirst="0" w:colLast="0"/>
      <w:bookmarkEnd w:id="8"/>
      <w:r>
        <w:rPr>
          <w:sz w:val="28"/>
          <w:szCs w:val="28"/>
        </w:rPr>
        <w:t>a. Calculate the following ratios for Sweets plc for 2021 and 2020, showing the formulas and workin</w:t>
      </w:r>
      <w:r>
        <w:rPr>
          <w:sz w:val="28"/>
          <w:szCs w:val="28"/>
        </w:rPr>
        <w:t>gs</w:t>
      </w:r>
    </w:p>
    <w:p w14:paraId="3D17C35F" w14:textId="77777777" w:rsidR="00E87EA8" w:rsidRDefault="00BD12C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Ratio analysis is a tool for the analysis of financial statements. It presents the relative magnitude of one item in a financial statement against another item for the purpose of making financial deductions (Rosa, 2020). </w:t>
      </w:r>
    </w:p>
    <w:p w14:paraId="53AEE0FD" w14:textId="77777777" w:rsidR="00E87EA8" w:rsidRDefault="00E87EA8">
      <w:pPr>
        <w:spacing w:line="480" w:lineRule="auto"/>
        <w:ind w:firstLine="720"/>
        <w:rPr>
          <w:rFonts w:ascii="Times New Roman" w:eastAsia="Times New Roman" w:hAnsi="Times New Roman" w:cs="Times New Roman"/>
          <w:sz w:val="24"/>
          <w:szCs w:val="24"/>
        </w:rPr>
      </w:pPr>
    </w:p>
    <w:p w14:paraId="76FA1CB4" w14:textId="77777777" w:rsidR="00E87EA8" w:rsidRDefault="00BD12CA">
      <w:pPr>
        <w:pStyle w:val="Heading3"/>
        <w:numPr>
          <w:ilvl w:val="0"/>
          <w:numId w:val="1"/>
        </w:numPr>
        <w:spacing w:line="480" w:lineRule="auto"/>
      </w:pPr>
      <w:bookmarkStart w:id="9" w:name="_4d34og8" w:colFirst="0" w:colLast="0"/>
      <w:bookmarkEnd w:id="9"/>
      <w:r>
        <w:t>ROCE – Return of Capital Emplo</w:t>
      </w:r>
      <w:r>
        <w:t>yed</w:t>
      </w:r>
    </w:p>
    <w:p w14:paraId="742C1A93"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Return on capital employed is a profitability ratio that evaluates the magnitude of a company’s net income against the capital employed as well as the efficiency of a company in the use of capital employed to generate income (Rosa, 2020). </w:t>
      </w:r>
    </w:p>
    <w:p w14:paraId="5B047CE6"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ROCE = (Oper</w:t>
      </w:r>
      <w:r>
        <w:rPr>
          <w:rFonts w:ascii="Times New Roman" w:eastAsia="Times New Roman" w:hAnsi="Times New Roman" w:cs="Times New Roman"/>
          <w:sz w:val="24"/>
          <w:szCs w:val="24"/>
        </w:rPr>
        <w:t>ating income/Capital employed) ×100</w:t>
      </w:r>
    </w:p>
    <w:p w14:paraId="56387B5D"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Capital employed = Total assets-current liabilities</w:t>
      </w:r>
    </w:p>
    <w:p w14:paraId="4FE189A2" w14:textId="77777777" w:rsidR="00E87EA8" w:rsidRDefault="00BD12CA">
      <w:pPr>
        <w:spacing w:after="0"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ROCE for the 2020 financial year</w:t>
      </w:r>
    </w:p>
    <w:p w14:paraId="1A69E671"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Operating income = £699 million</w:t>
      </w:r>
    </w:p>
    <w:p w14:paraId="6BBA47AD"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Capital employed = £10,087-£3,046 = £7,041 million</w:t>
      </w:r>
    </w:p>
    <w:p w14:paraId="645CB4C0"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ROCE = (699/7,041) ×100 = 9.93%</w:t>
      </w:r>
    </w:p>
    <w:p w14:paraId="538F2229"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ROCE for the </w:t>
      </w:r>
      <w:r>
        <w:rPr>
          <w:rFonts w:ascii="Times New Roman" w:eastAsia="Times New Roman" w:hAnsi="Times New Roman" w:cs="Times New Roman"/>
          <w:sz w:val="24"/>
          <w:szCs w:val="24"/>
        </w:rPr>
        <w:t>2021 financial year</w:t>
      </w:r>
    </w:p>
    <w:p w14:paraId="351E54C3"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Operating income = £805 million</w:t>
      </w:r>
    </w:p>
    <w:p w14:paraId="67A69CD2"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Capital employed = £9,736 – £2,511 = £7,225 million</w:t>
      </w:r>
    </w:p>
    <w:p w14:paraId="7DDB1846" w14:textId="77777777" w:rsidR="00E87EA8" w:rsidRDefault="00BD12C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ROCE = (805/7,225) ×100 = 11.14%</w:t>
      </w:r>
    </w:p>
    <w:p w14:paraId="593F3C86" w14:textId="77777777" w:rsidR="00E87EA8" w:rsidRDefault="00E87EA8">
      <w:pPr>
        <w:spacing w:line="480" w:lineRule="auto"/>
        <w:ind w:firstLine="720"/>
        <w:rPr>
          <w:rFonts w:ascii="Times New Roman" w:eastAsia="Times New Roman" w:hAnsi="Times New Roman" w:cs="Times New Roman"/>
          <w:sz w:val="24"/>
          <w:szCs w:val="24"/>
        </w:rPr>
      </w:pPr>
    </w:p>
    <w:p w14:paraId="6A01CDB3" w14:textId="77777777" w:rsidR="00E87EA8" w:rsidRDefault="00BD12CA">
      <w:pPr>
        <w:pStyle w:val="Heading3"/>
        <w:numPr>
          <w:ilvl w:val="0"/>
          <w:numId w:val="1"/>
        </w:numPr>
        <w:spacing w:line="480" w:lineRule="auto"/>
      </w:pPr>
      <w:bookmarkStart w:id="10" w:name="_2s8eyo1" w:colFirst="0" w:colLast="0"/>
      <w:bookmarkEnd w:id="10"/>
      <w:r>
        <w:t>ROE -  Return on Equity</w:t>
      </w:r>
    </w:p>
    <w:p w14:paraId="623D30E1"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Return on equity is a critical profitability ratio that compares net income against the equity</w:t>
      </w:r>
      <w:r>
        <w:rPr>
          <w:rFonts w:ascii="Times New Roman" w:eastAsia="Times New Roman" w:hAnsi="Times New Roman" w:cs="Times New Roman"/>
          <w:sz w:val="24"/>
          <w:szCs w:val="24"/>
        </w:rPr>
        <w:t xml:space="preserve"> attributable to the company’s shareholders (Rosa, 2020). Shareholders can use this ratio to determine performance against their expected return as well as compare it with the return for peer companies in the industry. </w:t>
      </w:r>
    </w:p>
    <w:p w14:paraId="6089144F"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ROE = (Net income/Shareholders equit</w:t>
      </w:r>
      <w:r>
        <w:rPr>
          <w:rFonts w:ascii="Times New Roman" w:eastAsia="Times New Roman" w:hAnsi="Times New Roman" w:cs="Times New Roman"/>
          <w:sz w:val="24"/>
          <w:szCs w:val="24"/>
        </w:rPr>
        <w:t>y) ×100</w:t>
      </w:r>
    </w:p>
    <w:p w14:paraId="05DCFC1C" w14:textId="77777777" w:rsidR="00E87EA8" w:rsidRDefault="00BD12CA">
      <w:pPr>
        <w:spacing w:after="0"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2020 financial year</w:t>
      </w:r>
    </w:p>
    <w:p w14:paraId="09C076BF"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Net income = £366 million</w:t>
      </w:r>
    </w:p>
    <w:p w14:paraId="3798362F"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Equity = £2,912 million</w:t>
      </w:r>
    </w:p>
    <w:p w14:paraId="656376C6"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ROE = (366/2,912) ×100 = 12.57%</w:t>
      </w:r>
    </w:p>
    <w:p w14:paraId="33D071A2" w14:textId="77777777" w:rsidR="00E87EA8" w:rsidRDefault="00BD12CA">
      <w:pPr>
        <w:spacing w:after="0"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2021 financial year</w:t>
      </w:r>
    </w:p>
    <w:p w14:paraId="5EA41650"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Net income = £431 million</w:t>
      </w:r>
    </w:p>
    <w:p w14:paraId="57F8D952"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Equity = £3,088 million</w:t>
      </w:r>
    </w:p>
    <w:p w14:paraId="00B60BF7" w14:textId="77777777" w:rsidR="00E87EA8" w:rsidRDefault="00BD12C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ROE = (431/3,088) ×100 = 13.96%</w:t>
      </w:r>
    </w:p>
    <w:p w14:paraId="62F5A8CB" w14:textId="77777777" w:rsidR="00E87EA8" w:rsidRDefault="00E87EA8">
      <w:pPr>
        <w:spacing w:line="480" w:lineRule="auto"/>
        <w:ind w:firstLine="720"/>
        <w:rPr>
          <w:rFonts w:ascii="Times New Roman" w:eastAsia="Times New Roman" w:hAnsi="Times New Roman" w:cs="Times New Roman"/>
          <w:sz w:val="24"/>
          <w:szCs w:val="24"/>
        </w:rPr>
      </w:pPr>
    </w:p>
    <w:p w14:paraId="05595815" w14:textId="77777777" w:rsidR="00E87EA8" w:rsidRDefault="00BD12CA">
      <w:pPr>
        <w:pStyle w:val="Heading3"/>
        <w:spacing w:line="480" w:lineRule="auto"/>
        <w:ind w:firstLine="720"/>
      </w:pPr>
      <w:bookmarkStart w:id="11" w:name="_17dp8vu" w:colFirst="0" w:colLast="0"/>
      <w:bookmarkEnd w:id="11"/>
      <w:r>
        <w:t>3. Earnings per share (EPS)</w:t>
      </w:r>
    </w:p>
    <w:p w14:paraId="4F94BE86"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Earnings per share is a profitability ratio showing the relative income of Sweets plc per unit of shareholding. </w:t>
      </w:r>
    </w:p>
    <w:p w14:paraId="185DEA8E"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EPS = Net income/Shares Outstanding </w:t>
      </w:r>
    </w:p>
    <w:p w14:paraId="65FC1530"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2020 financial year</w:t>
      </w:r>
    </w:p>
    <w:p w14:paraId="12C5B6D8"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Net income = £366</w:t>
      </w:r>
    </w:p>
    <w:p w14:paraId="46043F3B"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Nominal value per share (50p) = £0.5</w:t>
      </w:r>
    </w:p>
    <w:p w14:paraId="2BFA8E34"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Shares Outstanding = 300,000,00</w:t>
      </w:r>
      <w:r>
        <w:rPr>
          <w:rFonts w:ascii="Times New Roman" w:eastAsia="Times New Roman" w:hAnsi="Times New Roman" w:cs="Times New Roman"/>
          <w:sz w:val="24"/>
          <w:szCs w:val="24"/>
        </w:rPr>
        <w:t>0/0.5 = 600,000,000 shares</w:t>
      </w:r>
    </w:p>
    <w:p w14:paraId="462E3D94"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EPS = 366/600 = £0.61</w:t>
      </w:r>
    </w:p>
    <w:p w14:paraId="76FD24B0"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2021 financial year</w:t>
      </w:r>
    </w:p>
    <w:p w14:paraId="6875708B"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Net income = £431 million</w:t>
      </w:r>
    </w:p>
    <w:p w14:paraId="7C6B6107"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Shares outstanding = 600,000,000</w:t>
      </w:r>
    </w:p>
    <w:p w14:paraId="3E765642" w14:textId="77777777" w:rsidR="00E87EA8" w:rsidRDefault="00BD12CA">
      <w:pPr>
        <w:pBdr>
          <w:top w:val="nil"/>
          <w:left w:val="nil"/>
          <w:bottom w:val="nil"/>
          <w:right w:val="nil"/>
          <w:between w:val="nil"/>
        </w:pBd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EPS = 431/600 = £0.72</w:t>
      </w:r>
    </w:p>
    <w:p w14:paraId="5CD8009C" w14:textId="77777777" w:rsidR="00E87EA8" w:rsidRDefault="00E87EA8">
      <w:pPr>
        <w:pBdr>
          <w:top w:val="nil"/>
          <w:left w:val="nil"/>
          <w:bottom w:val="nil"/>
          <w:right w:val="nil"/>
          <w:between w:val="nil"/>
        </w:pBdr>
        <w:spacing w:line="480" w:lineRule="auto"/>
        <w:ind w:firstLine="720"/>
        <w:rPr>
          <w:rFonts w:ascii="Times New Roman" w:eastAsia="Times New Roman" w:hAnsi="Times New Roman" w:cs="Times New Roman"/>
          <w:sz w:val="24"/>
          <w:szCs w:val="24"/>
        </w:rPr>
      </w:pPr>
    </w:p>
    <w:p w14:paraId="659C4A52" w14:textId="77777777" w:rsidR="00E87EA8" w:rsidRDefault="00BD12CA">
      <w:pPr>
        <w:pStyle w:val="Heading3"/>
        <w:spacing w:line="480" w:lineRule="auto"/>
        <w:ind w:firstLine="720"/>
      </w:pPr>
      <w:bookmarkStart w:id="12" w:name="_3rdcrjn" w:colFirst="0" w:colLast="0"/>
      <w:bookmarkEnd w:id="12"/>
      <w:r>
        <w:t>4. Net profit margin</w:t>
      </w:r>
    </w:p>
    <w:p w14:paraId="37DC09FA"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This is a profitability ratio that demonstrates the rate of net income against the r</w:t>
      </w:r>
      <w:r>
        <w:rPr>
          <w:rFonts w:ascii="Times New Roman" w:eastAsia="Times New Roman" w:hAnsi="Times New Roman" w:cs="Times New Roman"/>
          <w:sz w:val="24"/>
          <w:szCs w:val="24"/>
        </w:rPr>
        <w:t xml:space="preserve">evenue generated during the year (Rosa, 2020). It is critical in reviewing the efficiency of a company. </w:t>
      </w:r>
    </w:p>
    <w:p w14:paraId="0F777BAA"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Net profit margin = (Net income/revenue) ×100</w:t>
      </w:r>
    </w:p>
    <w:p w14:paraId="75CFD2F1"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2020 financial year</w:t>
      </w:r>
    </w:p>
    <w:p w14:paraId="40DC4B81"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Net income = £366 million</w:t>
      </w:r>
    </w:p>
    <w:p w14:paraId="5E4979B0"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Revenue = £6,441 million</w:t>
      </w:r>
    </w:p>
    <w:p w14:paraId="43CE4F5F"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 profit margin = </w:t>
      </w:r>
      <w:r>
        <w:rPr>
          <w:rFonts w:ascii="Times New Roman" w:eastAsia="Times New Roman" w:hAnsi="Times New Roman" w:cs="Times New Roman"/>
          <w:sz w:val="24"/>
          <w:szCs w:val="24"/>
        </w:rPr>
        <w:t>(366/6,441) ×100 = 5.68%</w:t>
      </w:r>
    </w:p>
    <w:p w14:paraId="5CC7C1B5"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2021 financial year</w:t>
      </w:r>
    </w:p>
    <w:p w14:paraId="765F208E"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Net income = £431 million</w:t>
      </w:r>
    </w:p>
    <w:p w14:paraId="3A70E5B1"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Revenue = £6,738 million</w:t>
      </w:r>
    </w:p>
    <w:p w14:paraId="182885C1" w14:textId="77777777" w:rsidR="00E87EA8" w:rsidRDefault="00BD12CA">
      <w:pPr>
        <w:pBdr>
          <w:top w:val="nil"/>
          <w:left w:val="nil"/>
          <w:bottom w:val="nil"/>
          <w:right w:val="nil"/>
          <w:between w:val="nil"/>
        </w:pBd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Net profit margin = (431/6,738) ×100 = 6.4%</w:t>
      </w:r>
    </w:p>
    <w:p w14:paraId="659FF768" w14:textId="77777777" w:rsidR="00E87EA8" w:rsidRDefault="00E87EA8">
      <w:pPr>
        <w:pBdr>
          <w:top w:val="nil"/>
          <w:left w:val="nil"/>
          <w:bottom w:val="nil"/>
          <w:right w:val="nil"/>
          <w:between w:val="nil"/>
        </w:pBdr>
        <w:spacing w:line="480" w:lineRule="auto"/>
        <w:ind w:firstLine="720"/>
        <w:rPr>
          <w:rFonts w:ascii="Times New Roman" w:eastAsia="Times New Roman" w:hAnsi="Times New Roman" w:cs="Times New Roman"/>
          <w:sz w:val="24"/>
          <w:szCs w:val="24"/>
        </w:rPr>
      </w:pPr>
    </w:p>
    <w:p w14:paraId="44E336C2" w14:textId="77777777" w:rsidR="00E87EA8" w:rsidRDefault="00BD12CA">
      <w:pPr>
        <w:pStyle w:val="Heading3"/>
        <w:spacing w:line="480" w:lineRule="auto"/>
        <w:ind w:firstLine="720"/>
      </w:pPr>
      <w:bookmarkStart w:id="13" w:name="_26in1rg" w:colFirst="0" w:colLast="0"/>
      <w:bookmarkEnd w:id="13"/>
      <w:r>
        <w:t>5. Asset Turnover</w:t>
      </w:r>
    </w:p>
    <w:p w14:paraId="5BB8927B"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Assets turnover is both an efficiency ratio and a profitability ratio. It is an efficiency ratio </w:t>
      </w:r>
      <w:r>
        <w:rPr>
          <w:rFonts w:ascii="Times New Roman" w:eastAsia="Times New Roman" w:hAnsi="Times New Roman" w:cs="Times New Roman"/>
          <w:sz w:val="24"/>
          <w:szCs w:val="24"/>
        </w:rPr>
        <w:t xml:space="preserve">in that it shows how best the company is using its assets to generate sales (Jackson, </w:t>
      </w:r>
      <w:r>
        <w:rPr>
          <w:rFonts w:ascii="Times New Roman" w:eastAsia="Times New Roman" w:hAnsi="Times New Roman" w:cs="Times New Roman"/>
          <w:sz w:val="24"/>
          <w:szCs w:val="24"/>
        </w:rPr>
        <w:lastRenderedPageBreak/>
        <w:t xml:space="preserve">2021). It is also a profitability ratio because revenue is the core input in net income computation. </w:t>
      </w:r>
    </w:p>
    <w:p w14:paraId="52D86900"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Asset turnover = Revenue/Total assets</w:t>
      </w:r>
    </w:p>
    <w:p w14:paraId="5341098E"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2020 financial year</w:t>
      </w:r>
    </w:p>
    <w:p w14:paraId="01185D4A"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Revenue = </w:t>
      </w:r>
      <w:r>
        <w:rPr>
          <w:rFonts w:ascii="Times New Roman" w:eastAsia="Times New Roman" w:hAnsi="Times New Roman" w:cs="Times New Roman"/>
          <w:sz w:val="24"/>
          <w:szCs w:val="24"/>
        </w:rPr>
        <w:t>£6,441 million</w:t>
      </w:r>
    </w:p>
    <w:p w14:paraId="1EBF850D"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Assets = £10,087 million</w:t>
      </w:r>
    </w:p>
    <w:p w14:paraId="345FFACC"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Asset turnover = 6,441/10,087 = 0.64</w:t>
      </w:r>
    </w:p>
    <w:p w14:paraId="6125367E"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2021 financial year</w:t>
      </w:r>
    </w:p>
    <w:p w14:paraId="6BA861D1"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Revenue = £6,738 million</w:t>
      </w:r>
    </w:p>
    <w:p w14:paraId="35BD6F96"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Assets = £9,736 million</w:t>
      </w:r>
    </w:p>
    <w:p w14:paraId="3F6E8D42" w14:textId="77777777" w:rsidR="00E87EA8" w:rsidRDefault="00BD12CA">
      <w:pPr>
        <w:pBdr>
          <w:top w:val="nil"/>
          <w:left w:val="nil"/>
          <w:bottom w:val="nil"/>
          <w:right w:val="nil"/>
          <w:between w:val="nil"/>
        </w:pBd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Asset turnover = 6,738/9,736 = 0.69</w:t>
      </w:r>
    </w:p>
    <w:p w14:paraId="0F2DE68F" w14:textId="77777777" w:rsidR="00E87EA8" w:rsidRDefault="00E87EA8">
      <w:pPr>
        <w:pBdr>
          <w:top w:val="nil"/>
          <w:left w:val="nil"/>
          <w:bottom w:val="nil"/>
          <w:right w:val="nil"/>
          <w:between w:val="nil"/>
        </w:pBdr>
        <w:spacing w:line="480" w:lineRule="auto"/>
        <w:ind w:firstLine="720"/>
        <w:rPr>
          <w:rFonts w:ascii="Times New Roman" w:eastAsia="Times New Roman" w:hAnsi="Times New Roman" w:cs="Times New Roman"/>
          <w:sz w:val="24"/>
          <w:szCs w:val="24"/>
        </w:rPr>
      </w:pPr>
    </w:p>
    <w:p w14:paraId="6EF2BDA9" w14:textId="77777777" w:rsidR="00E87EA8" w:rsidRDefault="00BD12CA">
      <w:pPr>
        <w:pStyle w:val="Heading3"/>
        <w:spacing w:line="480" w:lineRule="auto"/>
        <w:ind w:firstLine="720"/>
      </w:pPr>
      <w:bookmarkStart w:id="14" w:name="_lnxbz9" w:colFirst="0" w:colLast="0"/>
      <w:bookmarkEnd w:id="14"/>
      <w:r>
        <w:t>6. Stock holding days</w:t>
      </w:r>
    </w:p>
    <w:p w14:paraId="7162E1B2"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Stock holding days is an operating efficiency ratio that shows how long a company holds inventory before converting it into sales. </w:t>
      </w:r>
    </w:p>
    <w:p w14:paraId="797959AE"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Stock holding days = (Average inventory/cost of sales) ×365 days</w:t>
      </w:r>
    </w:p>
    <w:p w14:paraId="3F725754"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2020 financial year</w:t>
      </w:r>
    </w:p>
    <w:p w14:paraId="208D19BE"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Average inventory = £659 million</w:t>
      </w:r>
    </w:p>
    <w:p w14:paraId="60215AE6"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Cost o</w:t>
      </w:r>
      <w:r>
        <w:rPr>
          <w:rFonts w:ascii="Times New Roman" w:eastAsia="Times New Roman" w:hAnsi="Times New Roman" w:cs="Times New Roman"/>
          <w:sz w:val="24"/>
          <w:szCs w:val="24"/>
        </w:rPr>
        <w:t>f sales = £6,441 million</w:t>
      </w:r>
    </w:p>
    <w:p w14:paraId="7AA91154"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Stock holding days = (659/6,441) ×365 days = 37.34 days</w:t>
      </w:r>
    </w:p>
    <w:p w14:paraId="430AB34F"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2021 financial year</w:t>
      </w:r>
    </w:p>
    <w:p w14:paraId="0C8DB7D7"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Average inventory = (659+708)/2 = £683.5 million</w:t>
      </w:r>
    </w:p>
    <w:p w14:paraId="33D27A4A" w14:textId="77777777" w:rsidR="00E87EA8" w:rsidRDefault="00BD12CA">
      <w:pPr>
        <w:pBdr>
          <w:top w:val="nil"/>
          <w:left w:val="nil"/>
          <w:bottom w:val="nil"/>
          <w:right w:val="nil"/>
          <w:between w:val="nil"/>
        </w:pBd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Cost of sales = £6,738 million</w:t>
      </w:r>
    </w:p>
    <w:p w14:paraId="2CAA31CA" w14:textId="77777777" w:rsidR="00E87EA8" w:rsidRDefault="00BD12CA">
      <w:pPr>
        <w:pBdr>
          <w:top w:val="nil"/>
          <w:left w:val="nil"/>
          <w:bottom w:val="nil"/>
          <w:right w:val="nil"/>
          <w:between w:val="nil"/>
        </w:pBd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Stock holding days = 37.02 days</w:t>
      </w:r>
    </w:p>
    <w:p w14:paraId="1844E21C" w14:textId="77777777" w:rsidR="00E87EA8" w:rsidRDefault="00E87EA8">
      <w:pPr>
        <w:pBdr>
          <w:top w:val="nil"/>
          <w:left w:val="nil"/>
          <w:bottom w:val="nil"/>
          <w:right w:val="nil"/>
          <w:between w:val="nil"/>
        </w:pBdr>
        <w:spacing w:line="480" w:lineRule="auto"/>
        <w:ind w:firstLine="720"/>
        <w:rPr>
          <w:rFonts w:ascii="Times New Roman" w:eastAsia="Times New Roman" w:hAnsi="Times New Roman" w:cs="Times New Roman"/>
          <w:sz w:val="24"/>
          <w:szCs w:val="24"/>
        </w:rPr>
      </w:pPr>
    </w:p>
    <w:p w14:paraId="25A309D7" w14:textId="77777777" w:rsidR="00E87EA8" w:rsidRDefault="00BD12CA">
      <w:pPr>
        <w:pStyle w:val="Heading3"/>
        <w:spacing w:line="480" w:lineRule="auto"/>
        <w:ind w:firstLine="720"/>
      </w:pPr>
      <w:bookmarkStart w:id="15" w:name="_35nkun2" w:colFirst="0" w:colLast="0"/>
      <w:bookmarkEnd w:id="15"/>
      <w:r>
        <w:t>7. Debtors collection period</w:t>
      </w:r>
    </w:p>
    <w:p w14:paraId="7ABD4363"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Debtors collection is a ratio that can be classified as a liquidity ratio and an efficiency ratio. It is a liquidity ratio in that collection of receivables within an optimal period enhances a company’s liquidity (</w:t>
      </w:r>
      <w:proofErr w:type="spellStart"/>
      <w:r>
        <w:rPr>
          <w:rFonts w:ascii="Times New Roman" w:eastAsia="Times New Roman" w:hAnsi="Times New Roman" w:cs="Times New Roman"/>
          <w:sz w:val="24"/>
          <w:szCs w:val="24"/>
        </w:rPr>
        <w:t>Wahlen</w:t>
      </w:r>
      <w:proofErr w:type="spellEnd"/>
      <w:r>
        <w:rPr>
          <w:rFonts w:ascii="Times New Roman" w:eastAsia="Times New Roman" w:hAnsi="Times New Roman" w:cs="Times New Roman"/>
          <w:sz w:val="24"/>
          <w:szCs w:val="24"/>
        </w:rPr>
        <w:t xml:space="preserve"> et al., 2023). In contrast, it is a</w:t>
      </w:r>
      <w:r>
        <w:rPr>
          <w:rFonts w:ascii="Times New Roman" w:eastAsia="Times New Roman" w:hAnsi="Times New Roman" w:cs="Times New Roman"/>
          <w:sz w:val="24"/>
          <w:szCs w:val="24"/>
        </w:rPr>
        <w:t xml:space="preserve">n efficiency ratio in that the ease of collecting receivables demonstrates the prudence of a company’s debt collection policies. </w:t>
      </w:r>
    </w:p>
    <w:p w14:paraId="49CF1557"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Debtors collection period = (Accounts receivables/credit sales) ×365 days</w:t>
      </w:r>
    </w:p>
    <w:p w14:paraId="2872857F" w14:textId="77777777" w:rsidR="00E87EA8" w:rsidRDefault="00BD12CA">
      <w:pPr>
        <w:spacing w:after="0"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2020 financial year</w:t>
      </w:r>
    </w:p>
    <w:p w14:paraId="4C781946"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Accounts receivables = £1,287 mi</w:t>
      </w:r>
      <w:r>
        <w:rPr>
          <w:rFonts w:ascii="Times New Roman" w:eastAsia="Times New Roman" w:hAnsi="Times New Roman" w:cs="Times New Roman"/>
          <w:sz w:val="24"/>
          <w:szCs w:val="24"/>
        </w:rPr>
        <w:t>llion</w:t>
      </w:r>
    </w:p>
    <w:p w14:paraId="366E7EDA"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Credit sales = £6,441 million</w:t>
      </w:r>
    </w:p>
    <w:p w14:paraId="480544AA"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Debtors collection period = (1,287/6,441) ×365 days = 72.93 days</w:t>
      </w:r>
    </w:p>
    <w:p w14:paraId="0D2814F0" w14:textId="77777777" w:rsidR="00E87EA8" w:rsidRDefault="00BD12CA">
      <w:pPr>
        <w:spacing w:after="0"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2021 financial year</w:t>
      </w:r>
    </w:p>
    <w:p w14:paraId="55B7F33C"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Accounts receivables = £1,249 million</w:t>
      </w:r>
    </w:p>
    <w:p w14:paraId="0CFB198B"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Credit sale = £6,738 million</w:t>
      </w:r>
    </w:p>
    <w:p w14:paraId="180FADAF" w14:textId="77777777" w:rsidR="00E87EA8" w:rsidRDefault="00BD12C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Debtors collection period = (1,249/6,738) ×365 days =67.65 days</w:t>
      </w:r>
    </w:p>
    <w:p w14:paraId="2C86D14A" w14:textId="77777777" w:rsidR="00E87EA8" w:rsidRDefault="00E87EA8">
      <w:pPr>
        <w:spacing w:line="480" w:lineRule="auto"/>
        <w:ind w:firstLine="720"/>
        <w:rPr>
          <w:rFonts w:ascii="Times New Roman" w:eastAsia="Times New Roman" w:hAnsi="Times New Roman" w:cs="Times New Roman"/>
          <w:sz w:val="24"/>
          <w:szCs w:val="24"/>
        </w:rPr>
      </w:pPr>
    </w:p>
    <w:p w14:paraId="4B17DEFF" w14:textId="77777777" w:rsidR="00E87EA8" w:rsidRDefault="00BD12CA">
      <w:pPr>
        <w:pStyle w:val="Heading3"/>
        <w:spacing w:line="480" w:lineRule="auto"/>
        <w:ind w:firstLine="720"/>
      </w:pPr>
      <w:bookmarkStart w:id="16" w:name="_1ksv4uv" w:colFirst="0" w:colLast="0"/>
      <w:bookmarkEnd w:id="16"/>
      <w:r>
        <w:t xml:space="preserve">8. </w:t>
      </w:r>
      <w:r>
        <w:t>Current ratio</w:t>
      </w:r>
    </w:p>
    <w:p w14:paraId="6DD2B1AE"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ratio is the most common liquidity ratio that measures the magnitude of the current assets against current liabilities. The primary objective of the ratio is to determine if a company has sufficient liquidity to meet the current o</w:t>
      </w:r>
      <w:r>
        <w:rPr>
          <w:rFonts w:ascii="Times New Roman" w:eastAsia="Times New Roman" w:hAnsi="Times New Roman" w:cs="Times New Roman"/>
          <w:sz w:val="24"/>
          <w:szCs w:val="24"/>
        </w:rPr>
        <w:t>bligations when they become due (</w:t>
      </w:r>
      <w:proofErr w:type="spellStart"/>
      <w:r>
        <w:rPr>
          <w:rFonts w:ascii="Times New Roman" w:eastAsia="Times New Roman" w:hAnsi="Times New Roman" w:cs="Times New Roman"/>
          <w:sz w:val="24"/>
          <w:szCs w:val="24"/>
        </w:rPr>
        <w:t>Wahlen</w:t>
      </w:r>
      <w:proofErr w:type="spellEnd"/>
      <w:r>
        <w:rPr>
          <w:rFonts w:ascii="Times New Roman" w:eastAsia="Times New Roman" w:hAnsi="Times New Roman" w:cs="Times New Roman"/>
          <w:sz w:val="24"/>
          <w:szCs w:val="24"/>
        </w:rPr>
        <w:t xml:space="preserve"> et al., 2023). </w:t>
      </w:r>
    </w:p>
    <w:p w14:paraId="46F74045"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Current ratio = Current assets/current liabilities</w:t>
      </w:r>
    </w:p>
    <w:p w14:paraId="16696BD0" w14:textId="77777777" w:rsidR="00E87EA8" w:rsidRDefault="00BD12CA">
      <w:pPr>
        <w:spacing w:after="0"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2020 financial year</w:t>
      </w:r>
    </w:p>
    <w:p w14:paraId="6559CEBF"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Current assets = £2,355 million</w:t>
      </w:r>
    </w:p>
    <w:p w14:paraId="415D5A77"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Current liabilities = £3,046 million</w:t>
      </w:r>
    </w:p>
    <w:p w14:paraId="35646258"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Current ratio = 2,355/3,046 = 0.77</w:t>
      </w:r>
    </w:p>
    <w:p w14:paraId="671D9F03" w14:textId="77777777" w:rsidR="00E87EA8" w:rsidRDefault="00BD12CA">
      <w:pPr>
        <w:spacing w:after="0"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2021 financial year</w:t>
      </w:r>
    </w:p>
    <w:p w14:paraId="766A1625"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Curre</w:t>
      </w:r>
      <w:r>
        <w:rPr>
          <w:rFonts w:ascii="Times New Roman" w:eastAsia="Times New Roman" w:hAnsi="Times New Roman" w:cs="Times New Roman"/>
          <w:sz w:val="24"/>
          <w:szCs w:val="24"/>
        </w:rPr>
        <w:t>nt assets = £2,303 million</w:t>
      </w:r>
    </w:p>
    <w:p w14:paraId="5EE08466"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Current liabilities = £2,511 million</w:t>
      </w:r>
    </w:p>
    <w:p w14:paraId="664419BD" w14:textId="77777777" w:rsidR="00E87EA8" w:rsidRDefault="00BD12C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Current ratio = 2,303/2,511 = 0.92</w:t>
      </w:r>
    </w:p>
    <w:p w14:paraId="5D9C5BF3" w14:textId="77777777" w:rsidR="00E87EA8" w:rsidRDefault="00E87EA8">
      <w:pPr>
        <w:spacing w:line="480" w:lineRule="auto"/>
        <w:ind w:firstLine="720"/>
        <w:rPr>
          <w:rFonts w:ascii="Times New Roman" w:eastAsia="Times New Roman" w:hAnsi="Times New Roman" w:cs="Times New Roman"/>
          <w:sz w:val="24"/>
          <w:szCs w:val="24"/>
        </w:rPr>
      </w:pPr>
    </w:p>
    <w:p w14:paraId="52804F85" w14:textId="77777777" w:rsidR="00E87EA8" w:rsidRDefault="00BD12CA">
      <w:pPr>
        <w:pStyle w:val="Heading3"/>
        <w:spacing w:line="480" w:lineRule="auto"/>
        <w:ind w:firstLine="720"/>
      </w:pPr>
      <w:bookmarkStart w:id="17" w:name="_44sinio" w:colFirst="0" w:colLast="0"/>
      <w:bookmarkEnd w:id="17"/>
      <w:r>
        <w:t>9. Gearing ratio</w:t>
      </w:r>
    </w:p>
    <w:p w14:paraId="1F777DC8"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gearing ratio measures the rate of a company’s use of debt against the sum of debt and equity (</w:t>
      </w:r>
      <w:proofErr w:type="spellStart"/>
      <w:r>
        <w:rPr>
          <w:rFonts w:ascii="Times New Roman" w:eastAsia="Times New Roman" w:hAnsi="Times New Roman" w:cs="Times New Roman"/>
          <w:sz w:val="24"/>
          <w:szCs w:val="24"/>
        </w:rPr>
        <w:t>Wahlen</w:t>
      </w:r>
      <w:proofErr w:type="spellEnd"/>
      <w:r>
        <w:rPr>
          <w:rFonts w:ascii="Times New Roman" w:eastAsia="Times New Roman" w:hAnsi="Times New Roman" w:cs="Times New Roman"/>
          <w:sz w:val="24"/>
          <w:szCs w:val="24"/>
        </w:rPr>
        <w:t xml:space="preserve"> et al., 2023). </w:t>
      </w:r>
    </w:p>
    <w:p w14:paraId="46211AAD"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Gearing </w:t>
      </w:r>
      <w:r>
        <w:rPr>
          <w:rFonts w:ascii="Times New Roman" w:eastAsia="Times New Roman" w:hAnsi="Times New Roman" w:cs="Times New Roman"/>
          <w:sz w:val="24"/>
          <w:szCs w:val="24"/>
        </w:rPr>
        <w:t>ratio = Debt/ (Debt +Equity)</w:t>
      </w:r>
    </w:p>
    <w:p w14:paraId="7F094173" w14:textId="77777777" w:rsidR="00E87EA8" w:rsidRDefault="00BD12CA">
      <w:pPr>
        <w:spacing w:after="0"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2020 financial year</w:t>
      </w:r>
    </w:p>
    <w:p w14:paraId="2120DA7B"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Debt = £4,129 million</w:t>
      </w:r>
    </w:p>
    <w:p w14:paraId="046A6459"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Equity = £2,912 million</w:t>
      </w:r>
    </w:p>
    <w:p w14:paraId="00985EA3"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Debt +Equity = £7,041 million</w:t>
      </w:r>
    </w:p>
    <w:p w14:paraId="70733E72"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Leverage = (4,129/7,041) = 0.58</w:t>
      </w:r>
    </w:p>
    <w:p w14:paraId="102F9434" w14:textId="77777777" w:rsidR="00E87EA8" w:rsidRDefault="00BD12CA">
      <w:pPr>
        <w:spacing w:after="0"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2021 financial year</w:t>
      </w:r>
    </w:p>
    <w:p w14:paraId="0C55466A"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Debt = £4,137 million</w:t>
      </w:r>
    </w:p>
    <w:p w14:paraId="3E7B1AD6"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Equity = £3,088 million</w:t>
      </w:r>
    </w:p>
    <w:p w14:paraId="13C164C7"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Debt + equity =£7,225</w:t>
      </w:r>
    </w:p>
    <w:p w14:paraId="7D43E262" w14:textId="77777777" w:rsidR="00E87EA8" w:rsidRDefault="00BD12C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Leverage ra</w:t>
      </w:r>
      <w:r>
        <w:rPr>
          <w:rFonts w:ascii="Times New Roman" w:eastAsia="Times New Roman" w:hAnsi="Times New Roman" w:cs="Times New Roman"/>
          <w:sz w:val="24"/>
          <w:szCs w:val="24"/>
        </w:rPr>
        <w:t>tio = (4,137/7,225) = 0.57</w:t>
      </w:r>
    </w:p>
    <w:p w14:paraId="3050BD5E" w14:textId="77777777" w:rsidR="00E87EA8" w:rsidRDefault="00E87EA8">
      <w:pPr>
        <w:spacing w:line="480" w:lineRule="auto"/>
        <w:ind w:firstLine="720"/>
        <w:rPr>
          <w:rFonts w:ascii="Times New Roman" w:eastAsia="Times New Roman" w:hAnsi="Times New Roman" w:cs="Times New Roman"/>
          <w:sz w:val="24"/>
          <w:szCs w:val="24"/>
        </w:rPr>
      </w:pPr>
    </w:p>
    <w:p w14:paraId="247D8B0E" w14:textId="77777777" w:rsidR="00E87EA8" w:rsidRDefault="00BD12CA">
      <w:pPr>
        <w:pStyle w:val="Heading3"/>
        <w:spacing w:line="480" w:lineRule="auto"/>
        <w:ind w:firstLine="720"/>
      </w:pPr>
      <w:bookmarkStart w:id="18" w:name="_2jxsxqh" w:colFirst="0" w:colLast="0"/>
      <w:bookmarkEnd w:id="18"/>
      <w:r>
        <w:lastRenderedPageBreak/>
        <w:t>10. Interest cover</w:t>
      </w:r>
    </w:p>
    <w:p w14:paraId="7F4C4BA2"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Interest cover measures the rate of operating income over interest expenses. The goal of this ratio is to determine the multiple that the operating income would cover the interest expenses (</w:t>
      </w:r>
      <w:proofErr w:type="spellStart"/>
      <w:r>
        <w:rPr>
          <w:rFonts w:ascii="Times New Roman" w:eastAsia="Times New Roman" w:hAnsi="Times New Roman" w:cs="Times New Roman"/>
          <w:sz w:val="24"/>
          <w:szCs w:val="24"/>
        </w:rPr>
        <w:t>Wahlen</w:t>
      </w:r>
      <w:proofErr w:type="spellEnd"/>
      <w:r>
        <w:rPr>
          <w:rFonts w:ascii="Times New Roman" w:eastAsia="Times New Roman" w:hAnsi="Times New Roman" w:cs="Times New Roman"/>
          <w:sz w:val="24"/>
          <w:szCs w:val="24"/>
        </w:rPr>
        <w:t xml:space="preserve"> et al., 2023</w:t>
      </w:r>
      <w:r>
        <w:rPr>
          <w:rFonts w:ascii="Times New Roman" w:eastAsia="Times New Roman" w:hAnsi="Times New Roman" w:cs="Times New Roman"/>
          <w:sz w:val="24"/>
          <w:szCs w:val="24"/>
        </w:rPr>
        <w:t xml:space="preserve">). </w:t>
      </w:r>
    </w:p>
    <w:p w14:paraId="2CFE84DB"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Interest cover = Operating income/interest expense</w:t>
      </w:r>
    </w:p>
    <w:p w14:paraId="3B3B9AE7" w14:textId="77777777" w:rsidR="00E87EA8" w:rsidRDefault="00BD12CA">
      <w:pPr>
        <w:spacing w:after="0"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2020 financial year</w:t>
      </w:r>
    </w:p>
    <w:p w14:paraId="78B2657C"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Operating income = £699 million</w:t>
      </w:r>
    </w:p>
    <w:p w14:paraId="6EEC3084"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Interest expense = £181 million</w:t>
      </w:r>
    </w:p>
    <w:p w14:paraId="760E3C80"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Interest cover = 699/181 = 3.86</w:t>
      </w:r>
    </w:p>
    <w:p w14:paraId="1B33E0C8" w14:textId="77777777" w:rsidR="00E87EA8" w:rsidRDefault="00BD12CA">
      <w:pPr>
        <w:spacing w:after="0"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2021 financial year</w:t>
      </w:r>
    </w:p>
    <w:p w14:paraId="304309E3"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Operating income = £805 million</w:t>
      </w:r>
    </w:p>
    <w:p w14:paraId="16DF09E8"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Interest expense = £226 million</w:t>
      </w:r>
    </w:p>
    <w:p w14:paraId="058BC4DA" w14:textId="77777777" w:rsidR="00E87EA8" w:rsidRDefault="00BD12C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z w:val="24"/>
          <w:szCs w:val="24"/>
        </w:rPr>
        <w:t>nterest cover = 805/226 = 3.56</w:t>
      </w:r>
    </w:p>
    <w:p w14:paraId="5E0BA22E" w14:textId="77777777" w:rsidR="00E87EA8" w:rsidRDefault="00E87EA8">
      <w:pPr>
        <w:spacing w:line="480" w:lineRule="auto"/>
        <w:ind w:firstLine="720"/>
        <w:rPr>
          <w:rFonts w:ascii="Times New Roman" w:eastAsia="Times New Roman" w:hAnsi="Times New Roman" w:cs="Times New Roman"/>
          <w:sz w:val="24"/>
          <w:szCs w:val="24"/>
        </w:rPr>
      </w:pPr>
    </w:p>
    <w:p w14:paraId="7F59A762" w14:textId="77777777" w:rsidR="00E87EA8" w:rsidRDefault="00BD12CA">
      <w:pPr>
        <w:pStyle w:val="Heading2"/>
        <w:spacing w:line="480" w:lineRule="auto"/>
        <w:rPr>
          <w:sz w:val="28"/>
          <w:szCs w:val="28"/>
        </w:rPr>
      </w:pPr>
      <w:bookmarkStart w:id="19" w:name="_z337ya" w:colFirst="0" w:colLast="0"/>
      <w:bookmarkEnd w:id="19"/>
      <w:r>
        <w:rPr>
          <w:sz w:val="28"/>
          <w:szCs w:val="28"/>
        </w:rPr>
        <w:t>b. Using the information in the financial statements and the ratios you have calculated, comment on the financial performance and position of Sweets plc.</w:t>
      </w:r>
    </w:p>
    <w:p w14:paraId="2D77514A" w14:textId="77777777" w:rsidR="00E87EA8" w:rsidRDefault="00BD12CA">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performance and position of Sweets plc can be </w:t>
      </w:r>
      <w:r>
        <w:rPr>
          <w:rFonts w:ascii="Times New Roman" w:eastAsia="Times New Roman" w:hAnsi="Times New Roman" w:cs="Times New Roman"/>
          <w:sz w:val="24"/>
          <w:szCs w:val="24"/>
        </w:rPr>
        <w:t>evaluated using the ratios in different classes such as liquidity, profitability, and leverage (</w:t>
      </w:r>
      <w:proofErr w:type="spellStart"/>
      <w:r>
        <w:rPr>
          <w:rFonts w:ascii="Times New Roman" w:eastAsia="Times New Roman" w:hAnsi="Times New Roman" w:cs="Times New Roman"/>
          <w:sz w:val="24"/>
          <w:szCs w:val="24"/>
        </w:rPr>
        <w:t>Wahlen</w:t>
      </w:r>
      <w:proofErr w:type="spellEnd"/>
      <w:r>
        <w:rPr>
          <w:rFonts w:ascii="Times New Roman" w:eastAsia="Times New Roman" w:hAnsi="Times New Roman" w:cs="Times New Roman"/>
          <w:sz w:val="24"/>
          <w:szCs w:val="24"/>
        </w:rPr>
        <w:t xml:space="preserve"> et al., 2023). With respect to liquidity, in the 2020 and 2021 financial years, the company liquidity was below the optimal level as evidenced by the cur</w:t>
      </w:r>
      <w:r>
        <w:rPr>
          <w:rFonts w:ascii="Times New Roman" w:eastAsia="Times New Roman" w:hAnsi="Times New Roman" w:cs="Times New Roman"/>
          <w:sz w:val="24"/>
          <w:szCs w:val="24"/>
        </w:rPr>
        <w:t>rent ratio of 0.77 and 0.92 respectively. These ratios show that the company would default on some of the current liabilities if they fall due (Jackson, 2021). On profitability, the ROCE and ROE are above the rate of 10% except in the 2020 financial year f</w:t>
      </w:r>
      <w:r>
        <w:rPr>
          <w:rFonts w:ascii="Times New Roman" w:eastAsia="Times New Roman" w:hAnsi="Times New Roman" w:cs="Times New Roman"/>
          <w:sz w:val="24"/>
          <w:szCs w:val="24"/>
        </w:rPr>
        <w:t xml:space="preserve">or ROCE. This means that the company’s profitability is positive. </w:t>
      </w:r>
      <w:r>
        <w:rPr>
          <w:rFonts w:ascii="Times New Roman" w:eastAsia="Times New Roman" w:hAnsi="Times New Roman" w:cs="Times New Roman"/>
          <w:sz w:val="24"/>
          <w:szCs w:val="24"/>
        </w:rPr>
        <w:lastRenderedPageBreak/>
        <w:t xml:space="preserve">However, the rates fall on the borderline and the company should improve profitability to enhance shareholder value. </w:t>
      </w:r>
    </w:p>
    <w:p w14:paraId="557652EE" w14:textId="3B0556A7" w:rsidR="00E87EA8" w:rsidRPr="00652732" w:rsidRDefault="00E87EA8">
      <w:pPr>
        <w:spacing w:after="0" w:line="480" w:lineRule="auto"/>
        <w:ind w:firstLine="720"/>
        <w:rPr>
          <w:rFonts w:ascii="Times New Roman" w:eastAsia="Times New Roman" w:hAnsi="Times New Roman" w:cs="Times New Roman"/>
          <w:sz w:val="24"/>
          <w:szCs w:val="24"/>
          <w:lang w:val="bg-BG"/>
        </w:rPr>
      </w:pPr>
    </w:p>
    <w:p w14:paraId="37586681" w14:textId="77777777" w:rsidR="00E87EA8" w:rsidRDefault="00BD12CA">
      <w:pPr>
        <w:rPr>
          <w:rFonts w:ascii="Times New Roman" w:eastAsia="Times New Roman" w:hAnsi="Times New Roman" w:cs="Times New Roman"/>
          <w:sz w:val="24"/>
          <w:szCs w:val="24"/>
        </w:rPr>
      </w:pPr>
      <w:r>
        <w:br w:type="page"/>
      </w:r>
    </w:p>
    <w:p w14:paraId="556127DF" w14:textId="77777777" w:rsidR="00E87EA8" w:rsidRDefault="00E87EA8">
      <w:pPr>
        <w:rPr>
          <w:rFonts w:ascii="Times New Roman" w:eastAsia="Times New Roman" w:hAnsi="Times New Roman" w:cs="Times New Roman"/>
          <w:sz w:val="24"/>
          <w:szCs w:val="24"/>
        </w:rPr>
      </w:pPr>
    </w:p>
    <w:p w14:paraId="0B437B05" w14:textId="77777777" w:rsidR="00E87EA8" w:rsidRDefault="00BD12CA">
      <w:pPr>
        <w:pStyle w:val="Heading1"/>
        <w:rPr>
          <w:sz w:val="28"/>
          <w:szCs w:val="28"/>
        </w:rPr>
      </w:pPr>
      <w:bookmarkStart w:id="20" w:name="_3j2qqm3" w:colFirst="0" w:colLast="0"/>
      <w:bookmarkEnd w:id="20"/>
      <w:r>
        <w:rPr>
          <w:sz w:val="28"/>
          <w:szCs w:val="28"/>
        </w:rPr>
        <w:t>References List</w:t>
      </w:r>
    </w:p>
    <w:p w14:paraId="36D31C99" w14:textId="77777777" w:rsidR="00E87EA8" w:rsidRDefault="00BD12CA">
      <w:pPr>
        <w:pBdr>
          <w:top w:val="nil"/>
          <w:left w:val="nil"/>
          <w:bottom w:val="nil"/>
          <w:right w:val="nil"/>
          <w:between w:val="nil"/>
        </w:pBdr>
        <w:spacing w:before="280" w:after="0" w:line="480" w:lineRule="auto"/>
        <w:ind w:left="567" w:hanging="56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Jackson, A.B. (2021) “Financial statement analysis: A review and current issues,” </w:t>
      </w:r>
      <w:r>
        <w:rPr>
          <w:rFonts w:ascii="Times New Roman" w:eastAsia="Times New Roman" w:hAnsi="Times New Roman" w:cs="Times New Roman"/>
          <w:i/>
          <w:sz w:val="24"/>
          <w:szCs w:val="24"/>
        </w:rPr>
        <w:t>China Finance Review International</w:t>
      </w:r>
      <w:r>
        <w:rPr>
          <w:rFonts w:ascii="Times New Roman" w:eastAsia="Times New Roman" w:hAnsi="Times New Roman" w:cs="Times New Roman"/>
          <w:sz w:val="24"/>
          <w:szCs w:val="24"/>
        </w:rPr>
        <w:t xml:space="preserve">, 12(1), pp. 1–19. Available at: https://doi.org/10.1108/cfri-10-2021-0208. </w:t>
      </w:r>
    </w:p>
    <w:p w14:paraId="5BFCF2BF" w14:textId="77777777" w:rsidR="00E87EA8" w:rsidRDefault="00BD12CA">
      <w:pPr>
        <w:pBdr>
          <w:top w:val="nil"/>
          <w:left w:val="nil"/>
          <w:bottom w:val="nil"/>
          <w:right w:val="nil"/>
          <w:between w:val="nil"/>
        </w:pBdr>
        <w:spacing w:after="0" w:line="480" w:lineRule="auto"/>
        <w:ind w:left="567" w:hanging="56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Rosa, N.L. (2020) “Integrated Ratio Analysis,” </w:t>
      </w:r>
      <w:r>
        <w:rPr>
          <w:rFonts w:ascii="Times New Roman" w:eastAsia="Times New Roman" w:hAnsi="Times New Roman" w:cs="Times New Roman"/>
          <w:i/>
          <w:sz w:val="24"/>
          <w:szCs w:val="24"/>
        </w:rPr>
        <w:t>Analysing Financ</w:t>
      </w:r>
      <w:r>
        <w:rPr>
          <w:rFonts w:ascii="Times New Roman" w:eastAsia="Times New Roman" w:hAnsi="Times New Roman" w:cs="Times New Roman"/>
          <w:i/>
          <w:sz w:val="24"/>
          <w:szCs w:val="24"/>
        </w:rPr>
        <w:t>ial Performance</w:t>
      </w:r>
      <w:r>
        <w:rPr>
          <w:rFonts w:ascii="Times New Roman" w:eastAsia="Times New Roman" w:hAnsi="Times New Roman" w:cs="Times New Roman"/>
          <w:sz w:val="24"/>
          <w:szCs w:val="24"/>
        </w:rPr>
        <w:t xml:space="preserve">, pp. 112–135. Available at: https://doi.org/10.4324/9781003092575-6. </w:t>
      </w:r>
    </w:p>
    <w:p w14:paraId="11F96913" w14:textId="77777777" w:rsidR="00E87EA8" w:rsidRDefault="00BD12CA">
      <w:pPr>
        <w:pBdr>
          <w:top w:val="nil"/>
          <w:left w:val="nil"/>
          <w:bottom w:val="nil"/>
          <w:right w:val="nil"/>
          <w:between w:val="nil"/>
        </w:pBdr>
        <w:spacing w:after="0" w:line="480" w:lineRule="auto"/>
        <w:ind w:left="567" w:hanging="567"/>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Socea</w:t>
      </w:r>
      <w:proofErr w:type="spellEnd"/>
      <w:r>
        <w:rPr>
          <w:rFonts w:ascii="Times New Roman" w:eastAsia="Times New Roman" w:hAnsi="Times New Roman" w:cs="Times New Roman"/>
          <w:sz w:val="24"/>
          <w:szCs w:val="24"/>
        </w:rPr>
        <w:t xml:space="preserve">, A.-D. (2012) “Managerial decision-making and financial accounting information,” </w:t>
      </w:r>
      <w:proofErr w:type="spellStart"/>
      <w:r>
        <w:rPr>
          <w:rFonts w:ascii="Times New Roman" w:eastAsia="Times New Roman" w:hAnsi="Times New Roman" w:cs="Times New Roman"/>
          <w:i/>
          <w:sz w:val="24"/>
          <w:szCs w:val="24"/>
        </w:rPr>
        <w:t>Procedia</w:t>
      </w:r>
      <w:proofErr w:type="spellEnd"/>
      <w:r>
        <w:rPr>
          <w:rFonts w:ascii="Times New Roman" w:eastAsia="Times New Roman" w:hAnsi="Times New Roman" w:cs="Times New Roman"/>
          <w:i/>
          <w:sz w:val="24"/>
          <w:szCs w:val="24"/>
        </w:rPr>
        <w:t xml:space="preserve"> - Social and </w:t>
      </w:r>
      <w:proofErr w:type="spellStart"/>
      <w:r>
        <w:rPr>
          <w:rFonts w:ascii="Times New Roman" w:eastAsia="Times New Roman" w:hAnsi="Times New Roman" w:cs="Times New Roman"/>
          <w:i/>
          <w:sz w:val="24"/>
          <w:szCs w:val="24"/>
        </w:rPr>
        <w:t>Behavioral</w:t>
      </w:r>
      <w:proofErr w:type="spellEnd"/>
      <w:r>
        <w:rPr>
          <w:rFonts w:ascii="Times New Roman" w:eastAsia="Times New Roman" w:hAnsi="Times New Roman" w:cs="Times New Roman"/>
          <w:i/>
          <w:sz w:val="24"/>
          <w:szCs w:val="24"/>
        </w:rPr>
        <w:t xml:space="preserve"> Sciences</w:t>
      </w:r>
      <w:r>
        <w:rPr>
          <w:rFonts w:ascii="Times New Roman" w:eastAsia="Times New Roman" w:hAnsi="Times New Roman" w:cs="Times New Roman"/>
          <w:sz w:val="24"/>
          <w:szCs w:val="24"/>
        </w:rPr>
        <w:t>, 58, pp. 47–55. Available at: https://doi</w:t>
      </w:r>
      <w:r>
        <w:rPr>
          <w:rFonts w:ascii="Times New Roman" w:eastAsia="Times New Roman" w:hAnsi="Times New Roman" w:cs="Times New Roman"/>
          <w:sz w:val="24"/>
          <w:szCs w:val="24"/>
        </w:rPr>
        <w:t xml:space="preserve">.org/10.1016/j.sbspro.2012.09.977. </w:t>
      </w:r>
    </w:p>
    <w:p w14:paraId="2840AFA8" w14:textId="77777777" w:rsidR="00E87EA8" w:rsidRDefault="00BD12CA">
      <w:pPr>
        <w:pBdr>
          <w:top w:val="nil"/>
          <w:left w:val="nil"/>
          <w:bottom w:val="nil"/>
          <w:right w:val="nil"/>
          <w:between w:val="nil"/>
        </w:pBdr>
        <w:spacing w:after="0" w:line="480" w:lineRule="auto"/>
        <w:ind w:left="567" w:hanging="567"/>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Spiceland</w:t>
      </w:r>
      <w:proofErr w:type="spellEnd"/>
      <w:r>
        <w:rPr>
          <w:rFonts w:ascii="Times New Roman" w:eastAsia="Times New Roman" w:hAnsi="Times New Roman" w:cs="Times New Roman"/>
          <w:sz w:val="24"/>
          <w:szCs w:val="24"/>
        </w:rPr>
        <w:t xml:space="preserve">, J.D., Thomas, W. and </w:t>
      </w:r>
      <w:proofErr w:type="spellStart"/>
      <w:r>
        <w:rPr>
          <w:rFonts w:ascii="Times New Roman" w:eastAsia="Times New Roman" w:hAnsi="Times New Roman" w:cs="Times New Roman"/>
          <w:sz w:val="24"/>
          <w:szCs w:val="24"/>
        </w:rPr>
        <w:t>Herrmann</w:t>
      </w:r>
      <w:proofErr w:type="spellEnd"/>
      <w:r>
        <w:rPr>
          <w:rFonts w:ascii="Times New Roman" w:eastAsia="Times New Roman" w:hAnsi="Times New Roman" w:cs="Times New Roman"/>
          <w:sz w:val="24"/>
          <w:szCs w:val="24"/>
        </w:rPr>
        <w:t xml:space="preserve">, D. (2022) </w:t>
      </w:r>
      <w:r>
        <w:rPr>
          <w:rFonts w:ascii="Times New Roman" w:eastAsia="Times New Roman" w:hAnsi="Times New Roman" w:cs="Times New Roman"/>
          <w:i/>
          <w:sz w:val="24"/>
          <w:szCs w:val="24"/>
        </w:rPr>
        <w:t>Financial accounting</w:t>
      </w:r>
      <w:r>
        <w:rPr>
          <w:rFonts w:ascii="Times New Roman" w:eastAsia="Times New Roman" w:hAnsi="Times New Roman" w:cs="Times New Roman"/>
          <w:sz w:val="24"/>
          <w:szCs w:val="24"/>
        </w:rPr>
        <w:t xml:space="preserve">. New York: McGraw-Hill. </w:t>
      </w:r>
    </w:p>
    <w:p w14:paraId="549F8AE2" w14:textId="77777777" w:rsidR="00E87EA8" w:rsidRDefault="00BD12CA">
      <w:pPr>
        <w:pBdr>
          <w:top w:val="nil"/>
          <w:left w:val="nil"/>
          <w:bottom w:val="nil"/>
          <w:right w:val="nil"/>
          <w:between w:val="nil"/>
        </w:pBdr>
        <w:spacing w:after="0" w:line="480" w:lineRule="auto"/>
        <w:ind w:left="567" w:hanging="56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Thomas, A. and Ward, A.M. (2019) </w:t>
      </w:r>
      <w:r>
        <w:rPr>
          <w:rFonts w:ascii="Times New Roman" w:eastAsia="Times New Roman" w:hAnsi="Times New Roman" w:cs="Times New Roman"/>
          <w:i/>
          <w:sz w:val="24"/>
          <w:szCs w:val="24"/>
        </w:rPr>
        <w:t>Introduction to financial accounting</w:t>
      </w:r>
      <w:r>
        <w:rPr>
          <w:rFonts w:ascii="Times New Roman" w:eastAsia="Times New Roman" w:hAnsi="Times New Roman" w:cs="Times New Roman"/>
          <w:sz w:val="24"/>
          <w:szCs w:val="24"/>
        </w:rPr>
        <w:t xml:space="preserve">. London: McGraw-Hill Education. </w:t>
      </w:r>
    </w:p>
    <w:p w14:paraId="079FEB8D" w14:textId="77777777" w:rsidR="00E87EA8" w:rsidRDefault="00BD12CA">
      <w:pPr>
        <w:pBdr>
          <w:top w:val="nil"/>
          <w:left w:val="nil"/>
          <w:bottom w:val="nil"/>
          <w:right w:val="nil"/>
          <w:between w:val="nil"/>
        </w:pBdr>
        <w:spacing w:after="280" w:line="480" w:lineRule="auto"/>
        <w:ind w:left="567" w:hanging="567"/>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Wahlen</w:t>
      </w:r>
      <w:proofErr w:type="spellEnd"/>
      <w:r>
        <w:rPr>
          <w:rFonts w:ascii="Times New Roman" w:eastAsia="Times New Roman" w:hAnsi="Times New Roman" w:cs="Times New Roman"/>
          <w:sz w:val="24"/>
          <w:szCs w:val="24"/>
        </w:rPr>
        <w:t xml:space="preserve">, J.M., </w:t>
      </w:r>
      <w:proofErr w:type="spellStart"/>
      <w:r>
        <w:rPr>
          <w:rFonts w:ascii="Times New Roman" w:eastAsia="Times New Roman" w:hAnsi="Times New Roman" w:cs="Times New Roman"/>
          <w:sz w:val="24"/>
          <w:szCs w:val="24"/>
        </w:rPr>
        <w:t>Baginski</w:t>
      </w:r>
      <w:proofErr w:type="spellEnd"/>
      <w:r>
        <w:rPr>
          <w:rFonts w:ascii="Times New Roman" w:eastAsia="Times New Roman" w:hAnsi="Times New Roman" w:cs="Times New Roman"/>
          <w:sz w:val="24"/>
          <w:szCs w:val="24"/>
        </w:rPr>
        <w:t xml:space="preserve">, S.P. and Bradshaw, M.T. (2023) </w:t>
      </w:r>
      <w:r>
        <w:rPr>
          <w:rFonts w:ascii="Times New Roman" w:eastAsia="Times New Roman" w:hAnsi="Times New Roman" w:cs="Times New Roman"/>
          <w:i/>
          <w:sz w:val="24"/>
          <w:szCs w:val="24"/>
        </w:rPr>
        <w:t>Financial reporting, financial statement analysis, and valuation: A strategic perspective</w:t>
      </w:r>
      <w:r>
        <w:rPr>
          <w:rFonts w:ascii="Times New Roman" w:eastAsia="Times New Roman" w:hAnsi="Times New Roman" w:cs="Times New Roman"/>
          <w:sz w:val="24"/>
          <w:szCs w:val="24"/>
        </w:rPr>
        <w:t xml:space="preserve">. Boston, MA: </w:t>
      </w:r>
      <w:proofErr w:type="spellStart"/>
      <w:r>
        <w:rPr>
          <w:rFonts w:ascii="Times New Roman" w:eastAsia="Times New Roman" w:hAnsi="Times New Roman" w:cs="Times New Roman"/>
          <w:sz w:val="24"/>
          <w:szCs w:val="24"/>
        </w:rPr>
        <w:t>Cengage</w:t>
      </w:r>
      <w:proofErr w:type="spellEnd"/>
      <w:r>
        <w:rPr>
          <w:rFonts w:ascii="Times New Roman" w:eastAsia="Times New Roman" w:hAnsi="Times New Roman" w:cs="Times New Roman"/>
          <w:sz w:val="24"/>
          <w:szCs w:val="24"/>
        </w:rPr>
        <w:t xml:space="preserve">. </w:t>
      </w:r>
    </w:p>
    <w:p w14:paraId="1D1C45D5" w14:textId="77777777" w:rsidR="00E87EA8" w:rsidRDefault="00E87EA8">
      <w:pPr>
        <w:spacing w:line="480" w:lineRule="auto"/>
        <w:ind w:firstLine="720"/>
        <w:rPr>
          <w:rFonts w:ascii="Times New Roman" w:eastAsia="Times New Roman" w:hAnsi="Times New Roman" w:cs="Times New Roman"/>
          <w:sz w:val="24"/>
          <w:szCs w:val="24"/>
        </w:rPr>
      </w:pPr>
    </w:p>
    <w:sectPr w:rsidR="00E87EA8">
      <w:headerReference w:type="default" r:id="rId7"/>
      <w:pgSz w:w="11906" w:h="16838"/>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233E3" w14:textId="77777777" w:rsidR="00CB6F3A" w:rsidRDefault="00CB6F3A">
      <w:pPr>
        <w:spacing w:after="0" w:line="240" w:lineRule="auto"/>
      </w:pPr>
      <w:r>
        <w:separator/>
      </w:r>
    </w:p>
  </w:endnote>
  <w:endnote w:type="continuationSeparator" w:id="0">
    <w:p w14:paraId="551C24BB" w14:textId="77777777" w:rsidR="00CB6F3A" w:rsidRDefault="00CB6F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CC"/>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27391" w14:textId="77777777" w:rsidR="00CB6F3A" w:rsidRDefault="00CB6F3A">
      <w:pPr>
        <w:spacing w:after="0" w:line="240" w:lineRule="auto"/>
      </w:pPr>
      <w:r>
        <w:separator/>
      </w:r>
    </w:p>
  </w:footnote>
  <w:footnote w:type="continuationSeparator" w:id="0">
    <w:p w14:paraId="7630CAE1" w14:textId="77777777" w:rsidR="00CB6F3A" w:rsidRDefault="00CB6F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E2620" w14:textId="77777777" w:rsidR="00E87EA8" w:rsidRDefault="00BD12CA">
    <w:pPr>
      <w:pBdr>
        <w:top w:val="nil"/>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Accounting Fundamentals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6919A8">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48198BBE" w14:textId="77777777" w:rsidR="00E87EA8" w:rsidRDefault="00E87EA8">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241043"/>
    <w:multiLevelType w:val="multilevel"/>
    <w:tmpl w:val="1C821610"/>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64958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7EA8"/>
    <w:rsid w:val="003347A1"/>
    <w:rsid w:val="003644C7"/>
    <w:rsid w:val="00386B75"/>
    <w:rsid w:val="004720A5"/>
    <w:rsid w:val="00652732"/>
    <w:rsid w:val="006919A8"/>
    <w:rsid w:val="007F3BE1"/>
    <w:rsid w:val="009B0B19"/>
    <w:rsid w:val="00AB09E5"/>
    <w:rsid w:val="00BD12CA"/>
    <w:rsid w:val="00C107C5"/>
    <w:rsid w:val="00CB6F3A"/>
    <w:rsid w:val="00E87EA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10767"/>
  <w15:docId w15:val="{22C03CB0-BE01-4630-89CB-D090FBD71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bg-B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jc w:val="center"/>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40" w:after="0"/>
      <w:outlineLvl w:val="1"/>
    </w:pPr>
    <w:rPr>
      <w:rFonts w:ascii="Times New Roman" w:eastAsia="Times New Roman" w:hAnsi="Times New Roman" w:cs="Times New Roman"/>
      <w:b/>
      <w:sz w:val="24"/>
      <w:szCs w:val="24"/>
    </w:rPr>
  </w:style>
  <w:style w:type="paragraph" w:styleId="Heading3">
    <w:name w:val="heading 3"/>
    <w:basedOn w:val="Normal"/>
    <w:next w:val="Normal"/>
    <w:link w:val="Heading3Char"/>
    <w:uiPriority w:val="9"/>
    <w:unhideWhenUsed/>
    <w:qFormat/>
    <w:pPr>
      <w:keepNext/>
      <w:keepLines/>
      <w:spacing w:before="40" w:after="0"/>
      <w:ind w:left="720"/>
      <w:outlineLvl w:val="2"/>
    </w:pPr>
    <w:rPr>
      <w:rFonts w:ascii="Times New Roman" w:eastAsia="Times New Roman" w:hAnsi="Times New Roman" w:cs="Times New Roman"/>
      <w:b/>
      <w:i/>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spacing w:after="0" w:line="240" w:lineRule="auto"/>
      <w:jc w:val="center"/>
    </w:pPr>
    <w:rPr>
      <w:rFonts w:ascii="Times New Roman" w:eastAsia="Times New Roman" w:hAnsi="Times New Roman" w:cs="Times New Roman"/>
      <w:b/>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1"/>
    <w:tblPr>
      <w:tblStyleRowBandSize w:val="1"/>
      <w:tblStyleColBandSize w:val="1"/>
      <w:tblCellMar>
        <w:left w:w="115" w:type="dxa"/>
        <w:right w:w="115" w:type="dxa"/>
      </w:tblCellMar>
    </w:tblPr>
  </w:style>
  <w:style w:type="table" w:customStyle="1" w:styleId="a0">
    <w:basedOn w:val="TableNormal1"/>
    <w:tblPr>
      <w:tblStyleRowBandSize w:val="1"/>
      <w:tblStyleColBandSize w:val="1"/>
      <w:tblCellMar>
        <w:left w:w="115" w:type="dxa"/>
        <w:right w:w="115" w:type="dxa"/>
      </w:tblCellMar>
    </w:tblPr>
  </w:style>
  <w:style w:type="table" w:customStyle="1" w:styleId="a1">
    <w:basedOn w:val="TableNormal1"/>
    <w:tblPr>
      <w:tblStyleRowBandSize w:val="1"/>
      <w:tblStyleColBandSize w:val="1"/>
      <w:tblCellMar>
        <w:left w:w="115" w:type="dxa"/>
        <w:right w:w="115" w:type="dxa"/>
      </w:tblCellMar>
    </w:tblPr>
  </w:style>
  <w:style w:type="character" w:styleId="Emphasis">
    <w:name w:val="Emphasis"/>
    <w:basedOn w:val="DefaultParagraphFont"/>
    <w:uiPriority w:val="20"/>
    <w:qFormat/>
    <w:rsid w:val="003644C7"/>
    <w:rPr>
      <w:i/>
      <w:iCs/>
    </w:rPr>
  </w:style>
  <w:style w:type="character" w:customStyle="1" w:styleId="Heading3Char">
    <w:name w:val="Heading 3 Char"/>
    <w:basedOn w:val="DefaultParagraphFont"/>
    <w:link w:val="Heading3"/>
    <w:uiPriority w:val="9"/>
    <w:rsid w:val="00C107C5"/>
    <w:rPr>
      <w:rFonts w:ascii="Times New Roman" w:eastAsia="Times New Roman" w:hAnsi="Times New Roman" w:cs="Times New Roman"/>
      <w:b/>
      <w: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333750">
      <w:bodyDiv w:val="1"/>
      <w:marLeft w:val="0"/>
      <w:marRight w:val="0"/>
      <w:marTop w:val="0"/>
      <w:marBottom w:val="0"/>
      <w:divBdr>
        <w:top w:val="none" w:sz="0" w:space="0" w:color="auto"/>
        <w:left w:val="none" w:sz="0" w:space="0" w:color="auto"/>
        <w:bottom w:val="none" w:sz="0" w:space="0" w:color="auto"/>
        <w:right w:val="none" w:sz="0" w:space="0" w:color="auto"/>
      </w:divBdr>
    </w:div>
    <w:div w:id="7119271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16</Pages>
  <Words>2429</Words>
  <Characters>13850</Characters>
  <Application>Microsoft Office Word</Application>
  <DocSecurity>0</DocSecurity>
  <Lines>115</Lines>
  <Paragraphs>32</Paragraphs>
  <ScaleCrop>false</ScaleCrop>
  <Company/>
  <LinksUpToDate>false</LinksUpToDate>
  <CharactersWithSpaces>16247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Desislav Dyankov (2132880)</cp:lastModifiedBy>
  <cp:revision>2</cp:revision>
  <dcterms:created xsi:type="dcterms:W3CDTF">2023-05-07T20:55:00Z</dcterms:created>
  <dcterms:modified xsi:type="dcterms:W3CDTF">2023-05-07T20:55:00Z</dcterms:modified>
</cp:coreProperties>
</file>