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A5E6DC" w14:textId="77777777" w:rsidR="001973FC" w:rsidRPr="00217A2F" w:rsidRDefault="001973FC" w:rsidP="00996EB1">
      <w:pPr>
        <w:spacing w:after="0" w:line="240" w:lineRule="auto"/>
        <w:rPr>
          <w:rFonts w:ascii="Arial" w:hAnsi="Arial" w:cs="Arial"/>
        </w:rPr>
      </w:pPr>
    </w:p>
    <w:p w14:paraId="4C965C3D" w14:textId="77777777" w:rsidR="001973FC" w:rsidRPr="00217A2F" w:rsidRDefault="001973FC" w:rsidP="00996EB1">
      <w:pPr>
        <w:spacing w:after="0" w:line="240" w:lineRule="auto"/>
        <w:rPr>
          <w:rFonts w:ascii="Arial" w:hAnsi="Arial" w:cs="Arial"/>
        </w:rPr>
      </w:pPr>
    </w:p>
    <w:p w14:paraId="3F5D7397" w14:textId="77777777" w:rsidR="001973FC" w:rsidRDefault="001973FC" w:rsidP="00996EB1">
      <w:pPr>
        <w:spacing w:after="0" w:line="240" w:lineRule="auto"/>
        <w:rPr>
          <w:rFonts w:ascii="Arial" w:hAnsi="Arial" w:cs="Arial"/>
        </w:rPr>
      </w:pPr>
    </w:p>
    <w:p w14:paraId="7F28431D" w14:textId="77777777" w:rsidR="001973FC" w:rsidRDefault="001973FC" w:rsidP="00996EB1">
      <w:pPr>
        <w:spacing w:after="0" w:line="240" w:lineRule="auto"/>
        <w:rPr>
          <w:rFonts w:ascii="Arial" w:hAnsi="Arial" w:cs="Arial"/>
        </w:rPr>
      </w:pPr>
    </w:p>
    <w:p w14:paraId="46A3B8E1" w14:textId="77777777" w:rsidR="001973FC" w:rsidRDefault="001973FC" w:rsidP="00996EB1">
      <w:pPr>
        <w:spacing w:after="0" w:line="240" w:lineRule="auto"/>
        <w:rPr>
          <w:rFonts w:ascii="Arial" w:hAnsi="Arial" w:cs="Arial"/>
        </w:rPr>
      </w:pPr>
      <w:r w:rsidRPr="00217A2F">
        <w:rPr>
          <w:rFonts w:ascii="Arial" w:hAnsi="Arial" w:cs="Arial"/>
        </w:rPr>
        <w:t xml:space="preserve">Carruthers, E. (2006) </w:t>
      </w:r>
      <w:r w:rsidRPr="00217A2F">
        <w:rPr>
          <w:rFonts w:ascii="Arial" w:hAnsi="Arial" w:cs="Arial"/>
          <w:i/>
          <w:iCs/>
        </w:rPr>
        <w:t xml:space="preserve">Children’s Mathematics Making Marks Making Meaning. </w:t>
      </w:r>
      <w:r w:rsidRPr="00217A2F">
        <w:rPr>
          <w:rFonts w:ascii="Arial" w:hAnsi="Arial" w:cs="Arial"/>
        </w:rPr>
        <w:t>2</w:t>
      </w:r>
      <w:r w:rsidRPr="00217A2F">
        <w:rPr>
          <w:rFonts w:ascii="Arial" w:hAnsi="Arial" w:cs="Arial"/>
          <w:vertAlign w:val="superscript"/>
        </w:rPr>
        <w:t>nd</w:t>
      </w:r>
      <w:r w:rsidRPr="00217A2F">
        <w:rPr>
          <w:rFonts w:ascii="Arial" w:hAnsi="Arial" w:cs="Arial"/>
        </w:rPr>
        <w:t xml:space="preserve"> </w:t>
      </w:r>
      <w:proofErr w:type="spellStart"/>
      <w:r w:rsidRPr="00217A2F">
        <w:rPr>
          <w:rFonts w:ascii="Arial" w:hAnsi="Arial" w:cs="Arial"/>
        </w:rPr>
        <w:t>edn</w:t>
      </w:r>
      <w:proofErr w:type="spellEnd"/>
      <w:r w:rsidRPr="00217A2F">
        <w:rPr>
          <w:rFonts w:ascii="Arial" w:hAnsi="Arial" w:cs="Arial"/>
        </w:rPr>
        <w:t>.</w:t>
      </w:r>
      <w:r w:rsidRPr="00217A2F">
        <w:rPr>
          <w:rFonts w:ascii="Arial" w:hAnsi="Arial" w:cs="Arial"/>
          <w:i/>
          <w:iCs/>
        </w:rPr>
        <w:t xml:space="preserve"> </w:t>
      </w:r>
      <w:r w:rsidRPr="00217A2F">
        <w:rPr>
          <w:rFonts w:ascii="Arial" w:hAnsi="Arial" w:cs="Arial"/>
        </w:rPr>
        <w:t>London: Paul Chapman Publishing.</w:t>
      </w:r>
    </w:p>
    <w:p w14:paraId="11F867A2" w14:textId="77777777" w:rsidR="001973FC" w:rsidRDefault="001973FC" w:rsidP="00996EB1">
      <w:pPr>
        <w:spacing w:after="0" w:line="240" w:lineRule="auto"/>
        <w:rPr>
          <w:rFonts w:ascii="Arial" w:hAnsi="Arial" w:cs="Arial"/>
        </w:rPr>
      </w:pPr>
      <w:r w:rsidRPr="00217A2F">
        <w:rPr>
          <w:rFonts w:ascii="Arial" w:hAnsi="Arial" w:cs="Arial"/>
        </w:rPr>
        <w:t xml:space="preserve">Compton, A., Fielding, H. &amp; Scott, M. (2007) </w:t>
      </w:r>
      <w:r w:rsidRPr="00217A2F">
        <w:rPr>
          <w:rFonts w:ascii="Arial" w:hAnsi="Arial" w:cs="Arial"/>
          <w:i/>
          <w:iCs/>
        </w:rPr>
        <w:t xml:space="preserve">Supporting Numeracy: A Guide for School Support Staff. </w:t>
      </w:r>
      <w:r w:rsidRPr="00217A2F">
        <w:rPr>
          <w:rFonts w:ascii="Arial" w:hAnsi="Arial" w:cs="Arial"/>
        </w:rPr>
        <w:t xml:space="preserve"> London: Sage. </w:t>
      </w:r>
    </w:p>
    <w:p w14:paraId="01AC67CE" w14:textId="77777777" w:rsidR="001973FC" w:rsidRDefault="001973FC" w:rsidP="00996EB1">
      <w:pPr>
        <w:spacing w:after="0" w:line="240" w:lineRule="auto"/>
        <w:rPr>
          <w:rFonts w:ascii="Arial" w:hAnsi="Arial" w:cs="Arial"/>
        </w:rPr>
      </w:pPr>
      <w:r w:rsidRPr="00217A2F">
        <w:rPr>
          <w:rFonts w:ascii="Arial" w:hAnsi="Arial" w:cs="Arial"/>
        </w:rPr>
        <w:t xml:space="preserve">Connor, K. (2000) </w:t>
      </w:r>
      <w:r w:rsidRPr="00217A2F">
        <w:rPr>
          <w:rFonts w:ascii="Arial" w:hAnsi="Arial" w:cs="Arial"/>
          <w:i/>
          <w:iCs/>
        </w:rPr>
        <w:t xml:space="preserve">Mini </w:t>
      </w:r>
      <w:proofErr w:type="spellStart"/>
      <w:r w:rsidRPr="00217A2F">
        <w:rPr>
          <w:rFonts w:ascii="Arial" w:hAnsi="Arial" w:cs="Arial"/>
          <w:i/>
          <w:iCs/>
        </w:rPr>
        <w:t>Maths</w:t>
      </w:r>
      <w:proofErr w:type="spellEnd"/>
      <w:r w:rsidRPr="00217A2F">
        <w:rPr>
          <w:rFonts w:ascii="Arial" w:hAnsi="Arial" w:cs="Arial"/>
          <w:i/>
          <w:iCs/>
        </w:rPr>
        <w:t xml:space="preserve"> 1, </w:t>
      </w:r>
      <w:r w:rsidRPr="00217A2F">
        <w:rPr>
          <w:rFonts w:ascii="Arial" w:hAnsi="Arial" w:cs="Arial"/>
        </w:rPr>
        <w:t>Beam Education.</w:t>
      </w:r>
    </w:p>
    <w:p w14:paraId="4E16F4EB" w14:textId="77777777" w:rsidR="001973FC" w:rsidRDefault="001973FC" w:rsidP="00996EB1">
      <w:pPr>
        <w:spacing w:after="0" w:line="240" w:lineRule="auto"/>
        <w:rPr>
          <w:rFonts w:ascii="Arial" w:hAnsi="Arial" w:cs="Arial"/>
        </w:rPr>
      </w:pPr>
      <w:r w:rsidRPr="00217A2F">
        <w:rPr>
          <w:rFonts w:ascii="Arial" w:hAnsi="Arial" w:cs="Arial"/>
        </w:rPr>
        <w:t xml:space="preserve">Cook, H. (2007) </w:t>
      </w:r>
      <w:r w:rsidRPr="00217A2F">
        <w:rPr>
          <w:rFonts w:ascii="Arial" w:hAnsi="Arial" w:cs="Arial"/>
          <w:i/>
          <w:iCs/>
        </w:rPr>
        <w:t xml:space="preserve">Mathematics for Primary and Early Years. </w:t>
      </w:r>
      <w:r w:rsidRPr="00217A2F">
        <w:rPr>
          <w:rFonts w:ascii="Arial" w:hAnsi="Arial" w:cs="Arial"/>
        </w:rPr>
        <w:t>2</w:t>
      </w:r>
      <w:r w:rsidRPr="00217A2F">
        <w:rPr>
          <w:rFonts w:ascii="Arial" w:hAnsi="Arial" w:cs="Arial"/>
          <w:vertAlign w:val="superscript"/>
        </w:rPr>
        <w:t>nd</w:t>
      </w:r>
      <w:r w:rsidRPr="00217A2F">
        <w:rPr>
          <w:rFonts w:ascii="Arial" w:hAnsi="Arial" w:cs="Arial"/>
        </w:rPr>
        <w:t>edn. London: Sage Publications.</w:t>
      </w:r>
    </w:p>
    <w:p w14:paraId="61BEC638" w14:textId="77777777" w:rsidR="001973FC" w:rsidRDefault="001973FC">
      <w:pPr>
        <w:widowControl w:val="0"/>
        <w:autoSpaceDE w:val="0"/>
        <w:autoSpaceDN w:val="0"/>
        <w:adjustRightInd w:val="0"/>
        <w:spacing w:after="0" w:line="240" w:lineRule="auto"/>
      </w:pP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  <w:t xml:space="preserve">Craig, &amp; Guzmán, L. (2018). Six Propositions of a Social Theory of Numeracy: Interpreting an Influential Theory of Literacy. </w:t>
      </w:r>
      <w:r>
        <w:rPr>
          <w:rFonts w:ascii="Times New Roman" w:hAnsi="Times New Roman"/>
          <w:i/>
          <w:iCs/>
          <w:sz w:val="24"/>
          <w:szCs w:val="24"/>
        </w:rPr>
        <w:t>Numeracy: Advancing Education in Quantitative Literacy</w:t>
      </w:r>
      <w:r>
        <w:rPr>
          <w:rFonts w:ascii="Times New Roman" w:hAnsi="Times New Roman"/>
          <w:sz w:val="24"/>
          <w:szCs w:val="24"/>
        </w:rPr>
        <w:t xml:space="preserve">, </w:t>
      </w:r>
      <w:r>
        <w:rPr>
          <w:rFonts w:ascii="Times New Roman" w:hAnsi="Times New Roman"/>
          <w:i/>
          <w:iCs/>
          <w:sz w:val="24"/>
          <w:szCs w:val="24"/>
        </w:rPr>
        <w:t>11</w:t>
      </w:r>
      <w:r>
        <w:rPr>
          <w:rFonts w:ascii="Times New Roman" w:hAnsi="Times New Roman"/>
          <w:sz w:val="24"/>
          <w:szCs w:val="24"/>
        </w:rPr>
        <w:t>(2), 1–26. https://doi.org/10.5038/1936-4660.11.2.2</w:t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  <w:t xml:space="preserve">Baker, Patel, N., Von </w:t>
      </w:r>
      <w:proofErr w:type="spellStart"/>
      <w:r>
        <w:rPr>
          <w:rFonts w:ascii="Times New Roman" w:hAnsi="Times New Roman"/>
          <w:sz w:val="24"/>
          <w:szCs w:val="24"/>
        </w:rPr>
        <w:t>Gunten</w:t>
      </w:r>
      <w:proofErr w:type="spellEnd"/>
      <w:r>
        <w:rPr>
          <w:rFonts w:ascii="Times New Roman" w:hAnsi="Times New Roman"/>
          <w:sz w:val="24"/>
          <w:szCs w:val="24"/>
        </w:rPr>
        <w:t xml:space="preserve">, C., Valentine, K. D., &amp; Scherer, L. D. (2020). Interpreting </w:t>
      </w:r>
      <w:proofErr w:type="gramStart"/>
      <w:r>
        <w:rPr>
          <w:rFonts w:ascii="Times New Roman" w:hAnsi="Times New Roman"/>
          <w:sz w:val="24"/>
          <w:szCs w:val="24"/>
        </w:rPr>
        <w:t>politically-charged</w:t>
      </w:r>
      <w:proofErr w:type="gramEnd"/>
      <w:r>
        <w:rPr>
          <w:rFonts w:ascii="Times New Roman" w:hAnsi="Times New Roman"/>
          <w:sz w:val="24"/>
          <w:szCs w:val="24"/>
        </w:rPr>
        <w:t xml:space="preserve"> numerical information: The influence of numeracy and problem difficulty on response accuracy. </w:t>
      </w:r>
      <w:r>
        <w:rPr>
          <w:rFonts w:ascii="Times New Roman" w:hAnsi="Times New Roman"/>
          <w:i/>
          <w:iCs/>
          <w:sz w:val="24"/>
          <w:szCs w:val="24"/>
        </w:rPr>
        <w:t>Judgment &amp; Decision Making</w:t>
      </w:r>
      <w:r>
        <w:rPr>
          <w:rFonts w:ascii="Times New Roman" w:hAnsi="Times New Roman"/>
          <w:sz w:val="24"/>
          <w:szCs w:val="24"/>
        </w:rPr>
        <w:t xml:space="preserve">, </w:t>
      </w:r>
      <w:r>
        <w:rPr>
          <w:rFonts w:ascii="Times New Roman" w:hAnsi="Times New Roman"/>
          <w:i/>
          <w:iCs/>
          <w:sz w:val="24"/>
          <w:szCs w:val="24"/>
        </w:rPr>
        <w:t>15</w:t>
      </w:r>
      <w:r>
        <w:rPr>
          <w:rFonts w:ascii="Times New Roman" w:hAnsi="Times New Roman"/>
          <w:sz w:val="24"/>
          <w:szCs w:val="24"/>
        </w:rPr>
        <w:t>(2), 203–214.</w:t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</w:r>
      <w:proofErr w:type="spellStart"/>
      <w:r>
        <w:rPr>
          <w:rFonts w:ascii="Times New Roman" w:hAnsi="Times New Roman"/>
          <w:sz w:val="24"/>
          <w:szCs w:val="24"/>
        </w:rPr>
        <w:t>Sunghwan</w:t>
      </w:r>
      <w:proofErr w:type="spellEnd"/>
      <w:r>
        <w:rPr>
          <w:rFonts w:ascii="Times New Roman" w:hAnsi="Times New Roman"/>
          <w:sz w:val="24"/>
          <w:szCs w:val="24"/>
        </w:rPr>
        <w:t xml:space="preserve"> Hwang. (2020). Examining the Effect of Students’ Early Numeracy Activities at Home on Later Mathematics Achievement via Early Numeracy Competencies and Self-Efficacy Beliefs. </w:t>
      </w:r>
      <w:r>
        <w:rPr>
          <w:rFonts w:ascii="Times New Roman" w:hAnsi="Times New Roman"/>
          <w:i/>
          <w:iCs/>
          <w:sz w:val="24"/>
          <w:szCs w:val="24"/>
        </w:rPr>
        <w:t>International Electronic Journal of Elementary Education</w:t>
      </w:r>
      <w:r>
        <w:rPr>
          <w:rFonts w:ascii="Times New Roman" w:hAnsi="Times New Roman"/>
          <w:sz w:val="24"/>
          <w:szCs w:val="24"/>
        </w:rPr>
        <w:t xml:space="preserve">, </w:t>
      </w:r>
      <w:r>
        <w:rPr>
          <w:rFonts w:ascii="Times New Roman" w:hAnsi="Times New Roman"/>
          <w:i/>
          <w:iCs/>
          <w:sz w:val="24"/>
          <w:szCs w:val="24"/>
        </w:rPr>
        <w:t>13</w:t>
      </w:r>
      <w:r>
        <w:rPr>
          <w:rFonts w:ascii="Times New Roman" w:hAnsi="Times New Roman"/>
          <w:sz w:val="24"/>
          <w:szCs w:val="24"/>
        </w:rPr>
        <w:t>(1), 47–57. https://doi.org/10.26822/iejee.2020.172</w:t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  <w:t xml:space="preserve">Wright, Knight, V. F., Lemons, C. J., </w:t>
      </w:r>
      <w:proofErr w:type="spellStart"/>
      <w:r>
        <w:rPr>
          <w:rFonts w:ascii="Times New Roman" w:hAnsi="Times New Roman"/>
          <w:sz w:val="24"/>
          <w:szCs w:val="24"/>
        </w:rPr>
        <w:t>Lindström</w:t>
      </w:r>
      <w:proofErr w:type="spellEnd"/>
      <w:r>
        <w:rPr>
          <w:rFonts w:ascii="Times New Roman" w:hAnsi="Times New Roman"/>
          <w:sz w:val="24"/>
          <w:szCs w:val="24"/>
        </w:rPr>
        <w:t xml:space="preserve">, E., &amp; Strauss, J. (2020). Enhancing Early Numeracy Skills of Children with Severe Disabilities and Complex Communication Needs. </w:t>
      </w:r>
      <w:r>
        <w:rPr>
          <w:rFonts w:ascii="Times New Roman" w:hAnsi="Times New Roman"/>
          <w:i/>
          <w:iCs/>
          <w:sz w:val="24"/>
          <w:szCs w:val="24"/>
        </w:rPr>
        <w:t>Education &amp; Training in Autism &amp; Developmental Disabilities</w:t>
      </w:r>
      <w:r>
        <w:rPr>
          <w:rFonts w:ascii="Times New Roman" w:hAnsi="Times New Roman"/>
          <w:sz w:val="24"/>
          <w:szCs w:val="24"/>
        </w:rPr>
        <w:t xml:space="preserve">, </w:t>
      </w:r>
      <w:r>
        <w:rPr>
          <w:rFonts w:ascii="Times New Roman" w:hAnsi="Times New Roman"/>
          <w:i/>
          <w:iCs/>
          <w:sz w:val="24"/>
          <w:szCs w:val="24"/>
        </w:rPr>
        <w:t>55</w:t>
      </w:r>
      <w:r>
        <w:rPr>
          <w:rFonts w:ascii="Times New Roman" w:hAnsi="Times New Roman"/>
          <w:sz w:val="24"/>
          <w:szCs w:val="24"/>
        </w:rPr>
        <w:t>(3), 277–290.</w:t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  <w:t xml:space="preserve">Hughes. (2009). </w:t>
      </w:r>
      <w:r>
        <w:rPr>
          <w:rFonts w:ascii="Times New Roman" w:hAnsi="Times New Roman"/>
          <w:i/>
          <w:iCs/>
          <w:sz w:val="24"/>
          <w:szCs w:val="24"/>
        </w:rPr>
        <w:t>Problem solving, reasoning and numeracy in the early years foundation stage [electronic resource</w:t>
      </w:r>
      <w:proofErr w:type="gramStart"/>
      <w:r>
        <w:rPr>
          <w:rFonts w:ascii="Times New Roman" w:hAnsi="Times New Roman"/>
          <w:i/>
          <w:iCs/>
          <w:sz w:val="24"/>
          <w:szCs w:val="24"/>
        </w:rPr>
        <w:t xml:space="preserve">] </w:t>
      </w:r>
      <w:r>
        <w:rPr>
          <w:rFonts w:ascii="Times New Roman" w:hAnsi="Times New Roman"/>
          <w:sz w:val="24"/>
          <w:szCs w:val="24"/>
        </w:rPr>
        <w:t>.</w:t>
      </w:r>
      <w:proofErr w:type="gramEnd"/>
      <w:r>
        <w:rPr>
          <w:rFonts w:ascii="Times New Roman" w:hAnsi="Times New Roman"/>
          <w:sz w:val="24"/>
          <w:szCs w:val="24"/>
        </w:rPr>
        <w:t xml:space="preserve"> Routledge.</w:t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  <w:t xml:space="preserve">Thompson (Ed.). (2010). </w:t>
      </w:r>
      <w:r>
        <w:rPr>
          <w:rFonts w:ascii="Times New Roman" w:hAnsi="Times New Roman"/>
          <w:i/>
          <w:iCs/>
          <w:sz w:val="24"/>
          <w:szCs w:val="24"/>
        </w:rPr>
        <w:t xml:space="preserve">Issues in teaching numeracy in primary schools [electronic </w:t>
      </w:r>
      <w:proofErr w:type="gramStart"/>
      <w:r>
        <w:rPr>
          <w:rFonts w:ascii="Times New Roman" w:hAnsi="Times New Roman"/>
          <w:i/>
          <w:iCs/>
          <w:sz w:val="24"/>
          <w:szCs w:val="24"/>
        </w:rPr>
        <w:t xml:space="preserve">resource] </w:t>
      </w:r>
      <w:r>
        <w:rPr>
          <w:rFonts w:ascii="Times New Roman" w:hAnsi="Times New Roman"/>
          <w:sz w:val="24"/>
          <w:szCs w:val="24"/>
        </w:rPr>
        <w:t xml:space="preserve"> (</w:t>
      </w:r>
      <w:proofErr w:type="gramEnd"/>
      <w:r>
        <w:rPr>
          <w:rFonts w:ascii="Times New Roman" w:hAnsi="Times New Roman"/>
          <w:sz w:val="24"/>
          <w:szCs w:val="24"/>
        </w:rPr>
        <w:t>2nd ed.). McGraw-Hill Open University Press.</w:t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  <w:t xml:space="preserve">Fox. (2002). </w:t>
      </w:r>
      <w:r>
        <w:rPr>
          <w:rFonts w:ascii="Times New Roman" w:hAnsi="Times New Roman"/>
          <w:i/>
          <w:iCs/>
          <w:sz w:val="24"/>
          <w:szCs w:val="24"/>
        </w:rPr>
        <w:t xml:space="preserve">Mathematics across the </w:t>
      </w:r>
      <w:proofErr w:type="gramStart"/>
      <w:r>
        <w:rPr>
          <w:rFonts w:ascii="Times New Roman" w:hAnsi="Times New Roman"/>
          <w:i/>
          <w:iCs/>
          <w:sz w:val="24"/>
          <w:szCs w:val="24"/>
        </w:rPr>
        <w:t>curriculum :</w:t>
      </w:r>
      <w:proofErr w:type="gramEnd"/>
      <w:r>
        <w:rPr>
          <w:rFonts w:ascii="Times New Roman" w:hAnsi="Times New Roman"/>
          <w:i/>
          <w:iCs/>
          <w:sz w:val="24"/>
          <w:szCs w:val="24"/>
        </w:rPr>
        <w:t xml:space="preserve"> problem-solving, reasoning, and numeracy in primary schools </w:t>
      </w:r>
      <w:r>
        <w:rPr>
          <w:rFonts w:ascii="Times New Roman" w:hAnsi="Times New Roman"/>
          <w:sz w:val="24"/>
          <w:szCs w:val="24"/>
        </w:rPr>
        <w:t xml:space="preserve"> (Surtees, Ed.). Continuum.</w:t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  <w:t xml:space="preserve">Ernest. (2002). </w:t>
      </w:r>
      <w:r>
        <w:rPr>
          <w:rFonts w:ascii="Times New Roman" w:hAnsi="Times New Roman"/>
          <w:i/>
          <w:iCs/>
          <w:sz w:val="24"/>
          <w:szCs w:val="24"/>
        </w:rPr>
        <w:t>The Philosophy of Mathematics Education [electronic resource]</w:t>
      </w:r>
      <w:r>
        <w:rPr>
          <w:rFonts w:ascii="Times New Roman" w:hAnsi="Times New Roman"/>
          <w:sz w:val="24"/>
          <w:szCs w:val="24"/>
        </w:rPr>
        <w:t xml:space="preserve">. Taylor and Francis. </w:t>
      </w:r>
      <w:r>
        <w:rPr>
          <w:rFonts w:ascii="Times New Roman" w:hAnsi="Times New Roman"/>
          <w:sz w:val="24"/>
          <w:szCs w:val="24"/>
        </w:rPr>
        <w:lastRenderedPageBreak/>
        <w:t>https://ezproxy.uwtsd.ac.uk/login?url=https://search.ebscohost.com/login.aspx?direct=true&amp;db=eue&amp;jid=13GX&amp;site=ehost-live</w:t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i/>
          <w:iCs/>
          <w:sz w:val="24"/>
          <w:szCs w:val="24"/>
        </w:rPr>
        <w:t>PIAAC Numeracy: A Conceptual Framework</w:t>
      </w:r>
      <w:r>
        <w:rPr>
          <w:rFonts w:ascii="Times New Roman" w:hAnsi="Times New Roman"/>
          <w:sz w:val="24"/>
          <w:szCs w:val="24"/>
        </w:rPr>
        <w:t>. (2009).</w:t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  <w:t xml:space="preserve">Wales. (2013). </w:t>
      </w:r>
      <w:r>
        <w:rPr>
          <w:rFonts w:ascii="Times New Roman" w:hAnsi="Times New Roman"/>
          <w:i/>
          <w:iCs/>
          <w:sz w:val="24"/>
          <w:szCs w:val="24"/>
        </w:rPr>
        <w:t xml:space="preserve">National Literacy and Numeracy </w:t>
      </w:r>
      <w:proofErr w:type="gramStart"/>
      <w:r>
        <w:rPr>
          <w:rFonts w:ascii="Times New Roman" w:hAnsi="Times New Roman"/>
          <w:i/>
          <w:iCs/>
          <w:sz w:val="24"/>
          <w:szCs w:val="24"/>
        </w:rPr>
        <w:t>Framework :</w:t>
      </w:r>
      <w:proofErr w:type="gramEnd"/>
      <w:r>
        <w:rPr>
          <w:rFonts w:ascii="Times New Roman" w:hAnsi="Times New Roman"/>
          <w:i/>
          <w:iCs/>
          <w:sz w:val="24"/>
          <w:szCs w:val="24"/>
        </w:rPr>
        <w:t xml:space="preserve"> to support schools in introducing the National Literacy and Numeracy Framework [electronic resource].</w:t>
      </w:r>
      <w:r>
        <w:rPr>
          <w:rFonts w:ascii="Times New Roman" w:hAnsi="Times New Roman"/>
          <w:sz w:val="24"/>
          <w:szCs w:val="24"/>
        </w:rPr>
        <w:t xml:space="preserve"> Welsh Government.</w:t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  <w:t xml:space="preserve">ÖZER. (2020). What Does PISA Tell Us About Performance of Education Systems?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Bartin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University Journal of Faculty of Education</w:t>
      </w:r>
      <w:r>
        <w:rPr>
          <w:rFonts w:ascii="Times New Roman" w:hAnsi="Times New Roman"/>
          <w:sz w:val="24"/>
          <w:szCs w:val="24"/>
        </w:rPr>
        <w:t xml:space="preserve">, </w:t>
      </w:r>
      <w:r>
        <w:rPr>
          <w:rFonts w:ascii="Times New Roman" w:hAnsi="Times New Roman"/>
          <w:i/>
          <w:iCs/>
          <w:sz w:val="24"/>
          <w:szCs w:val="24"/>
        </w:rPr>
        <w:t>9</w:t>
      </w:r>
      <w:r>
        <w:rPr>
          <w:rFonts w:ascii="Times New Roman" w:hAnsi="Times New Roman"/>
          <w:sz w:val="24"/>
          <w:szCs w:val="24"/>
        </w:rPr>
        <w:t>(2), 217–229. https://doi.org/10.14686/buefad.697153</w:t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  <w:t xml:space="preserve">Compton. (2007). </w:t>
      </w:r>
      <w:r>
        <w:rPr>
          <w:rFonts w:ascii="Times New Roman" w:hAnsi="Times New Roman"/>
          <w:i/>
          <w:iCs/>
          <w:sz w:val="24"/>
          <w:szCs w:val="24"/>
        </w:rPr>
        <w:t xml:space="preserve">Supporting </w:t>
      </w:r>
      <w:proofErr w:type="gramStart"/>
      <w:r>
        <w:rPr>
          <w:rFonts w:ascii="Times New Roman" w:hAnsi="Times New Roman"/>
          <w:i/>
          <w:iCs/>
          <w:sz w:val="24"/>
          <w:szCs w:val="24"/>
        </w:rPr>
        <w:t>numeracy :</w:t>
      </w:r>
      <w:proofErr w:type="gramEnd"/>
      <w:r>
        <w:rPr>
          <w:rFonts w:ascii="Times New Roman" w:hAnsi="Times New Roman"/>
          <w:i/>
          <w:iCs/>
          <w:sz w:val="24"/>
          <w:szCs w:val="24"/>
        </w:rPr>
        <w:t xml:space="preserve"> a guide for school support staff </w:t>
      </w:r>
      <w:r>
        <w:rPr>
          <w:rFonts w:ascii="Times New Roman" w:hAnsi="Times New Roman"/>
          <w:sz w:val="24"/>
          <w:szCs w:val="24"/>
        </w:rPr>
        <w:t xml:space="preserve"> (Fielding &amp; M. Scott, Eds.). Paul Chapman.</w:t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  <w:t xml:space="preserve">Ismail, Tan Yee Ching, &amp; Muda, N. A. (2020). Numeracy Competency of Year 5 Aboriginal Students Using Written and Oral Tests. </w:t>
      </w:r>
      <w:r>
        <w:rPr>
          <w:rFonts w:ascii="Times New Roman" w:hAnsi="Times New Roman"/>
          <w:i/>
          <w:iCs/>
          <w:sz w:val="24"/>
          <w:szCs w:val="24"/>
        </w:rPr>
        <w:t>Mathematics Enthusiast</w:t>
      </w:r>
      <w:r>
        <w:rPr>
          <w:rFonts w:ascii="Times New Roman" w:hAnsi="Times New Roman"/>
          <w:sz w:val="24"/>
          <w:szCs w:val="24"/>
        </w:rPr>
        <w:t xml:space="preserve">, </w:t>
      </w:r>
      <w:r>
        <w:rPr>
          <w:rFonts w:ascii="Times New Roman" w:hAnsi="Times New Roman"/>
          <w:i/>
          <w:iCs/>
          <w:sz w:val="24"/>
          <w:szCs w:val="24"/>
        </w:rPr>
        <w:t>17</w:t>
      </w:r>
      <w:r>
        <w:rPr>
          <w:rFonts w:ascii="Times New Roman" w:hAnsi="Times New Roman"/>
          <w:sz w:val="24"/>
          <w:szCs w:val="24"/>
        </w:rPr>
        <w:t>(1), 32–63.</w:t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</w:r>
      <w:proofErr w:type="spellStart"/>
      <w:r>
        <w:rPr>
          <w:rFonts w:ascii="Times New Roman" w:hAnsi="Times New Roman"/>
          <w:sz w:val="24"/>
          <w:szCs w:val="24"/>
        </w:rPr>
        <w:t>Ozkale</w:t>
      </w:r>
      <w:proofErr w:type="spellEnd"/>
      <w:r>
        <w:rPr>
          <w:rFonts w:ascii="Times New Roman" w:hAnsi="Times New Roman"/>
          <w:sz w:val="24"/>
          <w:szCs w:val="24"/>
        </w:rPr>
        <w:t xml:space="preserve">, &amp; Erdogan, E. O. (2020). A Conceptual Model for the Interaction of Mathematical and Financial Literacies. </w:t>
      </w:r>
      <w:r>
        <w:rPr>
          <w:rFonts w:ascii="Times New Roman" w:hAnsi="Times New Roman"/>
          <w:i/>
          <w:iCs/>
          <w:sz w:val="24"/>
          <w:szCs w:val="24"/>
        </w:rPr>
        <w:t>International Journal of Progressive Education</w:t>
      </w:r>
      <w:r>
        <w:rPr>
          <w:rFonts w:ascii="Times New Roman" w:hAnsi="Times New Roman"/>
          <w:sz w:val="24"/>
          <w:szCs w:val="24"/>
        </w:rPr>
        <w:t xml:space="preserve">, </w:t>
      </w:r>
      <w:r>
        <w:rPr>
          <w:rFonts w:ascii="Times New Roman" w:hAnsi="Times New Roman"/>
          <w:i/>
          <w:iCs/>
          <w:sz w:val="24"/>
          <w:szCs w:val="24"/>
        </w:rPr>
        <w:t>16</w:t>
      </w:r>
      <w:r>
        <w:rPr>
          <w:rFonts w:ascii="Times New Roman" w:hAnsi="Times New Roman"/>
          <w:sz w:val="24"/>
          <w:szCs w:val="24"/>
        </w:rPr>
        <w:t>(5), 288–306. https://doi.org/10.29329/ijpe.2020.277.18</w:t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  <w:t xml:space="preserve">Siddiq. (2018). A Comparison Between Digital Competence in Two Nordic Countries’ National Curricula and an International Framework: Inspecting their Readiness for 21st Century Education. </w:t>
      </w:r>
      <w:r>
        <w:rPr>
          <w:rFonts w:ascii="Times New Roman" w:hAnsi="Times New Roman"/>
          <w:i/>
          <w:iCs/>
          <w:sz w:val="24"/>
          <w:szCs w:val="24"/>
        </w:rPr>
        <w:t>Seminar.Net: Media, Technology &amp; Life-Long Learning</w:t>
      </w:r>
      <w:r>
        <w:rPr>
          <w:rFonts w:ascii="Times New Roman" w:hAnsi="Times New Roman"/>
          <w:sz w:val="24"/>
          <w:szCs w:val="24"/>
        </w:rPr>
        <w:t xml:space="preserve">, </w:t>
      </w:r>
      <w:r>
        <w:rPr>
          <w:rFonts w:ascii="Times New Roman" w:hAnsi="Times New Roman"/>
          <w:i/>
          <w:iCs/>
          <w:sz w:val="24"/>
          <w:szCs w:val="24"/>
        </w:rPr>
        <w:t>14</w:t>
      </w:r>
      <w:r>
        <w:rPr>
          <w:rFonts w:ascii="Times New Roman" w:hAnsi="Times New Roman"/>
          <w:sz w:val="24"/>
          <w:szCs w:val="24"/>
        </w:rPr>
        <w:t>(2), 1–17.</w:t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  <w:t xml:space="preserve">ÖZCAN, &amp; </w:t>
      </w:r>
      <w:proofErr w:type="spellStart"/>
      <w:r>
        <w:rPr>
          <w:rFonts w:ascii="Times New Roman" w:hAnsi="Times New Roman"/>
          <w:sz w:val="24"/>
          <w:szCs w:val="24"/>
        </w:rPr>
        <w:t>Arık</w:t>
      </w:r>
      <w:proofErr w:type="spellEnd"/>
      <w:r>
        <w:rPr>
          <w:rFonts w:ascii="Times New Roman" w:hAnsi="Times New Roman"/>
          <w:sz w:val="24"/>
          <w:szCs w:val="24"/>
        </w:rPr>
        <w:t xml:space="preserve">, S. (2018). The Opinions of Secondary School Teachers About PISA </w:t>
      </w:r>
      <w:proofErr w:type="gramStart"/>
      <w:r>
        <w:rPr>
          <w:rFonts w:ascii="Times New Roman" w:hAnsi="Times New Roman"/>
          <w:sz w:val="24"/>
          <w:szCs w:val="24"/>
        </w:rPr>
        <w:t>Researches</w:t>
      </w:r>
      <w:proofErr w:type="gramEnd"/>
      <w:r>
        <w:rPr>
          <w:rFonts w:ascii="Times New Roman" w:hAnsi="Times New Roman"/>
          <w:sz w:val="24"/>
          <w:szCs w:val="24"/>
        </w:rPr>
        <w:t xml:space="preserve">: A Case Study. </w:t>
      </w:r>
      <w:proofErr w:type="spellStart"/>
      <w:r>
        <w:rPr>
          <w:rFonts w:ascii="Times New Roman" w:hAnsi="Times New Roman"/>
          <w:i/>
          <w:iCs/>
          <w:sz w:val="24"/>
          <w:szCs w:val="24"/>
        </w:rPr>
        <w:t>Necatibey</w:t>
      </w:r>
      <w:proofErr w:type="spellEnd"/>
      <w:r>
        <w:rPr>
          <w:rFonts w:ascii="Times New Roman" w:hAnsi="Times New Roman"/>
          <w:i/>
          <w:iCs/>
          <w:sz w:val="24"/>
          <w:szCs w:val="24"/>
        </w:rPr>
        <w:t xml:space="preserve"> Faculty of Education Electronic Journal of Science &amp; Mathematics Education</w:t>
      </w:r>
      <w:r>
        <w:rPr>
          <w:rFonts w:ascii="Times New Roman" w:hAnsi="Times New Roman"/>
          <w:sz w:val="24"/>
          <w:szCs w:val="24"/>
        </w:rPr>
        <w:t xml:space="preserve">, </w:t>
      </w:r>
      <w:r>
        <w:rPr>
          <w:rFonts w:ascii="Times New Roman" w:hAnsi="Times New Roman"/>
          <w:i/>
          <w:iCs/>
          <w:sz w:val="24"/>
          <w:szCs w:val="24"/>
        </w:rPr>
        <w:t>12</w:t>
      </w:r>
      <w:r>
        <w:rPr>
          <w:rFonts w:ascii="Times New Roman" w:hAnsi="Times New Roman"/>
          <w:sz w:val="24"/>
          <w:szCs w:val="24"/>
        </w:rPr>
        <w:t>(2), 454–487. https://doi.org/10.17522/balikesirnef.506458</w:t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  <w:t xml:space="preserve">Conn, &amp; Hutt, M. (2020). Successful futures for all? Additional learning needs in Wales in the light of curriculum reform. </w:t>
      </w:r>
      <w:r>
        <w:rPr>
          <w:rFonts w:ascii="Times New Roman" w:hAnsi="Times New Roman"/>
          <w:i/>
          <w:iCs/>
          <w:sz w:val="24"/>
          <w:szCs w:val="24"/>
        </w:rPr>
        <w:t>British Journal of Special Education</w:t>
      </w:r>
      <w:r>
        <w:rPr>
          <w:rFonts w:ascii="Times New Roman" w:hAnsi="Times New Roman"/>
          <w:sz w:val="24"/>
          <w:szCs w:val="24"/>
        </w:rPr>
        <w:t xml:space="preserve">, </w:t>
      </w:r>
      <w:r>
        <w:rPr>
          <w:rFonts w:ascii="Times New Roman" w:hAnsi="Times New Roman"/>
          <w:i/>
          <w:iCs/>
          <w:sz w:val="24"/>
          <w:szCs w:val="24"/>
        </w:rPr>
        <w:t>47</w:t>
      </w:r>
      <w:r>
        <w:rPr>
          <w:rFonts w:ascii="Times New Roman" w:hAnsi="Times New Roman"/>
          <w:sz w:val="24"/>
          <w:szCs w:val="24"/>
        </w:rPr>
        <w:t>(2), 152–170. https://doi.org/10.1111/1467-8578.12307</w:t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</w:r>
      <w:proofErr w:type="spellStart"/>
      <w:r>
        <w:rPr>
          <w:rFonts w:ascii="Times New Roman" w:hAnsi="Times New Roman"/>
          <w:sz w:val="24"/>
          <w:szCs w:val="24"/>
        </w:rPr>
        <w:t>Sinnema</w:t>
      </w:r>
      <w:proofErr w:type="spellEnd"/>
      <w:r>
        <w:rPr>
          <w:rFonts w:ascii="Times New Roman" w:hAnsi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/>
          <w:sz w:val="24"/>
          <w:szCs w:val="24"/>
        </w:rPr>
        <w:t>Nieveen</w:t>
      </w:r>
      <w:proofErr w:type="spellEnd"/>
      <w:r>
        <w:rPr>
          <w:rFonts w:ascii="Times New Roman" w:hAnsi="Times New Roman"/>
          <w:sz w:val="24"/>
          <w:szCs w:val="24"/>
        </w:rPr>
        <w:t xml:space="preserve">, N., &amp; Priestley, M. (2020). Successful futures, successful curriculum: What </w:t>
      </w:r>
      <w:r>
        <w:rPr>
          <w:rFonts w:ascii="Times New Roman" w:hAnsi="Times New Roman"/>
          <w:sz w:val="24"/>
          <w:szCs w:val="24"/>
        </w:rPr>
        <w:lastRenderedPageBreak/>
        <w:t xml:space="preserve">can Wales learn from international curriculum reforms? </w:t>
      </w:r>
      <w:r>
        <w:rPr>
          <w:rFonts w:ascii="Times New Roman" w:hAnsi="Times New Roman"/>
          <w:i/>
          <w:iCs/>
          <w:sz w:val="24"/>
          <w:szCs w:val="24"/>
        </w:rPr>
        <w:t>Curriculum Journal</w:t>
      </w:r>
      <w:r>
        <w:rPr>
          <w:rFonts w:ascii="Times New Roman" w:hAnsi="Times New Roman"/>
          <w:sz w:val="24"/>
          <w:szCs w:val="24"/>
        </w:rPr>
        <w:t xml:space="preserve">, </w:t>
      </w:r>
      <w:r>
        <w:rPr>
          <w:rFonts w:ascii="Times New Roman" w:hAnsi="Times New Roman"/>
          <w:i/>
          <w:iCs/>
          <w:sz w:val="24"/>
          <w:szCs w:val="24"/>
        </w:rPr>
        <w:t>31</w:t>
      </w:r>
      <w:r>
        <w:rPr>
          <w:rFonts w:ascii="Times New Roman" w:hAnsi="Times New Roman"/>
          <w:sz w:val="24"/>
          <w:szCs w:val="24"/>
        </w:rPr>
        <w:t>(2), 181–202. https://doi.org/10.1002/curj.17</w:t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</w:r>
      <w:r>
        <w:rPr>
          <w:rFonts w:ascii="Times New Roman" w:hAnsi="Times New Roman"/>
          <w:sz w:val="24"/>
          <w:szCs w:val="24"/>
        </w:rPr>
        <w:br/>
      </w:r>
    </w:p>
    <w:p w14:paraId="6EC743EF" w14:textId="77777777" w:rsidR="001973FC" w:rsidRDefault="001973FC" w:rsidP="00996EB1">
      <w:pPr>
        <w:spacing w:after="0" w:line="240" w:lineRule="auto"/>
        <w:rPr>
          <w:rFonts w:ascii="Arial" w:hAnsi="Arial" w:cs="Arial"/>
        </w:rPr>
      </w:pPr>
      <w:r w:rsidRPr="00217A2F">
        <w:rPr>
          <w:rFonts w:ascii="Arial" w:hAnsi="Arial" w:cs="Arial"/>
        </w:rPr>
        <w:t xml:space="preserve">Donaldson, G. (2015) </w:t>
      </w:r>
      <w:r w:rsidRPr="00217A2F">
        <w:rPr>
          <w:rFonts w:ascii="Arial" w:hAnsi="Arial" w:cs="Arial"/>
          <w:i/>
        </w:rPr>
        <w:t xml:space="preserve">Successful Futures. </w:t>
      </w:r>
      <w:r w:rsidRPr="00217A2F">
        <w:rPr>
          <w:rFonts w:ascii="Arial" w:hAnsi="Arial" w:cs="Arial"/>
        </w:rPr>
        <w:t xml:space="preserve">Available at </w:t>
      </w:r>
      <w:hyperlink r:id="rId4" w:history="1">
        <w:r w:rsidRPr="00217A2F">
          <w:rPr>
            <w:rFonts w:ascii="Arial" w:hAnsi="Arial" w:cs="Arial"/>
            <w:color w:val="0000FF"/>
            <w:u w:val="single"/>
          </w:rPr>
          <w:t>http://gov.wales/docs/dcells/publications/150317-successful-futures-en.pdf</w:t>
        </w:r>
      </w:hyperlink>
      <w:r w:rsidRPr="00217A2F">
        <w:rPr>
          <w:rFonts w:ascii="Arial" w:hAnsi="Arial" w:cs="Arial"/>
        </w:rPr>
        <w:t xml:space="preserve"> </w:t>
      </w:r>
    </w:p>
    <w:p w14:paraId="6D860FBF" w14:textId="35306F69" w:rsidR="001973FC" w:rsidRDefault="001973FC" w:rsidP="00996EB1">
      <w:pPr>
        <w:spacing w:after="0" w:line="240" w:lineRule="auto"/>
        <w:rPr>
          <w:rFonts w:ascii="Arial" w:hAnsi="Arial" w:cs="Arial"/>
        </w:rPr>
      </w:pPr>
      <w:r w:rsidRPr="00217A2F">
        <w:rPr>
          <w:rFonts w:ascii="Arial" w:hAnsi="Arial" w:cs="Arial"/>
        </w:rPr>
        <w:t xml:space="preserve">Foundation Phase Framework for Children’s Learning for </w:t>
      </w:r>
      <w:proofErr w:type="gramStart"/>
      <w:r w:rsidRPr="00217A2F">
        <w:rPr>
          <w:rFonts w:ascii="Arial" w:hAnsi="Arial" w:cs="Arial"/>
        </w:rPr>
        <w:t xml:space="preserve">3-7 year </w:t>
      </w:r>
      <w:proofErr w:type="spellStart"/>
      <w:r w:rsidRPr="00217A2F">
        <w:rPr>
          <w:rFonts w:ascii="Arial" w:hAnsi="Arial" w:cs="Arial"/>
        </w:rPr>
        <w:t>olds</w:t>
      </w:r>
      <w:proofErr w:type="spellEnd"/>
      <w:proofErr w:type="gramEnd"/>
      <w:r w:rsidRPr="00217A2F">
        <w:rPr>
          <w:rFonts w:ascii="Arial" w:hAnsi="Arial" w:cs="Arial"/>
        </w:rPr>
        <w:t xml:space="preserve"> in Wales. Available at </w:t>
      </w:r>
      <w:hyperlink r:id="rId5" w:history="1">
        <w:r w:rsidRPr="00217A2F">
          <w:rPr>
            <w:rFonts w:ascii="Arial" w:hAnsi="Arial" w:cs="Arial"/>
            <w:color w:val="0000FF"/>
            <w:u w:val="single"/>
          </w:rPr>
          <w:t>http://learning.gov.wales/docs/learningwales/publications/130424-framework-for-childrens-learning-en.pdf</w:t>
        </w:r>
      </w:hyperlink>
      <w:r w:rsidRPr="00217A2F">
        <w:rPr>
          <w:rFonts w:ascii="Arial" w:hAnsi="Arial" w:cs="Arial"/>
        </w:rPr>
        <w:t xml:space="preserve">  </w:t>
      </w:r>
    </w:p>
    <w:p w14:paraId="1E2ED0C9" w14:textId="77777777" w:rsidR="001973FC" w:rsidRDefault="001973FC" w:rsidP="00996EB1">
      <w:pPr>
        <w:spacing w:after="0" w:line="240" w:lineRule="auto"/>
        <w:rPr>
          <w:rFonts w:ascii="Arial" w:hAnsi="Arial" w:cs="Arial"/>
        </w:rPr>
      </w:pPr>
    </w:p>
    <w:p w14:paraId="4B171031" w14:textId="77777777" w:rsidR="001973FC" w:rsidRDefault="001973FC" w:rsidP="00996EB1">
      <w:pPr>
        <w:spacing w:after="0" w:line="240" w:lineRule="auto"/>
        <w:rPr>
          <w:rFonts w:ascii="Arial" w:hAnsi="Arial" w:cs="Arial"/>
        </w:rPr>
      </w:pPr>
      <w:r w:rsidRPr="00217A2F">
        <w:rPr>
          <w:rFonts w:ascii="Arial" w:hAnsi="Arial" w:cs="Arial"/>
        </w:rPr>
        <w:t>Hansen, A. (ed) (20</w:t>
      </w:r>
      <w:r>
        <w:rPr>
          <w:rFonts w:ascii="Arial" w:hAnsi="Arial" w:cs="Arial"/>
        </w:rPr>
        <w:t>14</w:t>
      </w:r>
      <w:r w:rsidRPr="00217A2F">
        <w:rPr>
          <w:rFonts w:ascii="Arial" w:hAnsi="Arial" w:cs="Arial"/>
        </w:rPr>
        <w:t xml:space="preserve">) </w:t>
      </w:r>
      <w:r w:rsidRPr="00217A2F">
        <w:rPr>
          <w:rFonts w:ascii="Arial" w:hAnsi="Arial" w:cs="Arial"/>
          <w:i/>
          <w:iCs/>
        </w:rPr>
        <w:t>Children's Errors in Mathematics</w:t>
      </w:r>
      <w:r w:rsidRPr="00217A2F">
        <w:rPr>
          <w:rFonts w:ascii="Arial" w:hAnsi="Arial" w:cs="Arial"/>
        </w:rPr>
        <w:t xml:space="preserve"> </w:t>
      </w:r>
      <w:r w:rsidRPr="00217A2F">
        <w:rPr>
          <w:rFonts w:ascii="Arial" w:hAnsi="Arial" w:cs="Arial"/>
        </w:rPr>
        <w:fldChar w:fldCharType="begin"/>
      </w:r>
      <w:r w:rsidRPr="00217A2F">
        <w:rPr>
          <w:rFonts w:ascii="Arial" w:hAnsi="Arial" w:cs="Arial"/>
        </w:rPr>
        <w:instrText xml:space="preserve">  </w:instrText>
      </w:r>
      <w:r w:rsidRPr="00217A2F">
        <w:rPr>
          <w:rFonts w:ascii="Arial" w:hAnsi="Arial" w:cs="Arial"/>
        </w:rPr>
        <w:fldChar w:fldCharType="begin"/>
      </w:r>
      <w:r w:rsidRPr="00217A2F">
        <w:rPr>
          <w:rFonts w:ascii="Arial" w:hAnsi="Arial" w:cs="Arial"/>
        </w:rPr>
        <w:instrText xml:space="preserve"> PRIVATE HREF="http://www.learningmatters.co.uk"</w:instrText>
      </w:r>
      <w:r w:rsidRPr="00217A2F">
        <w:rPr>
          <w:rFonts w:ascii="Arial" w:hAnsi="Arial" w:cs="Arial"/>
        </w:rPr>
        <w:fldChar w:fldCharType="end"/>
      </w:r>
      <w:r w:rsidRPr="00217A2F">
        <w:rPr>
          <w:rFonts w:ascii="Arial" w:hAnsi="Arial" w:cs="Arial"/>
        </w:rPr>
        <w:instrText xml:space="preserve"> MACROBUTTON HtmlResAnchor </w:instrText>
      </w:r>
      <w:r w:rsidRPr="00217A2F">
        <w:rPr>
          <w:rFonts w:ascii="Arial" w:hAnsi="Arial" w:cs="Arial"/>
          <w:u w:val="single"/>
        </w:rPr>
        <w:instrText>www.learningmatters.co.uk</w:instrText>
      </w:r>
      <w:r w:rsidRPr="00217A2F">
        <w:rPr>
          <w:rFonts w:ascii="Arial" w:hAnsi="Arial" w:cs="Arial"/>
        </w:rPr>
        <w:fldChar w:fldCharType="end"/>
      </w:r>
      <w:r w:rsidRPr="00217A2F">
        <w:rPr>
          <w:rFonts w:ascii="Arial" w:hAnsi="Arial" w:cs="Arial"/>
        </w:rPr>
        <w:t>.</w:t>
      </w:r>
    </w:p>
    <w:p w14:paraId="4ED500BD" w14:textId="77777777" w:rsidR="001973FC" w:rsidRPr="00217A2F" w:rsidRDefault="001973FC" w:rsidP="00996EB1">
      <w:pPr>
        <w:spacing w:after="0" w:line="240" w:lineRule="auto"/>
        <w:rPr>
          <w:rFonts w:ascii="Arial" w:hAnsi="Arial" w:cs="Arial"/>
        </w:rPr>
      </w:pPr>
      <w:r w:rsidRPr="00217A2F">
        <w:rPr>
          <w:rFonts w:ascii="Arial" w:hAnsi="Arial" w:cs="Arial"/>
        </w:rPr>
        <w:t xml:space="preserve">Haylock, D. (2010) </w:t>
      </w:r>
      <w:r w:rsidRPr="00217A2F">
        <w:rPr>
          <w:rFonts w:ascii="Arial" w:hAnsi="Arial" w:cs="Arial"/>
          <w:i/>
          <w:iCs/>
        </w:rPr>
        <w:t xml:space="preserve">Mathematics Explained for Primary Teachers, </w:t>
      </w:r>
      <w:r w:rsidRPr="00217A2F">
        <w:rPr>
          <w:rFonts w:ascii="Arial" w:hAnsi="Arial" w:cs="Arial"/>
        </w:rPr>
        <w:t>London: Paul Chapman.</w:t>
      </w:r>
      <w:r w:rsidRPr="00217A2F">
        <w:rPr>
          <w:rFonts w:ascii="Arial" w:hAnsi="Arial" w:cs="Arial"/>
          <w:vanish/>
        </w:rPr>
        <w:t>.</w:t>
      </w:r>
      <w:r w:rsidRPr="00217A2F">
        <w:rPr>
          <w:rFonts w:ascii="Arial" w:hAnsi="Arial" w:cs="Arial"/>
        </w:rPr>
        <w:t xml:space="preserve"> </w:t>
      </w:r>
    </w:p>
    <w:p w14:paraId="5C8A43CD" w14:textId="77777777" w:rsidR="001973FC" w:rsidRDefault="001973FC" w:rsidP="00996EB1">
      <w:pPr>
        <w:spacing w:after="0" w:line="240" w:lineRule="auto"/>
        <w:rPr>
          <w:rFonts w:ascii="Arial" w:hAnsi="Arial" w:cs="Arial"/>
        </w:rPr>
      </w:pPr>
      <w:r w:rsidRPr="00217A2F">
        <w:rPr>
          <w:rFonts w:ascii="Arial" w:hAnsi="Arial" w:cs="Arial"/>
        </w:rPr>
        <w:t xml:space="preserve">Koshy, V. &amp; Murray, J. (2002) </w:t>
      </w:r>
      <w:r w:rsidRPr="00217A2F">
        <w:rPr>
          <w:rFonts w:ascii="Arial" w:hAnsi="Arial" w:cs="Arial"/>
          <w:i/>
          <w:iCs/>
        </w:rPr>
        <w:t>Unlocking Numeracy</w:t>
      </w:r>
      <w:r w:rsidRPr="00217A2F">
        <w:rPr>
          <w:rFonts w:ascii="Arial" w:hAnsi="Arial" w:cs="Arial"/>
        </w:rPr>
        <w:t>. London: David Fulton Publishers.</w:t>
      </w:r>
    </w:p>
    <w:p w14:paraId="3F57F3F4" w14:textId="050C66FF" w:rsidR="001973FC" w:rsidRDefault="001973FC" w:rsidP="00996EB1">
      <w:pPr>
        <w:spacing w:after="0" w:line="240" w:lineRule="auto"/>
        <w:rPr>
          <w:rFonts w:ascii="Arial" w:hAnsi="Arial" w:cs="Arial"/>
        </w:rPr>
      </w:pPr>
      <w:r w:rsidRPr="00217A2F">
        <w:rPr>
          <w:rFonts w:ascii="Arial" w:hAnsi="Arial" w:cs="Arial"/>
        </w:rPr>
        <w:t>National Curriculum (</w:t>
      </w:r>
      <w:r>
        <w:rPr>
          <w:rFonts w:ascii="Arial" w:hAnsi="Arial" w:cs="Arial"/>
        </w:rPr>
        <w:t>2013</w:t>
      </w:r>
      <w:r w:rsidRPr="00217A2F">
        <w:rPr>
          <w:rFonts w:ascii="Arial" w:hAnsi="Arial" w:cs="Arial"/>
        </w:rPr>
        <w:t xml:space="preserve">). Available at </w:t>
      </w:r>
      <w:hyperlink r:id="rId6" w:history="1">
        <w:r w:rsidRPr="00217A2F">
          <w:rPr>
            <w:rFonts w:ascii="Arial" w:hAnsi="Arial" w:cs="Arial"/>
            <w:color w:val="0000FF"/>
            <w:u w:val="single"/>
          </w:rPr>
          <w:t>http://learning.gov.wales/resources/improvementareas/curriculum/programmes-of-study/?lang=en</w:t>
        </w:r>
      </w:hyperlink>
      <w:r w:rsidRPr="00217A2F">
        <w:rPr>
          <w:rFonts w:ascii="Arial" w:hAnsi="Arial" w:cs="Arial"/>
        </w:rPr>
        <w:t xml:space="preserve"> </w:t>
      </w:r>
      <w:r w:rsidRPr="00217A2F">
        <w:rPr>
          <w:rFonts w:ascii="Arial" w:hAnsi="Arial" w:cs="Arial"/>
          <w:vanish/>
        </w:rPr>
        <w:t>(</w:t>
      </w:r>
    </w:p>
    <w:p w14:paraId="47D7EC0D" w14:textId="77777777" w:rsidR="001973FC" w:rsidRDefault="001973FC" w:rsidP="00996EB1">
      <w:pPr>
        <w:spacing w:after="0" w:line="240" w:lineRule="auto"/>
        <w:rPr>
          <w:rFonts w:ascii="Arial" w:hAnsi="Arial" w:cs="Arial"/>
        </w:rPr>
      </w:pPr>
    </w:p>
    <w:p w14:paraId="2C36A15F" w14:textId="77777777" w:rsidR="001973FC" w:rsidRPr="00217A2F" w:rsidRDefault="001973FC" w:rsidP="00996EB1">
      <w:pPr>
        <w:spacing w:after="0" w:line="240" w:lineRule="auto"/>
        <w:rPr>
          <w:rFonts w:ascii="Arial" w:hAnsi="Arial" w:cs="Arial"/>
        </w:rPr>
      </w:pPr>
      <w:r w:rsidRPr="00217A2F">
        <w:rPr>
          <w:rFonts w:ascii="Arial" w:hAnsi="Arial" w:cs="Arial"/>
        </w:rPr>
        <w:t xml:space="preserve">Sutherland, R. (2007) </w:t>
      </w:r>
      <w:r w:rsidRPr="00217A2F">
        <w:rPr>
          <w:rFonts w:ascii="Arial" w:hAnsi="Arial" w:cs="Arial"/>
          <w:i/>
          <w:iCs/>
        </w:rPr>
        <w:t>Teaching for Learning Mathematics</w:t>
      </w:r>
      <w:r w:rsidRPr="00217A2F">
        <w:rPr>
          <w:rFonts w:ascii="Arial" w:hAnsi="Arial" w:cs="Arial"/>
        </w:rPr>
        <w:t>. Maidenhead: Open University Press.</w:t>
      </w:r>
    </w:p>
    <w:p w14:paraId="46D98929" w14:textId="77777777" w:rsidR="001973FC" w:rsidRPr="00217A2F" w:rsidRDefault="001973FC" w:rsidP="00996EB1">
      <w:pPr>
        <w:spacing w:after="0" w:line="240" w:lineRule="auto"/>
        <w:rPr>
          <w:rFonts w:ascii="Arial" w:hAnsi="Arial" w:cs="Arial"/>
        </w:rPr>
      </w:pPr>
      <w:r w:rsidRPr="00217A2F">
        <w:rPr>
          <w:rFonts w:ascii="Arial" w:hAnsi="Arial" w:cs="Arial"/>
        </w:rPr>
        <w:t xml:space="preserve">Welsh Assembly Government. (2005) </w:t>
      </w:r>
      <w:r w:rsidRPr="00217A2F">
        <w:rPr>
          <w:rFonts w:ascii="Arial" w:hAnsi="Arial" w:cs="Arial"/>
          <w:i/>
          <w:iCs/>
        </w:rPr>
        <w:t>Words Talk – Numbers Count</w:t>
      </w:r>
      <w:r w:rsidRPr="00217A2F">
        <w:rPr>
          <w:rFonts w:ascii="Arial" w:hAnsi="Arial" w:cs="Arial"/>
        </w:rPr>
        <w:t xml:space="preserve">. Cardiff: Welsh Assembly Government. </w:t>
      </w:r>
    </w:p>
    <w:p w14:paraId="226FC6F5" w14:textId="77777777" w:rsidR="001973FC" w:rsidRPr="00217A2F" w:rsidRDefault="001973FC" w:rsidP="00996EB1">
      <w:pPr>
        <w:spacing w:after="0" w:line="240" w:lineRule="auto"/>
        <w:rPr>
          <w:rFonts w:ascii="Arial" w:hAnsi="Arial" w:cs="Arial"/>
        </w:rPr>
      </w:pPr>
      <w:r w:rsidRPr="00217A2F">
        <w:rPr>
          <w:rFonts w:ascii="Arial" w:hAnsi="Arial" w:cs="Arial"/>
        </w:rPr>
        <w:t xml:space="preserve">Welsh Government (2013) </w:t>
      </w:r>
      <w:r w:rsidRPr="00217A2F">
        <w:rPr>
          <w:rFonts w:ascii="Arial" w:hAnsi="Arial" w:cs="Arial"/>
          <w:i/>
          <w:iCs/>
        </w:rPr>
        <w:t xml:space="preserve">National Literacy and Numeracy Framework. </w:t>
      </w:r>
      <w:r w:rsidRPr="00217A2F">
        <w:rPr>
          <w:rFonts w:ascii="Arial" w:hAnsi="Arial" w:cs="Arial"/>
        </w:rPr>
        <w:t xml:space="preserve">Welsh Government: </w:t>
      </w:r>
      <w:hyperlink r:id="rId7" w:history="1">
        <w:r w:rsidRPr="00217A2F">
          <w:rPr>
            <w:rFonts w:ascii="Arial" w:hAnsi="Arial" w:cs="Arial"/>
            <w:color w:val="0000FF"/>
            <w:u w:val="single"/>
          </w:rPr>
          <w:t>http://learningwales.gov.uk/resources/nlnf</w:t>
        </w:r>
      </w:hyperlink>
      <w:r w:rsidRPr="00217A2F">
        <w:rPr>
          <w:rFonts w:ascii="Arial" w:hAnsi="Arial" w:cs="Arial"/>
        </w:rPr>
        <w:t xml:space="preserve"> </w:t>
      </w:r>
    </w:p>
    <w:sectPr w:rsidR="001973FC" w:rsidRPr="00217A2F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bordersDoNotSurroundHeader/>
  <w:bordersDoNotSurroundFooter/>
  <w:proofState w:spelling="clean" w:grammar="clean"/>
  <w:doNotTrackMoves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compressPunctuation"/>
  <w:doNotValidateAgainstSchema/>
  <w:doNotDemarcateInvalidXml/>
  <w:compat>
    <w:spaceForUL/>
    <w:balanceSingleByteDoubleByteWidth/>
    <w:doNotLeaveBackslashAlone/>
    <w:ulTrailSpace/>
    <w:doNotExpandShiftReturn/>
    <w:footnoteLayoutLikeWW8/>
    <w:shapeLayoutLikeWW8/>
    <w:alignTablesRowByRow/>
    <w:forgetLastTabAlignment/>
    <w:adjustLineHeightInTable/>
    <w:doNotUseHTMLParagraphAutoSpacing/>
    <w:layoutRawTableWidth/>
    <w:layoutTableRowsApart/>
    <w:useWord97LineBreakRules/>
    <w:doNotBreakWrappedTables/>
    <w:doNotSnapToGridInCell/>
    <w:selectFldWithFirstOrLastChar/>
    <w:doNotWrapTextWithPunct/>
    <w:doNotUseEastAsianBreakRules/>
    <w:useWord2002TableStyleRules/>
    <w:growAutofit/>
    <w:useFELayou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996EB1"/>
    <w:rsid w:val="001973FC"/>
    <w:rsid w:val="00996E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BA9D714"/>
  <w14:defaultImageDpi w14:val="0"/>
  <w15:docId w15:val="{C6B06DB7-2B92-4B08-9992-A1E140CB9F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DengXian" w:hAnsi="Calibri" w:cs="Times New Roman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96EB1"/>
    <w:pPr>
      <w:spacing w:after="200" w:line="276" w:lineRule="auto"/>
    </w:pPr>
    <w:rPr>
      <w:rFonts w:eastAsia="Calibri"/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unhideWhenUsed/>
    <w:rsid w:val="00996EB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learningwales.gov.uk/resources/nln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learning.gov.wales/resources/improvementareas/curriculum/programmes-of-study/?lang=en" TargetMode="External"/><Relationship Id="rId5" Type="http://schemas.openxmlformats.org/officeDocument/2006/relationships/hyperlink" Target="http://learning.gov.wales/docs/learningwales/publications/130424-framework-for-childrens-learning-en.pdf" TargetMode="External"/><Relationship Id="rId4" Type="http://schemas.openxmlformats.org/officeDocument/2006/relationships/hyperlink" Target="http://gov.wales/docs/dcells/publications/150317-successful-futures-en.pdf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808</Words>
  <Characters>4612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Heike Griffiths</dc:creator>
  <cp:keywords/>
  <dc:description/>
  <cp:lastModifiedBy>Heike Griffiths</cp:lastModifiedBy>
  <cp:revision>2</cp:revision>
  <dcterms:created xsi:type="dcterms:W3CDTF">2021-11-15T19:46:00Z</dcterms:created>
  <dcterms:modified xsi:type="dcterms:W3CDTF">2021-11-15T19:46:00Z</dcterms:modified>
</cp:coreProperties>
</file>