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AB4C7" w14:textId="0A300433" w:rsidR="00595A5B" w:rsidRDefault="00882F0C" w:rsidP="00BB46A2">
      <w:pPr>
        <w:pStyle w:val="Title"/>
        <w:jc w:val="center"/>
      </w:pPr>
      <w:r>
        <w:t>INTRODUCTION TO PHYSIOLOGY</w:t>
      </w:r>
    </w:p>
    <w:p w14:paraId="42926B77" w14:textId="77777777" w:rsidR="00BB46A2" w:rsidRDefault="00BB46A2" w:rsidP="00BB46A2">
      <w:pPr>
        <w:jc w:val="center"/>
        <w:rPr>
          <w:lang w:val="en-US"/>
        </w:rPr>
      </w:pPr>
    </w:p>
    <w:p w14:paraId="3832228C" w14:textId="77777777" w:rsidR="00BB46A2" w:rsidRDefault="00BB46A2" w:rsidP="00BB46A2">
      <w:pPr>
        <w:jc w:val="center"/>
        <w:rPr>
          <w:lang w:val="en-US"/>
        </w:rPr>
      </w:pPr>
    </w:p>
    <w:p w14:paraId="36A60604" w14:textId="06319BC9" w:rsidR="00595A5B" w:rsidRDefault="004E4DE4" w:rsidP="00BB46A2">
      <w:pPr>
        <w:jc w:val="center"/>
        <w:rPr>
          <w:lang w:val="en-US"/>
        </w:rPr>
      </w:pPr>
      <w:r>
        <w:rPr>
          <w:lang w:val="en-US"/>
        </w:rPr>
        <w:t xml:space="preserve">MODULE </w:t>
      </w:r>
      <w:r w:rsidR="00BB46A2">
        <w:rPr>
          <w:lang w:val="en-US"/>
        </w:rPr>
        <w:t>CODE:</w:t>
      </w:r>
      <w:r w:rsidR="00882F0C">
        <w:rPr>
          <w:lang w:val="en-US"/>
        </w:rPr>
        <w:t xml:space="preserve"> BMHP5023</w:t>
      </w:r>
    </w:p>
    <w:p w14:paraId="2A56CA26" w14:textId="7AF4DB67" w:rsidR="00882F0C" w:rsidRDefault="00882F0C" w:rsidP="00BB46A2">
      <w:pPr>
        <w:jc w:val="center"/>
        <w:rPr>
          <w:lang w:val="en-US"/>
        </w:rPr>
      </w:pPr>
      <w:r>
        <w:rPr>
          <w:lang w:val="en-US"/>
        </w:rPr>
        <w:t>COMPONENT</w:t>
      </w:r>
      <w:r w:rsidR="00BB46A2">
        <w:rPr>
          <w:lang w:val="en-US"/>
        </w:rPr>
        <w:t xml:space="preserve"> 1: WRITTEN</w:t>
      </w:r>
      <w:r w:rsidR="004E4DE4">
        <w:rPr>
          <w:lang w:val="en-US"/>
        </w:rPr>
        <w:t xml:space="preserve"> ASSIGNMENT</w:t>
      </w:r>
      <w:r w:rsidR="00BB46A2">
        <w:rPr>
          <w:lang w:val="en-US"/>
        </w:rPr>
        <w:t xml:space="preserve"> </w:t>
      </w:r>
      <w:r>
        <w:rPr>
          <w:lang w:val="en-US"/>
        </w:rPr>
        <w:t>(CASE STUDY REPORT)</w:t>
      </w:r>
    </w:p>
    <w:p w14:paraId="55B4CAA9" w14:textId="197A39DA" w:rsidR="004E4DE4" w:rsidRDefault="00BB46A2" w:rsidP="00BB46A2">
      <w:pPr>
        <w:jc w:val="center"/>
        <w:rPr>
          <w:lang w:val="en-US"/>
        </w:rPr>
      </w:pPr>
      <w:r>
        <w:rPr>
          <w:lang w:val="en-US"/>
        </w:rPr>
        <w:t>LECTURER NAME: ROBERT</w:t>
      </w:r>
      <w:r w:rsidR="004E4DE4">
        <w:rPr>
          <w:lang w:val="en-US"/>
        </w:rPr>
        <w:t xml:space="preserve"> NARTOWSKI</w:t>
      </w:r>
    </w:p>
    <w:p w14:paraId="55EB4795" w14:textId="3456BFDC" w:rsidR="004E4DE4" w:rsidRDefault="004E4DE4" w:rsidP="00BB46A2">
      <w:pPr>
        <w:jc w:val="center"/>
        <w:rPr>
          <w:lang w:val="en-US"/>
        </w:rPr>
      </w:pPr>
    </w:p>
    <w:p w14:paraId="572C7DFE" w14:textId="77777777" w:rsidR="00BB46A2" w:rsidRDefault="004E4DE4" w:rsidP="00BB46A2">
      <w:pPr>
        <w:jc w:val="center"/>
        <w:rPr>
          <w:lang w:val="en-US"/>
        </w:rPr>
      </w:pPr>
      <w:r>
        <w:rPr>
          <w:lang w:val="en-US"/>
        </w:rPr>
        <w:t>STUDENT NAME:</w:t>
      </w:r>
      <w:r w:rsidR="00882F0C">
        <w:rPr>
          <w:lang w:val="en-US"/>
        </w:rPr>
        <w:t xml:space="preserve"> </w:t>
      </w:r>
      <w:r>
        <w:rPr>
          <w:lang w:val="en-US"/>
        </w:rPr>
        <w:t>ZAIBA TABASSUM</w:t>
      </w:r>
    </w:p>
    <w:p w14:paraId="6FDED1D1" w14:textId="7886670E" w:rsidR="004E4DE4" w:rsidRDefault="004E4DE4" w:rsidP="00BB46A2">
      <w:pPr>
        <w:jc w:val="center"/>
        <w:rPr>
          <w:lang w:val="en-US"/>
        </w:rPr>
      </w:pPr>
      <w:r>
        <w:rPr>
          <w:lang w:val="en-US"/>
        </w:rPr>
        <w:t>STUDENT ID :2407213</w:t>
      </w:r>
    </w:p>
    <w:p w14:paraId="6F5FE80B" w14:textId="24DCBEF9" w:rsidR="00882F0C" w:rsidRDefault="00882F0C" w:rsidP="00595A5B">
      <w:pPr>
        <w:rPr>
          <w:lang w:val="en-US"/>
        </w:rPr>
      </w:pPr>
      <w:r>
        <w:rPr>
          <w:lang w:val="en-US"/>
        </w:rPr>
        <w:t xml:space="preserve">                                                </w:t>
      </w:r>
    </w:p>
    <w:p w14:paraId="645C7A54" w14:textId="77777777" w:rsidR="00595A5B" w:rsidRDefault="00595A5B" w:rsidP="00595A5B">
      <w:pPr>
        <w:rPr>
          <w:lang w:val="en-US"/>
        </w:rPr>
      </w:pPr>
    </w:p>
    <w:p w14:paraId="4ACDD0E4" w14:textId="77777777" w:rsidR="00595A5B" w:rsidRDefault="00595A5B" w:rsidP="00595A5B">
      <w:pPr>
        <w:rPr>
          <w:lang w:val="en-US"/>
        </w:rPr>
      </w:pPr>
    </w:p>
    <w:p w14:paraId="54D395A4" w14:textId="77777777" w:rsidR="00595A5B" w:rsidRDefault="00595A5B" w:rsidP="00595A5B">
      <w:pPr>
        <w:rPr>
          <w:lang w:val="en-US"/>
        </w:rPr>
      </w:pPr>
    </w:p>
    <w:p w14:paraId="5420941C" w14:textId="77777777" w:rsidR="00595A5B" w:rsidRDefault="00595A5B" w:rsidP="00595A5B">
      <w:pPr>
        <w:rPr>
          <w:lang w:val="en-US"/>
        </w:rPr>
      </w:pPr>
    </w:p>
    <w:p w14:paraId="00DEE6B8" w14:textId="77777777" w:rsidR="00595A5B" w:rsidRDefault="00595A5B" w:rsidP="00595A5B">
      <w:pPr>
        <w:rPr>
          <w:lang w:val="en-US"/>
        </w:rPr>
      </w:pPr>
    </w:p>
    <w:p w14:paraId="0245CD94" w14:textId="77777777" w:rsidR="00595A5B" w:rsidRDefault="00595A5B" w:rsidP="00595A5B">
      <w:pPr>
        <w:rPr>
          <w:lang w:val="en-US"/>
        </w:rPr>
      </w:pPr>
    </w:p>
    <w:p w14:paraId="4AEC6B1A" w14:textId="77777777" w:rsidR="00595A5B" w:rsidRDefault="00595A5B" w:rsidP="00595A5B">
      <w:pPr>
        <w:rPr>
          <w:lang w:val="en-US"/>
        </w:rPr>
      </w:pPr>
    </w:p>
    <w:p w14:paraId="6AD59C98" w14:textId="77777777" w:rsidR="00595A5B" w:rsidRDefault="00595A5B" w:rsidP="00595A5B">
      <w:pPr>
        <w:rPr>
          <w:lang w:val="en-US"/>
        </w:rPr>
      </w:pPr>
    </w:p>
    <w:p w14:paraId="1FE56423" w14:textId="77777777" w:rsidR="00595A5B" w:rsidRDefault="00595A5B" w:rsidP="00595A5B">
      <w:pPr>
        <w:rPr>
          <w:lang w:val="en-US"/>
        </w:rPr>
      </w:pPr>
    </w:p>
    <w:p w14:paraId="3E3F625D" w14:textId="77777777" w:rsidR="00595A5B" w:rsidRDefault="00595A5B" w:rsidP="00595A5B">
      <w:pPr>
        <w:rPr>
          <w:lang w:val="en-US"/>
        </w:rPr>
      </w:pPr>
    </w:p>
    <w:p w14:paraId="20AD66D9" w14:textId="77777777" w:rsidR="00595A5B" w:rsidRDefault="00595A5B" w:rsidP="00595A5B">
      <w:pPr>
        <w:rPr>
          <w:lang w:val="en-US"/>
        </w:rPr>
      </w:pPr>
    </w:p>
    <w:p w14:paraId="374F5D3D" w14:textId="77777777" w:rsidR="00595A5B" w:rsidRDefault="00595A5B" w:rsidP="00595A5B">
      <w:pPr>
        <w:rPr>
          <w:lang w:val="en-US"/>
        </w:rPr>
      </w:pPr>
    </w:p>
    <w:p w14:paraId="7AB8AECB" w14:textId="77777777" w:rsidR="00595A5B" w:rsidRDefault="00595A5B" w:rsidP="00595A5B">
      <w:pPr>
        <w:rPr>
          <w:lang w:val="en-US"/>
        </w:rPr>
      </w:pPr>
    </w:p>
    <w:p w14:paraId="1A16A672" w14:textId="77777777" w:rsidR="00595A5B" w:rsidRDefault="00595A5B" w:rsidP="00595A5B">
      <w:pPr>
        <w:rPr>
          <w:lang w:val="en-US"/>
        </w:rPr>
      </w:pPr>
    </w:p>
    <w:p w14:paraId="71FC3143" w14:textId="77777777" w:rsidR="00595A5B" w:rsidRDefault="00595A5B" w:rsidP="00595A5B">
      <w:pPr>
        <w:rPr>
          <w:lang w:val="en-US"/>
        </w:rPr>
      </w:pPr>
    </w:p>
    <w:p w14:paraId="72FACCF9" w14:textId="77777777" w:rsidR="00595A5B" w:rsidRDefault="00595A5B" w:rsidP="00595A5B">
      <w:pPr>
        <w:rPr>
          <w:lang w:val="en-US"/>
        </w:rPr>
      </w:pPr>
    </w:p>
    <w:p w14:paraId="1A96738E" w14:textId="77777777" w:rsidR="00595A5B" w:rsidRDefault="00595A5B" w:rsidP="00595A5B">
      <w:pPr>
        <w:rPr>
          <w:lang w:val="en-US"/>
        </w:rPr>
      </w:pPr>
    </w:p>
    <w:p w14:paraId="18DBD53F" w14:textId="77777777" w:rsidR="00595A5B" w:rsidRDefault="00595A5B" w:rsidP="00595A5B">
      <w:pPr>
        <w:rPr>
          <w:lang w:val="en-US"/>
        </w:rPr>
      </w:pPr>
    </w:p>
    <w:p w14:paraId="44909061" w14:textId="77777777" w:rsidR="00595A5B" w:rsidRPr="00595A5B" w:rsidRDefault="00595A5B" w:rsidP="00595A5B">
      <w:pPr>
        <w:rPr>
          <w:lang w:val="en-US"/>
        </w:rPr>
      </w:pPr>
    </w:p>
    <w:sdt>
      <w:sdtPr>
        <w:rPr>
          <w:rFonts w:ascii="Times New Roman" w:eastAsiaTheme="minorHAnsi" w:hAnsi="Times New Roman" w:cstheme="minorBidi"/>
          <w:color w:val="000000" w:themeColor="text1"/>
          <w:sz w:val="24"/>
          <w:szCs w:val="22"/>
          <w:lang w:val="en-GB"/>
        </w:rPr>
        <w:id w:val="413903582"/>
        <w:docPartObj>
          <w:docPartGallery w:val="Table of Contents"/>
          <w:docPartUnique/>
        </w:docPartObj>
      </w:sdtPr>
      <w:sdtEndPr>
        <w:rPr>
          <w:b/>
          <w:bCs/>
          <w:noProof/>
        </w:rPr>
      </w:sdtEndPr>
      <w:sdtContent>
        <w:p w14:paraId="78FF9F71" w14:textId="77777777" w:rsidR="00595A5B" w:rsidRDefault="00595A5B" w:rsidP="00BB46A2">
          <w:pPr>
            <w:pStyle w:val="TOCHeading"/>
          </w:pPr>
          <w:r>
            <w:t>Contents</w:t>
          </w:r>
        </w:p>
        <w:p w14:paraId="0194B9D3" w14:textId="77777777" w:rsidR="00595A5B" w:rsidRDefault="00595A5B">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211977593" w:history="1">
            <w:r w:rsidRPr="00E110FD">
              <w:rPr>
                <w:rStyle w:val="Hyperlink"/>
                <w:noProof/>
              </w:rPr>
              <w:t>1</w:t>
            </w:r>
            <w:r>
              <w:rPr>
                <w:noProof/>
              </w:rPr>
              <w:tab/>
            </w:r>
            <w:r w:rsidRPr="00E110FD">
              <w:rPr>
                <w:rStyle w:val="Hyperlink"/>
                <w:noProof/>
              </w:rPr>
              <w:t>Introduction: Diabetes and risk factors</w:t>
            </w:r>
            <w:r>
              <w:rPr>
                <w:noProof/>
                <w:webHidden/>
              </w:rPr>
              <w:tab/>
            </w:r>
            <w:r>
              <w:rPr>
                <w:noProof/>
                <w:webHidden/>
              </w:rPr>
              <w:fldChar w:fldCharType="begin"/>
            </w:r>
            <w:r>
              <w:rPr>
                <w:noProof/>
                <w:webHidden/>
              </w:rPr>
              <w:instrText xml:space="preserve"> PAGEREF _Toc211977593 \h </w:instrText>
            </w:r>
            <w:r>
              <w:rPr>
                <w:noProof/>
                <w:webHidden/>
              </w:rPr>
            </w:r>
            <w:r>
              <w:rPr>
                <w:noProof/>
                <w:webHidden/>
              </w:rPr>
              <w:fldChar w:fldCharType="separate"/>
            </w:r>
            <w:r>
              <w:rPr>
                <w:noProof/>
                <w:webHidden/>
              </w:rPr>
              <w:t>1</w:t>
            </w:r>
            <w:r>
              <w:rPr>
                <w:noProof/>
                <w:webHidden/>
              </w:rPr>
              <w:fldChar w:fldCharType="end"/>
            </w:r>
          </w:hyperlink>
        </w:p>
        <w:p w14:paraId="41A98C39" w14:textId="77777777" w:rsidR="00595A5B" w:rsidRDefault="00595A5B">
          <w:pPr>
            <w:pStyle w:val="TOC1"/>
            <w:tabs>
              <w:tab w:val="left" w:pos="440"/>
              <w:tab w:val="right" w:leader="dot" w:pos="9350"/>
            </w:tabs>
            <w:rPr>
              <w:noProof/>
            </w:rPr>
          </w:pPr>
          <w:hyperlink w:anchor="_Toc211977594" w:history="1">
            <w:r w:rsidRPr="00E110FD">
              <w:rPr>
                <w:rStyle w:val="Hyperlink"/>
                <w:noProof/>
              </w:rPr>
              <w:t>2</w:t>
            </w:r>
            <w:r>
              <w:rPr>
                <w:noProof/>
              </w:rPr>
              <w:tab/>
            </w:r>
            <w:r w:rsidRPr="00E110FD">
              <w:rPr>
                <w:rStyle w:val="Hyperlink"/>
                <w:noProof/>
              </w:rPr>
              <w:t>How the body maintains safe blood glucose (glucose homeostasis)</w:t>
            </w:r>
            <w:r>
              <w:rPr>
                <w:noProof/>
                <w:webHidden/>
              </w:rPr>
              <w:tab/>
            </w:r>
            <w:r>
              <w:rPr>
                <w:noProof/>
                <w:webHidden/>
              </w:rPr>
              <w:fldChar w:fldCharType="begin"/>
            </w:r>
            <w:r>
              <w:rPr>
                <w:noProof/>
                <w:webHidden/>
              </w:rPr>
              <w:instrText xml:space="preserve"> PAGEREF _Toc211977594 \h </w:instrText>
            </w:r>
            <w:r>
              <w:rPr>
                <w:noProof/>
                <w:webHidden/>
              </w:rPr>
            </w:r>
            <w:r>
              <w:rPr>
                <w:noProof/>
                <w:webHidden/>
              </w:rPr>
              <w:fldChar w:fldCharType="separate"/>
            </w:r>
            <w:r>
              <w:rPr>
                <w:noProof/>
                <w:webHidden/>
              </w:rPr>
              <w:t>1</w:t>
            </w:r>
            <w:r>
              <w:rPr>
                <w:noProof/>
                <w:webHidden/>
              </w:rPr>
              <w:fldChar w:fldCharType="end"/>
            </w:r>
          </w:hyperlink>
        </w:p>
        <w:p w14:paraId="207545DF" w14:textId="11FD1E88" w:rsidR="00595A5B" w:rsidRDefault="00595A5B">
          <w:pPr>
            <w:pStyle w:val="TOC2"/>
            <w:tabs>
              <w:tab w:val="left" w:pos="880"/>
              <w:tab w:val="right" w:leader="dot" w:pos="9350"/>
            </w:tabs>
            <w:rPr>
              <w:noProof/>
            </w:rPr>
          </w:pPr>
          <w:hyperlink w:anchor="_Toc211977595" w:history="1">
            <w:r>
              <w:rPr>
                <w:noProof/>
              </w:rPr>
              <w:tab/>
            </w:r>
            <w:r w:rsidRPr="00E110FD">
              <w:rPr>
                <w:rStyle w:val="Hyperlink"/>
                <w:noProof/>
              </w:rPr>
              <w:t>Endocrine pancreas and key organs</w:t>
            </w:r>
            <w:r>
              <w:rPr>
                <w:noProof/>
                <w:webHidden/>
              </w:rPr>
              <w:tab/>
            </w:r>
            <w:r>
              <w:rPr>
                <w:noProof/>
                <w:webHidden/>
              </w:rPr>
              <w:fldChar w:fldCharType="begin"/>
            </w:r>
            <w:r>
              <w:rPr>
                <w:noProof/>
                <w:webHidden/>
              </w:rPr>
              <w:instrText xml:space="preserve"> PAGEREF _Toc211977595 \h </w:instrText>
            </w:r>
            <w:r>
              <w:rPr>
                <w:noProof/>
                <w:webHidden/>
              </w:rPr>
            </w:r>
            <w:r>
              <w:rPr>
                <w:noProof/>
                <w:webHidden/>
              </w:rPr>
              <w:fldChar w:fldCharType="separate"/>
            </w:r>
            <w:r>
              <w:rPr>
                <w:noProof/>
                <w:webHidden/>
              </w:rPr>
              <w:t>1</w:t>
            </w:r>
            <w:r>
              <w:rPr>
                <w:noProof/>
                <w:webHidden/>
              </w:rPr>
              <w:fldChar w:fldCharType="end"/>
            </w:r>
          </w:hyperlink>
        </w:p>
        <w:p w14:paraId="4E062ED0" w14:textId="00806F18" w:rsidR="00595A5B" w:rsidRDefault="00595A5B">
          <w:pPr>
            <w:pStyle w:val="TOC2"/>
            <w:tabs>
              <w:tab w:val="left" w:pos="880"/>
              <w:tab w:val="right" w:leader="dot" w:pos="9350"/>
            </w:tabs>
            <w:rPr>
              <w:noProof/>
            </w:rPr>
          </w:pPr>
          <w:hyperlink w:anchor="_Toc211977596" w:history="1">
            <w:r>
              <w:rPr>
                <w:noProof/>
              </w:rPr>
              <w:tab/>
            </w:r>
            <w:r w:rsidRPr="00E110FD">
              <w:rPr>
                <w:rStyle w:val="Hyperlink"/>
                <w:noProof/>
              </w:rPr>
              <w:t>Hormonal mechanisms and transport</w:t>
            </w:r>
            <w:r>
              <w:rPr>
                <w:noProof/>
                <w:webHidden/>
              </w:rPr>
              <w:tab/>
            </w:r>
            <w:r>
              <w:rPr>
                <w:noProof/>
                <w:webHidden/>
              </w:rPr>
              <w:fldChar w:fldCharType="begin"/>
            </w:r>
            <w:r>
              <w:rPr>
                <w:noProof/>
                <w:webHidden/>
              </w:rPr>
              <w:instrText xml:space="preserve"> PAGEREF _Toc211977596 \h </w:instrText>
            </w:r>
            <w:r>
              <w:rPr>
                <w:noProof/>
                <w:webHidden/>
              </w:rPr>
            </w:r>
            <w:r>
              <w:rPr>
                <w:noProof/>
                <w:webHidden/>
              </w:rPr>
              <w:fldChar w:fldCharType="separate"/>
            </w:r>
            <w:r>
              <w:rPr>
                <w:noProof/>
                <w:webHidden/>
              </w:rPr>
              <w:t>2</w:t>
            </w:r>
            <w:r>
              <w:rPr>
                <w:noProof/>
                <w:webHidden/>
              </w:rPr>
              <w:fldChar w:fldCharType="end"/>
            </w:r>
          </w:hyperlink>
        </w:p>
        <w:p w14:paraId="5E3EC13F" w14:textId="125BDB61" w:rsidR="00595A5B" w:rsidRDefault="00595A5B">
          <w:pPr>
            <w:pStyle w:val="TOC2"/>
            <w:tabs>
              <w:tab w:val="left" w:pos="880"/>
              <w:tab w:val="right" w:leader="dot" w:pos="9350"/>
            </w:tabs>
            <w:rPr>
              <w:noProof/>
            </w:rPr>
          </w:pPr>
          <w:hyperlink w:anchor="_Toc211977597" w:history="1">
            <w:r>
              <w:rPr>
                <w:noProof/>
              </w:rPr>
              <w:tab/>
            </w:r>
            <w:r w:rsidRPr="00E110FD">
              <w:rPr>
                <w:rStyle w:val="Hyperlink"/>
                <w:noProof/>
              </w:rPr>
              <w:t>Set-point, ranges, and safety</w:t>
            </w:r>
            <w:r>
              <w:rPr>
                <w:noProof/>
                <w:webHidden/>
              </w:rPr>
              <w:tab/>
            </w:r>
            <w:r>
              <w:rPr>
                <w:noProof/>
                <w:webHidden/>
              </w:rPr>
              <w:fldChar w:fldCharType="begin"/>
            </w:r>
            <w:r>
              <w:rPr>
                <w:noProof/>
                <w:webHidden/>
              </w:rPr>
              <w:instrText xml:space="preserve"> PAGEREF _Toc211977597 \h </w:instrText>
            </w:r>
            <w:r>
              <w:rPr>
                <w:noProof/>
                <w:webHidden/>
              </w:rPr>
            </w:r>
            <w:r>
              <w:rPr>
                <w:noProof/>
                <w:webHidden/>
              </w:rPr>
              <w:fldChar w:fldCharType="separate"/>
            </w:r>
            <w:r>
              <w:rPr>
                <w:noProof/>
                <w:webHidden/>
              </w:rPr>
              <w:t>3</w:t>
            </w:r>
            <w:r>
              <w:rPr>
                <w:noProof/>
                <w:webHidden/>
              </w:rPr>
              <w:fldChar w:fldCharType="end"/>
            </w:r>
          </w:hyperlink>
        </w:p>
        <w:p w14:paraId="28886601" w14:textId="77777777" w:rsidR="00595A5B" w:rsidRDefault="00595A5B">
          <w:pPr>
            <w:pStyle w:val="TOC1"/>
            <w:tabs>
              <w:tab w:val="left" w:pos="440"/>
              <w:tab w:val="right" w:leader="dot" w:pos="9350"/>
            </w:tabs>
            <w:rPr>
              <w:noProof/>
            </w:rPr>
          </w:pPr>
          <w:hyperlink w:anchor="_Toc211977598" w:history="1">
            <w:r w:rsidRPr="00E110FD">
              <w:rPr>
                <w:rStyle w:val="Hyperlink"/>
                <w:noProof/>
              </w:rPr>
              <w:t>3</w:t>
            </w:r>
            <w:r>
              <w:rPr>
                <w:noProof/>
              </w:rPr>
              <w:tab/>
            </w:r>
            <w:r w:rsidRPr="00E110FD">
              <w:rPr>
                <w:rStyle w:val="Hyperlink"/>
                <w:noProof/>
              </w:rPr>
              <w:t>How oxygen and glucose produce energy (cell metabolism)</w:t>
            </w:r>
            <w:r>
              <w:rPr>
                <w:noProof/>
                <w:webHidden/>
              </w:rPr>
              <w:tab/>
            </w:r>
            <w:r>
              <w:rPr>
                <w:noProof/>
                <w:webHidden/>
              </w:rPr>
              <w:fldChar w:fldCharType="begin"/>
            </w:r>
            <w:r>
              <w:rPr>
                <w:noProof/>
                <w:webHidden/>
              </w:rPr>
              <w:instrText xml:space="preserve"> PAGEREF _Toc211977598 \h </w:instrText>
            </w:r>
            <w:r>
              <w:rPr>
                <w:noProof/>
                <w:webHidden/>
              </w:rPr>
            </w:r>
            <w:r>
              <w:rPr>
                <w:noProof/>
                <w:webHidden/>
              </w:rPr>
              <w:fldChar w:fldCharType="separate"/>
            </w:r>
            <w:r>
              <w:rPr>
                <w:noProof/>
                <w:webHidden/>
              </w:rPr>
              <w:t>3</w:t>
            </w:r>
            <w:r>
              <w:rPr>
                <w:noProof/>
                <w:webHidden/>
              </w:rPr>
              <w:fldChar w:fldCharType="end"/>
            </w:r>
          </w:hyperlink>
        </w:p>
        <w:p w14:paraId="13BDFF38" w14:textId="0E78AEC8" w:rsidR="00595A5B" w:rsidRDefault="00595A5B">
          <w:pPr>
            <w:pStyle w:val="TOC2"/>
            <w:tabs>
              <w:tab w:val="left" w:pos="880"/>
              <w:tab w:val="right" w:leader="dot" w:pos="9350"/>
            </w:tabs>
            <w:rPr>
              <w:noProof/>
            </w:rPr>
          </w:pPr>
          <w:hyperlink w:anchor="_Toc211977599" w:history="1">
            <w:r>
              <w:rPr>
                <w:noProof/>
              </w:rPr>
              <w:tab/>
            </w:r>
            <w:r w:rsidRPr="00E110FD">
              <w:rPr>
                <w:rStyle w:val="Hyperlink"/>
                <w:noProof/>
              </w:rPr>
              <w:t>Aerobic metabolism</w:t>
            </w:r>
            <w:r>
              <w:rPr>
                <w:noProof/>
                <w:webHidden/>
              </w:rPr>
              <w:tab/>
            </w:r>
            <w:r>
              <w:rPr>
                <w:noProof/>
                <w:webHidden/>
              </w:rPr>
              <w:fldChar w:fldCharType="begin"/>
            </w:r>
            <w:r>
              <w:rPr>
                <w:noProof/>
                <w:webHidden/>
              </w:rPr>
              <w:instrText xml:space="preserve"> PAGEREF _Toc211977599 \h </w:instrText>
            </w:r>
            <w:r>
              <w:rPr>
                <w:noProof/>
                <w:webHidden/>
              </w:rPr>
            </w:r>
            <w:r>
              <w:rPr>
                <w:noProof/>
                <w:webHidden/>
              </w:rPr>
              <w:fldChar w:fldCharType="separate"/>
            </w:r>
            <w:r>
              <w:rPr>
                <w:noProof/>
                <w:webHidden/>
              </w:rPr>
              <w:t>3</w:t>
            </w:r>
            <w:r>
              <w:rPr>
                <w:noProof/>
                <w:webHidden/>
              </w:rPr>
              <w:fldChar w:fldCharType="end"/>
            </w:r>
          </w:hyperlink>
        </w:p>
        <w:p w14:paraId="7AF4CC6D" w14:textId="4354E597" w:rsidR="00595A5B" w:rsidRDefault="00595A5B">
          <w:pPr>
            <w:pStyle w:val="TOC2"/>
            <w:tabs>
              <w:tab w:val="left" w:pos="880"/>
              <w:tab w:val="right" w:leader="dot" w:pos="9350"/>
            </w:tabs>
            <w:rPr>
              <w:noProof/>
            </w:rPr>
          </w:pPr>
          <w:hyperlink w:anchor="_Toc211977600" w:history="1">
            <w:r>
              <w:rPr>
                <w:noProof/>
              </w:rPr>
              <w:tab/>
            </w:r>
            <w:r w:rsidRPr="00E110FD">
              <w:rPr>
                <w:rStyle w:val="Hyperlink"/>
                <w:noProof/>
              </w:rPr>
              <w:t>Anaerobic metabolism</w:t>
            </w:r>
            <w:r>
              <w:rPr>
                <w:noProof/>
                <w:webHidden/>
              </w:rPr>
              <w:tab/>
            </w:r>
            <w:r>
              <w:rPr>
                <w:noProof/>
                <w:webHidden/>
              </w:rPr>
              <w:fldChar w:fldCharType="begin"/>
            </w:r>
            <w:r>
              <w:rPr>
                <w:noProof/>
                <w:webHidden/>
              </w:rPr>
              <w:instrText xml:space="preserve"> PAGEREF _Toc211977600 \h </w:instrText>
            </w:r>
            <w:r>
              <w:rPr>
                <w:noProof/>
                <w:webHidden/>
              </w:rPr>
            </w:r>
            <w:r>
              <w:rPr>
                <w:noProof/>
                <w:webHidden/>
              </w:rPr>
              <w:fldChar w:fldCharType="separate"/>
            </w:r>
            <w:r>
              <w:rPr>
                <w:noProof/>
                <w:webHidden/>
              </w:rPr>
              <w:t>3</w:t>
            </w:r>
            <w:r>
              <w:rPr>
                <w:noProof/>
                <w:webHidden/>
              </w:rPr>
              <w:fldChar w:fldCharType="end"/>
            </w:r>
          </w:hyperlink>
        </w:p>
        <w:p w14:paraId="1C535D92" w14:textId="709041A5" w:rsidR="00595A5B" w:rsidRDefault="00595A5B">
          <w:pPr>
            <w:pStyle w:val="TOC2"/>
            <w:tabs>
              <w:tab w:val="left" w:pos="880"/>
              <w:tab w:val="right" w:leader="dot" w:pos="9350"/>
            </w:tabs>
            <w:rPr>
              <w:noProof/>
            </w:rPr>
          </w:pPr>
          <w:hyperlink w:anchor="_Toc211977601" w:history="1">
            <w:r>
              <w:rPr>
                <w:noProof/>
              </w:rPr>
              <w:tab/>
            </w:r>
            <w:r w:rsidRPr="00E110FD">
              <w:rPr>
                <w:rStyle w:val="Hyperlink"/>
                <w:noProof/>
              </w:rPr>
              <w:t>Systems integration</w:t>
            </w:r>
            <w:r>
              <w:rPr>
                <w:noProof/>
                <w:webHidden/>
              </w:rPr>
              <w:tab/>
            </w:r>
            <w:r>
              <w:rPr>
                <w:noProof/>
                <w:webHidden/>
              </w:rPr>
              <w:fldChar w:fldCharType="begin"/>
            </w:r>
            <w:r>
              <w:rPr>
                <w:noProof/>
                <w:webHidden/>
              </w:rPr>
              <w:instrText xml:space="preserve"> PAGEREF _Toc211977601 \h </w:instrText>
            </w:r>
            <w:r>
              <w:rPr>
                <w:noProof/>
                <w:webHidden/>
              </w:rPr>
            </w:r>
            <w:r>
              <w:rPr>
                <w:noProof/>
                <w:webHidden/>
              </w:rPr>
              <w:fldChar w:fldCharType="separate"/>
            </w:r>
            <w:r>
              <w:rPr>
                <w:noProof/>
                <w:webHidden/>
              </w:rPr>
              <w:t>4</w:t>
            </w:r>
            <w:r>
              <w:rPr>
                <w:noProof/>
                <w:webHidden/>
              </w:rPr>
              <w:fldChar w:fldCharType="end"/>
            </w:r>
          </w:hyperlink>
        </w:p>
        <w:p w14:paraId="45397A23" w14:textId="77777777" w:rsidR="00595A5B" w:rsidRDefault="00595A5B">
          <w:pPr>
            <w:pStyle w:val="TOC1"/>
            <w:tabs>
              <w:tab w:val="left" w:pos="440"/>
              <w:tab w:val="right" w:leader="dot" w:pos="9350"/>
            </w:tabs>
            <w:rPr>
              <w:noProof/>
            </w:rPr>
          </w:pPr>
          <w:hyperlink w:anchor="_Toc211977602" w:history="1">
            <w:r w:rsidRPr="00E110FD">
              <w:rPr>
                <w:rStyle w:val="Hyperlink"/>
                <w:noProof/>
              </w:rPr>
              <w:t>4</w:t>
            </w:r>
            <w:r>
              <w:rPr>
                <w:noProof/>
              </w:rPr>
              <w:tab/>
            </w:r>
            <w:r w:rsidRPr="00E110FD">
              <w:rPr>
                <w:rStyle w:val="Hyperlink"/>
                <w:noProof/>
              </w:rPr>
              <w:t>Why recording and tracking blood sugar matters in Type 2 diabetes</w:t>
            </w:r>
            <w:r>
              <w:rPr>
                <w:noProof/>
                <w:webHidden/>
              </w:rPr>
              <w:tab/>
            </w:r>
            <w:r>
              <w:rPr>
                <w:noProof/>
                <w:webHidden/>
              </w:rPr>
              <w:fldChar w:fldCharType="begin"/>
            </w:r>
            <w:r>
              <w:rPr>
                <w:noProof/>
                <w:webHidden/>
              </w:rPr>
              <w:instrText xml:space="preserve"> PAGEREF _Toc211977602 \h </w:instrText>
            </w:r>
            <w:r>
              <w:rPr>
                <w:noProof/>
                <w:webHidden/>
              </w:rPr>
            </w:r>
            <w:r>
              <w:rPr>
                <w:noProof/>
                <w:webHidden/>
              </w:rPr>
              <w:fldChar w:fldCharType="separate"/>
            </w:r>
            <w:r>
              <w:rPr>
                <w:noProof/>
                <w:webHidden/>
              </w:rPr>
              <w:t>4</w:t>
            </w:r>
            <w:r>
              <w:rPr>
                <w:noProof/>
                <w:webHidden/>
              </w:rPr>
              <w:fldChar w:fldCharType="end"/>
            </w:r>
          </w:hyperlink>
        </w:p>
        <w:p w14:paraId="490F7139" w14:textId="1E859EAD" w:rsidR="00595A5B" w:rsidRDefault="00595A5B">
          <w:pPr>
            <w:pStyle w:val="TOC2"/>
            <w:tabs>
              <w:tab w:val="left" w:pos="880"/>
              <w:tab w:val="right" w:leader="dot" w:pos="9350"/>
            </w:tabs>
            <w:rPr>
              <w:noProof/>
            </w:rPr>
          </w:pPr>
          <w:hyperlink w:anchor="_Toc211977603" w:history="1">
            <w:r>
              <w:rPr>
                <w:noProof/>
              </w:rPr>
              <w:tab/>
            </w:r>
            <w:r w:rsidRPr="00E110FD">
              <w:rPr>
                <w:rStyle w:val="Hyperlink"/>
                <w:noProof/>
              </w:rPr>
              <w:t>What to record (data types)</w:t>
            </w:r>
            <w:r>
              <w:rPr>
                <w:noProof/>
                <w:webHidden/>
              </w:rPr>
              <w:tab/>
            </w:r>
            <w:r>
              <w:rPr>
                <w:noProof/>
                <w:webHidden/>
              </w:rPr>
              <w:fldChar w:fldCharType="begin"/>
            </w:r>
            <w:r>
              <w:rPr>
                <w:noProof/>
                <w:webHidden/>
              </w:rPr>
              <w:instrText xml:space="preserve"> PAGEREF _Toc211977603 \h </w:instrText>
            </w:r>
            <w:r>
              <w:rPr>
                <w:noProof/>
                <w:webHidden/>
              </w:rPr>
            </w:r>
            <w:r>
              <w:rPr>
                <w:noProof/>
                <w:webHidden/>
              </w:rPr>
              <w:fldChar w:fldCharType="separate"/>
            </w:r>
            <w:r>
              <w:rPr>
                <w:noProof/>
                <w:webHidden/>
              </w:rPr>
              <w:t>4</w:t>
            </w:r>
            <w:r>
              <w:rPr>
                <w:noProof/>
                <w:webHidden/>
              </w:rPr>
              <w:fldChar w:fldCharType="end"/>
            </w:r>
          </w:hyperlink>
        </w:p>
        <w:p w14:paraId="70776FBF" w14:textId="71333221" w:rsidR="00595A5B" w:rsidRDefault="00595A5B">
          <w:pPr>
            <w:pStyle w:val="TOC2"/>
            <w:tabs>
              <w:tab w:val="left" w:pos="880"/>
              <w:tab w:val="right" w:leader="dot" w:pos="9350"/>
            </w:tabs>
            <w:rPr>
              <w:noProof/>
            </w:rPr>
          </w:pPr>
          <w:hyperlink w:anchor="_Toc211977604" w:history="1">
            <w:r>
              <w:rPr>
                <w:noProof/>
              </w:rPr>
              <w:tab/>
            </w:r>
            <w:r w:rsidRPr="00E110FD">
              <w:rPr>
                <w:rStyle w:val="Hyperlink"/>
                <w:noProof/>
              </w:rPr>
              <w:t>How to interpret trends</w:t>
            </w:r>
            <w:r>
              <w:rPr>
                <w:noProof/>
                <w:webHidden/>
              </w:rPr>
              <w:tab/>
            </w:r>
            <w:r>
              <w:rPr>
                <w:noProof/>
                <w:webHidden/>
              </w:rPr>
              <w:fldChar w:fldCharType="begin"/>
            </w:r>
            <w:r>
              <w:rPr>
                <w:noProof/>
                <w:webHidden/>
              </w:rPr>
              <w:instrText xml:space="preserve"> PAGEREF _Toc211977604 \h </w:instrText>
            </w:r>
            <w:r>
              <w:rPr>
                <w:noProof/>
                <w:webHidden/>
              </w:rPr>
            </w:r>
            <w:r>
              <w:rPr>
                <w:noProof/>
                <w:webHidden/>
              </w:rPr>
              <w:fldChar w:fldCharType="separate"/>
            </w:r>
            <w:r>
              <w:rPr>
                <w:noProof/>
                <w:webHidden/>
              </w:rPr>
              <w:t>5</w:t>
            </w:r>
            <w:r>
              <w:rPr>
                <w:noProof/>
                <w:webHidden/>
              </w:rPr>
              <w:fldChar w:fldCharType="end"/>
            </w:r>
          </w:hyperlink>
        </w:p>
        <w:p w14:paraId="3106DCA3" w14:textId="2E244E84" w:rsidR="00595A5B" w:rsidRDefault="00595A5B">
          <w:pPr>
            <w:pStyle w:val="TOC2"/>
            <w:tabs>
              <w:tab w:val="left" w:pos="880"/>
              <w:tab w:val="right" w:leader="dot" w:pos="9350"/>
            </w:tabs>
            <w:rPr>
              <w:noProof/>
            </w:rPr>
          </w:pPr>
          <w:hyperlink w:anchor="_Toc211977605" w:history="1">
            <w:r>
              <w:rPr>
                <w:noProof/>
              </w:rPr>
              <w:tab/>
            </w:r>
            <w:r w:rsidRPr="00E110FD">
              <w:rPr>
                <w:rStyle w:val="Hyperlink"/>
                <w:noProof/>
              </w:rPr>
              <w:t>Safety, escalation, and quality</w:t>
            </w:r>
            <w:r>
              <w:rPr>
                <w:noProof/>
                <w:webHidden/>
              </w:rPr>
              <w:tab/>
            </w:r>
            <w:r>
              <w:rPr>
                <w:noProof/>
                <w:webHidden/>
              </w:rPr>
              <w:fldChar w:fldCharType="begin"/>
            </w:r>
            <w:r>
              <w:rPr>
                <w:noProof/>
                <w:webHidden/>
              </w:rPr>
              <w:instrText xml:space="preserve"> PAGEREF _Toc211977605 \h </w:instrText>
            </w:r>
            <w:r>
              <w:rPr>
                <w:noProof/>
                <w:webHidden/>
              </w:rPr>
            </w:r>
            <w:r>
              <w:rPr>
                <w:noProof/>
                <w:webHidden/>
              </w:rPr>
              <w:fldChar w:fldCharType="separate"/>
            </w:r>
            <w:r>
              <w:rPr>
                <w:noProof/>
                <w:webHidden/>
              </w:rPr>
              <w:t>5</w:t>
            </w:r>
            <w:r>
              <w:rPr>
                <w:noProof/>
                <w:webHidden/>
              </w:rPr>
              <w:fldChar w:fldCharType="end"/>
            </w:r>
          </w:hyperlink>
        </w:p>
        <w:p w14:paraId="6F4B2291" w14:textId="77777777" w:rsidR="00595A5B" w:rsidRDefault="00595A5B">
          <w:pPr>
            <w:pStyle w:val="TOC1"/>
            <w:tabs>
              <w:tab w:val="left" w:pos="440"/>
              <w:tab w:val="right" w:leader="dot" w:pos="9350"/>
            </w:tabs>
            <w:rPr>
              <w:noProof/>
            </w:rPr>
          </w:pPr>
          <w:hyperlink w:anchor="_Toc211977606" w:history="1">
            <w:r w:rsidRPr="00E110FD">
              <w:rPr>
                <w:rStyle w:val="Hyperlink"/>
                <w:noProof/>
              </w:rPr>
              <w:t>5</w:t>
            </w:r>
            <w:r>
              <w:rPr>
                <w:noProof/>
              </w:rPr>
              <w:tab/>
            </w:r>
            <w:r w:rsidRPr="00E110FD">
              <w:rPr>
                <w:rStyle w:val="Hyperlink"/>
                <w:noProof/>
              </w:rPr>
              <w:t>Evidence-based lifestyle recommendations for safer glycaemic control</w:t>
            </w:r>
            <w:r>
              <w:rPr>
                <w:noProof/>
                <w:webHidden/>
              </w:rPr>
              <w:tab/>
            </w:r>
            <w:r>
              <w:rPr>
                <w:noProof/>
                <w:webHidden/>
              </w:rPr>
              <w:fldChar w:fldCharType="begin"/>
            </w:r>
            <w:r>
              <w:rPr>
                <w:noProof/>
                <w:webHidden/>
              </w:rPr>
              <w:instrText xml:space="preserve"> PAGEREF _Toc211977606 \h </w:instrText>
            </w:r>
            <w:r>
              <w:rPr>
                <w:noProof/>
                <w:webHidden/>
              </w:rPr>
            </w:r>
            <w:r>
              <w:rPr>
                <w:noProof/>
                <w:webHidden/>
              </w:rPr>
              <w:fldChar w:fldCharType="separate"/>
            </w:r>
            <w:r>
              <w:rPr>
                <w:noProof/>
                <w:webHidden/>
              </w:rPr>
              <w:t>5</w:t>
            </w:r>
            <w:r>
              <w:rPr>
                <w:noProof/>
                <w:webHidden/>
              </w:rPr>
              <w:fldChar w:fldCharType="end"/>
            </w:r>
          </w:hyperlink>
        </w:p>
        <w:p w14:paraId="307A0E36" w14:textId="6D7C4309" w:rsidR="00595A5B" w:rsidRDefault="00595A5B">
          <w:pPr>
            <w:pStyle w:val="TOC2"/>
            <w:tabs>
              <w:tab w:val="left" w:pos="880"/>
              <w:tab w:val="right" w:leader="dot" w:pos="9350"/>
            </w:tabs>
            <w:rPr>
              <w:noProof/>
            </w:rPr>
          </w:pPr>
          <w:hyperlink w:anchor="_Toc211977607" w:history="1">
            <w:r>
              <w:rPr>
                <w:noProof/>
              </w:rPr>
              <w:tab/>
            </w:r>
            <w:r w:rsidRPr="00E110FD">
              <w:rPr>
                <w:rStyle w:val="Hyperlink"/>
                <w:noProof/>
              </w:rPr>
              <w:t>Medical nutrition therapy and dietary patterns</w:t>
            </w:r>
            <w:r>
              <w:rPr>
                <w:noProof/>
                <w:webHidden/>
              </w:rPr>
              <w:tab/>
            </w:r>
            <w:r>
              <w:rPr>
                <w:noProof/>
                <w:webHidden/>
              </w:rPr>
              <w:fldChar w:fldCharType="begin"/>
            </w:r>
            <w:r>
              <w:rPr>
                <w:noProof/>
                <w:webHidden/>
              </w:rPr>
              <w:instrText xml:space="preserve"> PAGEREF _Toc211977607 \h </w:instrText>
            </w:r>
            <w:r>
              <w:rPr>
                <w:noProof/>
                <w:webHidden/>
              </w:rPr>
            </w:r>
            <w:r>
              <w:rPr>
                <w:noProof/>
                <w:webHidden/>
              </w:rPr>
              <w:fldChar w:fldCharType="separate"/>
            </w:r>
            <w:r>
              <w:rPr>
                <w:noProof/>
                <w:webHidden/>
              </w:rPr>
              <w:t>5</w:t>
            </w:r>
            <w:r>
              <w:rPr>
                <w:noProof/>
                <w:webHidden/>
              </w:rPr>
              <w:fldChar w:fldCharType="end"/>
            </w:r>
          </w:hyperlink>
        </w:p>
        <w:p w14:paraId="557FF912" w14:textId="60F5C91E" w:rsidR="00595A5B" w:rsidRDefault="00595A5B">
          <w:pPr>
            <w:pStyle w:val="TOC2"/>
            <w:tabs>
              <w:tab w:val="left" w:pos="880"/>
              <w:tab w:val="right" w:leader="dot" w:pos="9350"/>
            </w:tabs>
            <w:rPr>
              <w:noProof/>
            </w:rPr>
          </w:pPr>
          <w:hyperlink w:anchor="_Toc211977608" w:history="1">
            <w:r>
              <w:rPr>
                <w:noProof/>
              </w:rPr>
              <w:tab/>
            </w:r>
            <w:r w:rsidRPr="00E110FD">
              <w:rPr>
                <w:rStyle w:val="Hyperlink"/>
                <w:noProof/>
              </w:rPr>
              <w:t>Physical activity and sedentary time</w:t>
            </w:r>
            <w:r>
              <w:rPr>
                <w:noProof/>
                <w:webHidden/>
              </w:rPr>
              <w:tab/>
            </w:r>
            <w:r>
              <w:rPr>
                <w:noProof/>
                <w:webHidden/>
              </w:rPr>
              <w:fldChar w:fldCharType="begin"/>
            </w:r>
            <w:r>
              <w:rPr>
                <w:noProof/>
                <w:webHidden/>
              </w:rPr>
              <w:instrText xml:space="preserve"> PAGEREF _Toc211977608 \h </w:instrText>
            </w:r>
            <w:r>
              <w:rPr>
                <w:noProof/>
                <w:webHidden/>
              </w:rPr>
            </w:r>
            <w:r>
              <w:rPr>
                <w:noProof/>
                <w:webHidden/>
              </w:rPr>
              <w:fldChar w:fldCharType="separate"/>
            </w:r>
            <w:r>
              <w:rPr>
                <w:noProof/>
                <w:webHidden/>
              </w:rPr>
              <w:t>6</w:t>
            </w:r>
            <w:r>
              <w:rPr>
                <w:noProof/>
                <w:webHidden/>
              </w:rPr>
              <w:fldChar w:fldCharType="end"/>
            </w:r>
          </w:hyperlink>
        </w:p>
        <w:p w14:paraId="21575DBB" w14:textId="17F00C22" w:rsidR="00595A5B" w:rsidRDefault="00595A5B" w:rsidP="008E7348">
          <w:pPr>
            <w:pStyle w:val="TOC2"/>
            <w:tabs>
              <w:tab w:val="left" w:pos="880"/>
              <w:tab w:val="right" w:leader="dot" w:pos="9350"/>
            </w:tabs>
            <w:rPr>
              <w:noProof/>
            </w:rPr>
          </w:pPr>
          <w:hyperlink w:anchor="_Toc211977609" w:history="1">
            <w:r>
              <w:rPr>
                <w:noProof/>
              </w:rPr>
              <w:tab/>
            </w:r>
            <w:r w:rsidRPr="00E110FD">
              <w:rPr>
                <w:rStyle w:val="Hyperlink"/>
                <w:noProof/>
              </w:rPr>
              <w:t>Smoking cessation</w:t>
            </w:r>
            <w:r>
              <w:rPr>
                <w:noProof/>
                <w:webHidden/>
              </w:rPr>
              <w:tab/>
            </w:r>
            <w:r>
              <w:rPr>
                <w:noProof/>
                <w:webHidden/>
              </w:rPr>
              <w:fldChar w:fldCharType="begin"/>
            </w:r>
            <w:r>
              <w:rPr>
                <w:noProof/>
                <w:webHidden/>
              </w:rPr>
              <w:instrText xml:space="preserve"> PAGEREF _Toc211977609 \h </w:instrText>
            </w:r>
            <w:r>
              <w:rPr>
                <w:noProof/>
                <w:webHidden/>
              </w:rPr>
            </w:r>
            <w:r>
              <w:rPr>
                <w:noProof/>
                <w:webHidden/>
              </w:rPr>
              <w:fldChar w:fldCharType="separate"/>
            </w:r>
            <w:r>
              <w:rPr>
                <w:noProof/>
                <w:webHidden/>
              </w:rPr>
              <w:t>6</w:t>
            </w:r>
            <w:r>
              <w:rPr>
                <w:noProof/>
                <w:webHidden/>
              </w:rPr>
              <w:fldChar w:fldCharType="end"/>
            </w:r>
          </w:hyperlink>
        </w:p>
        <w:p w14:paraId="2FB3A1F5" w14:textId="6065BDF0" w:rsidR="00595A5B" w:rsidRDefault="00595A5B">
          <w:pPr>
            <w:pStyle w:val="TOC2"/>
            <w:tabs>
              <w:tab w:val="left" w:pos="880"/>
              <w:tab w:val="right" w:leader="dot" w:pos="9350"/>
            </w:tabs>
            <w:rPr>
              <w:noProof/>
            </w:rPr>
          </w:pPr>
          <w:hyperlink w:anchor="_Toc211977611" w:history="1">
            <w:r>
              <w:rPr>
                <w:noProof/>
              </w:rPr>
              <w:tab/>
            </w:r>
            <w:r w:rsidRPr="00E110FD">
              <w:rPr>
                <w:rStyle w:val="Hyperlink"/>
                <w:noProof/>
              </w:rPr>
              <w:t>Behaviour change frameworks in practice</w:t>
            </w:r>
            <w:r>
              <w:rPr>
                <w:noProof/>
                <w:webHidden/>
              </w:rPr>
              <w:tab/>
            </w:r>
            <w:r>
              <w:rPr>
                <w:noProof/>
                <w:webHidden/>
              </w:rPr>
              <w:fldChar w:fldCharType="begin"/>
            </w:r>
            <w:r>
              <w:rPr>
                <w:noProof/>
                <w:webHidden/>
              </w:rPr>
              <w:instrText xml:space="preserve"> PAGEREF _Toc211977611 \h </w:instrText>
            </w:r>
            <w:r>
              <w:rPr>
                <w:noProof/>
                <w:webHidden/>
              </w:rPr>
            </w:r>
            <w:r>
              <w:rPr>
                <w:noProof/>
                <w:webHidden/>
              </w:rPr>
              <w:fldChar w:fldCharType="separate"/>
            </w:r>
            <w:r>
              <w:rPr>
                <w:noProof/>
                <w:webHidden/>
              </w:rPr>
              <w:t>7</w:t>
            </w:r>
            <w:r>
              <w:rPr>
                <w:noProof/>
                <w:webHidden/>
              </w:rPr>
              <w:fldChar w:fldCharType="end"/>
            </w:r>
          </w:hyperlink>
        </w:p>
        <w:p w14:paraId="1958F15F" w14:textId="77777777" w:rsidR="00595A5B" w:rsidRDefault="00595A5B">
          <w:pPr>
            <w:pStyle w:val="TOC1"/>
            <w:tabs>
              <w:tab w:val="left" w:pos="440"/>
              <w:tab w:val="right" w:leader="dot" w:pos="9350"/>
            </w:tabs>
            <w:rPr>
              <w:noProof/>
            </w:rPr>
          </w:pPr>
          <w:hyperlink w:anchor="_Toc211977612" w:history="1">
            <w:r w:rsidRPr="00E110FD">
              <w:rPr>
                <w:rStyle w:val="Hyperlink"/>
                <w:noProof/>
              </w:rPr>
              <w:t>6</w:t>
            </w:r>
            <w:r>
              <w:rPr>
                <w:noProof/>
              </w:rPr>
              <w:tab/>
            </w:r>
            <w:r w:rsidRPr="00E110FD">
              <w:rPr>
                <w:rStyle w:val="Hyperlink"/>
                <w:noProof/>
              </w:rPr>
              <w:t>Conclusion</w:t>
            </w:r>
            <w:r>
              <w:rPr>
                <w:noProof/>
                <w:webHidden/>
              </w:rPr>
              <w:tab/>
            </w:r>
            <w:r>
              <w:rPr>
                <w:noProof/>
                <w:webHidden/>
              </w:rPr>
              <w:fldChar w:fldCharType="begin"/>
            </w:r>
            <w:r>
              <w:rPr>
                <w:noProof/>
                <w:webHidden/>
              </w:rPr>
              <w:instrText xml:space="preserve"> PAGEREF _Toc211977612 \h </w:instrText>
            </w:r>
            <w:r>
              <w:rPr>
                <w:noProof/>
                <w:webHidden/>
              </w:rPr>
            </w:r>
            <w:r>
              <w:rPr>
                <w:noProof/>
                <w:webHidden/>
              </w:rPr>
              <w:fldChar w:fldCharType="separate"/>
            </w:r>
            <w:r>
              <w:rPr>
                <w:noProof/>
                <w:webHidden/>
              </w:rPr>
              <w:t>7</w:t>
            </w:r>
            <w:r>
              <w:rPr>
                <w:noProof/>
                <w:webHidden/>
              </w:rPr>
              <w:fldChar w:fldCharType="end"/>
            </w:r>
          </w:hyperlink>
        </w:p>
        <w:p w14:paraId="04309A4A" w14:textId="77777777" w:rsidR="00595A5B" w:rsidRDefault="00595A5B">
          <w:pPr>
            <w:pStyle w:val="TOC1"/>
            <w:tabs>
              <w:tab w:val="left" w:pos="440"/>
              <w:tab w:val="right" w:leader="dot" w:pos="9350"/>
            </w:tabs>
            <w:rPr>
              <w:noProof/>
            </w:rPr>
          </w:pPr>
          <w:hyperlink w:anchor="_Toc211977613" w:history="1">
            <w:r w:rsidRPr="00E110FD">
              <w:rPr>
                <w:rStyle w:val="Hyperlink"/>
                <w:noProof/>
              </w:rPr>
              <w:t>7</w:t>
            </w:r>
            <w:r>
              <w:rPr>
                <w:noProof/>
              </w:rPr>
              <w:tab/>
            </w:r>
            <w:r w:rsidRPr="00E110FD">
              <w:rPr>
                <w:rStyle w:val="Hyperlink"/>
                <w:noProof/>
              </w:rPr>
              <w:t>References</w:t>
            </w:r>
            <w:r>
              <w:rPr>
                <w:noProof/>
                <w:webHidden/>
              </w:rPr>
              <w:tab/>
            </w:r>
            <w:r>
              <w:rPr>
                <w:noProof/>
                <w:webHidden/>
              </w:rPr>
              <w:fldChar w:fldCharType="begin"/>
            </w:r>
            <w:r>
              <w:rPr>
                <w:noProof/>
                <w:webHidden/>
              </w:rPr>
              <w:instrText xml:space="preserve"> PAGEREF _Toc211977613 \h </w:instrText>
            </w:r>
            <w:r>
              <w:rPr>
                <w:noProof/>
                <w:webHidden/>
              </w:rPr>
            </w:r>
            <w:r>
              <w:rPr>
                <w:noProof/>
                <w:webHidden/>
              </w:rPr>
              <w:fldChar w:fldCharType="separate"/>
            </w:r>
            <w:r>
              <w:rPr>
                <w:noProof/>
                <w:webHidden/>
              </w:rPr>
              <w:t>8</w:t>
            </w:r>
            <w:r>
              <w:rPr>
                <w:noProof/>
                <w:webHidden/>
              </w:rPr>
              <w:fldChar w:fldCharType="end"/>
            </w:r>
          </w:hyperlink>
        </w:p>
        <w:p w14:paraId="579BB504" w14:textId="77777777" w:rsidR="00595A5B" w:rsidRDefault="00595A5B">
          <w:r>
            <w:rPr>
              <w:b/>
              <w:bCs/>
              <w:noProof/>
            </w:rPr>
            <w:fldChar w:fldCharType="end"/>
          </w:r>
        </w:p>
      </w:sdtContent>
    </w:sdt>
    <w:p w14:paraId="0B7C33C5" w14:textId="77777777" w:rsidR="00595A5B" w:rsidRDefault="00595A5B" w:rsidP="00C86864"/>
    <w:p w14:paraId="36DAD3D3" w14:textId="77777777" w:rsidR="00C86864" w:rsidRPr="00C86864" w:rsidRDefault="00C86864" w:rsidP="00BB46A2">
      <w:pPr>
        <w:pStyle w:val="Heading1"/>
      </w:pPr>
      <w:bookmarkStart w:id="0" w:name="_Toc211977593"/>
      <w:r w:rsidRPr="00C86864">
        <w:t>Introducti</w:t>
      </w:r>
      <w:r>
        <w:t>on: Diabetes and risk factors</w:t>
      </w:r>
      <w:bookmarkEnd w:id="0"/>
    </w:p>
    <w:p w14:paraId="03FD1588" w14:textId="501B3E0E" w:rsidR="00D35757" w:rsidRPr="00D35757" w:rsidRDefault="00D35757" w:rsidP="00D35757">
      <w:pPr>
        <w:rPr>
          <w:lang w:val="en-US"/>
        </w:rPr>
      </w:pPr>
      <w:r w:rsidRPr="00D35757">
        <w:rPr>
          <w:lang w:val="en-US"/>
        </w:rPr>
        <w:t xml:space="preserve">Diabetes mellitus is a chronic glucose metabolism disorder that is </w:t>
      </w:r>
      <w:r w:rsidR="00BB46A2" w:rsidRPr="00D35757">
        <w:rPr>
          <w:lang w:val="en-US"/>
        </w:rPr>
        <w:t>characterized</w:t>
      </w:r>
      <w:r w:rsidRPr="00D35757">
        <w:rPr>
          <w:lang w:val="en-US"/>
        </w:rPr>
        <w:t xml:space="preserve"> by persistent </w:t>
      </w:r>
      <w:r w:rsidR="00BB46A2" w:rsidRPr="00D35757">
        <w:rPr>
          <w:lang w:val="en-US"/>
        </w:rPr>
        <w:t>hyperglycemia</w:t>
      </w:r>
      <w:r w:rsidRPr="00D35757">
        <w:rPr>
          <w:lang w:val="en-US"/>
        </w:rPr>
        <w:t xml:space="preserve"> due to the pathogenesis of insulin deficiency (in one or both), as a result of defects in insulin secretion, insulin action or both; Type 2 diabetes (T2D) is </w:t>
      </w:r>
      <w:r w:rsidR="00BB46A2" w:rsidRPr="00D35757">
        <w:rPr>
          <w:lang w:val="en-US"/>
        </w:rPr>
        <w:t>characterized</w:t>
      </w:r>
      <w:r w:rsidRPr="00D35757">
        <w:rPr>
          <w:lang w:val="en-US"/>
        </w:rPr>
        <w:t xml:space="preserve"> by insulin resistance with relative insulin insufficiency, and Type 1 is </w:t>
      </w:r>
      <w:r w:rsidR="00BB46A2" w:rsidRPr="00D35757">
        <w:rPr>
          <w:lang w:val="en-US"/>
        </w:rPr>
        <w:t>characterized</w:t>
      </w:r>
      <w:r w:rsidRPr="00D35757">
        <w:rPr>
          <w:lang w:val="en-US"/>
        </w:rPr>
        <w:t xml:space="preserve"> by autoimmune insulin-insufficient insulin insufficiency and absolute insulin deficiency (WHO, 2023). </w:t>
      </w:r>
    </w:p>
    <w:p w14:paraId="1F2FA7A6" w14:textId="77777777" w:rsidR="00D35757" w:rsidRPr="00D35757" w:rsidRDefault="00D35757" w:rsidP="00D35757">
      <w:pPr>
        <w:rPr>
          <w:lang w:val="en-US"/>
        </w:rPr>
      </w:pPr>
      <w:r w:rsidRPr="00D35757">
        <w:rPr>
          <w:lang w:val="en-US"/>
        </w:rPr>
        <w:t xml:space="preserve">The increase in T2D prevalence in the UK primary care can be seen in regular registers, the National Diabetes Audit, and burdens the practice nurses, who must organize education and risk-factor alteration and monitoring in the general practice centers (GOV.UK, 2025). </w:t>
      </w:r>
    </w:p>
    <w:p w14:paraId="023F4959" w14:textId="6BE7AB70" w:rsidR="00D35757" w:rsidRPr="00D35757" w:rsidRDefault="00D35757" w:rsidP="00D35757">
      <w:pPr>
        <w:rPr>
          <w:lang w:val="en-US"/>
        </w:rPr>
      </w:pPr>
      <w:r w:rsidRPr="00D35757">
        <w:rPr>
          <w:lang w:val="en-US"/>
        </w:rPr>
        <w:t xml:space="preserve">A practical risk model separates non-modifiable risk factors, such as ageing, family history, high-risk ethnicity, and previous gestational diabetes, with modifiable risk factors such as adiposity, high-calorie diets, physical sedentary </w:t>
      </w:r>
      <w:r w:rsidR="00BB46A2" w:rsidRPr="00D35757">
        <w:rPr>
          <w:lang w:val="en-US"/>
        </w:rPr>
        <w:t>behavior</w:t>
      </w:r>
      <w:r w:rsidRPr="00D35757">
        <w:rPr>
          <w:lang w:val="en-US"/>
        </w:rPr>
        <w:t xml:space="preserve">, exposure to tobacco, and sleep restriction or irregularity (NICE, 2023; JAMA Network Open cohort, 2023). </w:t>
      </w:r>
    </w:p>
    <w:p w14:paraId="50ED9E18" w14:textId="77777777" w:rsidR="00D35757" w:rsidRPr="00D35757" w:rsidRDefault="00D35757" w:rsidP="00D35757">
      <w:pPr>
        <w:rPr>
          <w:lang w:val="en-US"/>
        </w:rPr>
      </w:pPr>
      <w:r w:rsidRPr="00D35757">
        <w:rPr>
          <w:lang w:val="en-US"/>
        </w:rPr>
        <w:t xml:space="preserve">The stakes of the health system are so high: according to the recent UK analyses, the costs of diabetes are approximately equal to 14 billion a year, and the majority of them is comprised of the preventable complications and the direct costs of the NHS, which is why it is necessary to prevent diabetes earlier and manage it in primary care (University of York, 2024). </w:t>
      </w:r>
    </w:p>
    <w:p w14:paraId="46D6D27E" w14:textId="0E0C36D4" w:rsidR="00C86864" w:rsidRPr="00C86864" w:rsidRDefault="00D35757" w:rsidP="00D35757">
      <w:pPr>
        <w:rPr>
          <w:lang w:val="en-US"/>
        </w:rPr>
      </w:pPr>
      <w:r w:rsidRPr="00D35757">
        <w:rPr>
          <w:lang w:val="en-US"/>
        </w:rPr>
        <w:t xml:space="preserve">As a </w:t>
      </w:r>
      <w:r w:rsidR="008E7348" w:rsidRPr="00D35757">
        <w:rPr>
          <w:lang w:val="en-US"/>
        </w:rPr>
        <w:t>practice nurse</w:t>
      </w:r>
      <w:r w:rsidRPr="00D35757">
        <w:rPr>
          <w:lang w:val="en-US"/>
        </w:rPr>
        <w:t xml:space="preserve">, it is necessary to ensure that the patient </w:t>
      </w:r>
      <w:r w:rsidR="00BB46A2" w:rsidRPr="00D35757">
        <w:rPr>
          <w:lang w:val="en-US"/>
        </w:rPr>
        <w:t>understands</w:t>
      </w:r>
      <w:r w:rsidRPr="00D35757">
        <w:rPr>
          <w:lang w:val="en-US"/>
        </w:rPr>
        <w:t xml:space="preserve"> pathophysiology and regular patient data (capillary glucose, HbA1c, CGM time-in-range) to </w:t>
      </w:r>
      <w:r w:rsidR="00A538B4" w:rsidRPr="00D35757">
        <w:rPr>
          <w:lang w:val="en-US"/>
        </w:rPr>
        <w:t>contact</w:t>
      </w:r>
      <w:r w:rsidRPr="00D35757">
        <w:rPr>
          <w:lang w:val="en-US"/>
        </w:rPr>
        <w:t xml:space="preserve"> care plans. This report thus connects the core physiology to the practical application of the routine data and </w:t>
      </w:r>
      <w:r w:rsidRPr="00D35757">
        <w:rPr>
          <w:lang w:val="en-US"/>
        </w:rPr>
        <w:lastRenderedPageBreak/>
        <w:t xml:space="preserve">demonstrates, among other things, how lifestyle change in smoking, diet, exercise and sleep can be used to achieve safer </w:t>
      </w:r>
      <w:r w:rsidR="00BB46A2" w:rsidRPr="00D35757">
        <w:rPr>
          <w:lang w:val="en-US"/>
        </w:rPr>
        <w:t>glycemic</w:t>
      </w:r>
      <w:r w:rsidRPr="00D35757">
        <w:rPr>
          <w:lang w:val="en-US"/>
        </w:rPr>
        <w:t xml:space="preserve"> control in real-world GP clinics (NHS England QOF, 2024).</w:t>
      </w:r>
      <w:r w:rsidR="00C86864" w:rsidRPr="00C86864">
        <w:rPr>
          <w:lang w:val="en-US"/>
        </w:rPr>
        <w:t xml:space="preserve"> </w:t>
      </w:r>
    </w:p>
    <w:p w14:paraId="3A55F91A" w14:textId="77777777" w:rsidR="00C86864" w:rsidRPr="00C86864" w:rsidRDefault="00C86864" w:rsidP="00BB46A2">
      <w:pPr>
        <w:pStyle w:val="Heading1"/>
      </w:pPr>
      <w:bookmarkStart w:id="1" w:name="_Toc211977594"/>
      <w:r w:rsidRPr="00C86864">
        <w:t>How the body maintains safe blood glucose (</w:t>
      </w:r>
      <w:r>
        <w:t>glucose homeostasis)</w:t>
      </w:r>
      <w:bookmarkEnd w:id="1"/>
    </w:p>
    <w:p w14:paraId="0F421F4F" w14:textId="77777777" w:rsidR="00C86864" w:rsidRPr="00C86864" w:rsidRDefault="00C86864" w:rsidP="008E7348">
      <w:pPr>
        <w:pStyle w:val="Heading2"/>
        <w:numPr>
          <w:ilvl w:val="0"/>
          <w:numId w:val="0"/>
        </w:numPr>
        <w:ind w:left="576"/>
      </w:pPr>
      <w:bookmarkStart w:id="2" w:name="_Toc211977595"/>
      <w:r w:rsidRPr="00C86864">
        <w:t>Endo</w:t>
      </w:r>
      <w:r>
        <w:t>crine pancreas and key organs</w:t>
      </w:r>
      <w:bookmarkEnd w:id="2"/>
    </w:p>
    <w:p w14:paraId="76B7CA66" w14:textId="5340F21D" w:rsidR="00C86864" w:rsidRPr="00D35757" w:rsidRDefault="00D35757" w:rsidP="00D35757">
      <w:pPr>
        <w:rPr>
          <w:lang w:val="en-US"/>
        </w:rPr>
      </w:pPr>
      <w:r w:rsidRPr="00D35757">
        <w:rPr>
          <w:lang w:val="en-US"/>
        </w:rPr>
        <w:t xml:space="preserve">The endocrine pancreas, with β-cells secreting insulin and α-cells secreting glucagon, regulates plasma glucose levels during fasting and post-prandial states (ADA, 2025). </w:t>
      </w:r>
      <w:r w:rsidRPr="00D35757">
        <w:rPr>
          <w:lang w:val="en-US"/>
        </w:rPr>
        <w:br/>
      </w:r>
      <w:r w:rsidRPr="00D35757">
        <w:rPr>
          <w:lang w:val="en-US"/>
        </w:rPr>
        <w:br/>
        <w:t xml:space="preserve">After meals, the gut releases incretins—GLP-1 and glucose-dependent insulinotropic polypeptide—that increase glucose-stimulated insulin secretion and slow gastric emptying, limiting post-prandial excursions (Danowitz &amp; De Leon, 2022; Endocrinology review, 2024). </w:t>
      </w:r>
      <w:r w:rsidRPr="00D35757">
        <w:rPr>
          <w:lang w:val="en-US"/>
        </w:rPr>
        <w:br/>
        <w:t xml:space="preserve">The liver stores glucose and, during fasting, endogenous production through glycogenolysis and gluconeogenesis; skeletal muscle disposes of large glucose </w:t>
      </w:r>
      <w:r w:rsidR="00A538B4" w:rsidRPr="00D35757">
        <w:rPr>
          <w:lang w:val="en-US"/>
        </w:rPr>
        <w:t>load</w:t>
      </w:r>
      <w:r w:rsidRPr="00D35757">
        <w:rPr>
          <w:lang w:val="en-US"/>
        </w:rPr>
        <w:t xml:space="preserve"> through insulin-regulated GLUT4 transporters; and adipose tissue modulates lipolysis to spare glucose when insulin is adequate.</w:t>
      </w:r>
      <w:r>
        <w:rPr>
          <w:lang w:val="en-US"/>
        </w:rPr>
        <w:t xml:space="preserve"> </w:t>
      </w:r>
      <w:r w:rsidRPr="00D35757">
        <w:rPr>
          <w:lang w:val="en-US"/>
        </w:rPr>
        <w:br/>
        <w:t xml:space="preserve">In acute illness or chronic insulin resistance, hepatic glucose output rises and peripheral uptake falls, causing </w:t>
      </w:r>
      <w:r w:rsidR="00A538B4" w:rsidRPr="00D35757">
        <w:rPr>
          <w:lang w:val="en-US"/>
        </w:rPr>
        <w:t>hyperglycemia</w:t>
      </w:r>
      <w:r w:rsidRPr="00D35757">
        <w:rPr>
          <w:lang w:val="en-US"/>
        </w:rPr>
        <w:t xml:space="preserve"> in primary-care T2D cohorts (GOV.UK, 2025). </w:t>
      </w:r>
      <w:r w:rsidR="00C86864" w:rsidRPr="00C86864">
        <w:rPr>
          <w:lang w:val="en-US"/>
        </w:rPr>
        <w:t xml:space="preserve"> </w:t>
      </w:r>
    </w:p>
    <w:p w14:paraId="03DCADCF" w14:textId="77777777" w:rsidR="00C86864" w:rsidRPr="00C86864" w:rsidRDefault="00C86864" w:rsidP="008E7348">
      <w:pPr>
        <w:pStyle w:val="Heading2"/>
        <w:numPr>
          <w:ilvl w:val="0"/>
          <w:numId w:val="0"/>
        </w:numPr>
      </w:pPr>
      <w:bookmarkStart w:id="3" w:name="_Toc211977596"/>
      <w:r w:rsidRPr="00C86864">
        <w:t>Hormonal mech</w:t>
      </w:r>
      <w:r>
        <w:t>anisms and transport</w:t>
      </w:r>
      <w:bookmarkEnd w:id="3"/>
    </w:p>
    <w:p w14:paraId="44049054" w14:textId="5BB948B1" w:rsidR="00D35757" w:rsidRDefault="00D35757" w:rsidP="00D35757">
      <w:pPr>
        <w:rPr>
          <w:lang w:val="en-US"/>
        </w:rPr>
      </w:pPr>
      <w:r w:rsidRPr="00D35757">
        <w:rPr>
          <w:lang w:val="en-US"/>
        </w:rPr>
        <w:t>Insulin binding to its receptor activates the PI3K–AKT cascade, phosphorylating AS160/TBC1D4 and releasing intracellular GLUT4 vesicles for plasma membrane trafficking and fusion, accelerating muscle and adipose tissue glucose uptake and glycogenesis (</w:t>
      </w:r>
      <w:r w:rsidR="00A538B4" w:rsidRPr="00D35757">
        <w:rPr>
          <w:lang w:val="en-US"/>
        </w:rPr>
        <w:t>Tongogara</w:t>
      </w:r>
      <w:r w:rsidRPr="00D35757">
        <w:rPr>
          <w:lang w:val="en-US"/>
        </w:rPr>
        <w:t xml:space="preserve"> &amp; Thurmond, 2017). </w:t>
      </w:r>
      <w:r w:rsidRPr="00D35757">
        <w:rPr>
          <w:lang w:val="en-US"/>
        </w:rPr>
        <w:br/>
        <w:t xml:space="preserve">This mechanism answers 'how' post-prandial glucose is cleared quickly and 'where' the main sink is: ambulatory adults dispose of most insulin-stimulated glucose in skeletal muscle (ADA, 2025). </w:t>
      </w:r>
    </w:p>
    <w:p w14:paraId="7E21ADD8" w14:textId="77777777" w:rsidR="00D35757" w:rsidRDefault="00D35757" w:rsidP="00D35757">
      <w:pPr>
        <w:rPr>
          <w:lang w:val="en-US"/>
        </w:rPr>
      </w:pPr>
      <w:r w:rsidRPr="00D35757">
        <w:rPr>
          <w:lang w:val="en-US"/>
        </w:rPr>
        <w:t xml:space="preserve">In contrast, glucagon binds hepatic receptors, raises cyclic AMP, activates protein kinase A, inhibits glycolysis, and stimulates glycogenolysis and gluconeogenesis to maintain glucose availability between meals, especially in low-insulin states (Physiological Reviews, 2024). </w:t>
      </w:r>
    </w:p>
    <w:p w14:paraId="6D1734AC" w14:textId="3F9F5E60" w:rsidR="00D35757" w:rsidRDefault="00D35757" w:rsidP="00D35757">
      <w:pPr>
        <w:rPr>
          <w:lang w:val="en-US"/>
        </w:rPr>
      </w:pPr>
      <w:r w:rsidRPr="00D35757">
        <w:rPr>
          <w:lang w:val="en-US"/>
        </w:rPr>
        <w:t xml:space="preserve">Adrenaline, cortisol, and growth hormone cause </w:t>
      </w:r>
      <w:r w:rsidR="00A538B4" w:rsidRPr="00D35757">
        <w:rPr>
          <w:lang w:val="en-US"/>
        </w:rPr>
        <w:t>hyperglycemia</w:t>
      </w:r>
      <w:r w:rsidRPr="00D35757">
        <w:rPr>
          <w:lang w:val="en-US"/>
        </w:rPr>
        <w:t xml:space="preserve"> through hepatic glucose output and reduced peripheral uptake. Catecholamines respond quickly, but cortisol and GH respond slowly, which is important when assessing </w:t>
      </w:r>
      <w:r w:rsidR="00A538B4" w:rsidRPr="00D35757">
        <w:rPr>
          <w:lang w:val="en-US"/>
        </w:rPr>
        <w:t>hypoglycemia</w:t>
      </w:r>
      <w:r w:rsidRPr="00D35757">
        <w:rPr>
          <w:lang w:val="en-US"/>
        </w:rPr>
        <w:t xml:space="preserve"> risk in older or insulin-treated patients (Endocrinol </w:t>
      </w:r>
      <w:r w:rsidR="00A538B4" w:rsidRPr="00D35757">
        <w:rPr>
          <w:lang w:val="en-US"/>
        </w:rPr>
        <w:t>Mehtab</w:t>
      </w:r>
      <w:r w:rsidRPr="00D35757">
        <w:rPr>
          <w:lang w:val="en-US"/>
        </w:rPr>
        <w:t xml:space="preserve">, 2019). </w:t>
      </w:r>
    </w:p>
    <w:p w14:paraId="2E4C9868" w14:textId="3C314706" w:rsidR="00C86864" w:rsidRPr="00D35757" w:rsidRDefault="00D35757" w:rsidP="00D35757">
      <w:pPr>
        <w:rPr>
          <w:lang w:val="en-US"/>
        </w:rPr>
      </w:pPr>
      <w:r w:rsidRPr="00D35757">
        <w:rPr>
          <w:lang w:val="en-US"/>
        </w:rPr>
        <w:lastRenderedPageBreak/>
        <w:t xml:space="preserve">In patients with T2D and hepatic steatosis, impaired suppression of glucagon during oral glucose loads correlates with worse </w:t>
      </w:r>
      <w:r w:rsidR="00A538B4" w:rsidRPr="00D35757">
        <w:rPr>
          <w:lang w:val="en-US"/>
        </w:rPr>
        <w:t>glycemic</w:t>
      </w:r>
      <w:r w:rsidRPr="00D35757">
        <w:rPr>
          <w:lang w:val="en-US"/>
        </w:rPr>
        <w:t xml:space="preserve"> profiles, suggesting that fatty liver physiology can defeat standard lifestyle advice unless weight and </w:t>
      </w:r>
      <w:r>
        <w:rPr>
          <w:lang w:val="en-US"/>
        </w:rPr>
        <w:t>diet are addressed (JCEM, 2025)</w:t>
      </w:r>
      <w:r w:rsidR="00C86864" w:rsidRPr="00C86864">
        <w:rPr>
          <w:lang w:val="en-US"/>
        </w:rPr>
        <w:t xml:space="preserve">. </w:t>
      </w:r>
    </w:p>
    <w:p w14:paraId="4B7F933D" w14:textId="77777777" w:rsidR="00C86864" w:rsidRPr="00C86864" w:rsidRDefault="00C86864" w:rsidP="008E7348">
      <w:pPr>
        <w:pStyle w:val="Heading2"/>
        <w:numPr>
          <w:ilvl w:val="0"/>
          <w:numId w:val="0"/>
        </w:numPr>
        <w:ind w:left="576"/>
      </w:pPr>
      <w:bookmarkStart w:id="4" w:name="_Toc211977597"/>
      <w:r>
        <w:t>Set-point, ranges, and safety</w:t>
      </w:r>
      <w:bookmarkEnd w:id="4"/>
    </w:p>
    <w:p w14:paraId="7840739B" w14:textId="0D72353C" w:rsidR="00D35757" w:rsidRPr="00D35757" w:rsidRDefault="00A538B4" w:rsidP="00D35757">
      <w:pPr>
        <w:rPr>
          <w:lang w:val="en-US"/>
        </w:rPr>
      </w:pPr>
      <w:r w:rsidRPr="00D35757">
        <w:rPr>
          <w:lang w:val="en-US"/>
        </w:rPr>
        <w:t>Glycemic</w:t>
      </w:r>
      <w:r w:rsidR="00D35757" w:rsidRPr="00D35757">
        <w:rPr>
          <w:lang w:val="en-US"/>
        </w:rPr>
        <w:t xml:space="preserve"> homeostasis has a functional "set-point," but clinical practice uses prudential target ranges that </w:t>
      </w:r>
      <w:r w:rsidRPr="00D35757">
        <w:rPr>
          <w:lang w:val="en-US"/>
        </w:rPr>
        <w:t>prioritize</w:t>
      </w:r>
      <w:r w:rsidR="00D35757" w:rsidRPr="00D35757">
        <w:rPr>
          <w:lang w:val="en-US"/>
        </w:rPr>
        <w:t xml:space="preserve"> safety over mathematical precision.  Most non-pregnant adults should aim for time-in-range 70–180 mg/dL to balance microvascular risk and </w:t>
      </w:r>
      <w:r w:rsidRPr="00D35757">
        <w:rPr>
          <w:lang w:val="en-US"/>
        </w:rPr>
        <w:t>hypoglycemia</w:t>
      </w:r>
      <w:r w:rsidR="00D35757" w:rsidRPr="00D35757">
        <w:rPr>
          <w:lang w:val="en-US"/>
        </w:rPr>
        <w:t xml:space="preserve"> burden. Older or frail adults may need </w:t>
      </w:r>
      <w:r w:rsidRPr="00D35757">
        <w:rPr>
          <w:lang w:val="en-US"/>
        </w:rPr>
        <w:t>loser</w:t>
      </w:r>
      <w:r w:rsidR="00D35757" w:rsidRPr="00D35757">
        <w:rPr>
          <w:lang w:val="en-US"/>
        </w:rPr>
        <w:t xml:space="preserve"> CGM goals to avoid falls and admissions (ADA, 2025). </w:t>
      </w:r>
    </w:p>
    <w:p w14:paraId="5BA00974" w14:textId="77777777" w:rsidR="00D35757" w:rsidRPr="00D35757" w:rsidRDefault="00D35757" w:rsidP="00D35757">
      <w:pPr>
        <w:rPr>
          <w:lang w:val="en-US"/>
        </w:rPr>
      </w:pPr>
      <w:r w:rsidRPr="00D35757">
        <w:rPr>
          <w:lang w:val="en-US"/>
        </w:rPr>
        <w:t xml:space="preserve"> The kidney is where thresholds matter physiologically: above 10-11 mmol/L (≈180-200 mg/dL), filtered glucose exceeds tubular reabsorption, leading to glycosuria and dehydration risks, which can be costly for patients and services (African Journal of Diabetes Medicine, 2024). </w:t>
      </w:r>
    </w:p>
    <w:p w14:paraId="259782A1" w14:textId="44306FCE" w:rsidR="00C86864" w:rsidRDefault="00D35757" w:rsidP="00D35757">
      <w:pPr>
        <w:rPr>
          <w:lang w:val="en-US"/>
        </w:rPr>
      </w:pPr>
      <w:r w:rsidRPr="00D35757">
        <w:rPr>
          <w:lang w:val="en-US"/>
        </w:rPr>
        <w:t xml:space="preserve"> Tighter control reduces biochemical exposure but can increase symptomatic </w:t>
      </w:r>
      <w:r w:rsidR="00A538B4" w:rsidRPr="00D35757">
        <w:rPr>
          <w:lang w:val="en-US"/>
        </w:rPr>
        <w:t>hypoglycemia</w:t>
      </w:r>
      <w:r w:rsidRPr="00D35757">
        <w:rPr>
          <w:lang w:val="en-US"/>
        </w:rPr>
        <w:t xml:space="preserve"> when age, comorbidity, or drugs blunt counter-regulation.  To justify safe care plans, practice nurses must </w:t>
      </w:r>
      <w:r w:rsidR="00A538B4" w:rsidRPr="00D35757">
        <w:rPr>
          <w:lang w:val="en-US"/>
        </w:rPr>
        <w:t>individualize</w:t>
      </w:r>
      <w:r w:rsidRPr="00D35757">
        <w:rPr>
          <w:lang w:val="en-US"/>
        </w:rPr>
        <w:t xml:space="preserve"> targets using routine data trends rather than single values (ADA, 2025).</w:t>
      </w:r>
    </w:p>
    <w:p w14:paraId="407B2C03" w14:textId="77777777" w:rsidR="00C86864" w:rsidRPr="00C86864" w:rsidRDefault="00C86864" w:rsidP="00BB46A2">
      <w:pPr>
        <w:pStyle w:val="Heading1"/>
      </w:pPr>
      <w:bookmarkStart w:id="5" w:name="_Toc211977598"/>
      <w:r w:rsidRPr="00C86864">
        <w:t>How oxygen and glucose produce ener</w:t>
      </w:r>
      <w:r>
        <w:t>gy (cell metabolism)</w:t>
      </w:r>
      <w:bookmarkEnd w:id="5"/>
    </w:p>
    <w:p w14:paraId="50543A8B" w14:textId="77777777" w:rsidR="00C86864" w:rsidRPr="00C86864" w:rsidRDefault="00C86864" w:rsidP="008E7348">
      <w:pPr>
        <w:pStyle w:val="Heading2"/>
        <w:numPr>
          <w:ilvl w:val="0"/>
          <w:numId w:val="0"/>
        </w:numPr>
        <w:ind w:left="576"/>
      </w:pPr>
      <w:bookmarkStart w:id="6" w:name="_Toc211977599"/>
      <w:r>
        <w:t>Aerobic metabolism</w:t>
      </w:r>
      <w:bookmarkEnd w:id="6"/>
    </w:p>
    <w:p w14:paraId="4A56BCF7" w14:textId="00797975" w:rsidR="00C86864" w:rsidRPr="00C86864" w:rsidRDefault="00167F5B" w:rsidP="00C86864">
      <w:pPr>
        <w:rPr>
          <w:lang w:val="en-US"/>
        </w:rPr>
      </w:pPr>
      <w:r w:rsidRPr="00167F5B">
        <w:rPr>
          <w:lang w:val="en-US"/>
        </w:rPr>
        <w:t xml:space="preserve">In aerobic conditions, glycolysis breaks down glucose to pyruvate, which is converted to acetyl-CoA, enters the tricarboxylic acid cycle, and generates reduced cofactors for the electron transport chain, which uses oxygen as the terminal electron acceptor for oxidative phosphorylation and high-yield ATP synthesis (Chaudhry and </w:t>
      </w:r>
      <w:r w:rsidR="00A538B4" w:rsidRPr="00167F5B">
        <w:rPr>
          <w:lang w:val="en-US"/>
        </w:rPr>
        <w:t>Vara Callo</w:t>
      </w:r>
      <w:r w:rsidRPr="00167F5B">
        <w:rPr>
          <w:lang w:val="en-US"/>
        </w:rPr>
        <w:t xml:space="preserve">, 2023). The approximate ATP yield per glucose in well-coupled mitochondria is 30–32, but shuttle systems and coupling efficiency vary, so clinical explanations should report ranges rather than a single value (Deshpande and Mohiuddin, 2023). In primary care, aerobic metabolism </w:t>
      </w:r>
      <w:r w:rsidR="00A538B4" w:rsidRPr="00167F5B">
        <w:rPr>
          <w:lang w:val="en-US"/>
        </w:rPr>
        <w:t>maximizes</w:t>
      </w:r>
      <w:r w:rsidRPr="00167F5B">
        <w:rPr>
          <w:lang w:val="en-US"/>
        </w:rPr>
        <w:t xml:space="preserve"> adenosine triphosphate per unit substrate, sustaining prolonged, submaximal activity like brisk walking, which is recommended to type 2 diabetics to improve functional capacity and fat oxidation (</w:t>
      </w:r>
      <w:r w:rsidR="00A538B4" w:rsidRPr="00167F5B">
        <w:rPr>
          <w:lang w:val="en-US"/>
        </w:rPr>
        <w:t>Battalion</w:t>
      </w:r>
      <w:r w:rsidRPr="00167F5B">
        <w:rPr>
          <w:lang w:val="en-US"/>
        </w:rPr>
        <w:t xml:space="preserve"> et al., 2019). It works best for people with good cardiorespiratory fitness and adequate </w:t>
      </w:r>
      <w:r w:rsidR="00A538B4" w:rsidRPr="00167F5B">
        <w:rPr>
          <w:lang w:val="en-US"/>
        </w:rPr>
        <w:t>hemoglobin</w:t>
      </w:r>
      <w:r w:rsidRPr="00167F5B">
        <w:rPr>
          <w:lang w:val="en-US"/>
        </w:rPr>
        <w:t xml:space="preserve"> and oxygen delivery, but it fails when oxygen flux becomes rate-limiting and perceived exertion rises at lower workloads, which guides graded exercise prescriptions in diabetes education clinics (American Diabetes Association, 2025).</w:t>
      </w:r>
      <w:r w:rsidR="00C86864" w:rsidRPr="00C86864">
        <w:rPr>
          <w:lang w:val="en-US"/>
        </w:rPr>
        <w:t xml:space="preserve"> </w:t>
      </w:r>
    </w:p>
    <w:p w14:paraId="7C9C1ABB" w14:textId="77777777" w:rsidR="00C86864" w:rsidRPr="00C86864" w:rsidRDefault="00C86864" w:rsidP="008E7348">
      <w:pPr>
        <w:pStyle w:val="Heading2"/>
        <w:numPr>
          <w:ilvl w:val="0"/>
          <w:numId w:val="0"/>
        </w:numPr>
        <w:ind w:left="576"/>
      </w:pPr>
      <w:bookmarkStart w:id="7" w:name="_Toc211977600"/>
      <w:r>
        <w:lastRenderedPageBreak/>
        <w:t>Anaerobic metabolism</w:t>
      </w:r>
      <w:bookmarkEnd w:id="7"/>
    </w:p>
    <w:p w14:paraId="0BBA7152" w14:textId="446318DA" w:rsidR="00C86864" w:rsidRPr="00C86864" w:rsidRDefault="00C86864" w:rsidP="00C86864">
      <w:pPr>
        <w:rPr>
          <w:lang w:val="en-US"/>
        </w:rPr>
      </w:pPr>
      <w:r w:rsidRPr="00C86864">
        <w:rPr>
          <w:lang w:val="en-US"/>
        </w:rPr>
        <w:t xml:space="preserve">When oxygen delivery or </w:t>
      </w:r>
      <w:r w:rsidR="00A538B4" w:rsidRPr="00C86864">
        <w:rPr>
          <w:lang w:val="en-US"/>
        </w:rPr>
        <w:t>utilization</w:t>
      </w:r>
      <w:r w:rsidRPr="00C86864">
        <w:rPr>
          <w:lang w:val="en-US"/>
        </w:rPr>
        <w:t xml:space="preserve"> is transiently insufficient, pyruvate is reduced to lactate, allowing limited ATP generation via substrate-level phosphorylation; this yields far less ATP per glucose than aerobic metabolism and therefore cannot sustain prolonged work, explaining why deconditioned individuals with type 2 diabetes report earlier fatigue during high-intensity tasks before conditi</w:t>
      </w:r>
      <w:r>
        <w:rPr>
          <w:lang w:val="en-US"/>
        </w:rPr>
        <w:t>oning improves (Gladden, 2020).</w:t>
      </w:r>
    </w:p>
    <w:p w14:paraId="0A9A1429" w14:textId="77777777" w:rsidR="00C86864" w:rsidRPr="00C86864" w:rsidRDefault="00C86864" w:rsidP="008E7348">
      <w:pPr>
        <w:pStyle w:val="Heading2"/>
        <w:numPr>
          <w:ilvl w:val="0"/>
          <w:numId w:val="0"/>
        </w:numPr>
        <w:ind w:left="576"/>
      </w:pPr>
      <w:bookmarkStart w:id="8" w:name="_Toc211977601"/>
      <w:r>
        <w:t>Systems integration</w:t>
      </w:r>
      <w:bookmarkEnd w:id="8"/>
    </w:p>
    <w:p w14:paraId="5404134E" w14:textId="677E0847" w:rsidR="00167F5B" w:rsidRPr="00167F5B" w:rsidRDefault="00167F5B" w:rsidP="00167F5B">
      <w:pPr>
        <w:rPr>
          <w:lang w:val="en-US"/>
        </w:rPr>
      </w:pPr>
      <w:r w:rsidRPr="00167F5B">
        <w:rPr>
          <w:lang w:val="en-US"/>
        </w:rPr>
        <w:t>Maintaining aerobic flux in skeletal muscle is determined by cardiopulmonary oxygen delivery, capillary recruitment, and mitochondrial oxidative capacity; graded exercise training improves microvascular perfusion and insulin-stimulated glucose disposal at 24-48 hours post-exercise, which warrants the suggestion of distributions of exercise throughout the week (</w:t>
      </w:r>
      <w:r w:rsidR="00A538B4" w:rsidRPr="00167F5B">
        <w:rPr>
          <w:lang w:val="en-US"/>
        </w:rPr>
        <w:t>Sjoberg</w:t>
      </w:r>
      <w:r w:rsidRPr="00167F5B">
        <w:rPr>
          <w:lang w:val="en-US"/>
        </w:rPr>
        <w:t xml:space="preserve"> et al., 2017). </w:t>
      </w:r>
    </w:p>
    <w:p w14:paraId="3B6569D5" w14:textId="3ED165BC" w:rsidR="00C86864" w:rsidRPr="00C86864" w:rsidRDefault="00167F5B" w:rsidP="00167F5B">
      <w:pPr>
        <w:rPr>
          <w:lang w:val="en-US"/>
        </w:rPr>
      </w:pPr>
      <w:r w:rsidRPr="00167F5B">
        <w:rPr>
          <w:lang w:val="en-US"/>
        </w:rPr>
        <w:t xml:space="preserve">Mechanistically, insulin redistribution of the GLUT4 following a preceding exercise makes the GLUT4 closer to the sarcolemma and T-tubules, making </w:t>
      </w:r>
      <w:r w:rsidR="00A538B4" w:rsidRPr="00167F5B">
        <w:rPr>
          <w:lang w:val="en-US"/>
        </w:rPr>
        <w:t>the</w:t>
      </w:r>
      <w:r w:rsidRPr="00167F5B">
        <w:rPr>
          <w:lang w:val="en-US"/>
        </w:rPr>
        <w:t xml:space="preserve"> energy cost at a given concentration of insulin to be lower, and metabolic flexibility </w:t>
      </w:r>
      <w:r w:rsidR="00E06C16" w:rsidRPr="00167F5B">
        <w:rPr>
          <w:lang w:val="en-US"/>
        </w:rPr>
        <w:t>increase</w:t>
      </w:r>
      <w:r w:rsidRPr="00167F5B">
        <w:rPr>
          <w:lang w:val="en-US"/>
        </w:rPr>
        <w:t xml:space="preserve"> in importance especially in insulin-resistant muscle (Nicklaus et al., 2020). The combination of glucose-lowering treatment and exercise can provoke </w:t>
      </w:r>
      <w:r w:rsidR="00A538B4" w:rsidRPr="00167F5B">
        <w:rPr>
          <w:lang w:val="en-US"/>
        </w:rPr>
        <w:t>hypoglycemia</w:t>
      </w:r>
      <w:r w:rsidRPr="00167F5B">
        <w:rPr>
          <w:lang w:val="en-US"/>
        </w:rPr>
        <w:t xml:space="preserve"> in a specific number of patients in clinical practice unless it is monitored and dose-alteration processes are observed, which explains the importance of data-based strategies in primary care (American Diabetes Association, 2025).</w:t>
      </w:r>
      <w:r w:rsidR="00C86864" w:rsidRPr="00C86864">
        <w:rPr>
          <w:lang w:val="en-US"/>
        </w:rPr>
        <w:t xml:space="preserve"> </w:t>
      </w:r>
    </w:p>
    <w:p w14:paraId="3C99E9B2" w14:textId="77777777" w:rsidR="00C86864" w:rsidRPr="00C86864" w:rsidRDefault="00C86864" w:rsidP="00BB46A2">
      <w:pPr>
        <w:pStyle w:val="Heading1"/>
      </w:pPr>
      <w:bookmarkStart w:id="9" w:name="_Toc211977602"/>
      <w:r w:rsidRPr="00C86864">
        <w:t>Why recording and tracking blood sugar matter</w:t>
      </w:r>
      <w:r>
        <w:t>s in Type 2 diabetes</w:t>
      </w:r>
      <w:bookmarkEnd w:id="9"/>
    </w:p>
    <w:p w14:paraId="77A718EB" w14:textId="77777777" w:rsidR="00C86864" w:rsidRPr="00C86864" w:rsidRDefault="00C86864" w:rsidP="008E7348">
      <w:pPr>
        <w:pStyle w:val="Heading2"/>
        <w:numPr>
          <w:ilvl w:val="0"/>
          <w:numId w:val="0"/>
        </w:numPr>
        <w:ind w:left="576"/>
      </w:pPr>
      <w:bookmarkStart w:id="10" w:name="_Toc211977603"/>
      <w:r w:rsidRPr="00C86864">
        <w:t>What to</w:t>
      </w:r>
      <w:r>
        <w:t xml:space="preserve"> record (data types)</w:t>
      </w:r>
      <w:bookmarkEnd w:id="10"/>
    </w:p>
    <w:p w14:paraId="593C5D6C" w14:textId="05A0154C" w:rsidR="00C86864" w:rsidRPr="008E7348" w:rsidRDefault="00167F5B" w:rsidP="008E7348">
      <w:pPr>
        <w:rPr>
          <w:lang w:val="en-US"/>
        </w:rPr>
      </w:pPr>
      <w:r w:rsidRPr="00167F5B">
        <w:rPr>
          <w:lang w:val="en-US"/>
        </w:rPr>
        <w:t xml:space="preserve">Self-monitoring of blood glucose or continuous glucose monitoring with timestamps and meal or exercise context; HbA1c at agreed intervals; weight, body mass index, waist circumference; blood pressure and lipids; kidney indices like estimated glomerular filtration rate and urine albumin-creatinine ratio; smoking status; and minutes of moderate-to-vigorous physical activity recorded in primary-care systems and national databases inform safe decisions Time-in-range, time-below-range, and </w:t>
      </w:r>
      <w:r w:rsidR="00A538B4" w:rsidRPr="00167F5B">
        <w:rPr>
          <w:lang w:val="en-US"/>
        </w:rPr>
        <w:t>glycemic</w:t>
      </w:r>
      <w:r w:rsidRPr="00167F5B">
        <w:rPr>
          <w:lang w:val="en-US"/>
        </w:rPr>
        <w:t xml:space="preserve"> variability metrics from continuous monitoring provide actionable signals for </w:t>
      </w:r>
      <w:r w:rsidRPr="00167F5B">
        <w:rPr>
          <w:lang w:val="en-US"/>
        </w:rPr>
        <w:lastRenderedPageBreak/>
        <w:t>daily safety and titration that single capillary tests cannot, justifying their growing use in adults with type 2 diabetes (American Diabetes Association, 2025).</w:t>
      </w:r>
      <w:bookmarkStart w:id="11" w:name="_Toc211977604"/>
      <w:r w:rsidR="00C86864" w:rsidRPr="00C86864">
        <w:t>How to interpr</w:t>
      </w:r>
      <w:r w:rsidR="00C86864">
        <w:t>et trends</w:t>
      </w:r>
      <w:bookmarkEnd w:id="11"/>
    </w:p>
    <w:p w14:paraId="7BD8EA92" w14:textId="549C2E8B" w:rsidR="00C86864" w:rsidRPr="00167F5B" w:rsidRDefault="00167F5B" w:rsidP="00167F5B">
      <w:pPr>
        <w:rPr>
          <w:lang w:val="en-US"/>
        </w:rPr>
      </w:pPr>
      <w:r w:rsidRPr="00167F5B">
        <w:rPr>
          <w:lang w:val="en-US"/>
        </w:rPr>
        <w:t xml:space="preserve">Isolated post-breakfast spikes support meal sequencing or </w:t>
      </w:r>
      <w:r w:rsidR="00A538B4" w:rsidRPr="00167F5B">
        <w:rPr>
          <w:lang w:val="en-US"/>
        </w:rPr>
        <w:t>fiber</w:t>
      </w:r>
      <w:r w:rsidRPr="00167F5B">
        <w:rPr>
          <w:lang w:val="en-US"/>
        </w:rPr>
        <w:t xml:space="preserve"> strategies, while elevated fasting readings suggest excessive nocturnal hepatic glucose output or dawn phenomenon, which has been linked to a clinically relevant HbA1c impact in type 2 diabetes and </w:t>
      </w:r>
      <w:r w:rsidR="00A538B4" w:rsidRPr="00167F5B">
        <w:rPr>
          <w:lang w:val="en-US"/>
        </w:rPr>
        <w:t>warrant</w:t>
      </w:r>
      <w:r w:rsidRPr="00167F5B">
        <w:rPr>
          <w:lang w:val="en-US"/>
        </w:rPr>
        <w:t xml:space="preserve"> attention despite occurring over a narrow time window (Bolli et al., 2020). </w:t>
      </w:r>
      <w:r w:rsidRPr="00167F5B">
        <w:rPr>
          <w:lang w:val="en-US"/>
        </w:rPr>
        <w:br/>
        <w:t xml:space="preserve">Moving averages and inter-quartile ranges should be used to distinguish random noise from systematic patterns in short-term logs, then cross-checked against three-month HbA1c to avoid over- or under-treatment due to a few anomalous days. HbA1c does not capture variability or </w:t>
      </w:r>
      <w:r w:rsidR="00A538B4" w:rsidRPr="00167F5B">
        <w:rPr>
          <w:lang w:val="en-US"/>
        </w:rPr>
        <w:t>hypoglycemia</w:t>
      </w:r>
      <w:r w:rsidRPr="00167F5B">
        <w:rPr>
          <w:lang w:val="en-US"/>
        </w:rPr>
        <w:t xml:space="preserve"> burden (</w:t>
      </w:r>
      <w:r w:rsidR="00A538B4" w:rsidRPr="00167F5B">
        <w:rPr>
          <w:lang w:val="en-US"/>
        </w:rPr>
        <w:t>Battalion</w:t>
      </w:r>
      <w:r w:rsidRPr="00167F5B">
        <w:rPr>
          <w:lang w:val="en-US"/>
        </w:rPr>
        <w:t xml:space="preserve"> et al., 2019 A </w:t>
      </w:r>
      <w:r w:rsidR="00A538B4" w:rsidRPr="00167F5B">
        <w:rPr>
          <w:lang w:val="en-US"/>
        </w:rPr>
        <w:t>randomized</w:t>
      </w:r>
      <w:r w:rsidRPr="00167F5B">
        <w:rPr>
          <w:lang w:val="en-US"/>
        </w:rPr>
        <w:t xml:space="preserve"> trial of adults on basal insulin found that structured protocols that link readings to immediate </w:t>
      </w:r>
      <w:r w:rsidR="00A538B4" w:rsidRPr="00167F5B">
        <w:rPr>
          <w:lang w:val="en-US"/>
        </w:rPr>
        <w:t>behavioral</w:t>
      </w:r>
      <w:r w:rsidRPr="00167F5B">
        <w:rPr>
          <w:lang w:val="en-US"/>
        </w:rPr>
        <w:t xml:space="preserve"> or medication adjustments improve HbA1c, especially when continuous monitoring is used in primary care (Beck et al., 2021).</w:t>
      </w:r>
      <w:r w:rsidR="00C86864" w:rsidRPr="00C86864">
        <w:rPr>
          <w:lang w:val="en-US"/>
        </w:rPr>
        <w:t xml:space="preserve"> </w:t>
      </w:r>
    </w:p>
    <w:p w14:paraId="4BABEA49" w14:textId="77777777" w:rsidR="00C86864" w:rsidRPr="00C86864" w:rsidRDefault="00C86864" w:rsidP="008E7348">
      <w:pPr>
        <w:pStyle w:val="Heading2"/>
        <w:numPr>
          <w:ilvl w:val="0"/>
          <w:numId w:val="0"/>
        </w:numPr>
        <w:ind w:left="576"/>
      </w:pPr>
      <w:bookmarkStart w:id="12" w:name="_Toc211977605"/>
      <w:r w:rsidRPr="00C86864">
        <w:t>Sa</w:t>
      </w:r>
      <w:r>
        <w:t>fety, escalation, and quality</w:t>
      </w:r>
      <w:bookmarkEnd w:id="12"/>
    </w:p>
    <w:p w14:paraId="1D47C71E" w14:textId="6E266152" w:rsidR="00C86864" w:rsidRPr="00167F5B" w:rsidRDefault="00167F5B" w:rsidP="00167F5B">
      <w:pPr>
        <w:rPr>
          <w:lang w:val="en-US"/>
        </w:rPr>
      </w:pPr>
      <w:r w:rsidRPr="00167F5B">
        <w:rPr>
          <w:lang w:val="en-US"/>
        </w:rPr>
        <w:t xml:space="preserve">Continuous time-in-range below thresholds or recurrent lows or highs should prompt action, with </w:t>
      </w:r>
      <w:r w:rsidR="00A538B4" w:rsidRPr="00167F5B">
        <w:rPr>
          <w:lang w:val="en-US"/>
        </w:rPr>
        <w:t>individualized</w:t>
      </w:r>
      <w:r w:rsidRPr="00167F5B">
        <w:rPr>
          <w:lang w:val="en-US"/>
        </w:rPr>
        <w:t xml:space="preserve"> targets set to balance </w:t>
      </w:r>
      <w:r w:rsidR="00A538B4" w:rsidRPr="00167F5B">
        <w:rPr>
          <w:lang w:val="en-US"/>
        </w:rPr>
        <w:t>hypoglycemia</w:t>
      </w:r>
      <w:r w:rsidRPr="00167F5B">
        <w:rPr>
          <w:lang w:val="en-US"/>
        </w:rPr>
        <w:t xml:space="preserve"> risk against long-term complication reduction, a trade-off </w:t>
      </w:r>
      <w:r w:rsidR="00A538B4" w:rsidRPr="00167F5B">
        <w:rPr>
          <w:lang w:val="en-US"/>
        </w:rPr>
        <w:t>formalized</w:t>
      </w:r>
      <w:r w:rsidRPr="00167F5B">
        <w:rPr>
          <w:lang w:val="en-US"/>
        </w:rPr>
        <w:t xml:space="preserve"> in current professional standards (American Diabetes Association, 2025). Unplanned admissions and costs are reduced by sick-day protocols that require more frequent checks and clear escalation routes to prevent dehydration and metabolic decompensation (NHS England, 2020). For specific adult groups, intermittently scanned continuous monitoring is recommended when finger-stick monitoring is burdensome or </w:t>
      </w:r>
      <w:r w:rsidR="00A538B4" w:rsidRPr="00167F5B">
        <w:rPr>
          <w:lang w:val="en-US"/>
        </w:rPr>
        <w:t>reading is</w:t>
      </w:r>
      <w:r w:rsidRPr="00167F5B">
        <w:rPr>
          <w:lang w:val="en-US"/>
        </w:rPr>
        <w:t xml:space="preserve"> required frequently. This is expensive but reduces </w:t>
      </w:r>
      <w:r w:rsidR="00A538B4" w:rsidRPr="00167F5B">
        <w:rPr>
          <w:lang w:val="en-US"/>
        </w:rPr>
        <w:t>hypoglycemia</w:t>
      </w:r>
      <w:r w:rsidRPr="00167F5B">
        <w:rPr>
          <w:lang w:val="en-US"/>
        </w:rPr>
        <w:t xml:space="preserve"> and improves control, justifying targeted adopti</w:t>
      </w:r>
      <w:r>
        <w:rPr>
          <w:lang w:val="en-US"/>
        </w:rPr>
        <w:t>on in primary care (NICE, 2022)</w:t>
      </w:r>
      <w:r w:rsidR="00C86864" w:rsidRPr="00C86864">
        <w:rPr>
          <w:lang w:val="en-US"/>
        </w:rPr>
        <w:t xml:space="preserve">. </w:t>
      </w:r>
    </w:p>
    <w:p w14:paraId="65AE8025" w14:textId="64DDB142" w:rsidR="00C86864" w:rsidRPr="00C86864" w:rsidRDefault="00C86864" w:rsidP="00BB46A2">
      <w:pPr>
        <w:pStyle w:val="Heading1"/>
      </w:pPr>
      <w:bookmarkStart w:id="13" w:name="_Toc211977606"/>
      <w:r w:rsidRPr="00C86864">
        <w:t>Evidence-based lifestyle recommendations for saf</w:t>
      </w:r>
      <w:r>
        <w:t xml:space="preserve">er </w:t>
      </w:r>
      <w:r w:rsidR="00A538B4">
        <w:t>glycemic</w:t>
      </w:r>
      <w:r>
        <w:t xml:space="preserve"> control</w:t>
      </w:r>
      <w:bookmarkEnd w:id="13"/>
    </w:p>
    <w:p w14:paraId="7276F8C2" w14:textId="77777777" w:rsidR="00C86864" w:rsidRPr="00C86864" w:rsidRDefault="00C86864" w:rsidP="008E7348">
      <w:pPr>
        <w:pStyle w:val="Heading2"/>
        <w:numPr>
          <w:ilvl w:val="0"/>
          <w:numId w:val="0"/>
        </w:numPr>
        <w:ind w:left="576"/>
      </w:pPr>
      <w:bookmarkStart w:id="14" w:name="_Toc211977607"/>
      <w:r w:rsidRPr="00C86864">
        <w:t>Medical nutrition</w:t>
      </w:r>
      <w:r>
        <w:t xml:space="preserve"> therapy and dietary patterns</w:t>
      </w:r>
      <w:bookmarkEnd w:id="14"/>
    </w:p>
    <w:p w14:paraId="59322B34" w14:textId="20B159B5" w:rsidR="00C86864" w:rsidRDefault="00167F5B" w:rsidP="00C86864">
      <w:pPr>
        <w:rPr>
          <w:lang w:val="en-US"/>
        </w:rPr>
      </w:pPr>
      <w:r w:rsidRPr="00167F5B">
        <w:rPr>
          <w:lang w:val="en-US"/>
        </w:rPr>
        <w:t xml:space="preserve">Negative energy balance reduces hepatic and pancreatic fat, improving insulin sensitivity and first-phase insulin release, resulting in meaningful </w:t>
      </w:r>
      <w:r w:rsidR="00A538B4" w:rsidRPr="00167F5B">
        <w:rPr>
          <w:lang w:val="en-US"/>
        </w:rPr>
        <w:t>glycemic</w:t>
      </w:r>
      <w:r w:rsidRPr="00167F5B">
        <w:rPr>
          <w:lang w:val="en-US"/>
        </w:rPr>
        <w:t xml:space="preserve"> gains (Lean et al., 2019).  Mediterranean-style diets reduce HbA1c by 0.39 percentage points and cause modest weight loss in </w:t>
      </w:r>
      <w:r w:rsidR="00A538B4" w:rsidRPr="00167F5B">
        <w:rPr>
          <w:lang w:val="en-US"/>
        </w:rPr>
        <w:t>randomized</w:t>
      </w:r>
      <w:r w:rsidRPr="00167F5B">
        <w:rPr>
          <w:lang w:val="en-US"/>
        </w:rPr>
        <w:t xml:space="preserve"> </w:t>
      </w:r>
      <w:r w:rsidRPr="00167F5B">
        <w:rPr>
          <w:lang w:val="en-US"/>
        </w:rPr>
        <w:lastRenderedPageBreak/>
        <w:t xml:space="preserve">trials, making them clinically relevant but not curative (Zheng et al., 2024).  Lower-carbohydrate diets accelerate early HbA1c fall and increase short-term remission probability at 6 months, but these benefits fade by 12 months, so adherence and cardiometabolic quality (unsaturated fats, </w:t>
      </w:r>
      <w:r w:rsidR="00A538B4" w:rsidRPr="00167F5B">
        <w:rPr>
          <w:lang w:val="en-US"/>
        </w:rPr>
        <w:t>fiber</w:t>
      </w:r>
      <w:r w:rsidRPr="00167F5B">
        <w:rPr>
          <w:lang w:val="en-US"/>
        </w:rPr>
        <w:t xml:space="preserve">) matter (Goldenberg et al., 2021).  A plate model with half non-starchy vegetables, quarter lean protein, and whole-grain or legume carbohydrates, plus sugary drink removal and label-based carbohydrate checks, </w:t>
      </w:r>
      <w:r w:rsidR="00A538B4" w:rsidRPr="00167F5B">
        <w:rPr>
          <w:lang w:val="en-US"/>
        </w:rPr>
        <w:t>operationalizes</w:t>
      </w:r>
      <w:r w:rsidRPr="00167F5B">
        <w:rPr>
          <w:lang w:val="en-US"/>
        </w:rPr>
        <w:t xml:space="preserve"> caloric deficit without numeracy overload (ADA, 2019).  Viscous </w:t>
      </w:r>
      <w:r w:rsidR="00A538B4" w:rsidRPr="00167F5B">
        <w:rPr>
          <w:lang w:val="en-US"/>
        </w:rPr>
        <w:t>fiber</w:t>
      </w:r>
      <w:r w:rsidRPr="00167F5B">
        <w:rPr>
          <w:lang w:val="en-US"/>
        </w:rPr>
        <w:t xml:space="preserve"> reduces post-prandial excursions and supports satiety at low cost, so </w:t>
      </w:r>
      <w:r w:rsidR="00A538B4" w:rsidRPr="00167F5B">
        <w:rPr>
          <w:lang w:val="en-US"/>
        </w:rPr>
        <w:t>fiber</w:t>
      </w:r>
      <w:r w:rsidRPr="00167F5B">
        <w:rPr>
          <w:lang w:val="en-US"/>
        </w:rPr>
        <w:t xml:space="preserve"> targets should be 14 g per 1,000 kcal (25–38 g/day) (Santiago-Torres et al., 2022).  Routine SMBG/CGM can test “problem meals” by comparing pre-/90-min post-meal readings to determine which swaps (e.g., lentils for refined rice) flatten spikes, making nutrition advice data-driven rather than doctrinal (ADA, 2019).</w:t>
      </w:r>
      <w:r w:rsidR="00C86864" w:rsidRPr="00C86864">
        <w:rPr>
          <w:lang w:val="en-US"/>
        </w:rPr>
        <w:t xml:space="preserve"> </w:t>
      </w:r>
    </w:p>
    <w:p w14:paraId="74B04620" w14:textId="77777777" w:rsidR="00C86864" w:rsidRPr="00C86864" w:rsidRDefault="00C86864" w:rsidP="00C86864">
      <w:pPr>
        <w:pStyle w:val="Heading2"/>
      </w:pPr>
      <w:bookmarkStart w:id="15" w:name="_Toc211977608"/>
      <w:r w:rsidRPr="00C86864">
        <w:t>Physi</w:t>
      </w:r>
      <w:r>
        <w:t>cal activity and sedentary time</w:t>
      </w:r>
      <w:bookmarkEnd w:id="15"/>
    </w:p>
    <w:p w14:paraId="297F2A78" w14:textId="7013CA35" w:rsidR="00C86864" w:rsidRPr="00167F5B" w:rsidRDefault="00167F5B" w:rsidP="00A538B4">
      <w:pPr>
        <w:spacing w:after="0"/>
        <w:rPr>
          <w:rFonts w:eastAsia="Times New Roman" w:cs="Times New Roman"/>
          <w:color w:val="auto"/>
          <w:szCs w:val="24"/>
          <w:lang w:val="en-US"/>
        </w:rPr>
      </w:pPr>
      <w:r w:rsidRPr="00167F5B">
        <w:rPr>
          <w:rFonts w:eastAsia="Times New Roman" w:cs="Times New Roman"/>
          <w:color w:val="auto"/>
          <w:szCs w:val="24"/>
          <w:lang w:val="en-US"/>
        </w:rPr>
        <w:t xml:space="preserve">A graduated plan should include 150-300 min/week of moderate aerobic activity, ≥2 weekly resistance sessions, and 30 min of sitting breaks to improve mitochondrial efficiency and complement insulin-mediated uptake (Diabetes UK, 2024). Post-prandial glucose and insulin levels drop when adults with type 2 diabetes stand or walk instead of sitting, justifying micro-breaks after meals and during screen time (Buffey et al., 2022). Self-monitoring should pair step counts or “activity minutes” with glucose logs: if fasting values are acceptable but post-prandial peaks persist, 10–15 min of brisk walking immediately after meals multiplies </w:t>
      </w:r>
      <w:r w:rsidR="00A538B4" w:rsidRPr="00167F5B">
        <w:rPr>
          <w:rFonts w:eastAsia="Times New Roman" w:cs="Times New Roman"/>
          <w:color w:val="auto"/>
          <w:szCs w:val="24"/>
          <w:lang w:val="en-US"/>
        </w:rPr>
        <w:t>glycemic</w:t>
      </w:r>
      <w:r w:rsidRPr="00167F5B">
        <w:rPr>
          <w:rFonts w:eastAsia="Times New Roman" w:cs="Times New Roman"/>
          <w:color w:val="auto"/>
          <w:szCs w:val="24"/>
          <w:lang w:val="en-US"/>
        </w:rPr>
        <w:t xml:space="preserve"> impact at negligible cost (Diabetes UK, 2024). When post-exercise readings are within safe ranges, intensity is increased—if they are low, duration is increased first to reduce </w:t>
      </w:r>
      <w:r w:rsidR="00A538B4" w:rsidRPr="00167F5B">
        <w:rPr>
          <w:rFonts w:eastAsia="Times New Roman" w:cs="Times New Roman"/>
          <w:color w:val="auto"/>
          <w:szCs w:val="24"/>
          <w:lang w:val="en-US"/>
        </w:rPr>
        <w:t>hypoglycemia</w:t>
      </w:r>
      <w:r w:rsidRPr="00167F5B">
        <w:rPr>
          <w:rFonts w:eastAsia="Times New Roman" w:cs="Times New Roman"/>
          <w:color w:val="auto"/>
          <w:szCs w:val="24"/>
          <w:lang w:val="en-US"/>
        </w:rPr>
        <w:t xml:space="preserve"> risk and preserve cumulative energy expenditure (ADA, 2025).</w:t>
      </w:r>
      <w:r w:rsidR="00C86864" w:rsidRPr="00C86864">
        <w:rPr>
          <w:lang w:val="en-US"/>
        </w:rPr>
        <w:t xml:space="preserve"> </w:t>
      </w:r>
    </w:p>
    <w:p w14:paraId="0E8D065A" w14:textId="77777777" w:rsidR="00C86864" w:rsidRPr="00C86864" w:rsidRDefault="00C86864" w:rsidP="008E7348">
      <w:pPr>
        <w:pStyle w:val="Heading2"/>
        <w:numPr>
          <w:ilvl w:val="0"/>
          <w:numId w:val="0"/>
        </w:numPr>
        <w:ind w:left="576"/>
      </w:pPr>
      <w:bookmarkStart w:id="16" w:name="_Toc211977609"/>
      <w:r>
        <w:t>Smoking cessation</w:t>
      </w:r>
      <w:bookmarkEnd w:id="16"/>
    </w:p>
    <w:p w14:paraId="53396C7B" w14:textId="4890BD16" w:rsidR="00C86864" w:rsidRPr="00C86864" w:rsidRDefault="00C86864" w:rsidP="00C86864">
      <w:pPr>
        <w:rPr>
          <w:lang w:val="en-US"/>
        </w:rPr>
      </w:pPr>
      <w:r w:rsidRPr="00C86864">
        <w:rPr>
          <w:lang w:val="en-US"/>
        </w:rPr>
        <w:t xml:space="preserve">Cardiometabolic logic is unequivocal: in a cohort of 349,137 adults with type 2 diabetes, quitting—not merely reducing—smoking lowered incident myocardial infarction and </w:t>
      </w:r>
      <w:r w:rsidR="00A538B4" w:rsidRPr="00C86864">
        <w:rPr>
          <w:lang w:val="en-US"/>
        </w:rPr>
        <w:t>ischemic</w:t>
      </w:r>
      <w:r w:rsidRPr="00C86864">
        <w:rPr>
          <w:lang w:val="en-US"/>
        </w:rPr>
        <w:t xml:space="preserve"> stroke by about 20% (adjusted HR≈0.80) and reduced all-cause mortality versus sustaining smoking, demonstrating high clinical yield at low implementation cost (Jeong et al., 2023). Primary care can deploy a brief Ask–Advise–Assist–Arrange pathway and refer to funded local services; UK guidance endorses systematic identification, pharmacotherapy, and follow-up as </w:t>
      </w:r>
      <w:r w:rsidRPr="00C86864">
        <w:rPr>
          <w:lang w:val="en-US"/>
        </w:rPr>
        <w:lastRenderedPageBreak/>
        <w:t xml:space="preserve">routine care standards, enabling documentation of status, quit date, and supports (NICE NG92, 2018/2021). </w:t>
      </w:r>
    </w:p>
    <w:p w14:paraId="5D0396F4" w14:textId="77777777" w:rsidR="00C86864" w:rsidRPr="00C86864" w:rsidRDefault="00C86864" w:rsidP="00C86864">
      <w:pPr>
        <w:pStyle w:val="Heading2"/>
      </w:pPr>
      <w:bookmarkStart w:id="17" w:name="_Toc211977610"/>
      <w:r w:rsidRPr="00C86864">
        <w:t>Weigh</w:t>
      </w:r>
      <w:r>
        <w:t>t management, sleep, and stress</w:t>
      </w:r>
      <w:bookmarkEnd w:id="17"/>
    </w:p>
    <w:p w14:paraId="6DC2FA89" w14:textId="13EDEB55" w:rsidR="00C86864" w:rsidRPr="00C86864" w:rsidRDefault="00C86864" w:rsidP="00C86864">
      <w:pPr>
        <w:rPr>
          <w:lang w:val="en-US"/>
        </w:rPr>
      </w:pPr>
      <w:r w:rsidRPr="00C86864">
        <w:rPr>
          <w:lang w:val="en-US"/>
        </w:rPr>
        <w:t xml:space="preserve">At population scale, the NHS Type 2 Diabetes Path to Remission </w:t>
      </w:r>
      <w:r w:rsidR="00A538B4" w:rsidRPr="00C86864">
        <w:rPr>
          <w:lang w:val="en-US"/>
        </w:rPr>
        <w:t>Program</w:t>
      </w:r>
      <w:r w:rsidRPr="00C86864">
        <w:rPr>
          <w:lang w:val="en-US"/>
        </w:rPr>
        <w:t xml:space="preserve"> shows that losing roughly ≥10 kg via total diet replacement can induce remission for about one-third of completers, illustrating what patients may achieve with structured support at no out-of-pocket cost in England (NHS England, 2024). Experimental sleep restriction impairs insulin sensitivity within days, so regular 7–9 h sleep and consistent bedtimes are metabolically justified (Broussard et al., 2024). Psychological interventions can reduce diabetes distress, but HbA1c gains are small and heterogeneous, thus expectations must be tempered (Winkley et al., 2020). </w:t>
      </w:r>
    </w:p>
    <w:p w14:paraId="6C12492F" w14:textId="3EF262EE" w:rsidR="00C86864" w:rsidRPr="00C86864" w:rsidRDefault="00A538B4" w:rsidP="00C86864">
      <w:pPr>
        <w:pStyle w:val="Heading2"/>
      </w:pPr>
      <w:bookmarkStart w:id="18" w:name="_Toc211977611"/>
      <w:r w:rsidRPr="00C86864">
        <w:t>Behavior</w:t>
      </w:r>
      <w:r w:rsidR="00C86864">
        <w:t xml:space="preserve"> </w:t>
      </w:r>
      <w:r>
        <w:t>changes</w:t>
      </w:r>
      <w:r w:rsidR="00C86864">
        <w:t xml:space="preserve"> frameworks in practice</w:t>
      </w:r>
      <w:bookmarkEnd w:id="18"/>
    </w:p>
    <w:p w14:paraId="148E942D" w14:textId="526CC6B4" w:rsidR="00C86864" w:rsidRPr="00C86864" w:rsidRDefault="00C86864" w:rsidP="00C86864">
      <w:pPr>
        <w:rPr>
          <w:lang w:val="en-US"/>
        </w:rPr>
      </w:pPr>
      <w:r w:rsidRPr="00C86864">
        <w:rPr>
          <w:lang w:val="en-US"/>
        </w:rPr>
        <w:t>COM-B clarifies capability (skills, literacy), opportunity (food access, walkable routes), and motivation (values, confidence) barriers; HBM structures risk/benefit and barrier appraisal; TTM aligns messages to readiness. Embedding these within ADA’s patient-</w:t>
      </w:r>
      <w:r w:rsidR="00A538B4" w:rsidRPr="00C86864">
        <w:rPr>
          <w:lang w:val="en-US"/>
        </w:rPr>
        <w:t>centered</w:t>
      </w:r>
      <w:r w:rsidRPr="00C86864">
        <w:rPr>
          <w:lang w:val="en-US"/>
        </w:rPr>
        <w:t xml:space="preserve"> collaborative care ensures routine data from section 4 feeds PDSA micro-cycles and goal renegotiation during nurse-led reviews (ADA, 2021). </w:t>
      </w:r>
    </w:p>
    <w:p w14:paraId="3CD73ED1" w14:textId="77777777" w:rsidR="00C86864" w:rsidRPr="00C86864" w:rsidRDefault="00C86864" w:rsidP="00BB46A2">
      <w:pPr>
        <w:pStyle w:val="Heading1"/>
      </w:pPr>
      <w:bookmarkStart w:id="19" w:name="_Toc211977612"/>
      <w:r>
        <w:t>Conclusion</w:t>
      </w:r>
      <w:bookmarkEnd w:id="19"/>
    </w:p>
    <w:p w14:paraId="2891A1CF" w14:textId="15028B4B" w:rsidR="00167F5B" w:rsidRDefault="00167F5B" w:rsidP="00167F5B">
      <w:pPr>
        <w:rPr>
          <w:lang w:val="en-US"/>
        </w:rPr>
      </w:pPr>
      <w:r w:rsidRPr="00167F5B">
        <w:rPr>
          <w:lang w:val="en-US"/>
        </w:rPr>
        <w:t xml:space="preserve">Sections 2–3 show how lifestyle affects insulin- and contraction-mediated glucose disposal, hepatic buffering, and mitochondrial ATP production. This is why calorie-aware, </w:t>
      </w:r>
      <w:r w:rsidR="00A538B4" w:rsidRPr="00167F5B">
        <w:rPr>
          <w:lang w:val="en-US"/>
        </w:rPr>
        <w:t>fiber</w:t>
      </w:r>
      <w:r w:rsidRPr="00167F5B">
        <w:rPr>
          <w:lang w:val="en-US"/>
        </w:rPr>
        <w:t xml:space="preserve">-rich diets, timed light activity after meals, and progressive aerobic-resistance programs reduce post-prandial exposure and improve insulin sensitivity, while smoking cessation lowers atherothrombotic risk regardless of glucose. Section 4 </w:t>
      </w:r>
      <w:r w:rsidR="00A538B4" w:rsidRPr="00167F5B">
        <w:rPr>
          <w:lang w:val="en-US"/>
        </w:rPr>
        <w:t>emphasizes</w:t>
      </w:r>
      <w:r w:rsidRPr="00167F5B">
        <w:rPr>
          <w:lang w:val="en-US"/>
        </w:rPr>
        <w:t xml:space="preserve"> routine data for safer </w:t>
      </w:r>
      <w:r w:rsidR="00A538B4" w:rsidRPr="00167F5B">
        <w:rPr>
          <w:lang w:val="en-US"/>
        </w:rPr>
        <w:t>personalization</w:t>
      </w:r>
      <w:r w:rsidRPr="00167F5B">
        <w:rPr>
          <w:lang w:val="en-US"/>
        </w:rPr>
        <w:t>: HbA1c integrates months, SMBG/CGM resolve meal- and activity-specific responses, and anthropometry and blood pressure track cardiometabolic risk, allowing timely iteration rather than reactive care. Section 5 shows real, quantified gains: Interrupting sitting and post-meal walking blunt peaks; smoking cessation reduces vascular events by about one-fifth; structured weight loss programs can deliver remission for a substantial minority at service level. Primary care foresees continuous education, transparent dashboards, COM-B-informed tailoring, and PDSA cycles to renegotiate SMART goals as data accumulates.</w:t>
      </w:r>
    </w:p>
    <w:p w14:paraId="75F9396B" w14:textId="77777777" w:rsidR="00595A5B" w:rsidRDefault="00595A5B" w:rsidP="00167F5B">
      <w:pPr>
        <w:rPr>
          <w:lang w:val="en-US"/>
        </w:rPr>
      </w:pPr>
    </w:p>
    <w:p w14:paraId="751CB90D" w14:textId="77777777" w:rsidR="00595A5B" w:rsidRDefault="00595A5B" w:rsidP="00167F5B">
      <w:pPr>
        <w:rPr>
          <w:lang w:val="en-US"/>
        </w:rPr>
      </w:pPr>
    </w:p>
    <w:p w14:paraId="69F4193D" w14:textId="77777777" w:rsidR="00595A5B" w:rsidRDefault="00595A5B" w:rsidP="00167F5B">
      <w:pPr>
        <w:rPr>
          <w:lang w:val="en-US"/>
        </w:rPr>
      </w:pPr>
    </w:p>
    <w:p w14:paraId="54791A31" w14:textId="77777777" w:rsidR="00595A5B" w:rsidRDefault="00595A5B" w:rsidP="00167F5B">
      <w:pPr>
        <w:rPr>
          <w:lang w:val="en-US"/>
        </w:rPr>
      </w:pPr>
    </w:p>
    <w:p w14:paraId="44EEAC42" w14:textId="77777777" w:rsidR="00595A5B" w:rsidRDefault="00595A5B" w:rsidP="00167F5B">
      <w:pPr>
        <w:rPr>
          <w:lang w:val="en-US"/>
        </w:rPr>
      </w:pPr>
    </w:p>
    <w:p w14:paraId="13532D61" w14:textId="77777777" w:rsidR="00595A5B" w:rsidRDefault="00595A5B" w:rsidP="00167F5B">
      <w:pPr>
        <w:rPr>
          <w:lang w:val="en-US"/>
        </w:rPr>
      </w:pPr>
    </w:p>
    <w:p w14:paraId="7900AE10" w14:textId="77777777" w:rsidR="00595A5B" w:rsidRDefault="00595A5B" w:rsidP="00167F5B">
      <w:pPr>
        <w:rPr>
          <w:lang w:val="en-US"/>
        </w:rPr>
      </w:pPr>
    </w:p>
    <w:p w14:paraId="2A229520" w14:textId="77777777" w:rsidR="00595A5B" w:rsidRDefault="00595A5B" w:rsidP="00167F5B">
      <w:pPr>
        <w:rPr>
          <w:lang w:val="en-US"/>
        </w:rPr>
      </w:pPr>
    </w:p>
    <w:p w14:paraId="0BBFA31A" w14:textId="77777777" w:rsidR="00595A5B" w:rsidRPr="00167F5B" w:rsidRDefault="00595A5B" w:rsidP="00BB46A2">
      <w:pPr>
        <w:pStyle w:val="Heading1"/>
      </w:pPr>
      <w:bookmarkStart w:id="20" w:name="_Toc211977613"/>
      <w:r>
        <w:t>References</w:t>
      </w:r>
      <w:bookmarkEnd w:id="20"/>
    </w:p>
    <w:p w14:paraId="51E0D1F1" w14:textId="77777777" w:rsidR="00595A5B" w:rsidRPr="00595A5B" w:rsidRDefault="00595A5B" w:rsidP="00595A5B">
      <w:pPr>
        <w:rPr>
          <w:lang w:val="en-US"/>
        </w:rPr>
      </w:pPr>
      <w:r w:rsidRPr="00595A5B">
        <w:rPr>
          <w:lang w:val="en-US"/>
        </w:rPr>
        <w:t xml:space="preserve">African Journal of Diabetes Medicine (2024) ‘Understanding the renal threshold for glucose: implications for diabetes management’. Available at: </w:t>
      </w:r>
      <w:hyperlink r:id="rId8" w:tgtFrame="_new" w:history="1">
        <w:r w:rsidRPr="00595A5B">
          <w:rPr>
            <w:rStyle w:val="Hyperlink"/>
            <w:lang w:val="en-US"/>
          </w:rPr>
          <w:t>https://www.africanjournalofdiabetesmedicine.com/articles/understanding-the-renal-threshold-for-glucose-implications-for-diabetes-management.pdf</w:t>
        </w:r>
      </w:hyperlink>
      <w:r w:rsidRPr="00595A5B">
        <w:rPr>
          <w:lang w:val="en-US"/>
        </w:rPr>
        <w:t xml:space="preserve"> (Accessed 21 October 2025). </w:t>
      </w:r>
      <w:hyperlink r:id="rId9" w:tgtFrame="_blank" w:history="1">
        <w:r w:rsidRPr="00595A5B">
          <w:rPr>
            <w:rStyle w:val="Hyperlink"/>
            <w:lang w:val="en-US"/>
          </w:rPr>
          <w:t>africanjournalofdiabetesmedicine.com</w:t>
        </w:r>
      </w:hyperlink>
    </w:p>
    <w:p w14:paraId="38E2FEEA" w14:textId="77777777" w:rsidR="00595A5B" w:rsidRPr="00595A5B" w:rsidRDefault="00595A5B" w:rsidP="00595A5B">
      <w:pPr>
        <w:rPr>
          <w:lang w:val="en-US"/>
        </w:rPr>
      </w:pPr>
      <w:r w:rsidRPr="00595A5B">
        <w:rPr>
          <w:lang w:val="en-US"/>
        </w:rPr>
        <w:t xml:space="preserve">American Diabetes Association (2025) ‘Glycemic goals and hypoglycemia: Standards of Care in Diabetes—2025’, </w:t>
      </w:r>
      <w:r w:rsidRPr="00595A5B">
        <w:rPr>
          <w:i/>
          <w:iCs/>
          <w:lang w:val="en-US"/>
        </w:rPr>
        <w:t>Diabetes Care</w:t>
      </w:r>
      <w:r w:rsidRPr="00595A5B">
        <w:rPr>
          <w:lang w:val="en-US"/>
        </w:rPr>
        <w:t xml:space="preserve">, 48(Suppl 1), S128–S145. Available at: </w:t>
      </w:r>
      <w:hyperlink r:id="rId10" w:tgtFrame="_new" w:history="1">
        <w:r w:rsidRPr="00595A5B">
          <w:rPr>
            <w:rStyle w:val="Hyperlink"/>
            <w:lang w:val="en-US"/>
          </w:rPr>
          <w:t>https://diabetesjournals.org/care/article/48/Supplement_1/S128/157561/6-Glycemic-Goals-and-Hypoglycemia-Standards-of</w:t>
        </w:r>
      </w:hyperlink>
      <w:r w:rsidRPr="00595A5B">
        <w:rPr>
          <w:lang w:val="en-US"/>
        </w:rPr>
        <w:t xml:space="preserve"> (Accessed 21 October 2025). </w:t>
      </w:r>
      <w:hyperlink r:id="rId11" w:tgtFrame="_blank" w:history="1">
        <w:r w:rsidRPr="00595A5B">
          <w:rPr>
            <w:rStyle w:val="Hyperlink"/>
            <w:lang w:val="en-US"/>
          </w:rPr>
          <w:t>Diabetes Journals</w:t>
        </w:r>
      </w:hyperlink>
    </w:p>
    <w:p w14:paraId="775A3437" w14:textId="77777777" w:rsidR="00595A5B" w:rsidRDefault="00595A5B" w:rsidP="00595A5B">
      <w:pPr>
        <w:rPr>
          <w:lang w:val="en-US"/>
        </w:rPr>
      </w:pPr>
      <w:r w:rsidRPr="00595A5B">
        <w:rPr>
          <w:lang w:val="en-US"/>
        </w:rPr>
        <w:t xml:space="preserve">American Diabetes Association (ADA) (2019) </w:t>
      </w:r>
      <w:r w:rsidRPr="00595A5B">
        <w:rPr>
          <w:i/>
          <w:iCs/>
          <w:lang w:val="en-US"/>
        </w:rPr>
        <w:t>Nutrition Therapy for Adults With Diabetes – Quick Guide for Clinicians</w:t>
      </w:r>
      <w:r w:rsidRPr="00595A5B">
        <w:rPr>
          <w:lang w:val="en-US"/>
        </w:rPr>
        <w:t xml:space="preserve">. Available at: </w:t>
      </w:r>
      <w:hyperlink r:id="rId12" w:history="1">
        <w:r w:rsidRPr="00232C7A">
          <w:rPr>
            <w:rStyle w:val="Hyperlink"/>
            <w:lang w:val="en-US"/>
          </w:rPr>
          <w:t>https://professional.diabetes.org/sites/default/files/media/ada_nutrition_intervention_quick_guide_0.pdf</w:t>
        </w:r>
      </w:hyperlink>
    </w:p>
    <w:p w14:paraId="5A9220AF" w14:textId="77777777" w:rsidR="00595A5B" w:rsidRDefault="00595A5B" w:rsidP="00595A5B">
      <w:r w:rsidRPr="00595A5B">
        <w:rPr>
          <w:lang w:val="en-US"/>
        </w:rPr>
        <w:t xml:space="preserve">American Diabetes Association (ADA) (2021) ‘4. Comprehensive Medical Evaluation and Assessment of Comorbidities: Standards of Medical Care in Diabetes—2021’, </w:t>
      </w:r>
      <w:r w:rsidRPr="00595A5B">
        <w:rPr>
          <w:i/>
          <w:iCs/>
          <w:lang w:val="en-US"/>
        </w:rPr>
        <w:t>Diabetes Care</w:t>
      </w:r>
      <w:r w:rsidRPr="00595A5B">
        <w:rPr>
          <w:lang w:val="en-US"/>
        </w:rPr>
        <w:t xml:space="preserve">, 44(Supplement_1), pp. S40–S52. Available at: </w:t>
      </w:r>
      <w:hyperlink r:id="rId13" w:tgtFrame="_new" w:history="1">
        <w:r w:rsidRPr="00595A5B">
          <w:rPr>
            <w:rStyle w:val="Hyperlink"/>
            <w:lang w:val="en-US"/>
          </w:rPr>
          <w:t>https://diabetesjournals.org/care/article/44/Supplement_1/S40/30474/4-Comprehensive-Medical-Evaluation-and-Assessment</w:t>
        </w:r>
      </w:hyperlink>
    </w:p>
    <w:p w14:paraId="32FCB969" w14:textId="77777777" w:rsidR="00595A5B" w:rsidRPr="00595A5B" w:rsidRDefault="00595A5B" w:rsidP="00595A5B">
      <w:pPr>
        <w:rPr>
          <w:lang w:val="en-US"/>
        </w:rPr>
      </w:pPr>
      <w:r w:rsidRPr="00595A5B">
        <w:rPr>
          <w:lang w:val="en-US"/>
        </w:rPr>
        <w:t xml:space="preserve">American Diabetes Association (ADA) (2025) ‘Glycemic Goals and Hypoglycemia: Standards of Care in Diabetes—2025’, </w:t>
      </w:r>
      <w:r w:rsidRPr="00595A5B">
        <w:rPr>
          <w:i/>
          <w:iCs/>
          <w:lang w:val="en-US"/>
        </w:rPr>
        <w:t>Diabetes Care</w:t>
      </w:r>
      <w:r w:rsidRPr="00595A5B">
        <w:rPr>
          <w:lang w:val="en-US"/>
        </w:rPr>
        <w:t xml:space="preserve">, 48(Suppl 1), S128–S145. Available at: </w:t>
      </w:r>
      <w:hyperlink r:id="rId14" w:tgtFrame="_new" w:history="1">
        <w:r w:rsidRPr="00595A5B">
          <w:rPr>
            <w:rStyle w:val="Hyperlink"/>
            <w:lang w:val="en-US"/>
          </w:rPr>
          <w:t>https://diabetesjournals.org/care/article/48/Supplement_1/S128/157561/6-Glycemic-Goals-and-Hypoglycemia-Standards-of</w:t>
        </w:r>
      </w:hyperlink>
      <w:r w:rsidRPr="00595A5B">
        <w:rPr>
          <w:lang w:val="en-US"/>
        </w:rPr>
        <w:t xml:space="preserve"> (Accessed 21 October 2025). </w:t>
      </w:r>
      <w:hyperlink r:id="rId15" w:tgtFrame="_blank" w:history="1">
        <w:r w:rsidRPr="00595A5B">
          <w:rPr>
            <w:rStyle w:val="Hyperlink"/>
            <w:lang w:val="en-US"/>
          </w:rPr>
          <w:t>Diabetes Journals</w:t>
        </w:r>
      </w:hyperlink>
    </w:p>
    <w:p w14:paraId="2461B0D6" w14:textId="77777777" w:rsidR="00595A5B" w:rsidRDefault="00595A5B" w:rsidP="00595A5B">
      <w:pPr>
        <w:rPr>
          <w:lang w:val="en-US"/>
        </w:rPr>
      </w:pPr>
      <w:r w:rsidRPr="00595A5B">
        <w:rPr>
          <w:lang w:val="en-US"/>
        </w:rPr>
        <w:t xml:space="preserve">American Diabetes Association (ADA) (2025) </w:t>
      </w:r>
      <w:r w:rsidRPr="00595A5B">
        <w:rPr>
          <w:i/>
          <w:iCs/>
          <w:lang w:val="en-US"/>
        </w:rPr>
        <w:t>Highlights from the 2025 Standards of Care</w:t>
      </w:r>
      <w:r w:rsidRPr="00595A5B">
        <w:rPr>
          <w:lang w:val="en-US"/>
        </w:rPr>
        <w:t xml:space="preserve">. Available at: https://diabetes.org/newsroom/medical-minutes/new-standards-of-care-2025-highlights </w:t>
      </w:r>
    </w:p>
    <w:p w14:paraId="52C9C45A" w14:textId="1ED3EAD4" w:rsidR="00595A5B" w:rsidRPr="00595A5B" w:rsidRDefault="009720E3" w:rsidP="00595A5B">
      <w:pPr>
        <w:rPr>
          <w:lang w:val="en-US"/>
        </w:rPr>
      </w:pPr>
      <w:r w:rsidRPr="00595A5B">
        <w:rPr>
          <w:lang w:val="en-US"/>
        </w:rPr>
        <w:t>Battalion</w:t>
      </w:r>
      <w:r w:rsidR="00595A5B" w:rsidRPr="00595A5B">
        <w:rPr>
          <w:lang w:val="en-US"/>
        </w:rPr>
        <w:t xml:space="preserve">, T. et al. (2019) ‘Clinical targets for continuous glucose monitoring data interpretation: recommendations from the International Consensus on Time in Range’, </w:t>
      </w:r>
      <w:r w:rsidR="00595A5B" w:rsidRPr="00595A5B">
        <w:rPr>
          <w:i/>
          <w:iCs/>
          <w:lang w:val="en-US"/>
        </w:rPr>
        <w:t>Diabetes Care</w:t>
      </w:r>
      <w:r w:rsidR="00595A5B" w:rsidRPr="00595A5B">
        <w:rPr>
          <w:lang w:val="en-US"/>
        </w:rPr>
        <w:t xml:space="preserve">, 42(8), pp. 1593–1603. Available at: </w:t>
      </w:r>
      <w:hyperlink r:id="rId16" w:tgtFrame="_new" w:history="1">
        <w:r w:rsidR="00595A5B" w:rsidRPr="00595A5B">
          <w:rPr>
            <w:rStyle w:val="Hyperlink"/>
            <w:lang w:val="en-US"/>
          </w:rPr>
          <w:t>https://diabetesjournals.org/care/article/42/8/1593/36184/Clinical-Targets-for-Continuous-Glucose-Monitoring</w:t>
        </w:r>
      </w:hyperlink>
      <w:r w:rsidR="00595A5B" w:rsidRPr="00595A5B">
        <w:rPr>
          <w:lang w:val="en-US"/>
        </w:rPr>
        <w:t xml:space="preserve"> (Accessed 21 October 2025). </w:t>
      </w:r>
      <w:hyperlink r:id="rId17" w:tgtFrame="_blank" w:history="1">
        <w:r w:rsidR="00595A5B" w:rsidRPr="00595A5B">
          <w:rPr>
            <w:rStyle w:val="Hyperlink"/>
            <w:lang w:val="en-US"/>
          </w:rPr>
          <w:t>Diabetes Journals</w:t>
        </w:r>
      </w:hyperlink>
    </w:p>
    <w:p w14:paraId="217E9CE5" w14:textId="77777777" w:rsidR="00595A5B" w:rsidRPr="00595A5B" w:rsidRDefault="00595A5B" w:rsidP="00595A5B">
      <w:pPr>
        <w:rPr>
          <w:lang w:val="en-US"/>
        </w:rPr>
      </w:pPr>
      <w:r w:rsidRPr="00595A5B">
        <w:rPr>
          <w:lang w:val="en-US"/>
        </w:rPr>
        <w:t xml:space="preserve">Beck, R.W. et al. (2021) ‘Effect of continuous glucose monitoring on glycemic control in adults with type 2 diabetes treated with basal insulin in primary care’, </w:t>
      </w:r>
      <w:r w:rsidRPr="00595A5B">
        <w:rPr>
          <w:i/>
          <w:iCs/>
          <w:lang w:val="en-US"/>
        </w:rPr>
        <w:t>JAMA</w:t>
      </w:r>
      <w:r w:rsidRPr="00595A5B">
        <w:rPr>
          <w:lang w:val="en-US"/>
        </w:rPr>
        <w:t xml:space="preserve">, 325(22), pp. 2262–2272. Available at: </w:t>
      </w:r>
      <w:hyperlink r:id="rId18" w:tgtFrame="_new" w:history="1">
        <w:r w:rsidRPr="00595A5B">
          <w:rPr>
            <w:rStyle w:val="Hyperlink"/>
            <w:lang w:val="en-US"/>
          </w:rPr>
          <w:t>https://jamanetwork.com/journals/jama/fullarticle/2780593</w:t>
        </w:r>
      </w:hyperlink>
      <w:r w:rsidRPr="00595A5B">
        <w:rPr>
          <w:lang w:val="en-US"/>
        </w:rPr>
        <w:t xml:space="preserve"> (Accessed 21 October 2025). </w:t>
      </w:r>
      <w:hyperlink r:id="rId19" w:tgtFrame="_blank" w:history="1">
        <w:r w:rsidRPr="00595A5B">
          <w:rPr>
            <w:rStyle w:val="Hyperlink"/>
            <w:lang w:val="en-US"/>
          </w:rPr>
          <w:t>JAMA Network</w:t>
        </w:r>
      </w:hyperlink>
    </w:p>
    <w:p w14:paraId="1155BBC2" w14:textId="77777777" w:rsidR="00595A5B" w:rsidRPr="00595A5B" w:rsidRDefault="00595A5B" w:rsidP="00595A5B">
      <w:pPr>
        <w:rPr>
          <w:lang w:val="en-US"/>
        </w:rPr>
      </w:pPr>
      <w:r w:rsidRPr="00595A5B">
        <w:rPr>
          <w:lang w:val="en-US"/>
        </w:rPr>
        <w:t xml:space="preserve">Bolli, G.B. et al. (2020) ‘The dawn phenomenon across the glycemic continuum: implications for diabetes management’, </w:t>
      </w:r>
      <w:r w:rsidRPr="00595A5B">
        <w:rPr>
          <w:i/>
          <w:iCs/>
          <w:lang w:val="en-US"/>
        </w:rPr>
        <w:t>Diabetes Research and Clinical Practice</w:t>
      </w:r>
      <w:r w:rsidRPr="00595A5B">
        <w:rPr>
          <w:lang w:val="en-US"/>
        </w:rPr>
        <w:t xml:space="preserve">, 161, 108032. Available at: </w:t>
      </w:r>
      <w:hyperlink r:id="rId20" w:tgtFrame="_new" w:history="1">
        <w:r w:rsidRPr="00595A5B">
          <w:rPr>
            <w:rStyle w:val="Hyperlink"/>
            <w:lang w:val="en-US"/>
          </w:rPr>
          <w:t>https://www.diabetesresearchclinicalpractice.com/article/S0168-8227%2820%2930560-X/fulltext</w:t>
        </w:r>
      </w:hyperlink>
      <w:r w:rsidRPr="00595A5B">
        <w:rPr>
          <w:lang w:val="en-US"/>
        </w:rPr>
        <w:t xml:space="preserve"> (Accessed 21 October 2025). </w:t>
      </w:r>
      <w:hyperlink r:id="rId21" w:tgtFrame="_blank" w:history="1">
        <w:r w:rsidRPr="00595A5B">
          <w:rPr>
            <w:rStyle w:val="Hyperlink"/>
            <w:lang w:val="en-US"/>
          </w:rPr>
          <w:t>diabetesresearchclinicalpractice.com</w:t>
        </w:r>
      </w:hyperlink>
    </w:p>
    <w:p w14:paraId="2110CEA8" w14:textId="77777777" w:rsidR="00595A5B" w:rsidRPr="00595A5B" w:rsidRDefault="00595A5B" w:rsidP="00595A5B">
      <w:pPr>
        <w:rPr>
          <w:lang w:val="en-US"/>
        </w:rPr>
      </w:pPr>
      <w:r w:rsidRPr="00595A5B">
        <w:rPr>
          <w:lang w:val="en-US"/>
        </w:rPr>
        <w:t xml:space="preserve">Broussard, J. </w:t>
      </w:r>
      <w:r w:rsidRPr="00595A5B">
        <w:rPr>
          <w:i/>
          <w:iCs/>
          <w:lang w:val="en-US"/>
        </w:rPr>
        <w:t>et al.</w:t>
      </w:r>
      <w:r w:rsidRPr="00595A5B">
        <w:rPr>
          <w:lang w:val="en-US"/>
        </w:rPr>
        <w:t xml:space="preserve"> (2024) ‘Chronic insufficient sleep in women impairs insulin sensitivity’, </w:t>
      </w:r>
      <w:r w:rsidRPr="00595A5B">
        <w:rPr>
          <w:i/>
          <w:iCs/>
          <w:lang w:val="en-US"/>
        </w:rPr>
        <w:t>Diabetes Care</w:t>
      </w:r>
      <w:r w:rsidRPr="00595A5B">
        <w:rPr>
          <w:lang w:val="en-US"/>
        </w:rPr>
        <w:t xml:space="preserve">, 47(1), pp. 117–124. Available at: </w:t>
      </w:r>
      <w:hyperlink r:id="rId22" w:tgtFrame="_new" w:history="1">
        <w:r w:rsidRPr="00595A5B">
          <w:rPr>
            <w:rStyle w:val="Hyperlink"/>
            <w:lang w:val="en-US"/>
          </w:rPr>
          <w:t>https://diabetesjournals.org/care/article/47/1/117/153802/Chronic-Insufficient-Sleep-in-Women-Impairs</w:t>
        </w:r>
      </w:hyperlink>
      <w:r w:rsidRPr="00595A5B">
        <w:rPr>
          <w:lang w:val="en-US"/>
        </w:rPr>
        <w:t xml:space="preserve"> </w:t>
      </w:r>
      <w:hyperlink r:id="rId23" w:tgtFrame="_blank" w:history="1">
        <w:r w:rsidRPr="00595A5B">
          <w:rPr>
            <w:rStyle w:val="Hyperlink"/>
            <w:lang w:val="en-US"/>
          </w:rPr>
          <w:t>Diabetes Journals</w:t>
        </w:r>
      </w:hyperlink>
    </w:p>
    <w:p w14:paraId="1CD4B9F5" w14:textId="67726884" w:rsidR="00595A5B" w:rsidRDefault="00595A5B" w:rsidP="00595A5B">
      <w:pPr>
        <w:rPr>
          <w:lang w:val="en-US"/>
        </w:rPr>
      </w:pPr>
      <w:r w:rsidRPr="00595A5B">
        <w:rPr>
          <w:lang w:val="en-US"/>
        </w:rPr>
        <w:t xml:space="preserve">Buffey, A.J. </w:t>
      </w:r>
      <w:r w:rsidRPr="00595A5B">
        <w:rPr>
          <w:i/>
          <w:iCs/>
          <w:lang w:val="en-US"/>
        </w:rPr>
        <w:t>et al.</w:t>
      </w:r>
      <w:r w:rsidRPr="00595A5B">
        <w:rPr>
          <w:lang w:val="en-US"/>
        </w:rPr>
        <w:t xml:space="preserve"> (2022) ‘Interrupting prolonged sitting with standing and light-intensity walking improves postprandial glycaemia and </w:t>
      </w:r>
      <w:r w:rsidR="00A538B4" w:rsidRPr="00595A5B">
        <w:rPr>
          <w:lang w:val="en-US"/>
        </w:rPr>
        <w:t>insulinemic</w:t>
      </w:r>
      <w:r w:rsidRPr="00595A5B">
        <w:rPr>
          <w:lang w:val="en-US"/>
        </w:rPr>
        <w:t xml:space="preserve">: systematic review and meta-analysis’, </w:t>
      </w:r>
      <w:r w:rsidRPr="00595A5B">
        <w:rPr>
          <w:i/>
          <w:iCs/>
          <w:lang w:val="en-US"/>
        </w:rPr>
        <w:t>Sports Medicine</w:t>
      </w:r>
      <w:r w:rsidRPr="00595A5B">
        <w:rPr>
          <w:lang w:val="en-US"/>
        </w:rPr>
        <w:t xml:space="preserve">. Available at: https://link.springer.com/article/10.1007/s40279-022-01674-5 </w:t>
      </w:r>
    </w:p>
    <w:p w14:paraId="27EEA4F4" w14:textId="66771B17" w:rsidR="00595A5B" w:rsidRPr="00595A5B" w:rsidRDefault="00595A5B" w:rsidP="00595A5B">
      <w:pPr>
        <w:rPr>
          <w:lang w:val="en-US"/>
        </w:rPr>
      </w:pPr>
      <w:r w:rsidRPr="00595A5B">
        <w:rPr>
          <w:lang w:val="en-US"/>
        </w:rPr>
        <w:lastRenderedPageBreak/>
        <w:t xml:space="preserve">Chaudhry, R. and </w:t>
      </w:r>
      <w:r w:rsidR="00A538B4" w:rsidRPr="00595A5B">
        <w:rPr>
          <w:lang w:val="en-US"/>
        </w:rPr>
        <w:t>Vara Callo</w:t>
      </w:r>
      <w:r w:rsidRPr="00595A5B">
        <w:rPr>
          <w:lang w:val="en-US"/>
        </w:rPr>
        <w:t xml:space="preserve">, M. </w:t>
      </w:r>
      <w:r w:rsidR="00A538B4" w:rsidRPr="00595A5B">
        <w:rPr>
          <w:lang w:val="en-US"/>
        </w:rPr>
        <w:t xml:space="preserve">2023) </w:t>
      </w:r>
      <w:r w:rsidRPr="00595A5B">
        <w:rPr>
          <w:lang w:val="en-US"/>
        </w:rPr>
        <w:t xml:space="preserve">‘Biochemistry, Glycolysis’, </w:t>
      </w:r>
      <w:r w:rsidR="00A538B4" w:rsidRPr="00595A5B">
        <w:rPr>
          <w:i/>
          <w:iCs/>
          <w:lang w:val="en-US"/>
        </w:rPr>
        <w:t>Stat Pearls</w:t>
      </w:r>
      <w:r w:rsidRPr="00595A5B">
        <w:rPr>
          <w:lang w:val="en-US"/>
        </w:rPr>
        <w:t xml:space="preserve">. Available at: </w:t>
      </w:r>
      <w:hyperlink r:id="rId24" w:tgtFrame="_new" w:history="1">
        <w:r w:rsidRPr="00595A5B">
          <w:rPr>
            <w:rStyle w:val="Hyperlink"/>
            <w:lang w:val="en-US"/>
          </w:rPr>
          <w:t>https://europepmc.org/article/nbk/nbk482303</w:t>
        </w:r>
      </w:hyperlink>
      <w:r w:rsidRPr="00595A5B">
        <w:rPr>
          <w:lang w:val="en-US"/>
        </w:rPr>
        <w:t xml:space="preserve"> (Accessed 21 October 2025). </w:t>
      </w:r>
      <w:hyperlink r:id="rId25" w:tgtFrame="_blank" w:history="1">
        <w:r w:rsidRPr="00595A5B">
          <w:rPr>
            <w:rStyle w:val="Hyperlink"/>
            <w:lang w:val="en-US"/>
          </w:rPr>
          <w:t>Europe PMC</w:t>
        </w:r>
      </w:hyperlink>
    </w:p>
    <w:p w14:paraId="093AD9EB" w14:textId="3220A891" w:rsidR="00595A5B" w:rsidRPr="00595A5B" w:rsidRDefault="00595A5B" w:rsidP="00595A5B">
      <w:pPr>
        <w:rPr>
          <w:lang w:val="en-US"/>
        </w:rPr>
      </w:pPr>
      <w:r w:rsidRPr="00595A5B">
        <w:rPr>
          <w:lang w:val="en-US"/>
        </w:rPr>
        <w:t>Danowitz, M. and De Leon, D.D. (</w:t>
      </w:r>
      <w:r w:rsidR="00A538B4" w:rsidRPr="00595A5B">
        <w:rPr>
          <w:lang w:val="en-US"/>
        </w:rPr>
        <w:t xml:space="preserve">2022) </w:t>
      </w:r>
      <w:r w:rsidRPr="00595A5B">
        <w:rPr>
          <w:lang w:val="en-US"/>
        </w:rPr>
        <w:t xml:space="preserve">The Role of GLP-1 Signaling in Hypoglycemia due to Hyperinsulinism’, </w:t>
      </w:r>
      <w:r w:rsidRPr="00595A5B">
        <w:rPr>
          <w:i/>
          <w:iCs/>
          <w:lang w:val="en-US"/>
        </w:rPr>
        <w:t>Frontiers in Endocrinology</w:t>
      </w:r>
      <w:r w:rsidRPr="00595A5B">
        <w:rPr>
          <w:lang w:val="en-US"/>
        </w:rPr>
        <w:t xml:space="preserve">, 13, 863184. Available at: </w:t>
      </w:r>
      <w:hyperlink r:id="rId26" w:tgtFrame="_new" w:history="1">
        <w:r w:rsidRPr="00595A5B">
          <w:rPr>
            <w:rStyle w:val="Hyperlink"/>
            <w:lang w:val="en-US"/>
          </w:rPr>
          <w:t>https://www.frontiersin.org/journals/endocrinology/articles/10.3389/fendo.2022.863184/pdf</w:t>
        </w:r>
      </w:hyperlink>
      <w:r w:rsidRPr="00595A5B">
        <w:rPr>
          <w:lang w:val="en-US"/>
        </w:rPr>
        <w:t xml:space="preserve"> (Accessed 21 October 2025). </w:t>
      </w:r>
      <w:hyperlink r:id="rId27" w:tgtFrame="_blank" w:history="1">
        <w:r w:rsidRPr="00595A5B">
          <w:rPr>
            <w:rStyle w:val="Hyperlink"/>
            <w:lang w:val="en-US"/>
          </w:rPr>
          <w:t>Frontiers</w:t>
        </w:r>
      </w:hyperlink>
    </w:p>
    <w:p w14:paraId="31C6C578" w14:textId="77777777" w:rsidR="00595A5B" w:rsidRPr="00595A5B" w:rsidRDefault="00595A5B" w:rsidP="00595A5B">
      <w:pPr>
        <w:rPr>
          <w:lang w:val="en-US"/>
        </w:rPr>
      </w:pPr>
      <w:r w:rsidRPr="00595A5B">
        <w:rPr>
          <w:lang w:val="en-US"/>
        </w:rPr>
        <w:t xml:space="preserve">Department of Health and Social Care (2025) </w:t>
      </w:r>
      <w:r w:rsidRPr="00595A5B">
        <w:rPr>
          <w:i/>
          <w:iCs/>
          <w:lang w:val="en-US"/>
        </w:rPr>
        <w:t>Diabetes profile: statistical commentary, March 2025</w:t>
      </w:r>
      <w:r w:rsidRPr="00595A5B">
        <w:rPr>
          <w:lang w:val="en-US"/>
        </w:rPr>
        <w:t xml:space="preserve">. GOV.UK. Available at: </w:t>
      </w:r>
      <w:hyperlink r:id="rId28" w:tgtFrame="_new" w:history="1">
        <w:r w:rsidRPr="00595A5B">
          <w:rPr>
            <w:rStyle w:val="Hyperlink"/>
            <w:lang w:val="en-US"/>
          </w:rPr>
          <w:t>https://www.gov.uk/government/statistics/diabetes-profile-update-march-2025/diabetes-profile-statistical-commentary-march-2025</w:t>
        </w:r>
      </w:hyperlink>
      <w:r w:rsidRPr="00595A5B">
        <w:rPr>
          <w:lang w:val="en-US"/>
        </w:rPr>
        <w:t xml:space="preserve"> (Accessed 21 October 2025). </w:t>
      </w:r>
      <w:hyperlink r:id="rId29" w:tgtFrame="_blank" w:history="1">
        <w:r w:rsidRPr="00595A5B">
          <w:rPr>
            <w:rStyle w:val="Hyperlink"/>
            <w:lang w:val="en-US"/>
          </w:rPr>
          <w:t>GOV.UK</w:t>
        </w:r>
      </w:hyperlink>
    </w:p>
    <w:p w14:paraId="31924FCE" w14:textId="27F66FCC" w:rsidR="00595A5B" w:rsidRPr="00595A5B" w:rsidRDefault="00595A5B" w:rsidP="00595A5B">
      <w:pPr>
        <w:rPr>
          <w:lang w:val="en-US"/>
        </w:rPr>
      </w:pPr>
      <w:r w:rsidRPr="00595A5B">
        <w:rPr>
          <w:lang w:val="en-US"/>
        </w:rPr>
        <w:t xml:space="preserve">Deshpande, O.A. and Mohiuddin, S.S. (2023) ‘Biochemistry, Oxidative Phosphorylation’, </w:t>
      </w:r>
      <w:r w:rsidR="00A538B4" w:rsidRPr="00595A5B">
        <w:rPr>
          <w:i/>
          <w:iCs/>
          <w:lang w:val="en-US"/>
        </w:rPr>
        <w:t>Stat Pearls</w:t>
      </w:r>
      <w:r w:rsidRPr="00595A5B">
        <w:rPr>
          <w:lang w:val="en-US"/>
        </w:rPr>
        <w:t xml:space="preserve">. Available at: </w:t>
      </w:r>
      <w:hyperlink r:id="rId30" w:tgtFrame="_new" w:history="1">
        <w:r w:rsidRPr="00595A5B">
          <w:rPr>
            <w:rStyle w:val="Hyperlink"/>
            <w:lang w:val="en-US"/>
          </w:rPr>
          <w:t>https://europepmc.org/article/nbk/nbk553192</w:t>
        </w:r>
      </w:hyperlink>
      <w:r w:rsidRPr="00595A5B">
        <w:rPr>
          <w:lang w:val="en-US"/>
        </w:rPr>
        <w:t xml:space="preserve"> (Accessed 21 October 2025). </w:t>
      </w:r>
      <w:hyperlink r:id="rId31" w:tgtFrame="_blank" w:history="1">
        <w:r w:rsidRPr="00595A5B">
          <w:rPr>
            <w:rStyle w:val="Hyperlink"/>
            <w:lang w:val="en-US"/>
          </w:rPr>
          <w:t>Europe PMC</w:t>
        </w:r>
      </w:hyperlink>
    </w:p>
    <w:p w14:paraId="550C690D" w14:textId="77777777" w:rsidR="00595A5B" w:rsidRPr="00595A5B" w:rsidRDefault="00595A5B" w:rsidP="00595A5B">
      <w:pPr>
        <w:rPr>
          <w:lang w:val="en-US"/>
        </w:rPr>
      </w:pPr>
      <w:r w:rsidRPr="00595A5B">
        <w:rPr>
          <w:lang w:val="en-US"/>
        </w:rPr>
        <w:t xml:space="preserve">Diabetes UK (2024) </w:t>
      </w:r>
      <w:r w:rsidRPr="00595A5B">
        <w:rPr>
          <w:i/>
          <w:iCs/>
          <w:lang w:val="en-US"/>
        </w:rPr>
        <w:t>Exercise and Diabetes—Guidance Summary</w:t>
      </w:r>
      <w:r w:rsidRPr="00595A5B">
        <w:rPr>
          <w:lang w:val="en-US"/>
        </w:rPr>
        <w:t xml:space="preserve">. Available at: https://www.diabetes.org.uk/guide-to-diabetes/managing-your-diabetes/exercise </w:t>
      </w:r>
    </w:p>
    <w:p w14:paraId="5827020B" w14:textId="07F6BF41" w:rsidR="00595A5B" w:rsidRPr="00595A5B" w:rsidRDefault="00595A5B" w:rsidP="00595A5B">
      <w:pPr>
        <w:rPr>
          <w:lang w:val="en-US"/>
        </w:rPr>
      </w:pPr>
      <w:r w:rsidRPr="00595A5B">
        <w:rPr>
          <w:lang w:val="en-US"/>
        </w:rPr>
        <w:t>Diabetes UK (</w:t>
      </w:r>
      <w:r w:rsidR="00A538B4" w:rsidRPr="00595A5B">
        <w:rPr>
          <w:lang w:val="en-US"/>
        </w:rPr>
        <w:t xml:space="preserve">2025) </w:t>
      </w:r>
      <w:r w:rsidRPr="00595A5B">
        <w:rPr>
          <w:lang w:val="en-US"/>
        </w:rPr>
        <w:t xml:space="preserve">How many people in the UK have diabetes?’ Available at: </w:t>
      </w:r>
      <w:hyperlink r:id="rId32" w:tgtFrame="_new" w:history="1">
        <w:r w:rsidRPr="00595A5B">
          <w:rPr>
            <w:rStyle w:val="Hyperlink"/>
            <w:lang w:val="en-US"/>
          </w:rPr>
          <w:t>https://www.diabetes.org.uk/about-us/about-the-charity/our-strategy/statistics</w:t>
        </w:r>
      </w:hyperlink>
      <w:r w:rsidRPr="00595A5B">
        <w:rPr>
          <w:lang w:val="en-US"/>
        </w:rPr>
        <w:t xml:space="preserve"> (Accessed 21 October 2025). </w:t>
      </w:r>
      <w:hyperlink r:id="rId33" w:tgtFrame="_blank" w:history="1">
        <w:r w:rsidRPr="00595A5B">
          <w:rPr>
            <w:rStyle w:val="Hyperlink"/>
            <w:lang w:val="en-US"/>
          </w:rPr>
          <w:t>Diabetes UK</w:t>
        </w:r>
      </w:hyperlink>
    </w:p>
    <w:p w14:paraId="6B865688" w14:textId="77777777" w:rsidR="00595A5B" w:rsidRPr="00595A5B" w:rsidRDefault="00595A5B" w:rsidP="00595A5B">
      <w:pPr>
        <w:rPr>
          <w:lang w:val="en-US"/>
        </w:rPr>
      </w:pPr>
      <w:r w:rsidRPr="00595A5B">
        <w:rPr>
          <w:lang w:val="en-US"/>
        </w:rPr>
        <w:t xml:space="preserve">Endocrine Society of Korea (2019) ‘Impaired Cortisol and Growth Hormone Counterregulatory Responses among People with Diabetes’, </w:t>
      </w:r>
      <w:r w:rsidRPr="00595A5B">
        <w:rPr>
          <w:i/>
          <w:iCs/>
          <w:lang w:val="en-US"/>
        </w:rPr>
        <w:t>Endocrinology and Metabolism</w:t>
      </w:r>
      <w:r w:rsidRPr="00595A5B">
        <w:rPr>
          <w:lang w:val="en-US"/>
        </w:rPr>
        <w:t xml:space="preserve">, 34(2), pp. 187–199. Available at: </w:t>
      </w:r>
      <w:hyperlink r:id="rId34" w:tgtFrame="_new" w:history="1">
        <w:r w:rsidRPr="00595A5B">
          <w:rPr>
            <w:rStyle w:val="Hyperlink"/>
            <w:lang w:val="en-US"/>
          </w:rPr>
          <w:t>https://www.e-enm.org/journal/view.php?doi=10.3803%2Fenm.2019.34.2.187</w:t>
        </w:r>
      </w:hyperlink>
      <w:r w:rsidRPr="00595A5B">
        <w:rPr>
          <w:lang w:val="en-US"/>
        </w:rPr>
        <w:t xml:space="preserve"> (Accessed 21 October 2025). </w:t>
      </w:r>
      <w:hyperlink r:id="rId35" w:tgtFrame="_blank" w:history="1">
        <w:r w:rsidRPr="00595A5B">
          <w:rPr>
            <w:rStyle w:val="Hyperlink"/>
            <w:lang w:val="en-US"/>
          </w:rPr>
          <w:t>e-enm.org</w:t>
        </w:r>
      </w:hyperlink>
    </w:p>
    <w:p w14:paraId="1BB286E3" w14:textId="77777777" w:rsidR="00595A5B" w:rsidRPr="00595A5B" w:rsidRDefault="00595A5B" w:rsidP="00595A5B">
      <w:pPr>
        <w:rPr>
          <w:lang w:val="en-US"/>
        </w:rPr>
      </w:pPr>
      <w:r w:rsidRPr="00595A5B">
        <w:rPr>
          <w:lang w:val="en-US"/>
        </w:rPr>
        <w:t xml:space="preserve">Gladden, L.B. (2020) ‘Lactate in contemporary biology: a phoenix risen’, </w:t>
      </w:r>
      <w:r w:rsidRPr="00595A5B">
        <w:rPr>
          <w:i/>
          <w:iCs/>
          <w:lang w:val="en-US"/>
        </w:rPr>
        <w:t>The Journal of Physiology</w:t>
      </w:r>
      <w:r w:rsidRPr="00595A5B">
        <w:rPr>
          <w:lang w:val="en-US"/>
        </w:rPr>
        <w:t xml:space="preserve">, 598(3), pp. 559–578. Available at: </w:t>
      </w:r>
      <w:hyperlink r:id="rId36" w:tgtFrame="_new" w:history="1">
        <w:r w:rsidRPr="00595A5B">
          <w:rPr>
            <w:rStyle w:val="Hyperlink"/>
            <w:lang w:val="en-US"/>
          </w:rPr>
          <w:t>https://physoc.onlinelibrary.wiley.com/doi/epdf/10.1113/JP280955</w:t>
        </w:r>
      </w:hyperlink>
      <w:r w:rsidRPr="00595A5B">
        <w:rPr>
          <w:lang w:val="en-US"/>
        </w:rPr>
        <w:t xml:space="preserve"> (Accessed 21 October 2025). </w:t>
      </w:r>
      <w:hyperlink r:id="rId37" w:tgtFrame="_blank" w:history="1">
        <w:r w:rsidRPr="00595A5B">
          <w:rPr>
            <w:rStyle w:val="Hyperlink"/>
            <w:lang w:val="en-US"/>
          </w:rPr>
          <w:t>physoc.onlinelibrary.wiley.com</w:t>
        </w:r>
      </w:hyperlink>
    </w:p>
    <w:p w14:paraId="2AED6019" w14:textId="53D712F3" w:rsidR="00595A5B" w:rsidRDefault="00595A5B" w:rsidP="00595A5B">
      <w:pPr>
        <w:rPr>
          <w:lang w:val="en-US"/>
        </w:rPr>
      </w:pPr>
      <w:r w:rsidRPr="00595A5B">
        <w:rPr>
          <w:lang w:val="en-US"/>
        </w:rPr>
        <w:lastRenderedPageBreak/>
        <w:t xml:space="preserve">Goldenberg, J.Z. </w:t>
      </w:r>
      <w:r w:rsidRPr="00595A5B">
        <w:rPr>
          <w:i/>
          <w:iCs/>
          <w:lang w:val="en-US"/>
        </w:rPr>
        <w:t>et al.</w:t>
      </w:r>
      <w:r w:rsidRPr="00595A5B">
        <w:rPr>
          <w:lang w:val="en-US"/>
        </w:rPr>
        <w:t xml:space="preserve"> (</w:t>
      </w:r>
      <w:r w:rsidR="009720E3" w:rsidRPr="00595A5B">
        <w:rPr>
          <w:lang w:val="en-US"/>
        </w:rPr>
        <w:t xml:space="preserve">2021) </w:t>
      </w:r>
      <w:r w:rsidRPr="00595A5B">
        <w:rPr>
          <w:lang w:val="en-US"/>
        </w:rPr>
        <w:t xml:space="preserve">Efficacy and safety of low carbohydrate diets for type 2 diabetes remission: systematic review and meta-analysis’, </w:t>
      </w:r>
      <w:r w:rsidRPr="00595A5B">
        <w:rPr>
          <w:i/>
          <w:iCs/>
          <w:lang w:val="en-US"/>
        </w:rPr>
        <w:t>BMJ</w:t>
      </w:r>
      <w:r w:rsidRPr="00595A5B">
        <w:rPr>
          <w:lang w:val="en-US"/>
        </w:rPr>
        <w:t xml:space="preserve">, 372:m4743. Available at: </w:t>
      </w:r>
      <w:hyperlink r:id="rId38" w:history="1">
        <w:r w:rsidRPr="00232C7A">
          <w:rPr>
            <w:rStyle w:val="Hyperlink"/>
            <w:lang w:val="en-US"/>
          </w:rPr>
          <w:t>https://www.bmj.com/content/372/bmj.m4743</w:t>
        </w:r>
      </w:hyperlink>
    </w:p>
    <w:p w14:paraId="6F8C6A4F" w14:textId="77777777" w:rsidR="00595A5B" w:rsidRPr="00595A5B" w:rsidRDefault="00595A5B" w:rsidP="00595A5B">
      <w:pPr>
        <w:rPr>
          <w:lang w:val="en-US"/>
        </w:rPr>
      </w:pPr>
      <w:r w:rsidRPr="00595A5B">
        <w:rPr>
          <w:lang w:val="en-US"/>
        </w:rPr>
        <w:t xml:space="preserve">JAMA Network Open (2023) ‘Habitual Short Sleep Duration, Diet, and Development of Type 2 Diabetes’. Available at: </w:t>
      </w:r>
      <w:hyperlink r:id="rId39" w:tgtFrame="_new" w:history="1">
        <w:r w:rsidRPr="00595A5B">
          <w:rPr>
            <w:rStyle w:val="Hyperlink"/>
            <w:lang w:val="en-US"/>
          </w:rPr>
          <w:t>https://jamanetwork.com/journals/jamanetworkopen/fullarticle/2815684</w:t>
        </w:r>
      </w:hyperlink>
      <w:r w:rsidRPr="00595A5B">
        <w:rPr>
          <w:lang w:val="en-US"/>
        </w:rPr>
        <w:t xml:space="preserve"> (Accessed 21 October 2025). </w:t>
      </w:r>
    </w:p>
    <w:p w14:paraId="78D7409F" w14:textId="0FD92224" w:rsidR="00595A5B" w:rsidRDefault="00595A5B" w:rsidP="00595A5B">
      <w:pPr>
        <w:rPr>
          <w:lang w:val="en-US"/>
        </w:rPr>
      </w:pPr>
      <w:r w:rsidRPr="00595A5B">
        <w:rPr>
          <w:lang w:val="en-US"/>
        </w:rPr>
        <w:t xml:space="preserve">Jeong, S.M. </w:t>
      </w:r>
      <w:r w:rsidRPr="00595A5B">
        <w:rPr>
          <w:i/>
          <w:iCs/>
          <w:lang w:val="en-US"/>
        </w:rPr>
        <w:t>et al.</w:t>
      </w:r>
      <w:r w:rsidRPr="00595A5B">
        <w:rPr>
          <w:lang w:val="en-US"/>
        </w:rPr>
        <w:t xml:space="preserve"> (</w:t>
      </w:r>
      <w:r w:rsidR="009720E3" w:rsidRPr="00595A5B">
        <w:rPr>
          <w:lang w:val="en-US"/>
        </w:rPr>
        <w:t xml:space="preserve">2023) </w:t>
      </w:r>
      <w:r w:rsidRPr="00595A5B">
        <w:rPr>
          <w:lang w:val="en-US"/>
        </w:rPr>
        <w:t xml:space="preserve">Smoking behavior change and risk of cardiovascular disease incidence and mortality in patients with type 2 diabetes mellitus’, </w:t>
      </w:r>
      <w:r w:rsidRPr="00595A5B">
        <w:rPr>
          <w:i/>
          <w:iCs/>
          <w:lang w:val="en-US"/>
        </w:rPr>
        <w:t>Cardiovascular Diabetology</w:t>
      </w:r>
      <w:r w:rsidRPr="00595A5B">
        <w:rPr>
          <w:lang w:val="en-US"/>
        </w:rPr>
        <w:t xml:space="preserve">, 22(193). Available at: </w:t>
      </w:r>
      <w:hyperlink r:id="rId40" w:history="1">
        <w:r w:rsidRPr="00232C7A">
          <w:rPr>
            <w:rStyle w:val="Hyperlink"/>
            <w:lang w:val="en-US"/>
          </w:rPr>
          <w:t>https://cardiab.biomedcentral.com/articles/10.1186/s12933-023-01930-4</w:t>
        </w:r>
      </w:hyperlink>
      <w:r w:rsidRPr="00595A5B">
        <w:rPr>
          <w:lang w:val="en-US"/>
        </w:rPr>
        <w:t xml:space="preserve"> </w:t>
      </w:r>
    </w:p>
    <w:p w14:paraId="74D71190" w14:textId="533C4049" w:rsidR="00595A5B" w:rsidRDefault="00595A5B" w:rsidP="00595A5B">
      <w:r w:rsidRPr="00595A5B">
        <w:rPr>
          <w:lang w:val="en-US"/>
        </w:rPr>
        <w:t xml:space="preserve">Lean, M.E.J. </w:t>
      </w:r>
      <w:r w:rsidRPr="00595A5B">
        <w:rPr>
          <w:i/>
          <w:iCs/>
          <w:lang w:val="en-US"/>
        </w:rPr>
        <w:t>et al.</w:t>
      </w:r>
      <w:r w:rsidRPr="00595A5B">
        <w:rPr>
          <w:lang w:val="en-US"/>
        </w:rPr>
        <w:t xml:space="preserve"> (2019) ‘Durability of a primary care-led weight-management intervention for remission of type 2 diabetes (</w:t>
      </w:r>
      <w:r w:rsidR="009720E3" w:rsidRPr="00595A5B">
        <w:rPr>
          <w:lang w:val="en-US"/>
        </w:rPr>
        <w:t>Direct</w:t>
      </w:r>
      <w:r w:rsidRPr="00595A5B">
        <w:rPr>
          <w:lang w:val="en-US"/>
        </w:rPr>
        <w:t xml:space="preserve">): two-year results’, </w:t>
      </w:r>
      <w:r w:rsidRPr="00595A5B">
        <w:rPr>
          <w:i/>
          <w:iCs/>
          <w:lang w:val="en-US"/>
        </w:rPr>
        <w:t>The Lancet Diabetes &amp; Endocrinology</w:t>
      </w:r>
      <w:r w:rsidRPr="00595A5B">
        <w:rPr>
          <w:lang w:val="en-US"/>
        </w:rPr>
        <w:t xml:space="preserve">, 7(5), pp. 344–355. Available at: </w:t>
      </w:r>
      <w:hyperlink r:id="rId41" w:history="1">
        <w:r w:rsidRPr="00232C7A">
          <w:rPr>
            <w:rStyle w:val="Hyperlink"/>
            <w:lang w:val="en-US"/>
          </w:rPr>
          <w:t>https://www.thelancet.com/journals/landia/article/PIIS2213-8587(19)30068-3/fulltext</w:t>
        </w:r>
      </w:hyperlink>
      <w:hyperlink r:id="rId42" w:tgtFrame="_blank" w:history="1"/>
    </w:p>
    <w:p w14:paraId="79C9C09D" w14:textId="77777777" w:rsidR="00595A5B" w:rsidRPr="00595A5B" w:rsidRDefault="00595A5B" w:rsidP="00595A5B">
      <w:pPr>
        <w:rPr>
          <w:lang w:val="en-US"/>
        </w:rPr>
      </w:pPr>
      <w:r w:rsidRPr="00595A5B">
        <w:rPr>
          <w:lang w:val="en-US"/>
        </w:rPr>
        <w:t xml:space="preserve">National Institute for Health and Care Excellence (NICE) (2023) </w:t>
      </w:r>
      <w:r w:rsidRPr="00595A5B">
        <w:rPr>
          <w:i/>
          <w:iCs/>
          <w:lang w:val="en-US"/>
        </w:rPr>
        <w:t>Type 2 diabetes in adults: Quality Standard QS209</w:t>
      </w:r>
      <w:r w:rsidRPr="00595A5B">
        <w:rPr>
          <w:lang w:val="en-US"/>
        </w:rPr>
        <w:t xml:space="preserve"> (updated 2023). Available at: </w:t>
      </w:r>
      <w:hyperlink r:id="rId43" w:tgtFrame="_new" w:history="1">
        <w:r w:rsidRPr="00595A5B">
          <w:rPr>
            <w:rStyle w:val="Hyperlink"/>
            <w:lang w:val="en-US"/>
          </w:rPr>
          <w:t>https://www.nice.org.uk/guidance/qs209/resources/type-2-diabetes-in-adults-pdf-75547422824389</w:t>
        </w:r>
      </w:hyperlink>
      <w:r w:rsidRPr="00595A5B">
        <w:rPr>
          <w:lang w:val="en-US"/>
        </w:rPr>
        <w:t xml:space="preserve"> (Accessed 21 October 2025). </w:t>
      </w:r>
    </w:p>
    <w:p w14:paraId="4BEF3840" w14:textId="59D0DD0E" w:rsidR="00595A5B" w:rsidRPr="00595A5B" w:rsidRDefault="00595A5B" w:rsidP="00595A5B">
      <w:pPr>
        <w:rPr>
          <w:lang w:val="en-US"/>
        </w:rPr>
      </w:pPr>
      <w:r w:rsidRPr="00595A5B">
        <w:rPr>
          <w:lang w:val="en-US"/>
        </w:rPr>
        <w:t>NHS England (</w:t>
      </w:r>
      <w:r w:rsidR="009720E3" w:rsidRPr="00595A5B">
        <w:rPr>
          <w:lang w:val="en-US"/>
        </w:rPr>
        <w:t xml:space="preserve">2020) </w:t>
      </w:r>
      <w:r w:rsidRPr="00595A5B">
        <w:rPr>
          <w:lang w:val="en-US"/>
        </w:rPr>
        <w:t xml:space="preserve">Sick day rules: how to manage Type 2 diabetes if you become unwell’. Available at: </w:t>
      </w:r>
      <w:hyperlink r:id="rId44" w:tgtFrame="_new" w:history="1">
        <w:r w:rsidRPr="00595A5B">
          <w:rPr>
            <w:rStyle w:val="Hyperlink"/>
            <w:lang w:val="en-US"/>
          </w:rPr>
          <w:t>https://www.england.nhs.uk/london/wp-content/uploads/sites/46/2020/11/Covid-19-Sick-Day-Rules-T2DM.pdf</w:t>
        </w:r>
      </w:hyperlink>
      <w:r w:rsidRPr="00595A5B">
        <w:rPr>
          <w:lang w:val="en-US"/>
        </w:rPr>
        <w:t xml:space="preserve"> (Accessed 21 October 2025). </w:t>
      </w:r>
    </w:p>
    <w:p w14:paraId="334DDAC6" w14:textId="3EE0177D" w:rsidR="00595A5B" w:rsidRPr="00595A5B" w:rsidRDefault="00595A5B" w:rsidP="00595A5B">
      <w:pPr>
        <w:rPr>
          <w:lang w:val="en-US"/>
        </w:rPr>
      </w:pPr>
      <w:r w:rsidRPr="00595A5B">
        <w:rPr>
          <w:lang w:val="en-US"/>
        </w:rPr>
        <w:t xml:space="preserve">NHS England (2024) </w:t>
      </w:r>
      <w:r w:rsidRPr="00595A5B">
        <w:rPr>
          <w:i/>
          <w:iCs/>
          <w:lang w:val="en-US"/>
        </w:rPr>
        <w:t xml:space="preserve">NHS Type 2 Diabetes Path to Remission </w:t>
      </w:r>
      <w:r w:rsidR="009720E3" w:rsidRPr="00595A5B">
        <w:rPr>
          <w:i/>
          <w:iCs/>
          <w:lang w:val="en-US"/>
        </w:rPr>
        <w:t>Program</w:t>
      </w:r>
      <w:r w:rsidRPr="00595A5B">
        <w:rPr>
          <w:lang w:val="en-US"/>
        </w:rPr>
        <w:t xml:space="preserve">. Available at: </w:t>
      </w:r>
      <w:hyperlink r:id="rId45" w:history="1">
        <w:r w:rsidRPr="00232C7A">
          <w:rPr>
            <w:rStyle w:val="Hyperlink"/>
            <w:lang w:val="en-US"/>
          </w:rPr>
          <w:t>https://www.england.nhs.uk/diabetes/treatment-care/diabetes-remission/</w:t>
        </w:r>
      </w:hyperlink>
      <w:r w:rsidRPr="00595A5B">
        <w:rPr>
          <w:lang w:val="en-US"/>
        </w:rPr>
        <w:t xml:space="preserve"> </w:t>
      </w:r>
      <w:hyperlink r:id="rId46" w:tgtFrame="_blank" w:history="1">
        <w:r w:rsidRPr="00595A5B">
          <w:rPr>
            <w:rStyle w:val="Hyperlink"/>
            <w:lang w:val="en-US"/>
          </w:rPr>
          <w:t>NHS England</w:t>
        </w:r>
      </w:hyperlink>
    </w:p>
    <w:p w14:paraId="4CCEAA82" w14:textId="77777777" w:rsidR="00595A5B" w:rsidRPr="00595A5B" w:rsidRDefault="00595A5B" w:rsidP="00595A5B">
      <w:pPr>
        <w:rPr>
          <w:lang w:val="en-US"/>
        </w:rPr>
      </w:pPr>
      <w:r w:rsidRPr="00595A5B">
        <w:rPr>
          <w:lang w:val="en-US"/>
        </w:rPr>
        <w:t xml:space="preserve">NHS England (2024) </w:t>
      </w:r>
      <w:r w:rsidRPr="00595A5B">
        <w:rPr>
          <w:i/>
          <w:iCs/>
          <w:lang w:val="en-US"/>
        </w:rPr>
        <w:t>Quality and Outcomes Framework guidance for 2023/24</w:t>
      </w:r>
      <w:r w:rsidRPr="00595A5B">
        <w:rPr>
          <w:lang w:val="en-US"/>
        </w:rPr>
        <w:t xml:space="preserve">. Available at: </w:t>
      </w:r>
      <w:hyperlink r:id="rId47" w:tgtFrame="_new" w:history="1">
        <w:r w:rsidRPr="00595A5B">
          <w:rPr>
            <w:rStyle w:val="Hyperlink"/>
            <w:lang w:val="en-US"/>
          </w:rPr>
          <w:t>https://www.england.nhs.uk/long-read/quality-and-outcomes-framework-guidance-for-2023-24/</w:t>
        </w:r>
      </w:hyperlink>
      <w:r w:rsidRPr="00595A5B">
        <w:rPr>
          <w:lang w:val="en-US"/>
        </w:rPr>
        <w:t xml:space="preserve"> (Accessed 21 October 2025). </w:t>
      </w:r>
    </w:p>
    <w:p w14:paraId="2F700921" w14:textId="77777777" w:rsidR="00595A5B" w:rsidRPr="00595A5B" w:rsidRDefault="00595A5B" w:rsidP="00595A5B">
      <w:pPr>
        <w:rPr>
          <w:lang w:val="en-US"/>
        </w:rPr>
      </w:pPr>
      <w:r w:rsidRPr="00595A5B">
        <w:rPr>
          <w:lang w:val="en-US"/>
        </w:rPr>
        <w:t xml:space="preserve">NHS England (2025) ‘Core National Diabetes Audit’. Available at: </w:t>
      </w:r>
      <w:hyperlink r:id="rId48" w:tgtFrame="_new" w:history="1">
        <w:r w:rsidRPr="00595A5B">
          <w:rPr>
            <w:rStyle w:val="Hyperlink"/>
            <w:lang w:val="en-US"/>
          </w:rPr>
          <w:t>https://digital.nhs.uk/data-and-information/clinical-audits-and-registries/national-diabetes-audit/core</w:t>
        </w:r>
      </w:hyperlink>
      <w:r w:rsidRPr="00595A5B">
        <w:rPr>
          <w:lang w:val="en-US"/>
        </w:rPr>
        <w:t xml:space="preserve"> (Accessed 21 October 2025). </w:t>
      </w:r>
    </w:p>
    <w:p w14:paraId="781B10E6" w14:textId="77777777" w:rsidR="00595A5B" w:rsidRPr="00595A5B" w:rsidRDefault="00595A5B" w:rsidP="00595A5B">
      <w:pPr>
        <w:rPr>
          <w:lang w:val="en-US"/>
        </w:rPr>
      </w:pPr>
      <w:r w:rsidRPr="00595A5B">
        <w:rPr>
          <w:lang w:val="en-US"/>
        </w:rPr>
        <w:lastRenderedPageBreak/>
        <w:t xml:space="preserve">NICE (2018; updated 2021) </w:t>
      </w:r>
      <w:r w:rsidRPr="00595A5B">
        <w:rPr>
          <w:i/>
          <w:iCs/>
          <w:lang w:val="en-US"/>
        </w:rPr>
        <w:t>Stop smoking interventions and services (NG92)</w:t>
      </w:r>
      <w:r w:rsidRPr="00595A5B">
        <w:rPr>
          <w:lang w:val="en-US"/>
        </w:rPr>
        <w:t xml:space="preserve">. Available at: https://www.nice.org.uk/guidance/ng92 </w:t>
      </w:r>
    </w:p>
    <w:p w14:paraId="4164468F" w14:textId="442EB234" w:rsidR="00595A5B" w:rsidRPr="00595A5B" w:rsidRDefault="00595A5B" w:rsidP="00595A5B">
      <w:pPr>
        <w:rPr>
          <w:lang w:val="en-US"/>
        </w:rPr>
      </w:pPr>
      <w:r w:rsidRPr="00595A5B">
        <w:rPr>
          <w:lang w:val="en-US"/>
        </w:rPr>
        <w:t>NICE (</w:t>
      </w:r>
      <w:r w:rsidR="009720E3" w:rsidRPr="00595A5B">
        <w:rPr>
          <w:lang w:val="en-US"/>
        </w:rPr>
        <w:t xml:space="preserve">2022) </w:t>
      </w:r>
      <w:r w:rsidRPr="00595A5B">
        <w:rPr>
          <w:lang w:val="en-US"/>
        </w:rPr>
        <w:t xml:space="preserve">Resource impact report: Type 1 and 2 diabetes and continuous glucose monitoring (NG17, NG18, NG28)’. Available at: </w:t>
      </w:r>
      <w:hyperlink r:id="rId49" w:history="1">
        <w:r w:rsidRPr="00232C7A">
          <w:rPr>
            <w:rStyle w:val="Hyperlink"/>
            <w:lang w:val="en-US"/>
          </w:rPr>
          <w:t>https://www.nice.org.uk/guidance/ng28/resources/resource-impact-report-type-1-and-type-2-diabetes-and-continuous-glucose-monitoring-pdf-11020390813</w:t>
        </w:r>
      </w:hyperlink>
      <w:r w:rsidRPr="00595A5B">
        <w:rPr>
          <w:lang w:val="en-US"/>
        </w:rPr>
        <w:t xml:space="preserve"> (Accessed 21 October 2025). </w:t>
      </w:r>
    </w:p>
    <w:p w14:paraId="3EF3B14B" w14:textId="6DE1A5DC" w:rsidR="00595A5B" w:rsidRPr="00595A5B" w:rsidRDefault="00595A5B" w:rsidP="00595A5B">
      <w:pPr>
        <w:rPr>
          <w:lang w:val="en-US"/>
        </w:rPr>
      </w:pPr>
      <w:r w:rsidRPr="00595A5B">
        <w:rPr>
          <w:lang w:val="en-US"/>
        </w:rPr>
        <w:t>Nicklaus, M. et al. (</w:t>
      </w:r>
      <w:r w:rsidR="009720E3" w:rsidRPr="00595A5B">
        <w:rPr>
          <w:lang w:val="en-US"/>
        </w:rPr>
        <w:t xml:space="preserve">2020) </w:t>
      </w:r>
      <w:r w:rsidRPr="00595A5B">
        <w:rPr>
          <w:lang w:val="en-US"/>
        </w:rPr>
        <w:t xml:space="preserve">Prior exercise in humans redistributes intramuscular GLUT4 and enhances insulin sensitivity’, </w:t>
      </w:r>
      <w:r w:rsidRPr="00595A5B">
        <w:rPr>
          <w:i/>
          <w:iCs/>
          <w:lang w:val="en-US"/>
        </w:rPr>
        <w:t>Molecular Metabolism</w:t>
      </w:r>
      <w:r w:rsidRPr="00595A5B">
        <w:rPr>
          <w:lang w:val="en-US"/>
        </w:rPr>
        <w:t xml:space="preserve">, 39, 100998. Available at: </w:t>
      </w:r>
      <w:hyperlink r:id="rId50" w:history="1">
        <w:r w:rsidRPr="00232C7A">
          <w:rPr>
            <w:rStyle w:val="Hyperlink"/>
            <w:lang w:val="en-US"/>
          </w:rPr>
          <w:t>https://www.sciencedirect.com/science/article/pii/S2212877820300727</w:t>
        </w:r>
      </w:hyperlink>
      <w:r w:rsidRPr="00595A5B">
        <w:rPr>
          <w:lang w:val="en-US"/>
        </w:rPr>
        <w:t xml:space="preserve"> (Accessed 21 October 2025). </w:t>
      </w:r>
    </w:p>
    <w:p w14:paraId="25E55FD1" w14:textId="77777777" w:rsidR="00595A5B" w:rsidRPr="00595A5B" w:rsidRDefault="00595A5B" w:rsidP="00595A5B">
      <w:pPr>
        <w:rPr>
          <w:lang w:val="en-US"/>
        </w:rPr>
      </w:pPr>
      <w:r w:rsidRPr="00595A5B">
        <w:rPr>
          <w:lang w:val="en-US"/>
        </w:rPr>
        <w:t xml:space="preserve">Physiological Reviews (2024) ‘Hepatic glucagon action: beyond glucose mobilization’. Available at: </w:t>
      </w:r>
      <w:hyperlink r:id="rId51" w:tgtFrame="_new" w:history="1">
        <w:r w:rsidRPr="00595A5B">
          <w:rPr>
            <w:rStyle w:val="Hyperlink"/>
            <w:lang w:val="en-US"/>
          </w:rPr>
          <w:t>https://journals.physiology.org/doi/pdf/10.1152/physrev.00028.2023</w:t>
        </w:r>
      </w:hyperlink>
      <w:r w:rsidRPr="00595A5B">
        <w:rPr>
          <w:lang w:val="en-US"/>
        </w:rPr>
        <w:t xml:space="preserve"> (Accessed 21 October 2025). </w:t>
      </w:r>
    </w:p>
    <w:p w14:paraId="6B999909" w14:textId="77777777" w:rsidR="00595A5B" w:rsidRPr="00595A5B" w:rsidRDefault="00595A5B" w:rsidP="00595A5B">
      <w:pPr>
        <w:rPr>
          <w:lang w:val="en-US"/>
        </w:rPr>
      </w:pPr>
      <w:r w:rsidRPr="00595A5B">
        <w:rPr>
          <w:lang w:val="en-US"/>
        </w:rPr>
        <w:t xml:space="preserve">Santiago-Torres, M. </w:t>
      </w:r>
      <w:r w:rsidRPr="00595A5B">
        <w:rPr>
          <w:i/>
          <w:iCs/>
          <w:lang w:val="en-US"/>
        </w:rPr>
        <w:t>et al.</w:t>
      </w:r>
      <w:r w:rsidRPr="00595A5B">
        <w:rPr>
          <w:lang w:val="en-US"/>
        </w:rPr>
        <w:t xml:space="preserve"> (2022) ‘Impact of dietary fiber consumption on insulin resistance and the prevention of type 2 diabetes’, </w:t>
      </w:r>
      <w:r w:rsidRPr="00595A5B">
        <w:rPr>
          <w:i/>
          <w:iCs/>
          <w:lang w:val="en-US"/>
        </w:rPr>
        <w:t>Journal of the American College of Nutrition</w:t>
      </w:r>
      <w:r w:rsidRPr="00595A5B">
        <w:rPr>
          <w:lang w:val="en-US"/>
        </w:rPr>
        <w:t xml:space="preserve">, 41(8), pp. 901–913. Available at: </w:t>
      </w:r>
      <w:hyperlink r:id="rId52" w:tgtFrame="_new" w:history="1">
        <w:r w:rsidRPr="00595A5B">
          <w:rPr>
            <w:rStyle w:val="Hyperlink"/>
            <w:lang w:val="en-US"/>
          </w:rPr>
          <w:t>https://www.sciencedirect.com/science/article/pii/S0022316622108722</w:t>
        </w:r>
      </w:hyperlink>
      <w:r w:rsidRPr="00595A5B">
        <w:rPr>
          <w:lang w:val="en-US"/>
        </w:rPr>
        <w:t xml:space="preserve"> </w:t>
      </w:r>
    </w:p>
    <w:p w14:paraId="0ED597C2" w14:textId="073F5FE0" w:rsidR="00BB46A2" w:rsidRPr="00595A5B" w:rsidRDefault="00595A5B" w:rsidP="00BB46A2">
      <w:pPr>
        <w:rPr>
          <w:lang w:val="en-US"/>
        </w:rPr>
      </w:pPr>
      <w:r w:rsidRPr="00595A5B">
        <w:rPr>
          <w:lang w:val="en-US"/>
        </w:rPr>
        <w:t>Sjøberg, K.A. et al. (201</w:t>
      </w:r>
      <w:r w:rsidR="00BB46A2" w:rsidRPr="00BB46A2">
        <w:rPr>
          <w:lang w:val="en-US"/>
        </w:rPr>
        <w:t xml:space="preserve"> </w:t>
      </w:r>
      <w:r w:rsidR="009720E3" w:rsidRPr="00595A5B">
        <w:rPr>
          <w:lang w:val="en-US"/>
        </w:rPr>
        <w:t>Ise</w:t>
      </w:r>
      <w:r w:rsidR="00BB46A2" w:rsidRPr="00595A5B">
        <w:rPr>
          <w:lang w:val="en-US"/>
        </w:rPr>
        <w:t xml:space="preserve"> increases human skeletal muscle insulin sensitivity via coordinated increases in microvascular perfusion and molecular signaling’, </w:t>
      </w:r>
      <w:r w:rsidR="00BB46A2" w:rsidRPr="00595A5B">
        <w:rPr>
          <w:i/>
          <w:iCs/>
          <w:lang w:val="en-US"/>
        </w:rPr>
        <w:t>Diabetes</w:t>
      </w:r>
      <w:r w:rsidR="00BB46A2" w:rsidRPr="00595A5B">
        <w:rPr>
          <w:lang w:val="en-US"/>
        </w:rPr>
        <w:t xml:space="preserve">, 66(6), pp. 1501–1510. Available at: </w:t>
      </w:r>
      <w:hyperlink r:id="rId53" w:history="1">
        <w:r w:rsidR="00BB46A2" w:rsidRPr="00232C7A">
          <w:rPr>
            <w:rStyle w:val="Hyperlink"/>
            <w:lang w:val="en-US"/>
          </w:rPr>
          <w:t>https://diabetesjournals.org/diabetes/article/66/6/1501/40045/Exercise-Increases-Human-Skeletal-Muscle-Insulin</w:t>
        </w:r>
      </w:hyperlink>
      <w:r w:rsidR="00BB46A2" w:rsidRPr="00595A5B">
        <w:rPr>
          <w:lang w:val="en-US"/>
        </w:rPr>
        <w:t xml:space="preserve"> (Accessed 21 October 2025).</w:t>
      </w:r>
    </w:p>
    <w:p w14:paraId="332B9677" w14:textId="21917012" w:rsidR="00BB46A2" w:rsidRPr="00595A5B" w:rsidRDefault="009720E3" w:rsidP="00BB46A2">
      <w:pPr>
        <w:rPr>
          <w:lang w:val="en-US"/>
        </w:rPr>
      </w:pPr>
      <w:r w:rsidRPr="00595A5B">
        <w:rPr>
          <w:lang w:val="en-US"/>
        </w:rPr>
        <w:t>Tongogara</w:t>
      </w:r>
      <w:r w:rsidR="00BB46A2" w:rsidRPr="00595A5B">
        <w:rPr>
          <w:lang w:val="en-US"/>
        </w:rPr>
        <w:t>, R. and Thurmond, D.C. (</w:t>
      </w:r>
      <w:r w:rsidRPr="00595A5B">
        <w:rPr>
          <w:lang w:val="en-US"/>
        </w:rPr>
        <w:t xml:space="preserve">2017) </w:t>
      </w:r>
      <w:r w:rsidR="00BB46A2" w:rsidRPr="00595A5B">
        <w:rPr>
          <w:lang w:val="en-US"/>
        </w:rPr>
        <w:t xml:space="preserve">Promoting Glucose Transporter-4 Vesicle Trafficking along Cytoskeletal Tracks: PAK-Ing Them Out’, </w:t>
      </w:r>
      <w:r w:rsidR="00BB46A2" w:rsidRPr="00595A5B">
        <w:rPr>
          <w:i/>
          <w:iCs/>
          <w:lang w:val="en-US"/>
        </w:rPr>
        <w:t>Frontiers in Endocrinology</w:t>
      </w:r>
      <w:r w:rsidR="00BB46A2" w:rsidRPr="00595A5B">
        <w:rPr>
          <w:lang w:val="en-US"/>
        </w:rPr>
        <w:t xml:space="preserve">, 8, 329. Available at: </w:t>
      </w:r>
      <w:hyperlink r:id="rId54" w:tgtFrame="_new" w:history="1">
        <w:r w:rsidR="00BB46A2" w:rsidRPr="00595A5B">
          <w:rPr>
            <w:rStyle w:val="Hyperlink"/>
            <w:lang w:val="en-US"/>
          </w:rPr>
          <w:t>https://www.frontiersin.org/journals/endocrinology/articles/10.3389/fendo.2017.00329/full</w:t>
        </w:r>
      </w:hyperlink>
      <w:r w:rsidR="00BB46A2" w:rsidRPr="00595A5B">
        <w:rPr>
          <w:lang w:val="en-US"/>
        </w:rPr>
        <w:t xml:space="preserve"> (Accessed 21 October 2025). </w:t>
      </w:r>
    </w:p>
    <w:p w14:paraId="13FD847A" w14:textId="3009BD9B" w:rsidR="00595A5B" w:rsidRPr="00595A5B" w:rsidRDefault="00595A5B" w:rsidP="00BB46A2">
      <w:pPr>
        <w:rPr>
          <w:lang w:val="en-US"/>
        </w:rPr>
      </w:pPr>
      <w:r w:rsidRPr="00595A5B">
        <w:rPr>
          <w:lang w:val="en-US"/>
        </w:rPr>
        <w:t>7) ‘</w:t>
      </w:r>
      <w:r w:rsidR="009720E3" w:rsidRPr="00595A5B">
        <w:rPr>
          <w:lang w:val="en-US"/>
        </w:rPr>
        <w:t>Exec</w:t>
      </w:r>
      <w:r w:rsidRPr="00595A5B">
        <w:rPr>
          <w:lang w:val="en-US"/>
        </w:rPr>
        <w:t xml:space="preserve"> </w:t>
      </w:r>
    </w:p>
    <w:p w14:paraId="7FCFEAB3" w14:textId="325DBA5D" w:rsidR="00595A5B" w:rsidRPr="00595A5B" w:rsidRDefault="00595A5B" w:rsidP="00595A5B">
      <w:pPr>
        <w:rPr>
          <w:lang w:val="en-US"/>
        </w:rPr>
      </w:pPr>
      <w:r w:rsidRPr="00595A5B">
        <w:rPr>
          <w:lang w:val="en-US"/>
        </w:rPr>
        <w:t>University of York (</w:t>
      </w:r>
      <w:r w:rsidR="009720E3" w:rsidRPr="00595A5B">
        <w:rPr>
          <w:lang w:val="en-US"/>
        </w:rPr>
        <w:t xml:space="preserve">2024) </w:t>
      </w:r>
      <w:r w:rsidRPr="00595A5B">
        <w:rPr>
          <w:lang w:val="en-US"/>
        </w:rPr>
        <w:t xml:space="preserve">Diabetes cost the UK almost £14 billion in 2021/22’. Available at: </w:t>
      </w:r>
      <w:hyperlink r:id="rId55" w:history="1">
        <w:r w:rsidRPr="00232C7A">
          <w:rPr>
            <w:rStyle w:val="Hyperlink"/>
            <w:lang w:val="en-US"/>
          </w:rPr>
          <w:t>https://www.york.ac.uk/news-and-events/news/2024/research/diabetes-cost-to-uk/</w:t>
        </w:r>
      </w:hyperlink>
      <w:r w:rsidRPr="00595A5B">
        <w:rPr>
          <w:lang w:val="en-US"/>
        </w:rPr>
        <w:t xml:space="preserve"> (Accessed 21 October 2025). </w:t>
      </w:r>
    </w:p>
    <w:p w14:paraId="666BBF93" w14:textId="77777777" w:rsidR="00595A5B" w:rsidRPr="00595A5B" w:rsidRDefault="00595A5B" w:rsidP="00595A5B">
      <w:pPr>
        <w:rPr>
          <w:lang w:val="en-US"/>
        </w:rPr>
      </w:pPr>
      <w:r w:rsidRPr="00595A5B">
        <w:rPr>
          <w:lang w:val="en-US"/>
        </w:rPr>
        <w:lastRenderedPageBreak/>
        <w:t xml:space="preserve">WHO (2023) </w:t>
      </w:r>
      <w:r w:rsidRPr="00595A5B">
        <w:rPr>
          <w:i/>
          <w:iCs/>
          <w:lang w:val="en-US"/>
        </w:rPr>
        <w:t>Diabetes</w:t>
      </w:r>
      <w:r w:rsidRPr="00595A5B">
        <w:rPr>
          <w:lang w:val="en-US"/>
        </w:rPr>
        <w:t xml:space="preserve">. Fact sheet. Available at: </w:t>
      </w:r>
      <w:hyperlink r:id="rId56" w:history="1">
        <w:r w:rsidRPr="00232C7A">
          <w:rPr>
            <w:rStyle w:val="Hyperlink"/>
            <w:lang w:val="en-US"/>
          </w:rPr>
          <w:t>https://www.who.int/news-room/fact-sheets/detail/diabetes</w:t>
        </w:r>
      </w:hyperlink>
      <w:r w:rsidRPr="00595A5B">
        <w:rPr>
          <w:lang w:val="en-US"/>
        </w:rPr>
        <w:t xml:space="preserve"> (Accessed 21 October 2025). </w:t>
      </w:r>
    </w:p>
    <w:p w14:paraId="4EA14FA1" w14:textId="38E84E51" w:rsidR="00595A5B" w:rsidRPr="00595A5B" w:rsidRDefault="00595A5B" w:rsidP="00595A5B">
      <w:pPr>
        <w:rPr>
          <w:lang w:val="en-US"/>
        </w:rPr>
      </w:pPr>
      <w:r w:rsidRPr="00595A5B">
        <w:rPr>
          <w:lang w:val="en-US"/>
        </w:rPr>
        <w:t xml:space="preserve">Winkley, K. </w:t>
      </w:r>
      <w:r w:rsidRPr="00595A5B">
        <w:rPr>
          <w:i/>
          <w:iCs/>
          <w:lang w:val="en-US"/>
        </w:rPr>
        <w:t>et al.</w:t>
      </w:r>
      <w:r w:rsidRPr="00595A5B">
        <w:rPr>
          <w:lang w:val="en-US"/>
        </w:rPr>
        <w:t xml:space="preserve"> (</w:t>
      </w:r>
      <w:r w:rsidR="00A538B4" w:rsidRPr="00595A5B">
        <w:rPr>
          <w:lang w:val="en-US"/>
        </w:rPr>
        <w:t xml:space="preserve">2020) </w:t>
      </w:r>
      <w:r w:rsidRPr="00595A5B">
        <w:rPr>
          <w:lang w:val="en-US"/>
        </w:rPr>
        <w:t xml:space="preserve">Psychological interventions to improve </w:t>
      </w:r>
      <w:r w:rsidR="00A538B4" w:rsidRPr="00595A5B">
        <w:rPr>
          <w:lang w:val="en-US"/>
        </w:rPr>
        <w:t>glycemic</w:t>
      </w:r>
      <w:r w:rsidRPr="00595A5B">
        <w:rPr>
          <w:lang w:val="en-US"/>
        </w:rPr>
        <w:t xml:space="preserve"> control in adults with type 2 diabetes: systematic review and meta-analysis’, </w:t>
      </w:r>
      <w:r w:rsidRPr="00595A5B">
        <w:rPr>
          <w:i/>
          <w:iCs/>
          <w:lang w:val="en-US"/>
        </w:rPr>
        <w:t>BMJ Open Diabetes Research &amp; Care</w:t>
      </w:r>
      <w:r w:rsidRPr="00595A5B">
        <w:rPr>
          <w:lang w:val="en-US"/>
        </w:rPr>
        <w:t xml:space="preserve">, 8:e001150. Available at: </w:t>
      </w:r>
      <w:hyperlink r:id="rId57" w:history="1">
        <w:r w:rsidRPr="00232C7A">
          <w:rPr>
            <w:rStyle w:val="Hyperlink"/>
            <w:lang w:val="en-US"/>
          </w:rPr>
          <w:t>https://drc.bmj.com/content/8/1/e001150</w:t>
        </w:r>
      </w:hyperlink>
      <w:r w:rsidRPr="00595A5B">
        <w:rPr>
          <w:lang w:val="en-US"/>
        </w:rPr>
        <w:t xml:space="preserve"> </w:t>
      </w:r>
      <w:hyperlink r:id="rId58" w:tgtFrame="_blank" w:history="1">
        <w:r w:rsidRPr="00595A5B">
          <w:rPr>
            <w:rStyle w:val="Hyperlink"/>
            <w:lang w:val="en-US"/>
          </w:rPr>
          <w:t>drc.bmj.com</w:t>
        </w:r>
      </w:hyperlink>
    </w:p>
    <w:p w14:paraId="1D78BC8A" w14:textId="77777777" w:rsidR="00595A5B" w:rsidRPr="00595A5B" w:rsidRDefault="00595A5B" w:rsidP="00595A5B">
      <w:pPr>
        <w:rPr>
          <w:lang w:val="en-US"/>
        </w:rPr>
      </w:pPr>
      <w:r w:rsidRPr="00595A5B">
        <w:rPr>
          <w:lang w:val="en-US"/>
        </w:rPr>
        <w:t xml:space="preserve">Zheng, X. </w:t>
      </w:r>
      <w:r w:rsidRPr="00595A5B">
        <w:rPr>
          <w:i/>
          <w:iCs/>
          <w:lang w:val="en-US"/>
        </w:rPr>
        <w:t>et al.</w:t>
      </w:r>
      <w:r w:rsidRPr="00595A5B">
        <w:rPr>
          <w:lang w:val="en-US"/>
        </w:rPr>
        <w:t xml:space="preserve"> (2024) ‘The effects of Mediterranean diet on cardiovascular risk factors, glycemic control and weight loss in patients with type 2 diabetes: a meta-analysis’, </w:t>
      </w:r>
      <w:r w:rsidRPr="00595A5B">
        <w:rPr>
          <w:i/>
          <w:iCs/>
          <w:lang w:val="en-US"/>
        </w:rPr>
        <w:t>BMC Nutrition</w:t>
      </w:r>
      <w:r w:rsidRPr="00595A5B">
        <w:rPr>
          <w:lang w:val="en-US"/>
        </w:rPr>
        <w:t xml:space="preserve">, 10:59. Available at: https://bmcnutr.biomedcentral.com/articles/10.1186/s40795-024-00836-y </w:t>
      </w:r>
    </w:p>
    <w:sectPr w:rsidR="00595A5B" w:rsidRPr="00595A5B">
      <w:footerReference w:type="default" r:id="rId5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96A56" w14:textId="77777777" w:rsidR="0033206F" w:rsidRDefault="0033206F" w:rsidP="00595A5B">
      <w:pPr>
        <w:spacing w:after="0" w:line="240" w:lineRule="auto"/>
      </w:pPr>
      <w:r>
        <w:separator/>
      </w:r>
    </w:p>
  </w:endnote>
  <w:endnote w:type="continuationSeparator" w:id="0">
    <w:p w14:paraId="2E758128" w14:textId="77777777" w:rsidR="0033206F" w:rsidRDefault="0033206F" w:rsidP="00595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37072"/>
      <w:docPartObj>
        <w:docPartGallery w:val="Page Numbers (Bottom of Page)"/>
        <w:docPartUnique/>
      </w:docPartObj>
    </w:sdtPr>
    <w:sdtEndPr>
      <w:rPr>
        <w:noProof/>
      </w:rPr>
    </w:sdtEndPr>
    <w:sdtContent>
      <w:p w14:paraId="065572B2" w14:textId="77777777" w:rsidR="00595A5B" w:rsidRDefault="00595A5B">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171DC4D3" w14:textId="77777777" w:rsidR="00595A5B" w:rsidRDefault="00595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69740" w14:textId="77777777" w:rsidR="0033206F" w:rsidRDefault="0033206F" w:rsidP="00595A5B">
      <w:pPr>
        <w:spacing w:after="0" w:line="240" w:lineRule="auto"/>
      </w:pPr>
      <w:r>
        <w:separator/>
      </w:r>
    </w:p>
  </w:footnote>
  <w:footnote w:type="continuationSeparator" w:id="0">
    <w:p w14:paraId="7191E0F2" w14:textId="77777777" w:rsidR="0033206F" w:rsidRDefault="0033206F" w:rsidP="00595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7D01E3"/>
    <w:multiLevelType w:val="multilevel"/>
    <w:tmpl w:val="E54890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DA7D05"/>
    <w:multiLevelType w:val="multilevel"/>
    <w:tmpl w:val="4262F4D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96507028">
    <w:abstractNumId w:val="1"/>
  </w:num>
  <w:num w:numId="2" w16cid:durableId="2093696505">
    <w:abstractNumId w:val="1"/>
  </w:num>
  <w:num w:numId="3" w16cid:durableId="1713773159">
    <w:abstractNumId w:val="1"/>
  </w:num>
  <w:num w:numId="4" w16cid:durableId="2096585155">
    <w:abstractNumId w:val="0"/>
  </w:num>
  <w:num w:numId="5" w16cid:durableId="823473695">
    <w:abstractNumId w:val="4"/>
  </w:num>
  <w:num w:numId="6" w16cid:durableId="1921016448">
    <w:abstractNumId w:val="4"/>
  </w:num>
  <w:num w:numId="7" w16cid:durableId="594442429">
    <w:abstractNumId w:val="5"/>
  </w:num>
  <w:num w:numId="8" w16cid:durableId="1365669229">
    <w:abstractNumId w:val="2"/>
  </w:num>
  <w:num w:numId="9" w16cid:durableId="1111702237">
    <w:abstractNumId w:val="2"/>
  </w:num>
  <w:num w:numId="10" w16cid:durableId="428620247">
    <w:abstractNumId w:val="3"/>
  </w:num>
  <w:num w:numId="11" w16cid:durableId="9855512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A7A"/>
    <w:rsid w:val="000B62B4"/>
    <w:rsid w:val="00167F5B"/>
    <w:rsid w:val="0018447C"/>
    <w:rsid w:val="002C7B6B"/>
    <w:rsid w:val="0033206F"/>
    <w:rsid w:val="0036387C"/>
    <w:rsid w:val="00381190"/>
    <w:rsid w:val="003A1A88"/>
    <w:rsid w:val="003B1FE5"/>
    <w:rsid w:val="00425D38"/>
    <w:rsid w:val="0046494A"/>
    <w:rsid w:val="004E4DE4"/>
    <w:rsid w:val="00595A5B"/>
    <w:rsid w:val="00614CA3"/>
    <w:rsid w:val="0068053A"/>
    <w:rsid w:val="00705D42"/>
    <w:rsid w:val="0071683B"/>
    <w:rsid w:val="007B2BF3"/>
    <w:rsid w:val="0081663A"/>
    <w:rsid w:val="00827658"/>
    <w:rsid w:val="00882F0C"/>
    <w:rsid w:val="008C3646"/>
    <w:rsid w:val="008D6F9D"/>
    <w:rsid w:val="008E7348"/>
    <w:rsid w:val="0096742F"/>
    <w:rsid w:val="009720E3"/>
    <w:rsid w:val="00997346"/>
    <w:rsid w:val="00A538B4"/>
    <w:rsid w:val="00AE618B"/>
    <w:rsid w:val="00B30A85"/>
    <w:rsid w:val="00B733D2"/>
    <w:rsid w:val="00B90C0B"/>
    <w:rsid w:val="00BB46A2"/>
    <w:rsid w:val="00C36408"/>
    <w:rsid w:val="00C86864"/>
    <w:rsid w:val="00CC1AE9"/>
    <w:rsid w:val="00D35757"/>
    <w:rsid w:val="00E06C16"/>
    <w:rsid w:val="00E15A7A"/>
    <w:rsid w:val="00E82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D6A1"/>
  <w15:chartTrackingRefBased/>
  <w15:docId w15:val="{2DBA17DB-945C-4BDB-BBD0-89C055FE5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BB46A2"/>
    <w:pPr>
      <w:keepNext/>
      <w:keepLines/>
      <w:numPr>
        <w:numId w:val="11"/>
      </w:numPr>
      <w:spacing w:before="240" w:after="0"/>
      <w:jc w:val="center"/>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C86864"/>
    <w:pPr>
      <w:keepNext/>
      <w:keepLines/>
      <w:numPr>
        <w:ilvl w:val="1"/>
        <w:numId w:val="11"/>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96742F"/>
    <w:pPr>
      <w:keepNext/>
      <w:keepLines/>
      <w:numPr>
        <w:ilvl w:val="2"/>
        <w:numId w:val="3"/>
      </w:numPr>
      <w:spacing w:before="160" w:after="80"/>
      <w:jc w:val="left"/>
      <w:outlineLvl w:val="2"/>
    </w:pPr>
    <w:rPr>
      <w:rFonts w:asciiTheme="majorBidi" w:eastAsiaTheme="majorEastAsia" w:hAnsiTheme="majorBidi" w:cstheme="majorBidi"/>
      <w:b/>
      <w:color w:val="2E74B5" w:themeColor="accent1" w:themeShade="BF"/>
      <w:sz w:val="2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6A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86864"/>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96742F"/>
    <w:rPr>
      <w:rFonts w:asciiTheme="majorBidi" w:eastAsiaTheme="majorEastAsia" w:hAnsiTheme="majorBidi" w:cstheme="majorBidi"/>
      <w:b/>
      <w:color w:val="2E74B5" w:themeColor="accent1" w:themeShade="BF"/>
      <w:szCs w:val="28"/>
    </w:rPr>
  </w:style>
  <w:style w:type="character" w:styleId="Hyperlink">
    <w:name w:val="Hyperlink"/>
    <w:basedOn w:val="DefaultParagraphFont"/>
    <w:uiPriority w:val="99"/>
    <w:unhideWhenUsed/>
    <w:rsid w:val="00C86864"/>
    <w:rPr>
      <w:color w:val="0563C1" w:themeColor="hyperlink"/>
      <w:u w:val="single"/>
    </w:rPr>
  </w:style>
  <w:style w:type="paragraph" w:styleId="TOCHeading">
    <w:name w:val="TOC Heading"/>
    <w:basedOn w:val="Heading1"/>
    <w:next w:val="Normal"/>
    <w:uiPriority w:val="39"/>
    <w:unhideWhenUsed/>
    <w:qFormat/>
    <w:rsid w:val="00595A5B"/>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95A5B"/>
    <w:pPr>
      <w:spacing w:after="100"/>
    </w:pPr>
  </w:style>
  <w:style w:type="paragraph" w:styleId="TOC2">
    <w:name w:val="toc 2"/>
    <w:basedOn w:val="Normal"/>
    <w:next w:val="Normal"/>
    <w:autoRedefine/>
    <w:uiPriority w:val="39"/>
    <w:unhideWhenUsed/>
    <w:rsid w:val="00595A5B"/>
    <w:pPr>
      <w:spacing w:after="100"/>
      <w:ind w:left="240"/>
    </w:pPr>
  </w:style>
  <w:style w:type="paragraph" w:styleId="Header">
    <w:name w:val="header"/>
    <w:basedOn w:val="Normal"/>
    <w:link w:val="HeaderChar"/>
    <w:uiPriority w:val="99"/>
    <w:unhideWhenUsed/>
    <w:rsid w:val="00595A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A5B"/>
    <w:rPr>
      <w:rFonts w:ascii="Times New Roman" w:hAnsi="Times New Roman"/>
      <w:color w:val="000000" w:themeColor="text1"/>
      <w:sz w:val="24"/>
      <w:lang w:val="en-GB"/>
    </w:rPr>
  </w:style>
  <w:style w:type="paragraph" w:styleId="Footer">
    <w:name w:val="footer"/>
    <w:basedOn w:val="Normal"/>
    <w:link w:val="FooterChar"/>
    <w:uiPriority w:val="99"/>
    <w:unhideWhenUsed/>
    <w:rsid w:val="00595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A5B"/>
    <w:rPr>
      <w:rFonts w:ascii="Times New Roman" w:hAnsi="Times New Roman"/>
      <w:color w:val="000000" w:themeColor="text1"/>
      <w:sz w:val="24"/>
      <w:lang w:val="en-GB"/>
    </w:rPr>
  </w:style>
  <w:style w:type="paragraph" w:styleId="Title">
    <w:name w:val="Title"/>
    <w:basedOn w:val="Normal"/>
    <w:next w:val="Normal"/>
    <w:link w:val="TitleChar"/>
    <w:uiPriority w:val="10"/>
    <w:qFormat/>
    <w:rsid w:val="00BB46A2"/>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B46A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B46A2"/>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BB46A2"/>
    <w:rPr>
      <w:rFonts w:eastAsiaTheme="minorEastAsia"/>
      <w:color w:val="5A5A5A" w:themeColor="text1" w:themeTint="A5"/>
      <w:spacing w:val="15"/>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56459">
      <w:bodyDiv w:val="1"/>
      <w:marLeft w:val="0"/>
      <w:marRight w:val="0"/>
      <w:marTop w:val="0"/>
      <w:marBottom w:val="0"/>
      <w:divBdr>
        <w:top w:val="none" w:sz="0" w:space="0" w:color="auto"/>
        <w:left w:val="none" w:sz="0" w:space="0" w:color="auto"/>
        <w:bottom w:val="none" w:sz="0" w:space="0" w:color="auto"/>
        <w:right w:val="none" w:sz="0" w:space="0" w:color="auto"/>
      </w:divBdr>
    </w:div>
    <w:div w:id="355036960">
      <w:bodyDiv w:val="1"/>
      <w:marLeft w:val="0"/>
      <w:marRight w:val="0"/>
      <w:marTop w:val="0"/>
      <w:marBottom w:val="0"/>
      <w:divBdr>
        <w:top w:val="none" w:sz="0" w:space="0" w:color="auto"/>
        <w:left w:val="none" w:sz="0" w:space="0" w:color="auto"/>
        <w:bottom w:val="none" w:sz="0" w:space="0" w:color="auto"/>
        <w:right w:val="none" w:sz="0" w:space="0" w:color="auto"/>
      </w:divBdr>
    </w:div>
    <w:div w:id="485124919">
      <w:bodyDiv w:val="1"/>
      <w:marLeft w:val="0"/>
      <w:marRight w:val="0"/>
      <w:marTop w:val="0"/>
      <w:marBottom w:val="0"/>
      <w:divBdr>
        <w:top w:val="none" w:sz="0" w:space="0" w:color="auto"/>
        <w:left w:val="none" w:sz="0" w:space="0" w:color="auto"/>
        <w:bottom w:val="none" w:sz="0" w:space="0" w:color="auto"/>
        <w:right w:val="none" w:sz="0" w:space="0" w:color="auto"/>
      </w:divBdr>
    </w:div>
    <w:div w:id="672028684">
      <w:bodyDiv w:val="1"/>
      <w:marLeft w:val="0"/>
      <w:marRight w:val="0"/>
      <w:marTop w:val="0"/>
      <w:marBottom w:val="0"/>
      <w:divBdr>
        <w:top w:val="none" w:sz="0" w:space="0" w:color="auto"/>
        <w:left w:val="none" w:sz="0" w:space="0" w:color="auto"/>
        <w:bottom w:val="none" w:sz="0" w:space="0" w:color="auto"/>
        <w:right w:val="none" w:sz="0" w:space="0" w:color="auto"/>
      </w:divBdr>
    </w:div>
    <w:div w:id="707604992">
      <w:bodyDiv w:val="1"/>
      <w:marLeft w:val="0"/>
      <w:marRight w:val="0"/>
      <w:marTop w:val="0"/>
      <w:marBottom w:val="0"/>
      <w:divBdr>
        <w:top w:val="none" w:sz="0" w:space="0" w:color="auto"/>
        <w:left w:val="none" w:sz="0" w:space="0" w:color="auto"/>
        <w:bottom w:val="none" w:sz="0" w:space="0" w:color="auto"/>
        <w:right w:val="none" w:sz="0" w:space="0" w:color="auto"/>
      </w:divBdr>
    </w:div>
    <w:div w:id="999508177">
      <w:bodyDiv w:val="1"/>
      <w:marLeft w:val="0"/>
      <w:marRight w:val="0"/>
      <w:marTop w:val="0"/>
      <w:marBottom w:val="0"/>
      <w:divBdr>
        <w:top w:val="none" w:sz="0" w:space="0" w:color="auto"/>
        <w:left w:val="none" w:sz="0" w:space="0" w:color="auto"/>
        <w:bottom w:val="none" w:sz="0" w:space="0" w:color="auto"/>
        <w:right w:val="none" w:sz="0" w:space="0" w:color="auto"/>
      </w:divBdr>
    </w:div>
    <w:div w:id="1067996882">
      <w:bodyDiv w:val="1"/>
      <w:marLeft w:val="0"/>
      <w:marRight w:val="0"/>
      <w:marTop w:val="0"/>
      <w:marBottom w:val="0"/>
      <w:divBdr>
        <w:top w:val="none" w:sz="0" w:space="0" w:color="auto"/>
        <w:left w:val="none" w:sz="0" w:space="0" w:color="auto"/>
        <w:bottom w:val="none" w:sz="0" w:space="0" w:color="auto"/>
        <w:right w:val="none" w:sz="0" w:space="0" w:color="auto"/>
      </w:divBdr>
    </w:div>
    <w:div w:id="1144195514">
      <w:bodyDiv w:val="1"/>
      <w:marLeft w:val="0"/>
      <w:marRight w:val="0"/>
      <w:marTop w:val="0"/>
      <w:marBottom w:val="0"/>
      <w:divBdr>
        <w:top w:val="none" w:sz="0" w:space="0" w:color="auto"/>
        <w:left w:val="none" w:sz="0" w:space="0" w:color="auto"/>
        <w:bottom w:val="none" w:sz="0" w:space="0" w:color="auto"/>
        <w:right w:val="none" w:sz="0" w:space="0" w:color="auto"/>
      </w:divBdr>
    </w:div>
    <w:div w:id="1282110028">
      <w:bodyDiv w:val="1"/>
      <w:marLeft w:val="0"/>
      <w:marRight w:val="0"/>
      <w:marTop w:val="0"/>
      <w:marBottom w:val="0"/>
      <w:divBdr>
        <w:top w:val="none" w:sz="0" w:space="0" w:color="auto"/>
        <w:left w:val="none" w:sz="0" w:space="0" w:color="auto"/>
        <w:bottom w:val="none" w:sz="0" w:space="0" w:color="auto"/>
        <w:right w:val="none" w:sz="0" w:space="0" w:color="auto"/>
      </w:divBdr>
    </w:div>
    <w:div w:id="1405489564">
      <w:bodyDiv w:val="1"/>
      <w:marLeft w:val="0"/>
      <w:marRight w:val="0"/>
      <w:marTop w:val="0"/>
      <w:marBottom w:val="0"/>
      <w:divBdr>
        <w:top w:val="none" w:sz="0" w:space="0" w:color="auto"/>
        <w:left w:val="none" w:sz="0" w:space="0" w:color="auto"/>
        <w:bottom w:val="none" w:sz="0" w:space="0" w:color="auto"/>
        <w:right w:val="none" w:sz="0" w:space="0" w:color="auto"/>
      </w:divBdr>
    </w:div>
    <w:div w:id="1533957614">
      <w:bodyDiv w:val="1"/>
      <w:marLeft w:val="0"/>
      <w:marRight w:val="0"/>
      <w:marTop w:val="0"/>
      <w:marBottom w:val="0"/>
      <w:divBdr>
        <w:top w:val="none" w:sz="0" w:space="0" w:color="auto"/>
        <w:left w:val="none" w:sz="0" w:space="0" w:color="auto"/>
        <w:bottom w:val="none" w:sz="0" w:space="0" w:color="auto"/>
        <w:right w:val="none" w:sz="0" w:space="0" w:color="auto"/>
      </w:divBdr>
    </w:div>
    <w:div w:id="1596205574">
      <w:bodyDiv w:val="1"/>
      <w:marLeft w:val="0"/>
      <w:marRight w:val="0"/>
      <w:marTop w:val="0"/>
      <w:marBottom w:val="0"/>
      <w:divBdr>
        <w:top w:val="none" w:sz="0" w:space="0" w:color="auto"/>
        <w:left w:val="none" w:sz="0" w:space="0" w:color="auto"/>
        <w:bottom w:val="none" w:sz="0" w:space="0" w:color="auto"/>
        <w:right w:val="none" w:sz="0" w:space="0" w:color="auto"/>
      </w:divBdr>
    </w:div>
    <w:div w:id="1758792079">
      <w:bodyDiv w:val="1"/>
      <w:marLeft w:val="0"/>
      <w:marRight w:val="0"/>
      <w:marTop w:val="0"/>
      <w:marBottom w:val="0"/>
      <w:divBdr>
        <w:top w:val="none" w:sz="0" w:space="0" w:color="auto"/>
        <w:left w:val="none" w:sz="0" w:space="0" w:color="auto"/>
        <w:bottom w:val="none" w:sz="0" w:space="0" w:color="auto"/>
        <w:right w:val="none" w:sz="0" w:space="0" w:color="auto"/>
      </w:divBdr>
    </w:div>
    <w:div w:id="180184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abetesjournals.org/care/article/44/Supplement_1/S40/30474/4-Comprehensive-Medical-Evaluation-and-Assessment?" TargetMode="External"/><Relationship Id="rId18" Type="http://schemas.openxmlformats.org/officeDocument/2006/relationships/hyperlink" Target="https://jamanetwork.com/journals/jama/fullarticle/2780593?" TargetMode="External"/><Relationship Id="rId26" Type="http://schemas.openxmlformats.org/officeDocument/2006/relationships/hyperlink" Target="https://www.frontiersin.org/journals/endocrinology/articles/10.3389/fendo.2022.863184/pdf?" TargetMode="External"/><Relationship Id="rId39" Type="http://schemas.openxmlformats.org/officeDocument/2006/relationships/hyperlink" Target="https://jamanetwork.com/journals/jamanetworkopen/fullarticle/2815684?" TargetMode="External"/><Relationship Id="rId21" Type="http://schemas.openxmlformats.org/officeDocument/2006/relationships/hyperlink" Target="https://www.diabetesresearchclinicalpractice.com/article/S0168-8227%2820%2930560-X/fulltext?" TargetMode="External"/><Relationship Id="rId34" Type="http://schemas.openxmlformats.org/officeDocument/2006/relationships/hyperlink" Target="https://www.e-enm.org/journal/view.php?doi=10.3803%2Fenm.2019.34.2.187&amp;" TargetMode="External"/><Relationship Id="rId42" Type="http://schemas.openxmlformats.org/officeDocument/2006/relationships/hyperlink" Target="https://link.springer.com/article/10.1007/s00125-020-05224-2" TargetMode="External"/><Relationship Id="rId47" Type="http://schemas.openxmlformats.org/officeDocument/2006/relationships/hyperlink" Target="https://www.england.nhs.uk/long-read/quality-and-outcomes-framework-guidance-for-2023-24/?" TargetMode="External"/><Relationship Id="rId50" Type="http://schemas.openxmlformats.org/officeDocument/2006/relationships/hyperlink" Target="https://www.sciencedirect.com/science/article/pii/S2212877820300727" TargetMode="External"/><Relationship Id="rId55" Type="http://schemas.openxmlformats.org/officeDocument/2006/relationships/hyperlink" Target="https://www.york.ac.uk/news-and-events/news/2024/research/diabetes-cost-to-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abetesjournals.org/care/article/42/8/1593/36184/Clinical-Targets-for-Continuous-Glucose-Monitoring?" TargetMode="External"/><Relationship Id="rId29" Type="http://schemas.openxmlformats.org/officeDocument/2006/relationships/hyperlink" Target="https://www.gov.uk/government/statistics/diabetes-profile-update-march-2025/diabetes-profile-statistical-commentary-march-2025?" TargetMode="External"/><Relationship Id="rId11" Type="http://schemas.openxmlformats.org/officeDocument/2006/relationships/hyperlink" Target="https://diabetesjournals.org/care/article/48/Supplement_1/S128/157561/6-Glycemic-Goals-and-Hypoglycemia-Standards-of?" TargetMode="External"/><Relationship Id="rId24" Type="http://schemas.openxmlformats.org/officeDocument/2006/relationships/hyperlink" Target="https://europepmc.org/article/nbk/nbk482303?" TargetMode="External"/><Relationship Id="rId32" Type="http://schemas.openxmlformats.org/officeDocument/2006/relationships/hyperlink" Target="https://www.diabetes.org.uk/about-us/about-the-charity/our-strategy/statistics?" TargetMode="External"/><Relationship Id="rId37" Type="http://schemas.openxmlformats.org/officeDocument/2006/relationships/hyperlink" Target="https://physoc.onlinelibrary.wiley.com/doi/epdf/10.1113/JP280955?" TargetMode="External"/><Relationship Id="rId40" Type="http://schemas.openxmlformats.org/officeDocument/2006/relationships/hyperlink" Target="https://cardiab.biomedcentral.com/articles/10.1186/s12933-023-01930-4" TargetMode="External"/><Relationship Id="rId45" Type="http://schemas.openxmlformats.org/officeDocument/2006/relationships/hyperlink" Target="https://www.england.nhs.uk/diabetes/treatment-care/diabetes-remission/" TargetMode="External"/><Relationship Id="rId53" Type="http://schemas.openxmlformats.org/officeDocument/2006/relationships/hyperlink" Target="https://diabetesjournals.org/diabetes/article/66/6/1501/40045/Exercise-Increases-Human-Skeletal-Muscle-Insulin" TargetMode="External"/><Relationship Id="rId58" Type="http://schemas.openxmlformats.org/officeDocument/2006/relationships/hyperlink" Target="https://drc.bmj.com/content/8/1/e001150?"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jamanetwork.com/journals/jama/fullarticle/2780593?" TargetMode="External"/><Relationship Id="rId14" Type="http://schemas.openxmlformats.org/officeDocument/2006/relationships/hyperlink" Target="https://diabetesjournals.org/care/article/48/Supplement_1/S128/157561/6-Glycemic-Goals-and-Hypoglycemia-Standards-of?" TargetMode="External"/><Relationship Id="rId22" Type="http://schemas.openxmlformats.org/officeDocument/2006/relationships/hyperlink" Target="https://diabetesjournals.org/care/article/47/1/117/153802/Chronic-Insufficient-Sleep-in-Women-Impairs?" TargetMode="External"/><Relationship Id="rId27" Type="http://schemas.openxmlformats.org/officeDocument/2006/relationships/hyperlink" Target="https://www.frontiersin.org/journals/endocrinology/articles/10.3389/fendo.2022.863184/pdf?" TargetMode="External"/><Relationship Id="rId30" Type="http://schemas.openxmlformats.org/officeDocument/2006/relationships/hyperlink" Target="https://europepmc.org/article/nbk/nbk553192?" TargetMode="External"/><Relationship Id="rId35" Type="http://schemas.openxmlformats.org/officeDocument/2006/relationships/hyperlink" Target="https://www.e-enm.org/journal/view.php?doi=10.3803%2Fenm.2019.34.2.187&amp;" TargetMode="External"/><Relationship Id="rId43" Type="http://schemas.openxmlformats.org/officeDocument/2006/relationships/hyperlink" Target="https://www.nice.org.uk/guidance/qs209/resources/type-2-diabetes-in-adults-pdf-75547422824389?" TargetMode="External"/><Relationship Id="rId48" Type="http://schemas.openxmlformats.org/officeDocument/2006/relationships/hyperlink" Target="https://digital.nhs.uk/data-and-information/clinical-audits-and-registries/national-diabetes-audit/core?" TargetMode="External"/><Relationship Id="rId56" Type="http://schemas.openxmlformats.org/officeDocument/2006/relationships/hyperlink" Target="https://www.who.int/news-room/fact-sheets/detail/diabetes" TargetMode="External"/><Relationship Id="rId8" Type="http://schemas.openxmlformats.org/officeDocument/2006/relationships/hyperlink" Target="https://www.africanjournalofdiabetesmedicine.com/articles/understanding-the-renal-threshold-for-glucose-implications-for-diabetes-management.pdf?" TargetMode="External"/><Relationship Id="rId51" Type="http://schemas.openxmlformats.org/officeDocument/2006/relationships/hyperlink" Target="https://journals.physiology.org/doi/pdf/10.1152/physrev.00028.2023?" TargetMode="External"/><Relationship Id="rId3" Type="http://schemas.openxmlformats.org/officeDocument/2006/relationships/styles" Target="styles.xml"/><Relationship Id="rId12" Type="http://schemas.openxmlformats.org/officeDocument/2006/relationships/hyperlink" Target="https://professional.diabetes.org/sites/default/files/media/ada_nutrition_intervention_quick_guide_0.pdf" TargetMode="External"/><Relationship Id="rId17" Type="http://schemas.openxmlformats.org/officeDocument/2006/relationships/hyperlink" Target="https://diabetesjournals.org/care/article/42/8/1593/36184/Clinical-Targets-for-Continuous-Glucose-Monitoring?" TargetMode="External"/><Relationship Id="rId25" Type="http://schemas.openxmlformats.org/officeDocument/2006/relationships/hyperlink" Target="https://europepmc.org/article/nbk/nbk482303?" TargetMode="External"/><Relationship Id="rId33" Type="http://schemas.openxmlformats.org/officeDocument/2006/relationships/hyperlink" Target="https://www.diabetes.org.uk/about-us/about-the-charity/our-strategy/statistics?" TargetMode="External"/><Relationship Id="rId38" Type="http://schemas.openxmlformats.org/officeDocument/2006/relationships/hyperlink" Target="https://www.bmj.com/content/372/bmj.m4743" TargetMode="External"/><Relationship Id="rId46" Type="http://schemas.openxmlformats.org/officeDocument/2006/relationships/hyperlink" Target="https://www.england.nhs.uk/diabetes/treatment-care/diabetes-remission/" TargetMode="External"/><Relationship Id="rId59" Type="http://schemas.openxmlformats.org/officeDocument/2006/relationships/footer" Target="footer1.xml"/><Relationship Id="rId20" Type="http://schemas.openxmlformats.org/officeDocument/2006/relationships/hyperlink" Target="https://www.diabetesresearchclinicalpractice.com/article/S0168-8227%2820%2930560-X/fulltext?" TargetMode="External"/><Relationship Id="rId41" Type="http://schemas.openxmlformats.org/officeDocument/2006/relationships/hyperlink" Target="https://www.thelancet.com/journals/landia/article/PIIS2213-8587(19)30068-3/fulltext" TargetMode="External"/><Relationship Id="rId54" Type="http://schemas.openxmlformats.org/officeDocument/2006/relationships/hyperlink" Target="https://www.frontiersin.org/journals/endocrinology/articles/10.3389/fendo.2017.00329/ful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iabetesjournals.org/care/article/48/Supplement_1/S128/157561/6-Glycemic-Goals-and-Hypoglycemia-Standards-of?" TargetMode="External"/><Relationship Id="rId23" Type="http://schemas.openxmlformats.org/officeDocument/2006/relationships/hyperlink" Target="https://diabetesjournals.org/care/article/47/1/117/153802/Chronic-Insufficient-Sleep-in-Women-Impairs?" TargetMode="External"/><Relationship Id="rId28" Type="http://schemas.openxmlformats.org/officeDocument/2006/relationships/hyperlink" Target="https://www.gov.uk/government/statistics/diabetes-profile-update-march-2025/diabetes-profile-statistical-commentary-march-2025?" TargetMode="External"/><Relationship Id="rId36" Type="http://schemas.openxmlformats.org/officeDocument/2006/relationships/hyperlink" Target="https://physoc.onlinelibrary.wiley.com/doi/epdf/10.1113/JP280955?" TargetMode="External"/><Relationship Id="rId49" Type="http://schemas.openxmlformats.org/officeDocument/2006/relationships/hyperlink" Target="https://www.nice.org.uk/guidance/ng28/resources/resource-impact-report-type-1-and-type-2-diabetes-and-continuous-glucose-monitoring-pdf-11020390813" TargetMode="External"/><Relationship Id="rId57" Type="http://schemas.openxmlformats.org/officeDocument/2006/relationships/hyperlink" Target="https://drc.bmj.com/content/8/1/e001150" TargetMode="External"/><Relationship Id="rId10" Type="http://schemas.openxmlformats.org/officeDocument/2006/relationships/hyperlink" Target="https://diabetesjournals.org/care/article/48/Supplement_1/S128/157561/6-Glycemic-Goals-and-Hypoglycemia-Standards-of?" TargetMode="External"/><Relationship Id="rId31" Type="http://schemas.openxmlformats.org/officeDocument/2006/relationships/hyperlink" Target="https://europepmc.org/article/nbk/nbk553192?" TargetMode="External"/><Relationship Id="rId44" Type="http://schemas.openxmlformats.org/officeDocument/2006/relationships/hyperlink" Target="https://www.england.nhs.uk/london/wp-content/uploads/sites/46/2020/11/Covid-19-Sick-Day-Rules-T2DM.pdf?" TargetMode="External"/><Relationship Id="rId52" Type="http://schemas.openxmlformats.org/officeDocument/2006/relationships/hyperlink" Target="https://www.sciencedirect.com/science/article/pii/S0022316622108722?"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fricanjournalofdiabetesmedicine.com/articles/understanding-the-renal-threshold-for-glucose-implications-for-diabetes-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5B1CA9-4C70-4E18-A90B-9287BAA0F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5038</Words>
  <Characters>28718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MRInnovations</dc:creator>
  <cp:keywords/>
  <dc:description/>
  <cp:lastModifiedBy>Zaiba Tabassum (2407213)</cp:lastModifiedBy>
  <cp:revision>12</cp:revision>
  <dcterms:created xsi:type="dcterms:W3CDTF">2025-10-22T11:47:00Z</dcterms:created>
  <dcterms:modified xsi:type="dcterms:W3CDTF">2025-11-05T09:38:00Z</dcterms:modified>
</cp:coreProperties>
</file>