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59E1E6DD" w:rsidR="00E2135F" w:rsidRDefault="00000000">
      <w:pPr>
        <w:pStyle w:val="Titlu"/>
        <w:spacing w:line="360" w:lineRule="auto"/>
        <w:jc w:val="center"/>
        <w:rPr>
          <w:rFonts w:ascii="Times New Roman" w:eastAsia="Times New Roman" w:hAnsi="Times New Roman" w:cs="Times New Roman"/>
          <w:b/>
        </w:rPr>
      </w:pPr>
      <w:bookmarkStart w:id="0" w:name="_qj7vo42xf37o" w:colFirst="0" w:colLast="0"/>
      <w:bookmarkEnd w:id="0"/>
      <w:r>
        <w:rPr>
          <w:rFonts w:ascii="Times New Roman" w:eastAsia="Times New Roman" w:hAnsi="Times New Roman" w:cs="Times New Roman"/>
          <w:b/>
        </w:rPr>
        <w:t>Component 1: Essa</w:t>
      </w:r>
      <w:r w:rsidR="00DC0D8D">
        <w:rPr>
          <w:rFonts w:ascii="Times New Roman" w:eastAsia="Times New Roman" w:hAnsi="Times New Roman" w:cs="Times New Roman"/>
          <w:b/>
        </w:rPr>
        <w:t>y</w:t>
      </w:r>
    </w:p>
    <w:p w14:paraId="00000002" w14:textId="0855AE16" w:rsidR="00E2135F" w:rsidRDefault="00E2135F">
      <w:pPr>
        <w:spacing w:line="360" w:lineRule="auto"/>
        <w:jc w:val="both"/>
      </w:pPr>
    </w:p>
    <w:p w14:paraId="6E2AF246" w14:textId="77777777" w:rsidR="00DC0D8D" w:rsidRDefault="00DC0D8D">
      <w:pPr>
        <w:spacing w:line="360" w:lineRule="auto"/>
        <w:jc w:val="both"/>
      </w:pPr>
    </w:p>
    <w:p w14:paraId="2DB250A9" w14:textId="77777777" w:rsidR="00DC0D8D" w:rsidRDefault="00DC0D8D">
      <w:pPr>
        <w:spacing w:line="360" w:lineRule="auto"/>
        <w:jc w:val="both"/>
      </w:pPr>
    </w:p>
    <w:p w14:paraId="55B38680" w14:textId="77777777" w:rsidR="00DC0D8D" w:rsidRDefault="00DC0D8D">
      <w:pPr>
        <w:spacing w:line="360" w:lineRule="auto"/>
        <w:jc w:val="both"/>
      </w:pPr>
    </w:p>
    <w:p w14:paraId="051B25E4" w14:textId="77777777" w:rsidR="00DC0D8D" w:rsidRDefault="00DC0D8D">
      <w:pPr>
        <w:spacing w:line="360" w:lineRule="auto"/>
        <w:jc w:val="both"/>
      </w:pPr>
    </w:p>
    <w:p w14:paraId="190A459F" w14:textId="77777777" w:rsidR="00DC0D8D" w:rsidRDefault="00DC0D8D">
      <w:pPr>
        <w:spacing w:line="360" w:lineRule="auto"/>
        <w:jc w:val="both"/>
      </w:pPr>
    </w:p>
    <w:p w14:paraId="1D96E020" w14:textId="77777777" w:rsidR="00DC0D8D" w:rsidRDefault="00DC0D8D">
      <w:pPr>
        <w:spacing w:line="360" w:lineRule="auto"/>
        <w:jc w:val="both"/>
      </w:pPr>
    </w:p>
    <w:p w14:paraId="4B911249" w14:textId="77777777" w:rsidR="00DC0D8D" w:rsidRDefault="00DC0D8D">
      <w:pPr>
        <w:spacing w:line="360" w:lineRule="auto"/>
        <w:jc w:val="both"/>
      </w:pPr>
    </w:p>
    <w:p w14:paraId="575C658F" w14:textId="77777777" w:rsidR="00DC0D8D" w:rsidRDefault="00DC0D8D">
      <w:pPr>
        <w:spacing w:line="360" w:lineRule="auto"/>
        <w:jc w:val="both"/>
      </w:pPr>
    </w:p>
    <w:p w14:paraId="38561742" w14:textId="77777777" w:rsidR="00DC0D8D" w:rsidRDefault="00DC0D8D">
      <w:pPr>
        <w:spacing w:line="360" w:lineRule="auto"/>
        <w:jc w:val="both"/>
      </w:pPr>
    </w:p>
    <w:p w14:paraId="47578CDB" w14:textId="77777777" w:rsidR="00DC0D8D" w:rsidRDefault="00DC0D8D">
      <w:pPr>
        <w:spacing w:line="360" w:lineRule="auto"/>
        <w:jc w:val="both"/>
      </w:pPr>
    </w:p>
    <w:p w14:paraId="5AB2B6CC" w14:textId="77777777" w:rsidR="00DC0D8D" w:rsidRDefault="00DC0D8D">
      <w:pPr>
        <w:spacing w:line="360" w:lineRule="auto"/>
        <w:jc w:val="both"/>
      </w:pPr>
    </w:p>
    <w:p w14:paraId="5D7F35D3" w14:textId="77777777" w:rsidR="00DC0D8D" w:rsidRDefault="00DC0D8D">
      <w:pPr>
        <w:spacing w:line="360" w:lineRule="auto"/>
        <w:jc w:val="both"/>
      </w:pPr>
    </w:p>
    <w:p w14:paraId="7668B6C8" w14:textId="77777777" w:rsidR="00DC0D8D" w:rsidRDefault="00DC0D8D">
      <w:pPr>
        <w:spacing w:line="360" w:lineRule="auto"/>
        <w:jc w:val="both"/>
      </w:pPr>
    </w:p>
    <w:p w14:paraId="69AD98FF" w14:textId="77777777" w:rsidR="00DC0D8D" w:rsidRDefault="00DC0D8D">
      <w:pPr>
        <w:spacing w:line="360" w:lineRule="auto"/>
        <w:jc w:val="both"/>
      </w:pPr>
    </w:p>
    <w:p w14:paraId="1ECEFC9F" w14:textId="77777777" w:rsidR="00DC0D8D" w:rsidRDefault="00DC0D8D">
      <w:pPr>
        <w:spacing w:line="360" w:lineRule="auto"/>
        <w:jc w:val="both"/>
      </w:pPr>
    </w:p>
    <w:p w14:paraId="67A18095" w14:textId="77777777" w:rsidR="00DC0D8D" w:rsidRDefault="00DC0D8D">
      <w:pPr>
        <w:spacing w:line="360" w:lineRule="auto"/>
        <w:jc w:val="both"/>
      </w:pPr>
    </w:p>
    <w:p w14:paraId="498D2DE9" w14:textId="77777777" w:rsidR="00DC0D8D" w:rsidRDefault="00DC0D8D">
      <w:pPr>
        <w:spacing w:line="360" w:lineRule="auto"/>
        <w:jc w:val="both"/>
      </w:pPr>
    </w:p>
    <w:p w14:paraId="2154FC31" w14:textId="77777777" w:rsidR="00DC0D8D" w:rsidRDefault="00DC0D8D">
      <w:pPr>
        <w:spacing w:line="360" w:lineRule="auto"/>
        <w:jc w:val="both"/>
      </w:pPr>
    </w:p>
    <w:p w14:paraId="5D30FDA3" w14:textId="77777777" w:rsidR="00DC0D8D" w:rsidRDefault="00DC0D8D">
      <w:pPr>
        <w:spacing w:line="360" w:lineRule="auto"/>
        <w:jc w:val="both"/>
      </w:pPr>
    </w:p>
    <w:p w14:paraId="1DD2C7AD" w14:textId="77777777" w:rsidR="00DC0D8D" w:rsidRDefault="00DC0D8D">
      <w:pPr>
        <w:spacing w:line="360" w:lineRule="auto"/>
        <w:jc w:val="both"/>
      </w:pPr>
    </w:p>
    <w:p w14:paraId="377DDBF8" w14:textId="77777777" w:rsidR="00DC0D8D" w:rsidRDefault="00DC0D8D">
      <w:pPr>
        <w:spacing w:line="360" w:lineRule="auto"/>
        <w:jc w:val="both"/>
      </w:pPr>
    </w:p>
    <w:p w14:paraId="46B2F602" w14:textId="77777777" w:rsidR="00DC0D8D" w:rsidRDefault="00DC0D8D">
      <w:pPr>
        <w:spacing w:line="360" w:lineRule="auto"/>
        <w:jc w:val="both"/>
      </w:pPr>
    </w:p>
    <w:p w14:paraId="1166210E" w14:textId="77777777" w:rsidR="00DC0D8D" w:rsidRDefault="00DC0D8D">
      <w:pPr>
        <w:spacing w:line="360" w:lineRule="auto"/>
        <w:jc w:val="both"/>
      </w:pPr>
    </w:p>
    <w:p w14:paraId="504BEB80" w14:textId="77777777" w:rsidR="00DC0D8D" w:rsidRDefault="00DC0D8D">
      <w:pPr>
        <w:spacing w:line="360" w:lineRule="auto"/>
        <w:jc w:val="both"/>
      </w:pPr>
    </w:p>
    <w:p w14:paraId="266E6A9A" w14:textId="77777777" w:rsidR="00DC0D8D" w:rsidRDefault="00DC0D8D">
      <w:pPr>
        <w:spacing w:line="360" w:lineRule="auto"/>
        <w:jc w:val="both"/>
      </w:pPr>
    </w:p>
    <w:p w14:paraId="135943B2" w14:textId="77777777" w:rsidR="00DC0D8D" w:rsidRDefault="00DC0D8D">
      <w:pPr>
        <w:spacing w:line="360" w:lineRule="auto"/>
        <w:jc w:val="both"/>
      </w:pPr>
    </w:p>
    <w:p w14:paraId="651B7286" w14:textId="746BAC5A" w:rsidR="00DC0D8D" w:rsidRDefault="00DC0D8D">
      <w:pPr>
        <w:spacing w:line="360" w:lineRule="auto"/>
        <w:jc w:val="both"/>
      </w:pPr>
      <w:r>
        <w:t xml:space="preserve">Nita Roxana Mihaela </w:t>
      </w:r>
    </w:p>
    <w:p w14:paraId="1BD38BB4" w14:textId="543DB90A" w:rsidR="00DC0D8D" w:rsidRDefault="00B1426B">
      <w:pPr>
        <w:spacing w:line="360" w:lineRule="auto"/>
        <w:jc w:val="both"/>
      </w:pPr>
      <w:r>
        <w:t xml:space="preserve">Id no </w:t>
      </w:r>
      <w:r w:rsidR="002A0CCE">
        <w:t>–</w:t>
      </w:r>
      <w:r>
        <w:t xml:space="preserve"> 2111868</w:t>
      </w:r>
    </w:p>
    <w:p w14:paraId="102F9AA7" w14:textId="77777777" w:rsidR="002A0CCE" w:rsidRDefault="002A0CCE">
      <w:pPr>
        <w:spacing w:line="360" w:lineRule="auto"/>
        <w:jc w:val="both"/>
      </w:pPr>
    </w:p>
    <w:p w14:paraId="4F96329C" w14:textId="77777777" w:rsidR="002A0CCE" w:rsidRDefault="002A0CCE">
      <w:pPr>
        <w:spacing w:line="360" w:lineRule="auto"/>
        <w:jc w:val="both"/>
      </w:pPr>
    </w:p>
    <w:p w14:paraId="026FA4F1" w14:textId="69ED9180" w:rsidR="002A0CCE" w:rsidRDefault="000A6104">
      <w:pPr>
        <w:spacing w:line="360" w:lineRule="auto"/>
        <w:jc w:val="both"/>
        <w:rPr>
          <w:b/>
          <w:bCs/>
        </w:rPr>
      </w:pPr>
      <w:r>
        <w:rPr>
          <w:b/>
          <w:bCs/>
        </w:rPr>
        <w:lastRenderedPageBreak/>
        <w:t>Table of contents:</w:t>
      </w:r>
    </w:p>
    <w:p w14:paraId="1EE63860" w14:textId="77777777" w:rsidR="00C229BF" w:rsidRPr="000A6104" w:rsidRDefault="00C229BF">
      <w:pPr>
        <w:spacing w:line="360" w:lineRule="auto"/>
        <w:jc w:val="both"/>
        <w:rPr>
          <w:b/>
          <w:bCs/>
        </w:rPr>
      </w:pPr>
    </w:p>
    <w:p w14:paraId="4DA6B6C4" w14:textId="038C34A9" w:rsidR="002A0CCE" w:rsidRPr="00D143A8" w:rsidRDefault="00D143A8">
      <w:pPr>
        <w:spacing w:line="360" w:lineRule="auto"/>
        <w:jc w:val="both"/>
        <w:rPr>
          <w:b/>
          <w:bCs/>
        </w:rPr>
      </w:pPr>
      <w:r>
        <w:rPr>
          <w:b/>
          <w:bCs/>
        </w:rPr>
        <w:t>Introduction……………………………………………………………………………………………</w:t>
      </w:r>
      <w:r w:rsidR="00C229BF">
        <w:rPr>
          <w:b/>
          <w:bCs/>
        </w:rPr>
        <w:t>3</w:t>
      </w:r>
    </w:p>
    <w:p w14:paraId="746BDDE3" w14:textId="34CCF882" w:rsidR="00BA711C" w:rsidRPr="00D143A8" w:rsidRDefault="000827A7">
      <w:pPr>
        <w:spacing w:line="360" w:lineRule="auto"/>
        <w:jc w:val="both"/>
        <w:rPr>
          <w:b/>
          <w:bCs/>
        </w:rPr>
      </w:pPr>
      <w:r>
        <w:rPr>
          <w:b/>
          <w:bCs/>
        </w:rPr>
        <w:t>Detailed narrative…………………………………………………………………………………….</w:t>
      </w:r>
      <w:r w:rsidR="00C229BF">
        <w:rPr>
          <w:b/>
          <w:bCs/>
        </w:rPr>
        <w:t>3</w:t>
      </w:r>
    </w:p>
    <w:p w14:paraId="46973347" w14:textId="56BA94DD" w:rsidR="00BA711C" w:rsidRPr="00C348A3" w:rsidRDefault="00C348A3">
      <w:pPr>
        <w:spacing w:line="360" w:lineRule="auto"/>
        <w:jc w:val="both"/>
        <w:rPr>
          <w:b/>
          <w:bCs/>
        </w:rPr>
      </w:pPr>
      <w:r>
        <w:rPr>
          <w:b/>
          <w:bCs/>
        </w:rPr>
        <w:t>Significance………………………………………………………………………………………</w:t>
      </w:r>
      <w:r w:rsidR="00CB221A">
        <w:rPr>
          <w:b/>
          <w:bCs/>
        </w:rPr>
        <w:t>……</w:t>
      </w:r>
      <w:r w:rsidR="00C229BF">
        <w:rPr>
          <w:b/>
          <w:bCs/>
        </w:rPr>
        <w:t>4</w:t>
      </w:r>
    </w:p>
    <w:p w14:paraId="184B4726" w14:textId="31BC0743" w:rsidR="00BA711C" w:rsidRPr="00C348A3" w:rsidRDefault="00D13D3D">
      <w:pPr>
        <w:spacing w:line="360" w:lineRule="auto"/>
        <w:jc w:val="both"/>
        <w:rPr>
          <w:b/>
          <w:bCs/>
        </w:rPr>
      </w:pPr>
      <w:r>
        <w:rPr>
          <w:b/>
          <w:bCs/>
        </w:rPr>
        <w:t>Evaluation as a success or a failure for the future IT sector of the UK………………</w:t>
      </w:r>
      <w:r w:rsidR="00CB221A">
        <w:rPr>
          <w:b/>
          <w:bCs/>
        </w:rPr>
        <w:t>…….5</w:t>
      </w:r>
    </w:p>
    <w:p w14:paraId="1039D50F" w14:textId="4FCE0F62" w:rsidR="00826DA9" w:rsidRDefault="00903E44">
      <w:pPr>
        <w:spacing w:line="360" w:lineRule="auto"/>
        <w:jc w:val="both"/>
        <w:rPr>
          <w:b/>
          <w:bCs/>
        </w:rPr>
      </w:pPr>
      <w:r>
        <w:rPr>
          <w:b/>
          <w:bCs/>
        </w:rPr>
        <w:t>Justification and evaluation of lessons……………………………………………………</w:t>
      </w:r>
      <w:r w:rsidR="00CB221A">
        <w:rPr>
          <w:b/>
          <w:bCs/>
        </w:rPr>
        <w:t>……..6</w:t>
      </w:r>
    </w:p>
    <w:p w14:paraId="0B91C38F" w14:textId="088E6558" w:rsidR="00903E44" w:rsidRDefault="002575E5">
      <w:pPr>
        <w:spacing w:line="360" w:lineRule="auto"/>
        <w:jc w:val="both"/>
        <w:rPr>
          <w:b/>
          <w:bCs/>
        </w:rPr>
      </w:pPr>
      <w:r>
        <w:rPr>
          <w:b/>
          <w:bCs/>
        </w:rPr>
        <w:t>Recommendations………………………………………………………………………………</w:t>
      </w:r>
      <w:r w:rsidR="00CB221A">
        <w:rPr>
          <w:b/>
          <w:bCs/>
        </w:rPr>
        <w:t>……7</w:t>
      </w:r>
    </w:p>
    <w:p w14:paraId="6DED3C1B" w14:textId="6A6298CE" w:rsidR="002575E5" w:rsidRPr="00D13D3D" w:rsidRDefault="002575E5">
      <w:pPr>
        <w:spacing w:line="360" w:lineRule="auto"/>
        <w:jc w:val="both"/>
        <w:rPr>
          <w:b/>
          <w:bCs/>
        </w:rPr>
      </w:pPr>
      <w:r>
        <w:rPr>
          <w:b/>
          <w:bCs/>
        </w:rPr>
        <w:t>Conclusio</w:t>
      </w:r>
      <w:r w:rsidR="00C229BF">
        <w:rPr>
          <w:b/>
          <w:bCs/>
        </w:rPr>
        <w:t>n………………………………………………………………………………………</w:t>
      </w:r>
      <w:r w:rsidR="00CB221A">
        <w:rPr>
          <w:b/>
          <w:bCs/>
        </w:rPr>
        <w:t>……..8</w:t>
      </w:r>
    </w:p>
    <w:p w14:paraId="3ECEF76D" w14:textId="77777777" w:rsidR="00826DA9" w:rsidRDefault="00826DA9">
      <w:pPr>
        <w:spacing w:line="360" w:lineRule="auto"/>
        <w:jc w:val="both"/>
        <w:rPr>
          <w:rFonts w:ascii="Times New Roman" w:eastAsia="Times New Roman" w:hAnsi="Times New Roman" w:cs="Times New Roman"/>
          <w:sz w:val="24"/>
          <w:szCs w:val="24"/>
        </w:rPr>
      </w:pPr>
    </w:p>
    <w:p w14:paraId="7C942140" w14:textId="77777777" w:rsidR="00C229BF" w:rsidRDefault="00C229BF">
      <w:pPr>
        <w:spacing w:line="360" w:lineRule="auto"/>
        <w:jc w:val="both"/>
        <w:rPr>
          <w:rFonts w:ascii="Times New Roman" w:eastAsia="Times New Roman" w:hAnsi="Times New Roman" w:cs="Times New Roman"/>
          <w:sz w:val="24"/>
          <w:szCs w:val="24"/>
        </w:rPr>
      </w:pPr>
    </w:p>
    <w:p w14:paraId="19BCA3EB" w14:textId="77777777" w:rsidR="00C229BF" w:rsidRDefault="00C229BF">
      <w:pPr>
        <w:spacing w:line="360" w:lineRule="auto"/>
        <w:jc w:val="both"/>
        <w:rPr>
          <w:rFonts w:ascii="Times New Roman" w:eastAsia="Times New Roman" w:hAnsi="Times New Roman" w:cs="Times New Roman"/>
          <w:sz w:val="24"/>
          <w:szCs w:val="24"/>
        </w:rPr>
      </w:pPr>
    </w:p>
    <w:p w14:paraId="2E87F639" w14:textId="77777777" w:rsidR="00C229BF" w:rsidRDefault="00C229BF">
      <w:pPr>
        <w:spacing w:line="360" w:lineRule="auto"/>
        <w:jc w:val="both"/>
        <w:rPr>
          <w:rFonts w:ascii="Times New Roman" w:eastAsia="Times New Roman" w:hAnsi="Times New Roman" w:cs="Times New Roman"/>
          <w:sz w:val="24"/>
          <w:szCs w:val="24"/>
        </w:rPr>
      </w:pPr>
    </w:p>
    <w:p w14:paraId="0DC7B874" w14:textId="77777777" w:rsidR="00C229BF" w:rsidRDefault="00C229BF">
      <w:pPr>
        <w:spacing w:line="360" w:lineRule="auto"/>
        <w:jc w:val="both"/>
        <w:rPr>
          <w:rFonts w:ascii="Times New Roman" w:eastAsia="Times New Roman" w:hAnsi="Times New Roman" w:cs="Times New Roman"/>
          <w:sz w:val="24"/>
          <w:szCs w:val="24"/>
        </w:rPr>
      </w:pPr>
    </w:p>
    <w:p w14:paraId="7B727A10" w14:textId="77777777" w:rsidR="00C229BF" w:rsidRDefault="00C229BF">
      <w:pPr>
        <w:spacing w:line="360" w:lineRule="auto"/>
        <w:jc w:val="both"/>
        <w:rPr>
          <w:rFonts w:ascii="Times New Roman" w:eastAsia="Times New Roman" w:hAnsi="Times New Roman" w:cs="Times New Roman"/>
          <w:sz w:val="24"/>
          <w:szCs w:val="24"/>
        </w:rPr>
      </w:pPr>
    </w:p>
    <w:p w14:paraId="301EFECE" w14:textId="77777777" w:rsidR="00C229BF" w:rsidRDefault="00C229BF">
      <w:pPr>
        <w:spacing w:line="360" w:lineRule="auto"/>
        <w:jc w:val="both"/>
        <w:rPr>
          <w:rFonts w:ascii="Times New Roman" w:eastAsia="Times New Roman" w:hAnsi="Times New Roman" w:cs="Times New Roman"/>
          <w:sz w:val="24"/>
          <w:szCs w:val="24"/>
        </w:rPr>
      </w:pPr>
    </w:p>
    <w:p w14:paraId="2070E456" w14:textId="77777777" w:rsidR="00C229BF" w:rsidRDefault="00C229BF">
      <w:pPr>
        <w:spacing w:line="360" w:lineRule="auto"/>
        <w:jc w:val="both"/>
        <w:rPr>
          <w:rFonts w:ascii="Times New Roman" w:eastAsia="Times New Roman" w:hAnsi="Times New Roman" w:cs="Times New Roman"/>
          <w:sz w:val="24"/>
          <w:szCs w:val="24"/>
        </w:rPr>
      </w:pPr>
    </w:p>
    <w:p w14:paraId="2F104B1A" w14:textId="77777777" w:rsidR="00C229BF" w:rsidRDefault="00C229BF">
      <w:pPr>
        <w:spacing w:line="360" w:lineRule="auto"/>
        <w:jc w:val="both"/>
        <w:rPr>
          <w:rFonts w:ascii="Times New Roman" w:eastAsia="Times New Roman" w:hAnsi="Times New Roman" w:cs="Times New Roman"/>
          <w:sz w:val="24"/>
          <w:szCs w:val="24"/>
        </w:rPr>
      </w:pPr>
    </w:p>
    <w:p w14:paraId="582D7C2E" w14:textId="77777777" w:rsidR="00C229BF" w:rsidRDefault="00C229BF">
      <w:pPr>
        <w:spacing w:line="360" w:lineRule="auto"/>
        <w:jc w:val="both"/>
        <w:rPr>
          <w:rFonts w:ascii="Times New Roman" w:eastAsia="Times New Roman" w:hAnsi="Times New Roman" w:cs="Times New Roman"/>
          <w:sz w:val="24"/>
          <w:szCs w:val="24"/>
        </w:rPr>
      </w:pPr>
    </w:p>
    <w:p w14:paraId="34C14984" w14:textId="77777777" w:rsidR="00C229BF" w:rsidRDefault="00C229BF">
      <w:pPr>
        <w:spacing w:line="360" w:lineRule="auto"/>
        <w:jc w:val="both"/>
        <w:rPr>
          <w:rFonts w:ascii="Times New Roman" w:eastAsia="Times New Roman" w:hAnsi="Times New Roman" w:cs="Times New Roman"/>
          <w:sz w:val="24"/>
          <w:szCs w:val="24"/>
        </w:rPr>
      </w:pPr>
    </w:p>
    <w:p w14:paraId="60E6EA32" w14:textId="77777777" w:rsidR="00C229BF" w:rsidRDefault="00C229BF">
      <w:pPr>
        <w:spacing w:line="360" w:lineRule="auto"/>
        <w:jc w:val="both"/>
        <w:rPr>
          <w:rFonts w:ascii="Times New Roman" w:eastAsia="Times New Roman" w:hAnsi="Times New Roman" w:cs="Times New Roman"/>
          <w:sz w:val="24"/>
          <w:szCs w:val="24"/>
        </w:rPr>
      </w:pPr>
    </w:p>
    <w:p w14:paraId="1FC1054F" w14:textId="77777777" w:rsidR="00C229BF" w:rsidRDefault="00C229BF">
      <w:pPr>
        <w:spacing w:line="360" w:lineRule="auto"/>
        <w:jc w:val="both"/>
        <w:rPr>
          <w:rFonts w:ascii="Times New Roman" w:eastAsia="Times New Roman" w:hAnsi="Times New Roman" w:cs="Times New Roman"/>
          <w:sz w:val="24"/>
          <w:szCs w:val="24"/>
        </w:rPr>
      </w:pPr>
    </w:p>
    <w:p w14:paraId="447ABF35" w14:textId="77777777" w:rsidR="00C229BF" w:rsidRDefault="00C229BF">
      <w:pPr>
        <w:spacing w:line="360" w:lineRule="auto"/>
        <w:jc w:val="both"/>
        <w:rPr>
          <w:rFonts w:ascii="Times New Roman" w:eastAsia="Times New Roman" w:hAnsi="Times New Roman" w:cs="Times New Roman"/>
          <w:sz w:val="24"/>
          <w:szCs w:val="24"/>
        </w:rPr>
      </w:pPr>
    </w:p>
    <w:p w14:paraId="699F3D5B" w14:textId="77777777" w:rsidR="00C229BF" w:rsidRDefault="00C229BF">
      <w:pPr>
        <w:spacing w:line="360" w:lineRule="auto"/>
        <w:jc w:val="both"/>
        <w:rPr>
          <w:rFonts w:ascii="Times New Roman" w:eastAsia="Times New Roman" w:hAnsi="Times New Roman" w:cs="Times New Roman"/>
          <w:sz w:val="24"/>
          <w:szCs w:val="24"/>
        </w:rPr>
      </w:pPr>
    </w:p>
    <w:p w14:paraId="6950B4A6" w14:textId="77777777" w:rsidR="00C229BF" w:rsidRDefault="00C229BF">
      <w:pPr>
        <w:spacing w:line="360" w:lineRule="auto"/>
        <w:jc w:val="both"/>
        <w:rPr>
          <w:rFonts w:ascii="Times New Roman" w:eastAsia="Times New Roman" w:hAnsi="Times New Roman" w:cs="Times New Roman"/>
          <w:sz w:val="24"/>
          <w:szCs w:val="24"/>
        </w:rPr>
      </w:pPr>
    </w:p>
    <w:p w14:paraId="23C3B62F" w14:textId="77777777" w:rsidR="00C229BF" w:rsidRDefault="00C229BF">
      <w:pPr>
        <w:spacing w:line="360" w:lineRule="auto"/>
        <w:jc w:val="both"/>
        <w:rPr>
          <w:rFonts w:ascii="Times New Roman" w:eastAsia="Times New Roman" w:hAnsi="Times New Roman" w:cs="Times New Roman"/>
          <w:sz w:val="24"/>
          <w:szCs w:val="24"/>
        </w:rPr>
      </w:pPr>
    </w:p>
    <w:p w14:paraId="3CF40E9A" w14:textId="77777777" w:rsidR="00C229BF" w:rsidRDefault="00C229BF">
      <w:pPr>
        <w:spacing w:line="360" w:lineRule="auto"/>
        <w:jc w:val="both"/>
        <w:rPr>
          <w:rFonts w:ascii="Times New Roman" w:eastAsia="Times New Roman" w:hAnsi="Times New Roman" w:cs="Times New Roman"/>
          <w:sz w:val="24"/>
          <w:szCs w:val="24"/>
        </w:rPr>
      </w:pPr>
    </w:p>
    <w:p w14:paraId="45362BE7" w14:textId="77777777" w:rsidR="00C229BF" w:rsidRDefault="00C229BF">
      <w:pPr>
        <w:spacing w:line="360" w:lineRule="auto"/>
        <w:jc w:val="both"/>
        <w:rPr>
          <w:rFonts w:ascii="Times New Roman" w:eastAsia="Times New Roman" w:hAnsi="Times New Roman" w:cs="Times New Roman"/>
          <w:sz w:val="24"/>
          <w:szCs w:val="24"/>
        </w:rPr>
      </w:pPr>
    </w:p>
    <w:p w14:paraId="71BA9DC0" w14:textId="77777777" w:rsidR="00C229BF" w:rsidRDefault="00C229BF">
      <w:pPr>
        <w:spacing w:line="360" w:lineRule="auto"/>
        <w:jc w:val="both"/>
        <w:rPr>
          <w:rFonts w:ascii="Times New Roman" w:eastAsia="Times New Roman" w:hAnsi="Times New Roman" w:cs="Times New Roman"/>
          <w:sz w:val="24"/>
          <w:szCs w:val="24"/>
        </w:rPr>
      </w:pPr>
    </w:p>
    <w:p w14:paraId="5D38E45B" w14:textId="77777777" w:rsidR="00C229BF" w:rsidRDefault="00C229BF">
      <w:pPr>
        <w:spacing w:line="360" w:lineRule="auto"/>
        <w:jc w:val="both"/>
        <w:rPr>
          <w:rFonts w:ascii="Times New Roman" w:eastAsia="Times New Roman" w:hAnsi="Times New Roman" w:cs="Times New Roman"/>
          <w:sz w:val="24"/>
          <w:szCs w:val="24"/>
        </w:rPr>
      </w:pPr>
    </w:p>
    <w:p w14:paraId="3431CB51" w14:textId="77777777" w:rsidR="00C229BF" w:rsidRDefault="00C229BF">
      <w:pPr>
        <w:spacing w:line="360" w:lineRule="auto"/>
        <w:jc w:val="both"/>
        <w:rPr>
          <w:rFonts w:ascii="Times New Roman" w:eastAsia="Times New Roman" w:hAnsi="Times New Roman" w:cs="Times New Roman"/>
          <w:sz w:val="24"/>
          <w:szCs w:val="24"/>
        </w:rPr>
      </w:pPr>
    </w:p>
    <w:p w14:paraId="5AD8B813" w14:textId="77777777" w:rsidR="00C229BF" w:rsidRDefault="00C229BF">
      <w:pPr>
        <w:spacing w:line="360" w:lineRule="auto"/>
        <w:jc w:val="both"/>
        <w:rPr>
          <w:rFonts w:ascii="Times New Roman" w:eastAsia="Times New Roman" w:hAnsi="Times New Roman" w:cs="Times New Roman"/>
          <w:sz w:val="24"/>
          <w:szCs w:val="24"/>
        </w:rPr>
      </w:pPr>
    </w:p>
    <w:p w14:paraId="608E6997" w14:textId="77777777" w:rsidR="00C229BF" w:rsidRPr="002A0CCE" w:rsidRDefault="00C229BF">
      <w:pPr>
        <w:spacing w:line="360" w:lineRule="auto"/>
        <w:jc w:val="both"/>
        <w:rPr>
          <w:rFonts w:ascii="Times New Roman" w:eastAsia="Times New Roman" w:hAnsi="Times New Roman" w:cs="Times New Roman"/>
          <w:sz w:val="24"/>
          <w:szCs w:val="24"/>
        </w:rPr>
      </w:pPr>
    </w:p>
    <w:p w14:paraId="00000003" w14:textId="77777777" w:rsidR="00E2135F" w:rsidRDefault="00000000">
      <w:pPr>
        <w:pStyle w:val="Titlu1"/>
        <w:spacing w:line="360" w:lineRule="auto"/>
      </w:pPr>
      <w:bookmarkStart w:id="1" w:name="_z4xtx4qxc0ux" w:colFirst="0" w:colLast="0"/>
      <w:bookmarkEnd w:id="1"/>
      <w:r>
        <w:t xml:space="preserve">Introduction </w:t>
      </w:r>
    </w:p>
    <w:p w14:paraId="00000004" w14:textId="77777777" w:rsidR="00E2135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Headquarter of Google’s project in King’s Cross, London, UK is considered for the architectural and sustainable practices. The project has the potential for creating a historic milestone in being a technological giant. The total area that this project occupies will consist of 60,400 sqm and the project could spread across King Cross Station and accommodate more than 4000 people across 11 layers. The project facilities will include training sector, retail spaces, ground-floor events. In order to promote health awareness, a multi-layer gym zone (MUGA) was also considered. The expansion by the Google company has the capacity to host more than 7000 employees and is regarded as a landmark within the international platform. It could be reflected in terms of the futuristic requirement of the construction industry. </w:t>
      </w:r>
    </w:p>
    <w:p w14:paraId="00000005" w14:textId="77777777" w:rsidR="00E2135F" w:rsidRDefault="00000000">
      <w:pPr>
        <w:pStyle w:val="Titlu1"/>
        <w:spacing w:line="360" w:lineRule="auto"/>
      </w:pPr>
      <w:bookmarkStart w:id="2" w:name="_8iiu1l7lwoux" w:colFirst="0" w:colLast="0"/>
      <w:bookmarkEnd w:id="2"/>
      <w:r>
        <w:t>Discussion</w:t>
      </w:r>
    </w:p>
    <w:p w14:paraId="00000006" w14:textId="77777777" w:rsidR="00E2135F"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Detailed narrative </w:t>
      </w:r>
    </w:p>
    <w:p w14:paraId="00000007" w14:textId="77777777" w:rsidR="00E2135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Google’s new headquarters at King’s Cross in London is constructed under the lead consultancy and design delivery of BPD. It was alongside the concept of architects like Bjarke and Ingels Group (BIG). The project utilises a large area of land tangential Kings Cross Station and comprising over 60,400 sqm of office space in the prime location. It provides accommodation for up to 4500 people spreading across 11 storeys that are set above retail and even has an event and training centre at the ground floor. The office accommodation is supposedly going to provide ancillary space including gym, cafes, multi-use game area (MUGA) along with pool facilities. Within the roof level, there will be a running space along with landscape terraces. This could provide outdoor amenity and that of recreational space for employees. A combination of active and passive environmental design considerations could be incorporated within the targeting of the project in BREEAM minimum and ‘LEED’ Gold with achieving ‘Platinum’ and ‘Outstanding’ respectively. This new project could be added to the current buildings at 6 Pancras Square and have an additional third building. A potential Google campus could be created for housing 7,000 employees (</w:t>
      </w:r>
      <w:r>
        <w:rPr>
          <w:rFonts w:ascii="Times New Roman" w:eastAsia="Times New Roman" w:hAnsi="Times New Roman" w:cs="Times New Roman"/>
          <w:color w:val="222222"/>
          <w:sz w:val="24"/>
          <w:szCs w:val="24"/>
          <w:highlight w:val="white"/>
        </w:rPr>
        <w:t>Pham-Duc et al., 2023)</w:t>
      </w:r>
      <w:r>
        <w:rPr>
          <w:rFonts w:ascii="Times New Roman" w:eastAsia="Times New Roman" w:hAnsi="Times New Roman" w:cs="Times New Roman"/>
          <w:sz w:val="24"/>
          <w:szCs w:val="24"/>
        </w:rPr>
        <w:t xml:space="preserve">. The new building would be developed from the ground level and contribute to King’s Cross’ which is based on a knowledge based economy. This building will be considered as the only wholly owned and acquired building by Google outside of the United States. </w:t>
      </w:r>
    </w:p>
    <w:p w14:paraId="00000008" w14:textId="77777777" w:rsidR="00E2135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inventive attitude is carried away through the ancillary rooms and that should go beyond the standard office comforts. Employees could wind and commit through the cutting-edge gym which </w:t>
      </w:r>
      <w:r>
        <w:rPr>
          <w:rFonts w:ascii="Times New Roman" w:eastAsia="Times New Roman" w:hAnsi="Times New Roman" w:cs="Times New Roman"/>
          <w:sz w:val="24"/>
          <w:szCs w:val="24"/>
        </w:rPr>
        <w:lastRenderedPageBreak/>
        <w:t>promotes well-being and health. The project’s influence is quite aloft with a roof ornamented with manicured terraces and have a perfect blend of nature and corporate with a perfect blend of recreation. Google’s commitment to employee’s well-being is showcased through the creation of this outdoor recreational space of Google. Beyond the scale of sheer and space of operation, this venture is essential for Google's commitment to designed buildings and inaugural wholly owned by Google. With the architectural marvel taking place, a new era of Google is heralded but adding essentially to knowledge-based economy for burgeoning innovation of the knowledge-based environment (</w:t>
      </w:r>
      <w:r>
        <w:rPr>
          <w:rFonts w:ascii="Times New Roman" w:eastAsia="Times New Roman" w:hAnsi="Times New Roman" w:cs="Times New Roman"/>
          <w:color w:val="222222"/>
          <w:sz w:val="24"/>
          <w:szCs w:val="24"/>
          <w:highlight w:val="white"/>
        </w:rPr>
        <w:t>Ambos et al., 2020)</w:t>
      </w:r>
      <w:r>
        <w:rPr>
          <w:rFonts w:ascii="Times New Roman" w:eastAsia="Times New Roman" w:hAnsi="Times New Roman" w:cs="Times New Roman"/>
          <w:sz w:val="24"/>
          <w:szCs w:val="24"/>
        </w:rPr>
        <w:t xml:space="preserve">. This project is a large-scale representation of unwavering dedication that this brand has showcased and achieved over the years, particularly dedicated to community, innovation and work’s future being embodied with community, innovation and futuristic work being incorporated. </w:t>
      </w:r>
    </w:p>
    <w:p w14:paraId="00000009" w14:textId="77777777" w:rsidR="00E2135F"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Significance </w:t>
      </w:r>
    </w:p>
    <w:p w14:paraId="0000000A" w14:textId="77777777" w:rsidR="00E2135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a joint statement, Google has stated that the goal for this new building is to create an interestingness which could scale and fit the community that King’s Cross accounts for. The startup from Silicon Valley garage would finally meet the London Train which sheds in a building coupling with clarity, eccentricity and anchoring heritage with innovation. The significance of the project could be derived from the fact that in the UK it is quite promising that computer science has a potential future with the talent, passion for innovation and that of educational institutions driving all towards this change (</w:t>
      </w:r>
      <w:r>
        <w:rPr>
          <w:rFonts w:ascii="Times New Roman" w:eastAsia="Times New Roman" w:hAnsi="Times New Roman" w:cs="Times New Roman"/>
          <w:color w:val="222222"/>
          <w:sz w:val="24"/>
          <w:szCs w:val="24"/>
          <w:highlight w:val="white"/>
        </w:rPr>
        <w:t>Froese et al., 2021)</w:t>
      </w:r>
      <w:r>
        <w:rPr>
          <w:rFonts w:ascii="Times New Roman" w:eastAsia="Times New Roman" w:hAnsi="Times New Roman" w:cs="Times New Roman"/>
          <w:sz w:val="24"/>
          <w:szCs w:val="24"/>
        </w:rPr>
        <w:t xml:space="preserve">. Google is hence committed to start up a separate headquarters in the UK and thus continue with its innovation and investment in the new King’s Cross campus. </w:t>
      </w:r>
    </w:p>
    <w:p w14:paraId="0000000B" w14:textId="77777777" w:rsidR="00E2135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Approval from Pichai’s disregarded any lingering doubts that it could be showcased regarding a plan and it was first tabled three years ago to be precise. The company is slated to create 3000 new jobs by 2020. But Pichai was quite critical of the success of this claim as he was apprehensive about the government's expected crackdown with regards to immigration after the vote was given to leave the EU overruns in countering the ideals of Google. Pichai told BBC that this company works on experiences that are driven from ability to bring open minded people together followed by its impact on having tremendous achievement over time. </w:t>
      </w:r>
    </w:p>
    <w:p w14:paraId="0000000C" w14:textId="77777777" w:rsidR="00E2135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such times of uncertainties, Google does need to bring together as many people as possible from different backgrounds to cater to such new-aged problems. It could hence be helpful in building new things which could add fuel to the innovative spirit of the brand. Sadiq Khan, London’s mayor </w:t>
      </w:r>
      <w:r>
        <w:rPr>
          <w:rFonts w:ascii="Times New Roman" w:eastAsia="Times New Roman" w:hAnsi="Times New Roman" w:cs="Times New Roman"/>
          <w:sz w:val="24"/>
          <w:szCs w:val="24"/>
        </w:rPr>
        <w:lastRenderedPageBreak/>
        <w:t>whole heartedly welcomed the spirit as he argued with respect to personal responsibility of the UK as a nation currently (</w:t>
      </w:r>
      <w:r>
        <w:rPr>
          <w:rFonts w:ascii="Times New Roman" w:eastAsia="Times New Roman" w:hAnsi="Times New Roman" w:cs="Times New Roman"/>
          <w:color w:val="222222"/>
          <w:sz w:val="24"/>
          <w:szCs w:val="24"/>
          <w:highlight w:val="white"/>
        </w:rPr>
        <w:t>Lee, 2019)</w:t>
      </w:r>
      <w:r>
        <w:rPr>
          <w:rFonts w:ascii="Times New Roman" w:eastAsia="Times New Roman" w:hAnsi="Times New Roman" w:cs="Times New Roman"/>
          <w:sz w:val="24"/>
          <w:szCs w:val="24"/>
        </w:rPr>
        <w:t>. This collaboration could put paid to fears given Brexit had quite damaged the capital position of this country as one of the leading European technology hubs. A vote of confidence is initiated in this great city which accounts for supporting growth, creation of high-skilled jobs and demonstrating that London is still having the same potential for being open to business, talent from around the globe and that of new investment.</w:t>
      </w:r>
    </w:p>
    <w:p w14:paraId="0000000D" w14:textId="77777777" w:rsidR="00E2135F"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Evaluation as a success or a failure for the future IT sector of the UK </w:t>
      </w:r>
    </w:p>
    <w:p w14:paraId="0000000E" w14:textId="77777777" w:rsidR="00E2135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believe that success or failure is a tale for time to tell but the London Headquarters Project of Google is surely an intent of the company’s confidence over its ability to pull out any uncertainty and think big about the moment. In January, a £871 million deal was announced by Google which was meant to be invested in buying the Central Saint Giles development which is a brightly coloured building (</w:t>
      </w:r>
      <w:r>
        <w:rPr>
          <w:rFonts w:ascii="Times New Roman" w:eastAsia="Times New Roman" w:hAnsi="Times New Roman" w:cs="Times New Roman"/>
          <w:color w:val="222222"/>
          <w:sz w:val="24"/>
          <w:szCs w:val="24"/>
          <w:highlight w:val="white"/>
        </w:rPr>
        <w:t>Cuypers et al., 2020)</w:t>
      </w:r>
      <w:r>
        <w:rPr>
          <w:rFonts w:ascii="Times New Roman" w:eastAsia="Times New Roman" w:hAnsi="Times New Roman" w:cs="Times New Roman"/>
          <w:sz w:val="24"/>
          <w:szCs w:val="24"/>
        </w:rPr>
        <w:t xml:space="preserve">. Before purchasing, the company had already started renting out office spaces at the site. It became a home to additional 100 residential apartments along with the cafes and ground floor restaurants. The firm has committed to office buildings which came at a time when big companies were shying away from how much to weigh and what kind of space they need to accommodate the hybrid working after the pandemic, Google was quick to take up the action readily. Google, like many of the tech giants, did not feel that fully remote settings would be the approach to work, instead opting for the hybrid mode after the pandemic. Post Covid working principles that Google has decided will compromise three days of office work for employees and two days of wherever they felt like working best. 20% of the global workforce of Google would be working permanently from home. The landscaper project was formulated long before the pandemic started and yet it was Google which insisted that owning the building along with the Central Saint Giles development could provide a scope for adapting to the space intensive of futuristic needs. </w:t>
      </w:r>
    </w:p>
    <w:p w14:paraId="0000000F" w14:textId="77777777" w:rsidR="00E2135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Every company is learning more about the reformed ways of working and the kind of spaces that will supposedly be needed with the future requirements. But with the inception of this project, the company is given the landscape to provide flexibility with a very low carbon footprint that could potentially be regarded as the very low carbon footprint in order to be able to re-engineer the spaces in a very limited period (</w:t>
      </w:r>
      <w:r>
        <w:rPr>
          <w:rFonts w:ascii="Times New Roman" w:eastAsia="Times New Roman" w:hAnsi="Times New Roman" w:cs="Times New Roman"/>
          <w:color w:val="222222"/>
          <w:sz w:val="24"/>
          <w:szCs w:val="24"/>
          <w:highlight w:val="white"/>
        </w:rPr>
        <w:t>Kretschmer et al., 2022)</w:t>
      </w:r>
      <w:r>
        <w:rPr>
          <w:rFonts w:ascii="Times New Roman" w:eastAsia="Times New Roman" w:hAnsi="Times New Roman" w:cs="Times New Roman"/>
          <w:sz w:val="24"/>
          <w:szCs w:val="24"/>
        </w:rPr>
        <w:t xml:space="preserve">. With the employees returning to office after so long, flexibility and collaborative approach is more needed rather than just an office space or banks of desks as it is called. The evolution is regarded with time and at this moment this project could </w:t>
      </w:r>
      <w:r>
        <w:rPr>
          <w:rFonts w:ascii="Times New Roman" w:eastAsia="Times New Roman" w:hAnsi="Times New Roman" w:cs="Times New Roman"/>
          <w:sz w:val="24"/>
          <w:szCs w:val="24"/>
        </w:rPr>
        <w:lastRenderedPageBreak/>
        <w:t xml:space="preserve">be a huge success in the IT Industry given the consultation with experts to figure out what exactly the space would look like for what's needed. </w:t>
      </w:r>
    </w:p>
    <w:p w14:paraId="00000010" w14:textId="77777777" w:rsidR="00E2135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Google thinks it is adding a great value at this time by making sure that the world knows where they are standing together now. It has been contributed majorly by the spontaneous nature for people in working together and collaborating which delivers a richness that is otherwise challenging with just doing a video conference. But not all Google UK’s staff can be placed here in the flagship office building as it could not sustain the capacity. Google now employs more than 6,400 people in the UK and a target has been set for almost 10,000 (</w:t>
      </w:r>
      <w:r>
        <w:rPr>
          <w:rFonts w:ascii="Times New Roman" w:eastAsia="Times New Roman" w:hAnsi="Times New Roman" w:cs="Times New Roman"/>
          <w:color w:val="222222"/>
          <w:sz w:val="24"/>
          <w:szCs w:val="24"/>
          <w:highlight w:val="white"/>
        </w:rPr>
        <w:t>Stendahl et al., 2021)</w:t>
      </w:r>
      <w:r>
        <w:rPr>
          <w:rFonts w:ascii="Times New Roman" w:eastAsia="Times New Roman" w:hAnsi="Times New Roman" w:cs="Times New Roman"/>
          <w:sz w:val="24"/>
          <w:szCs w:val="24"/>
        </w:rPr>
        <w:t xml:space="preserve">. </w:t>
      </w:r>
    </w:p>
    <w:p w14:paraId="00000011" w14:textId="77777777" w:rsidR="00E2135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new headquarters will be owned and designed by Google which is the first to be outside of the US. It could be problematic for the company by chance if the tax affairs in the UK are not considered in the meantime. This January, Google agreed to pay a £130 million settlement to HMRC but it has continued to insist that the presence is minimal and might not contribute to permanent establishment. Within the company’s internal structure, the British customers' majority income is spent technically in Ireland in case Google's advertising sales department is based. DeepMind, Google’s subsidiary has showcased growth in terms of pure research. It was based in London for the AI farm’s advancement and is based currently in the King’s Cross office along with designs in the headquarters (</w:t>
      </w:r>
      <w:r>
        <w:rPr>
          <w:rFonts w:ascii="Times New Roman" w:eastAsia="Times New Roman" w:hAnsi="Times New Roman" w:cs="Times New Roman"/>
          <w:color w:val="222222"/>
          <w:sz w:val="24"/>
          <w:szCs w:val="24"/>
          <w:highlight w:val="white"/>
        </w:rPr>
        <w:t>Russell, 2023)</w:t>
      </w:r>
      <w:r>
        <w:rPr>
          <w:rFonts w:ascii="Times New Roman" w:eastAsia="Times New Roman" w:hAnsi="Times New Roman" w:cs="Times New Roman"/>
          <w:sz w:val="24"/>
          <w:szCs w:val="24"/>
        </w:rPr>
        <w:t xml:space="preserve">. It could be claimed of being subjective to reassessment in case of a firm for choosing changes in the affairs beforehand. </w:t>
      </w:r>
    </w:p>
    <w:p w14:paraId="00000012" w14:textId="77777777" w:rsidR="00E2135F"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Justification and evaluation of lessons</w:t>
      </w:r>
    </w:p>
    <w:p w14:paraId="00000013" w14:textId="77777777" w:rsidR="00E2135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evaluation of the discussion is an indication that this project required sustainable alignment with the baseline budget. It could have hence indicated a substantial economic control. It could determine the driving reasons in these financial dynamics, overruns, savings or budgetary deviations which needs meticulous examination. Furthermore, the extra financing sources or unanticipated costs should be taken care of before such that its proactive attitude for control and financial transparency could be regarded (</w:t>
      </w:r>
      <w:r>
        <w:rPr>
          <w:rFonts w:ascii="Times New Roman" w:eastAsia="Times New Roman" w:hAnsi="Times New Roman" w:cs="Times New Roman"/>
          <w:color w:val="222222"/>
          <w:sz w:val="24"/>
          <w:szCs w:val="24"/>
          <w:highlight w:val="white"/>
        </w:rPr>
        <w:t>Balogun et al., 2019)</w:t>
      </w:r>
      <w:r>
        <w:rPr>
          <w:rFonts w:ascii="Times New Roman" w:eastAsia="Times New Roman" w:hAnsi="Times New Roman" w:cs="Times New Roman"/>
          <w:sz w:val="24"/>
          <w:szCs w:val="24"/>
        </w:rPr>
        <w:t xml:space="preserve">. The highlights and its evaluation could provide an analytical examination for the projected timetable in comparison to the actual progress in terms of the stipulated timeline. The critical path analysis could be a great lesson which provided a nuanced knowledge for the project timing. This thorough assessment could ensure a flexible approach in order for time management. </w:t>
      </w:r>
    </w:p>
    <w:p w14:paraId="00000014" w14:textId="77777777" w:rsidR="00E2135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Quality assurance could appear as a pillar for evaluation in terms of indicating a commitment to project execution for excellence. The inspection could include a detailed assessment of </w:t>
      </w:r>
      <w:r>
        <w:rPr>
          <w:rFonts w:ascii="Times New Roman" w:eastAsia="Times New Roman" w:hAnsi="Times New Roman" w:cs="Times New Roman"/>
          <w:sz w:val="24"/>
          <w:szCs w:val="24"/>
        </w:rPr>
        <w:lastRenderedPageBreak/>
        <w:t>architectural design, adherence to safety and environmental regulations and other aspects. The examination for rigorous inspections could commit to delivering a project of unsurpassed perfection (</w:t>
      </w:r>
      <w:r>
        <w:rPr>
          <w:rFonts w:ascii="Times New Roman" w:eastAsia="Times New Roman" w:hAnsi="Times New Roman" w:cs="Times New Roman"/>
          <w:color w:val="222222"/>
          <w:sz w:val="24"/>
          <w:szCs w:val="24"/>
          <w:highlight w:val="white"/>
        </w:rPr>
        <w:t>Smyrnaios and Rebillard, 2019)</w:t>
      </w:r>
      <w:r>
        <w:rPr>
          <w:rFonts w:ascii="Times New Roman" w:eastAsia="Times New Roman" w:hAnsi="Times New Roman" w:cs="Times New Roman"/>
          <w:sz w:val="24"/>
          <w:szCs w:val="24"/>
        </w:rPr>
        <w:t xml:space="preserve">. But due the complexity of the project, it would be difficult to detect the flaws and thoroughly investigate and demonstrate a proactive approach for maintaining and improving project quality. </w:t>
      </w:r>
    </w:p>
    <w:p w14:paraId="00000015" w14:textId="77777777" w:rsidR="00E2135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Stakeholder management is a crucial component for this project which could have been assessed thoroughly including government agencies, local communities and investors. Stakeholder management could be enhanced further in awaring demands, interests and requirements of stakeholders (</w:t>
      </w:r>
      <w:r>
        <w:rPr>
          <w:rFonts w:ascii="Times New Roman" w:eastAsia="Times New Roman" w:hAnsi="Times New Roman" w:cs="Times New Roman"/>
          <w:color w:val="222222"/>
          <w:sz w:val="24"/>
          <w:szCs w:val="24"/>
          <w:highlight w:val="white"/>
        </w:rPr>
        <w:t>Brynjolfsson et al., 2021)</w:t>
      </w:r>
      <w:r>
        <w:rPr>
          <w:rFonts w:ascii="Times New Roman" w:eastAsia="Times New Roman" w:hAnsi="Times New Roman" w:cs="Times New Roman"/>
          <w:sz w:val="24"/>
          <w:szCs w:val="24"/>
        </w:rPr>
        <w:t>. The evaluation of commitment and involvement of stakeholders is essential for determining any issue and possible resolution implementation. The project management should be gone beyond stakeholder management and highlighting other aspects including time, quality and time. The plan implementation procedure could respond to the intended concerns and take steps as required. The detection of possible concerns for further flaw detection could engage in minimising the negative impact. External elements could include economic environment, requirements and capital flow. The investors could play an important factor for achieving the goal and aiming the project. It could be summarised in ongoing examinations for Google's billion-pound project in King’s Cross through a project management style (</w:t>
      </w:r>
      <w:r>
        <w:rPr>
          <w:rFonts w:ascii="Times New Roman" w:eastAsia="Times New Roman" w:hAnsi="Times New Roman" w:cs="Times New Roman"/>
          <w:color w:val="222222"/>
          <w:sz w:val="24"/>
          <w:szCs w:val="24"/>
          <w:highlight w:val="white"/>
        </w:rPr>
        <w:t>Robin, 2022)</w:t>
      </w:r>
      <w:r>
        <w:rPr>
          <w:rFonts w:ascii="Times New Roman" w:eastAsia="Times New Roman" w:hAnsi="Times New Roman" w:cs="Times New Roman"/>
          <w:sz w:val="24"/>
          <w:szCs w:val="24"/>
        </w:rPr>
        <w:t xml:space="preserve">. It should be marked by smart time management, quality, stakeholder involvement and have a proactive approach to the risk mitigation prospects. This might evaluate the framework in terms of providing a dynamic reaction to the obstacles emerged along with committing strongly to the success of the project proceeds. </w:t>
      </w:r>
    </w:p>
    <w:p w14:paraId="00000016" w14:textId="77777777" w:rsidR="00E2135F" w:rsidRDefault="00000000">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Recommendations </w:t>
      </w:r>
    </w:p>
    <w:p w14:paraId="00000017" w14:textId="77777777" w:rsidR="00E2135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Architecturally, this project has established a standard for sustainable and innovative design. A running track, green space and environmental standard commitment does demonstrate a forward-thinking approach meant for urban development. The critics around the world have battled with the concerns of green infrastructure and battling with sustainability clauses. This Google project is mediated as the futuristic project blueprint for construction projects (</w:t>
      </w:r>
      <w:r>
        <w:rPr>
          <w:rFonts w:ascii="Times New Roman" w:eastAsia="Times New Roman" w:hAnsi="Times New Roman" w:cs="Times New Roman"/>
          <w:color w:val="222222"/>
          <w:sz w:val="24"/>
          <w:szCs w:val="24"/>
          <w:highlight w:val="white"/>
        </w:rPr>
        <w:t>Bricout et al., 2019)</w:t>
      </w:r>
      <w:r>
        <w:rPr>
          <w:rFonts w:ascii="Times New Roman" w:eastAsia="Times New Roman" w:hAnsi="Times New Roman" w:cs="Times New Roman"/>
          <w:sz w:val="24"/>
          <w:szCs w:val="24"/>
        </w:rPr>
        <w:t xml:space="preserve">. A strategic expansion of the company is represented by the same as it is the first skyscraper built outside of the United States. </w:t>
      </w:r>
    </w:p>
    <w:p w14:paraId="00000018" w14:textId="77777777" w:rsidR="00E2135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could be recommended that future projects for comparable scale could be focusing on prioritising holistic development and combined with cutting-edge workstations in terms of </w:t>
      </w:r>
      <w:r>
        <w:rPr>
          <w:rFonts w:ascii="Times New Roman" w:eastAsia="Times New Roman" w:hAnsi="Times New Roman" w:cs="Times New Roman"/>
          <w:sz w:val="24"/>
          <w:szCs w:val="24"/>
        </w:rPr>
        <w:lastRenderedPageBreak/>
        <w:t>amenities for improving employee well-being and community participation. Google’s project and its success is dependent on architectural magnificence and also committing to developing an inclusive and diverse ecology (</w:t>
      </w:r>
      <w:r>
        <w:rPr>
          <w:rFonts w:ascii="Times New Roman" w:eastAsia="Times New Roman" w:hAnsi="Times New Roman" w:cs="Times New Roman"/>
          <w:color w:val="222222"/>
          <w:sz w:val="24"/>
          <w:szCs w:val="24"/>
          <w:highlight w:val="white"/>
        </w:rPr>
        <w:t>Kaewunruen et al., 2020)</w:t>
      </w:r>
      <w:r>
        <w:rPr>
          <w:rFonts w:ascii="Times New Roman" w:eastAsia="Times New Roman" w:hAnsi="Times New Roman" w:cs="Times New Roman"/>
          <w:sz w:val="24"/>
          <w:szCs w:val="24"/>
        </w:rPr>
        <w:t xml:space="preserve">. The need for environmentally liable urban skyscrapers is quite significant in prioritising design practices which are sustainable. </w:t>
      </w:r>
    </w:p>
    <w:p w14:paraId="00000019" w14:textId="77777777" w:rsidR="00E2135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Continual stakeholder participation and transparent communication participation are trademarked for critically suggesting project success and serving the community. This could help in alleviating the issues and fostering strong relationships with governing bodies, local partners and other stakeholders. A proactive risk management could involve continual monitoring and adapting to emerging hindrances and this could add up to the overall project resiliency. Future endeavours including similar projects could contribute majorly to the comprehensive and innovative approach which mainly fit with evolving sustainable aspirations, community-oriented urban planning and people-centrism. </w:t>
      </w:r>
    </w:p>
    <w:p w14:paraId="0000001A" w14:textId="77777777" w:rsidR="00E2135F" w:rsidRDefault="00000000">
      <w:pPr>
        <w:pStyle w:val="Titlu1"/>
        <w:spacing w:line="360" w:lineRule="auto"/>
      </w:pPr>
      <w:bookmarkStart w:id="3" w:name="_h0uebwf5mb53" w:colFirst="0" w:colLast="0"/>
      <w:bookmarkEnd w:id="3"/>
      <w:r>
        <w:t xml:space="preserve">Conclusion </w:t>
      </w:r>
    </w:p>
    <w:p w14:paraId="0000001B" w14:textId="77777777" w:rsidR="00E2135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Google’s billion-dollar project at King’s Cross added to exemplary community sustaining, innovation and disruptive approach involving a futuristic outlook of work. The scope of the project is quite ambitious which is involved with the cost-cutting edge for renewed office spaces with diverse facilities and initiatives considering the community's needs framed as being ground-breaking for this endeavour. It goes extended for the typical confined for a corporate structure. The project’s completion is regarded to change the equity of King’s Cross. It might be changed into a dynamic hub for knowledge-based innovations and a dynamic hub of technology. The integration of Google is expected to enhance its top personnel, startups and research institutions in which ot established a vibrant ecosystem for the IT firm estimation. The intellectual capital could be inflow in case of having the potential to enhance London in the forefront of global technology advancement. Based on the overall discussion, it can be stated that this project is truly one for the future post the pandemic for the IT industry. </w:t>
      </w:r>
    </w:p>
    <w:p w14:paraId="0000001C" w14:textId="77777777" w:rsidR="00E2135F" w:rsidRDefault="00000000">
      <w:pPr>
        <w:spacing w:line="360" w:lineRule="auto"/>
        <w:jc w:val="both"/>
        <w:rPr>
          <w:rFonts w:ascii="Times New Roman" w:eastAsia="Times New Roman" w:hAnsi="Times New Roman" w:cs="Times New Roman"/>
          <w:sz w:val="24"/>
          <w:szCs w:val="24"/>
        </w:rPr>
      </w:pPr>
      <w:r>
        <w:br w:type="page"/>
      </w:r>
    </w:p>
    <w:p w14:paraId="0000001D" w14:textId="77777777" w:rsidR="00E2135F" w:rsidRDefault="00000000">
      <w:pPr>
        <w:pStyle w:val="Titlu1"/>
        <w:spacing w:line="360" w:lineRule="auto"/>
      </w:pPr>
      <w:bookmarkStart w:id="4" w:name="_44pifl2iki9c" w:colFirst="0" w:colLast="0"/>
      <w:bookmarkEnd w:id="4"/>
      <w:r>
        <w:lastRenderedPageBreak/>
        <w:t>References</w:t>
      </w:r>
    </w:p>
    <w:p w14:paraId="186FCF62" w14:textId="77777777" w:rsidR="00865C22" w:rsidRDefault="00865C22">
      <w:pPr>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Ambos, T.C., Fuchs, S.H. and Zimmermann, A., (2020). Managing interrelated tensions in headquarters–subsidiary relationships: The case of a multinational hybrid organization. </w:t>
      </w:r>
      <w:r>
        <w:rPr>
          <w:rFonts w:ascii="Times New Roman" w:eastAsia="Times New Roman" w:hAnsi="Times New Roman" w:cs="Times New Roman"/>
          <w:i/>
          <w:color w:val="222222"/>
          <w:sz w:val="24"/>
          <w:szCs w:val="24"/>
          <w:highlight w:val="white"/>
        </w:rPr>
        <w:t>Journal of International Business Studies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51</w:t>
      </w:r>
      <w:r>
        <w:rPr>
          <w:rFonts w:ascii="Times New Roman" w:eastAsia="Times New Roman" w:hAnsi="Times New Roman" w:cs="Times New Roman"/>
          <w:color w:val="222222"/>
          <w:sz w:val="24"/>
          <w:szCs w:val="24"/>
          <w:highlight w:val="white"/>
        </w:rPr>
        <w:t>, pp.906-932.</w:t>
      </w:r>
    </w:p>
    <w:p w14:paraId="1473B134" w14:textId="77777777" w:rsidR="00865C22" w:rsidRDefault="00865C22">
      <w:pPr>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Balogun, J., Fahy, K. and Vaara, E., (2019). The interplay between HQ legitimation and subsidiary legitimacy judgments in HQ relocation: A social psychological approach. </w:t>
      </w:r>
      <w:r>
        <w:rPr>
          <w:rFonts w:ascii="Times New Roman" w:eastAsia="Times New Roman" w:hAnsi="Times New Roman" w:cs="Times New Roman"/>
          <w:i/>
          <w:color w:val="222222"/>
          <w:sz w:val="24"/>
          <w:szCs w:val="24"/>
          <w:highlight w:val="white"/>
        </w:rPr>
        <w:t>Journal of International Business Studies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50</w:t>
      </w:r>
      <w:r>
        <w:rPr>
          <w:rFonts w:ascii="Times New Roman" w:eastAsia="Times New Roman" w:hAnsi="Times New Roman" w:cs="Times New Roman"/>
          <w:color w:val="222222"/>
          <w:sz w:val="24"/>
          <w:szCs w:val="24"/>
          <w:highlight w:val="white"/>
        </w:rPr>
        <w:t>, pp.223-249.</w:t>
      </w:r>
    </w:p>
    <w:p w14:paraId="3561E01F" w14:textId="77777777" w:rsidR="00865C22" w:rsidRDefault="00865C22">
      <w:pPr>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Bricout, H., Torcel-Pagnon, L., Lecomte, C., Almas, M.F., Matthews, I., Lu, X., Wheelock, A. and Sevdalis, N., (2019). Determinants of shingles vaccine acceptance in the United Kingdom. </w:t>
      </w:r>
      <w:r>
        <w:rPr>
          <w:rFonts w:ascii="Times New Roman" w:eastAsia="Times New Roman" w:hAnsi="Times New Roman" w:cs="Times New Roman"/>
          <w:i/>
          <w:color w:val="222222"/>
          <w:sz w:val="24"/>
          <w:szCs w:val="24"/>
          <w:highlight w:val="white"/>
        </w:rPr>
        <w:t>PLoS One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14</w:t>
      </w:r>
      <w:r>
        <w:rPr>
          <w:rFonts w:ascii="Times New Roman" w:eastAsia="Times New Roman" w:hAnsi="Times New Roman" w:cs="Times New Roman"/>
          <w:color w:val="222222"/>
          <w:sz w:val="24"/>
          <w:szCs w:val="24"/>
          <w:highlight w:val="white"/>
        </w:rPr>
        <w:t>(8), p.e0220230.</w:t>
      </w:r>
    </w:p>
    <w:p w14:paraId="06DFE300" w14:textId="77777777" w:rsidR="00865C22" w:rsidRDefault="00865C22">
      <w:pPr>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Brynjolfsson, E., Jin, W. and McElheran, K., (2021). The power of prediction: predictive analytics, workplace complements, and business performance. </w:t>
      </w:r>
      <w:r>
        <w:rPr>
          <w:rFonts w:ascii="Times New Roman" w:eastAsia="Times New Roman" w:hAnsi="Times New Roman" w:cs="Times New Roman"/>
          <w:i/>
          <w:color w:val="222222"/>
          <w:sz w:val="24"/>
          <w:szCs w:val="24"/>
          <w:highlight w:val="white"/>
        </w:rPr>
        <w:t>Business Economics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56</w:t>
      </w:r>
      <w:r>
        <w:rPr>
          <w:rFonts w:ascii="Times New Roman" w:eastAsia="Times New Roman" w:hAnsi="Times New Roman" w:cs="Times New Roman"/>
          <w:color w:val="222222"/>
          <w:sz w:val="24"/>
          <w:szCs w:val="24"/>
          <w:highlight w:val="white"/>
        </w:rPr>
        <w:t>, pp.217-239.</w:t>
      </w:r>
    </w:p>
    <w:p w14:paraId="56143364" w14:textId="77777777" w:rsidR="00865C22" w:rsidRDefault="00865C22">
      <w:pPr>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Cuypers, I.R., Ertug, G., Cantwell, J., Zaheer, A. and Kilduff, M., (2020). Making connections: Social networks in international business. </w:t>
      </w:r>
      <w:r>
        <w:rPr>
          <w:rFonts w:ascii="Times New Roman" w:eastAsia="Times New Roman" w:hAnsi="Times New Roman" w:cs="Times New Roman"/>
          <w:i/>
          <w:color w:val="222222"/>
          <w:sz w:val="24"/>
          <w:szCs w:val="24"/>
          <w:highlight w:val="white"/>
        </w:rPr>
        <w:t>Journal of International Business Studies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51</w:t>
      </w:r>
      <w:r>
        <w:rPr>
          <w:rFonts w:ascii="Times New Roman" w:eastAsia="Times New Roman" w:hAnsi="Times New Roman" w:cs="Times New Roman"/>
          <w:color w:val="222222"/>
          <w:sz w:val="24"/>
          <w:szCs w:val="24"/>
          <w:highlight w:val="white"/>
        </w:rPr>
        <w:t>, pp.714-736.</w:t>
      </w:r>
    </w:p>
    <w:p w14:paraId="60046C9A" w14:textId="77777777" w:rsidR="00865C22" w:rsidRDefault="00865C22">
      <w:pPr>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Froese, F.J., Stoermer, S., Reiche, B.S. and Klar, S., (2021). Best of both worlds: How embeddedness fit in the host unit and the headquarters improve repatriate knowledge transfer. </w:t>
      </w:r>
      <w:r>
        <w:rPr>
          <w:rFonts w:ascii="Times New Roman" w:eastAsia="Times New Roman" w:hAnsi="Times New Roman" w:cs="Times New Roman"/>
          <w:i/>
          <w:color w:val="222222"/>
          <w:sz w:val="24"/>
          <w:szCs w:val="24"/>
          <w:highlight w:val="white"/>
        </w:rPr>
        <w:t>Journal of International Business Studies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52</w:t>
      </w:r>
      <w:r>
        <w:rPr>
          <w:rFonts w:ascii="Times New Roman" w:eastAsia="Times New Roman" w:hAnsi="Times New Roman" w:cs="Times New Roman"/>
          <w:color w:val="222222"/>
          <w:sz w:val="24"/>
          <w:szCs w:val="24"/>
          <w:highlight w:val="white"/>
        </w:rPr>
        <w:t>, pp.1331-1349.</w:t>
      </w:r>
    </w:p>
    <w:p w14:paraId="24C731A7" w14:textId="77777777" w:rsidR="00865C22" w:rsidRDefault="00865C22">
      <w:pPr>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Kaewunruen, S., Sresakoolchai, J. and Zhou, Z., (2020). Sustainability-based lifecycle management for bridge infrastructure using 6D BIM. </w:t>
      </w:r>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w:t>
      </w:r>
      <w:r>
        <w:rPr>
          <w:rFonts w:ascii="Times New Roman" w:eastAsia="Times New Roman" w:hAnsi="Times New Roman" w:cs="Times New Roman"/>
          <w:color w:val="222222"/>
          <w:sz w:val="24"/>
          <w:szCs w:val="24"/>
          <w:highlight w:val="white"/>
        </w:rPr>
        <w:t>(6), p.2436.</w:t>
      </w:r>
    </w:p>
    <w:p w14:paraId="08C8A81E" w14:textId="77777777" w:rsidR="00865C22" w:rsidRDefault="00865C22">
      <w:pPr>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Kretschmer, M., Furgal, U. and Schlesinger, P., (2022). The emergence of platform regulation in the UK: an empirical-legal study. </w:t>
      </w:r>
      <w:r>
        <w:rPr>
          <w:rFonts w:ascii="Times New Roman" w:eastAsia="Times New Roman" w:hAnsi="Times New Roman" w:cs="Times New Roman"/>
          <w:i/>
          <w:color w:val="222222"/>
          <w:sz w:val="24"/>
          <w:szCs w:val="24"/>
          <w:highlight w:val="white"/>
        </w:rPr>
        <w:t>Weizenbaum Journal of the Digital Society–special issue:" Democracy in Flux–Order, Dynamics and Voices in Digital Public Spheres"(forthcoming 2023)</w:t>
      </w:r>
      <w:r>
        <w:rPr>
          <w:rFonts w:ascii="Times New Roman" w:eastAsia="Times New Roman" w:hAnsi="Times New Roman" w:cs="Times New Roman"/>
          <w:color w:val="222222"/>
          <w:sz w:val="24"/>
          <w:szCs w:val="24"/>
          <w:highlight w:val="white"/>
        </w:rPr>
        <w:t>.</w:t>
      </w:r>
    </w:p>
    <w:p w14:paraId="14E62F36" w14:textId="77777777" w:rsidR="00865C22" w:rsidRDefault="00865C22">
      <w:pPr>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Lee, M., (2019) </w:t>
      </w:r>
      <w:r>
        <w:rPr>
          <w:rFonts w:ascii="Times New Roman" w:eastAsia="Times New Roman" w:hAnsi="Times New Roman" w:cs="Times New Roman"/>
          <w:i/>
          <w:color w:val="222222"/>
          <w:sz w:val="24"/>
          <w:szCs w:val="24"/>
          <w:highlight w:val="white"/>
        </w:rPr>
        <w:t>Alphabet: The Becoming of Google</w:t>
      </w:r>
      <w:r>
        <w:rPr>
          <w:rFonts w:ascii="Times New Roman" w:eastAsia="Times New Roman" w:hAnsi="Times New Roman" w:cs="Times New Roman"/>
          <w:color w:val="222222"/>
          <w:sz w:val="24"/>
          <w:szCs w:val="24"/>
          <w:highlight w:val="white"/>
        </w:rPr>
        <w:t>. Routledge.</w:t>
      </w:r>
    </w:p>
    <w:p w14:paraId="5DADF9D1" w14:textId="77777777" w:rsidR="00865C22" w:rsidRDefault="00865C22">
      <w:pPr>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Pham-Duc, B., Nguyen, H., Phan, H. and Tran-Anh, Q., (2023). Trends and applications of google earth engine in remote sensing and earth science research: a bibliometric analysis using scopus database. </w:t>
      </w:r>
      <w:r>
        <w:rPr>
          <w:rFonts w:ascii="Times New Roman" w:eastAsia="Times New Roman" w:hAnsi="Times New Roman" w:cs="Times New Roman"/>
          <w:i/>
          <w:color w:val="222222"/>
          <w:sz w:val="24"/>
          <w:szCs w:val="24"/>
          <w:highlight w:val="white"/>
        </w:rPr>
        <w:t>Earth Science Informatics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16</w:t>
      </w:r>
      <w:r>
        <w:rPr>
          <w:rFonts w:ascii="Times New Roman" w:eastAsia="Times New Roman" w:hAnsi="Times New Roman" w:cs="Times New Roman"/>
          <w:color w:val="222222"/>
          <w:sz w:val="24"/>
          <w:szCs w:val="24"/>
          <w:highlight w:val="white"/>
        </w:rPr>
        <w:t>(3), pp.2355-2371.</w:t>
      </w:r>
    </w:p>
    <w:p w14:paraId="7655A089" w14:textId="77777777" w:rsidR="00865C22" w:rsidRDefault="00865C22">
      <w:pPr>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Robin, E., (2022). Performing real estate value (s): real estate developers, systems of expertise and the production of space. </w:t>
      </w:r>
      <w:r>
        <w:rPr>
          <w:rFonts w:ascii="Times New Roman" w:eastAsia="Times New Roman" w:hAnsi="Times New Roman" w:cs="Times New Roman"/>
          <w:i/>
          <w:color w:val="222222"/>
          <w:sz w:val="24"/>
          <w:szCs w:val="24"/>
          <w:highlight w:val="white"/>
        </w:rPr>
        <w:t>Geoforum</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134</w:t>
      </w:r>
      <w:r>
        <w:rPr>
          <w:rFonts w:ascii="Times New Roman" w:eastAsia="Times New Roman" w:hAnsi="Times New Roman" w:cs="Times New Roman"/>
          <w:color w:val="222222"/>
          <w:sz w:val="24"/>
          <w:szCs w:val="24"/>
          <w:highlight w:val="white"/>
        </w:rPr>
        <w:t>, pp.205-215.</w:t>
      </w:r>
    </w:p>
    <w:p w14:paraId="4DFCB143" w14:textId="77777777" w:rsidR="00865C22" w:rsidRDefault="00865C22">
      <w:pPr>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Russell, D.M., (2023). </w:t>
      </w:r>
      <w:r>
        <w:rPr>
          <w:rFonts w:ascii="Times New Roman" w:eastAsia="Times New Roman" w:hAnsi="Times New Roman" w:cs="Times New Roman"/>
          <w:i/>
          <w:color w:val="222222"/>
          <w:sz w:val="24"/>
          <w:szCs w:val="24"/>
          <w:highlight w:val="white"/>
        </w:rPr>
        <w:t>The joy of search: A Google insider's guide to going beyond the basics</w:t>
      </w:r>
      <w:r>
        <w:rPr>
          <w:rFonts w:ascii="Times New Roman" w:eastAsia="Times New Roman" w:hAnsi="Times New Roman" w:cs="Times New Roman"/>
          <w:color w:val="222222"/>
          <w:sz w:val="24"/>
          <w:szCs w:val="24"/>
          <w:highlight w:val="white"/>
        </w:rPr>
        <w:t>. MIT Press.</w:t>
      </w:r>
    </w:p>
    <w:p w14:paraId="72293D2A" w14:textId="77777777" w:rsidR="00865C22" w:rsidRDefault="00865C22">
      <w:pPr>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Smyrnaios, N. and Rebillard, F., (2019). How infomediation platforms took over the news: A longitudinal perspective. </w:t>
      </w:r>
      <w:r>
        <w:rPr>
          <w:rFonts w:ascii="Times New Roman" w:eastAsia="Times New Roman" w:hAnsi="Times New Roman" w:cs="Times New Roman"/>
          <w:i/>
          <w:color w:val="222222"/>
          <w:sz w:val="24"/>
          <w:szCs w:val="24"/>
          <w:highlight w:val="white"/>
        </w:rPr>
        <w:t>The Political Economy of Communication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w:t>
      </w:r>
      <w:r>
        <w:rPr>
          <w:rFonts w:ascii="Times New Roman" w:eastAsia="Times New Roman" w:hAnsi="Times New Roman" w:cs="Times New Roman"/>
          <w:color w:val="222222"/>
          <w:sz w:val="24"/>
          <w:szCs w:val="24"/>
          <w:highlight w:val="white"/>
        </w:rPr>
        <w:t>(1).</w:t>
      </w:r>
    </w:p>
    <w:p w14:paraId="331C6EB1" w14:textId="77777777" w:rsidR="00865C22" w:rsidRDefault="00865C22">
      <w:pPr>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Stendahl, E., Schriber, S. and Tippmann, E., (2021). Control changes in multinational corporations: Adjusting control approaches in practice. </w:t>
      </w:r>
      <w:r>
        <w:rPr>
          <w:rFonts w:ascii="Times New Roman" w:eastAsia="Times New Roman" w:hAnsi="Times New Roman" w:cs="Times New Roman"/>
          <w:i/>
          <w:color w:val="222222"/>
          <w:sz w:val="24"/>
          <w:szCs w:val="24"/>
          <w:highlight w:val="white"/>
        </w:rPr>
        <w:t>Journal of International Business Studies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52</w:t>
      </w:r>
      <w:r>
        <w:rPr>
          <w:rFonts w:ascii="Times New Roman" w:eastAsia="Times New Roman" w:hAnsi="Times New Roman" w:cs="Times New Roman"/>
          <w:color w:val="222222"/>
          <w:sz w:val="24"/>
          <w:szCs w:val="24"/>
          <w:highlight w:val="white"/>
        </w:rPr>
        <w:t>, pp.409-431.</w:t>
      </w:r>
    </w:p>
    <w:p w14:paraId="0000002C" w14:textId="77777777" w:rsidR="00E2135F" w:rsidRDefault="00E2135F">
      <w:pPr>
        <w:spacing w:line="360" w:lineRule="auto"/>
        <w:rPr>
          <w:color w:val="222222"/>
          <w:sz w:val="20"/>
          <w:szCs w:val="20"/>
          <w:highlight w:val="white"/>
        </w:rPr>
      </w:pPr>
    </w:p>
    <w:sectPr w:rsidR="00E2135F">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4B4846" w14:textId="77777777" w:rsidR="00502BBF" w:rsidRDefault="00502BBF" w:rsidP="00865C22">
      <w:pPr>
        <w:spacing w:line="240" w:lineRule="auto"/>
      </w:pPr>
      <w:r>
        <w:separator/>
      </w:r>
    </w:p>
  </w:endnote>
  <w:endnote w:type="continuationSeparator" w:id="0">
    <w:p w14:paraId="4320B052" w14:textId="77777777" w:rsidR="00502BBF" w:rsidRDefault="00502BBF" w:rsidP="00865C2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3E9507" w14:textId="7003E619" w:rsidR="00865C22" w:rsidRPr="00865C22" w:rsidRDefault="00865C22" w:rsidP="00865C22">
    <w:pPr>
      <w:pStyle w:val="Subsol"/>
      <w:jc w:val="right"/>
      <w:rPr>
        <w:rFonts w:ascii="Times New Roman" w:hAnsi="Times New Roman" w:cs="Times New Roman"/>
        <w:b/>
        <w:bCs/>
        <w:sz w:val="24"/>
        <w:szCs w:val="24"/>
      </w:rPr>
    </w:pPr>
    <w:r w:rsidRPr="00865C22">
      <w:rPr>
        <w:rFonts w:ascii="Times New Roman" w:hAnsi="Times New Roman" w:cs="Times New Roman"/>
        <w:b/>
        <w:bCs/>
        <w:sz w:val="24"/>
        <w:szCs w:val="24"/>
      </w:rPr>
      <w:t xml:space="preserve">Page </w:t>
    </w:r>
    <w:sdt>
      <w:sdtPr>
        <w:rPr>
          <w:rFonts w:ascii="Times New Roman" w:hAnsi="Times New Roman" w:cs="Times New Roman"/>
          <w:b/>
          <w:bCs/>
          <w:sz w:val="24"/>
          <w:szCs w:val="24"/>
        </w:rPr>
        <w:id w:val="88125891"/>
        <w:docPartObj>
          <w:docPartGallery w:val="Page Numbers (Bottom of Page)"/>
          <w:docPartUnique/>
        </w:docPartObj>
      </w:sdtPr>
      <w:sdtEndPr>
        <w:rPr>
          <w:noProof/>
        </w:rPr>
      </w:sdtEndPr>
      <w:sdtContent>
        <w:r w:rsidRPr="00865C22">
          <w:rPr>
            <w:rFonts w:ascii="Times New Roman" w:hAnsi="Times New Roman" w:cs="Times New Roman"/>
            <w:b/>
            <w:bCs/>
            <w:sz w:val="24"/>
            <w:szCs w:val="24"/>
          </w:rPr>
          <w:fldChar w:fldCharType="begin"/>
        </w:r>
        <w:r w:rsidRPr="00865C22">
          <w:rPr>
            <w:rFonts w:ascii="Times New Roman" w:hAnsi="Times New Roman" w:cs="Times New Roman"/>
            <w:b/>
            <w:bCs/>
            <w:sz w:val="24"/>
            <w:szCs w:val="24"/>
          </w:rPr>
          <w:instrText xml:space="preserve"> PAGE   \* MERGEFORMAT </w:instrText>
        </w:r>
        <w:r w:rsidRPr="00865C22">
          <w:rPr>
            <w:rFonts w:ascii="Times New Roman" w:hAnsi="Times New Roman" w:cs="Times New Roman"/>
            <w:b/>
            <w:bCs/>
            <w:sz w:val="24"/>
            <w:szCs w:val="24"/>
          </w:rPr>
          <w:fldChar w:fldCharType="separate"/>
        </w:r>
        <w:r w:rsidRPr="00865C22">
          <w:rPr>
            <w:rFonts w:ascii="Times New Roman" w:hAnsi="Times New Roman" w:cs="Times New Roman"/>
            <w:b/>
            <w:bCs/>
            <w:noProof/>
            <w:sz w:val="24"/>
            <w:szCs w:val="24"/>
          </w:rPr>
          <w:t>2</w:t>
        </w:r>
        <w:r w:rsidRPr="00865C22">
          <w:rPr>
            <w:rFonts w:ascii="Times New Roman" w:hAnsi="Times New Roman" w:cs="Times New Roman"/>
            <w:b/>
            <w:bCs/>
            <w:noProof/>
            <w:sz w:val="24"/>
            <w:szCs w:val="24"/>
          </w:rPr>
          <w:fldChar w:fldCharType="end"/>
        </w:r>
        <w:r w:rsidRPr="00865C22">
          <w:rPr>
            <w:rFonts w:ascii="Times New Roman" w:hAnsi="Times New Roman" w:cs="Times New Roman"/>
            <w:b/>
            <w:bCs/>
            <w:noProof/>
            <w:sz w:val="24"/>
            <w:szCs w:val="24"/>
          </w:rPr>
          <w:t xml:space="preserve"> of 9</w:t>
        </w:r>
      </w:sdtContent>
    </w:sdt>
  </w:p>
  <w:p w14:paraId="0C4360F8" w14:textId="77777777" w:rsidR="00865C22" w:rsidRDefault="00865C22">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DBCD20" w14:textId="77777777" w:rsidR="00502BBF" w:rsidRDefault="00502BBF" w:rsidP="00865C22">
      <w:pPr>
        <w:spacing w:line="240" w:lineRule="auto"/>
      </w:pPr>
      <w:r>
        <w:separator/>
      </w:r>
    </w:p>
  </w:footnote>
  <w:footnote w:type="continuationSeparator" w:id="0">
    <w:p w14:paraId="1FF467B7" w14:textId="77777777" w:rsidR="00502BBF" w:rsidRDefault="00502BBF" w:rsidP="00865C2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removePersonalInformation/>
  <w:removeDateAndTime/>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135F"/>
    <w:rsid w:val="000827A7"/>
    <w:rsid w:val="000A6104"/>
    <w:rsid w:val="002575E5"/>
    <w:rsid w:val="002A0CCE"/>
    <w:rsid w:val="00440480"/>
    <w:rsid w:val="00502BBF"/>
    <w:rsid w:val="00826DA9"/>
    <w:rsid w:val="00865C22"/>
    <w:rsid w:val="00903E44"/>
    <w:rsid w:val="00B1426B"/>
    <w:rsid w:val="00BA711C"/>
    <w:rsid w:val="00C229BF"/>
    <w:rsid w:val="00C348A3"/>
    <w:rsid w:val="00CB221A"/>
    <w:rsid w:val="00D13D3D"/>
    <w:rsid w:val="00D143A8"/>
    <w:rsid w:val="00DC0D8D"/>
    <w:rsid w:val="00E2135F"/>
    <w:rsid w:val="00F500D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AEA6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jc w:val="both"/>
      <w:outlineLvl w:val="0"/>
    </w:pPr>
    <w:rPr>
      <w:rFonts w:ascii="Times New Roman" w:eastAsia="Times New Roman" w:hAnsi="Times New Roman" w:cs="Times New Roman"/>
      <w:b/>
      <w:sz w:val="28"/>
      <w:szCs w:val="28"/>
    </w:rPr>
  </w:style>
  <w:style w:type="paragraph" w:styleId="Titlu2">
    <w:name w:val="heading 2"/>
    <w:basedOn w:val="Normal"/>
    <w:next w:val="Normal"/>
    <w:uiPriority w:val="9"/>
    <w:semiHidden/>
    <w:unhideWhenUsed/>
    <w:qFormat/>
    <w:pPr>
      <w:keepNext/>
      <w:keepLines/>
      <w:spacing w:before="360" w:after="120"/>
      <w:outlineLvl w:val="1"/>
    </w:pPr>
    <w:rPr>
      <w:sz w:val="32"/>
      <w:szCs w:val="32"/>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Titlu5">
    <w:name w:val="heading 5"/>
    <w:basedOn w:val="Normal"/>
    <w:next w:val="Normal"/>
    <w:uiPriority w:val="9"/>
    <w:semiHidden/>
    <w:unhideWhenUsed/>
    <w:qFormat/>
    <w:pPr>
      <w:keepNext/>
      <w:keepLines/>
      <w:spacing w:before="240" w:after="80"/>
      <w:outlineLvl w:val="4"/>
    </w:pPr>
    <w:rPr>
      <w:color w:val="666666"/>
    </w:rPr>
  </w:style>
  <w:style w:type="paragraph" w:styleId="Titlu6">
    <w:name w:val="heading 6"/>
    <w:basedOn w:val="Normal"/>
    <w:next w:val="Normal"/>
    <w:uiPriority w:val="9"/>
    <w:semiHidden/>
    <w:unhideWhenUsed/>
    <w:qFormat/>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color w:val="666666"/>
      <w:sz w:val="30"/>
      <w:szCs w:val="30"/>
    </w:rPr>
  </w:style>
  <w:style w:type="paragraph" w:styleId="Antet">
    <w:name w:val="header"/>
    <w:basedOn w:val="Normal"/>
    <w:link w:val="AntetCaracter"/>
    <w:uiPriority w:val="99"/>
    <w:unhideWhenUsed/>
    <w:rsid w:val="00865C22"/>
    <w:pPr>
      <w:tabs>
        <w:tab w:val="center" w:pos="4513"/>
        <w:tab w:val="right" w:pos="9026"/>
      </w:tabs>
      <w:spacing w:line="240" w:lineRule="auto"/>
    </w:pPr>
  </w:style>
  <w:style w:type="character" w:customStyle="1" w:styleId="AntetCaracter">
    <w:name w:val="Antet Caracter"/>
    <w:basedOn w:val="Fontdeparagrafimplicit"/>
    <w:link w:val="Antet"/>
    <w:uiPriority w:val="99"/>
    <w:rsid w:val="00865C22"/>
  </w:style>
  <w:style w:type="paragraph" w:styleId="Subsol">
    <w:name w:val="footer"/>
    <w:basedOn w:val="Normal"/>
    <w:link w:val="SubsolCaracter"/>
    <w:uiPriority w:val="99"/>
    <w:unhideWhenUsed/>
    <w:rsid w:val="00865C22"/>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865C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9C3551-8DD9-4D9D-942C-630BA971CB7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2796</Words>
  <Characters>16220</Characters>
  <Application>Microsoft Office Word</Application>
  <DocSecurity>0</DocSecurity>
  <Lines>135</Lines>
  <Paragraphs>37</Paragraphs>
  <ScaleCrop>false</ScaleCrop>
  <Company/>
  <LinksUpToDate>false</LinksUpToDate>
  <CharactersWithSpaces>18979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2023-12-09T09:09:00Z</dcterms:created>
  <dcterms:modified xsi:type="dcterms:W3CDTF">2023-12-19T22:32:00Z</dcterms:modified>
</cp:coreProperties>
</file>