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F68A1" w:rsidRDefault="008D2F53" w:rsidP="008D2F53">
      <w:pPr>
        <w:jc w:val="center"/>
      </w:pPr>
      <w:r>
        <w:t>Module code: BMSK6003</w:t>
      </w:r>
    </w:p>
    <w:p w:rsidR="008D2F53" w:rsidRDefault="008D2F53" w:rsidP="008D2F53">
      <w:pPr>
        <w:jc w:val="center"/>
      </w:pPr>
    </w:p>
    <w:p w:rsidR="008D2F53" w:rsidRDefault="008D2F53" w:rsidP="008D2F53">
      <w:pPr>
        <w:jc w:val="center"/>
      </w:pPr>
    </w:p>
    <w:p w:rsidR="008D2F53" w:rsidRDefault="008D2F53" w:rsidP="008D2F53">
      <w:pPr>
        <w:jc w:val="center"/>
      </w:pPr>
    </w:p>
    <w:p w:rsidR="008D2F53" w:rsidRDefault="008D2F53" w:rsidP="008D2F53">
      <w:pPr>
        <w:jc w:val="center"/>
      </w:pPr>
    </w:p>
    <w:p w:rsidR="008D2F53" w:rsidRDefault="008D2F53" w:rsidP="008D2F53">
      <w:pPr>
        <w:jc w:val="center"/>
      </w:pPr>
    </w:p>
    <w:p w:rsidR="008D2F53" w:rsidRDefault="008D2F53" w:rsidP="008D2F53">
      <w:pPr>
        <w:jc w:val="center"/>
      </w:pPr>
    </w:p>
    <w:p w:rsidR="008D2F53" w:rsidRDefault="008D2F53" w:rsidP="008D2F53">
      <w:pPr>
        <w:jc w:val="center"/>
      </w:pPr>
    </w:p>
    <w:p w:rsidR="008D2F53" w:rsidRDefault="008D2F53" w:rsidP="008D2F53">
      <w:pPr>
        <w:jc w:val="center"/>
      </w:pPr>
      <w:r>
        <w:t>Richard Craig Bennett</w:t>
      </w:r>
    </w:p>
    <w:p w:rsidR="008D2F53" w:rsidRDefault="008D2F53" w:rsidP="008D2F53">
      <w:pPr>
        <w:jc w:val="center"/>
      </w:pPr>
      <w:r>
        <w:t>1911380</w:t>
      </w:r>
    </w:p>
    <w:p w:rsidR="008D2F53" w:rsidRDefault="008D2F53" w:rsidP="008D2F53">
      <w:pPr>
        <w:jc w:val="center"/>
      </w:pPr>
      <w:r>
        <w:t>Leading and implementing workplace change</w:t>
      </w:r>
    </w:p>
    <w:p w:rsidR="008D2F53" w:rsidRDefault="008D2F53" w:rsidP="008D2F53">
      <w:pPr>
        <w:jc w:val="center"/>
      </w:pPr>
    </w:p>
    <w:p w:rsidR="008D2F53" w:rsidRDefault="008D2F53" w:rsidP="008D2F53">
      <w:pPr>
        <w:jc w:val="center"/>
      </w:pPr>
    </w:p>
    <w:p w:rsidR="008D2F53" w:rsidRDefault="008D2F53" w:rsidP="008D2F53">
      <w:pPr>
        <w:jc w:val="center"/>
      </w:pPr>
    </w:p>
    <w:p w:rsidR="008D2F53" w:rsidRDefault="008D2F53" w:rsidP="008D2F53">
      <w:pPr>
        <w:jc w:val="center"/>
      </w:pPr>
    </w:p>
    <w:p w:rsidR="008D2F53" w:rsidRDefault="008D2F53" w:rsidP="008D2F53">
      <w:pPr>
        <w:jc w:val="center"/>
      </w:pPr>
      <w:r>
        <w:t xml:space="preserve">This report is submitted in accordance with University of Trinity St </w:t>
      </w:r>
      <w:proofErr w:type="spellStart"/>
      <w:r>
        <w:t>Davids</w:t>
      </w:r>
      <w:proofErr w:type="spellEnd"/>
      <w:r>
        <w:t xml:space="preserve"> and ILM regulations. I confirm that this is all my own work , and, where quotes or citations have been made , they are appropriately referenced. </w:t>
      </w:r>
    </w:p>
    <w:p w:rsidR="008D2F53" w:rsidRDefault="008D2F53" w:rsidP="008D2F53">
      <w:pPr>
        <w:jc w:val="center"/>
      </w:pPr>
    </w:p>
    <w:p w:rsidR="008D2F53" w:rsidRDefault="008D2F53" w:rsidP="008D2F53">
      <w:pPr>
        <w:jc w:val="center"/>
      </w:pPr>
    </w:p>
    <w:p w:rsidR="008D2F53" w:rsidRDefault="008D2F53" w:rsidP="008D2F53">
      <w:pPr>
        <w:jc w:val="center"/>
      </w:pPr>
    </w:p>
    <w:p w:rsidR="008D2F53" w:rsidRDefault="008D2F53" w:rsidP="008D2F53">
      <w:pPr>
        <w:jc w:val="center"/>
      </w:pPr>
    </w:p>
    <w:p w:rsidR="008D2F53" w:rsidRDefault="008D2F53" w:rsidP="008D2F53">
      <w:pPr>
        <w:jc w:val="center"/>
      </w:pPr>
      <w:r>
        <w:t>Word count 5,000</w:t>
      </w:r>
    </w:p>
    <w:p w:rsidR="004365EA" w:rsidRDefault="004365EA" w:rsidP="008D2F53">
      <w:pPr>
        <w:jc w:val="center"/>
      </w:pPr>
      <w:r>
        <w:t>Actual 4,617</w:t>
      </w:r>
      <w:bookmarkStart w:id="0" w:name="_GoBack"/>
      <w:bookmarkEnd w:id="0"/>
    </w:p>
    <w:p w:rsidR="008D2F53" w:rsidRDefault="008D2F53" w:rsidP="008D2F53">
      <w:pPr>
        <w:jc w:val="center"/>
      </w:pPr>
    </w:p>
    <w:p w:rsidR="008D2F53" w:rsidRDefault="008D2F53" w:rsidP="008D2F53">
      <w:pPr>
        <w:jc w:val="center"/>
      </w:pPr>
    </w:p>
    <w:p w:rsidR="008D2F53" w:rsidRDefault="008D2F53" w:rsidP="008D2F53">
      <w:pPr>
        <w:jc w:val="center"/>
      </w:pPr>
    </w:p>
    <w:p w:rsidR="008D2F53" w:rsidRDefault="008D2F53" w:rsidP="008D2F53">
      <w:pPr>
        <w:jc w:val="center"/>
      </w:pPr>
    </w:p>
    <w:p w:rsidR="008D2F53" w:rsidRDefault="008D2F53" w:rsidP="008D2F53">
      <w:pPr>
        <w:jc w:val="center"/>
      </w:pPr>
    </w:p>
    <w:p w:rsidR="008D2F53" w:rsidRDefault="008D2F53" w:rsidP="008D2F53">
      <w:pPr>
        <w:jc w:val="center"/>
      </w:pPr>
    </w:p>
    <w:p w:rsidR="008D2F53" w:rsidRDefault="008D2F53" w:rsidP="008D2F53">
      <w:pPr>
        <w:jc w:val="center"/>
      </w:pPr>
    </w:p>
    <w:p w:rsidR="008D2F53" w:rsidRDefault="008D2F53" w:rsidP="008D2F53">
      <w:pPr>
        <w:jc w:val="center"/>
      </w:pPr>
    </w:p>
    <w:p w:rsidR="008D2F53" w:rsidRDefault="008D2F53" w:rsidP="008D2F53">
      <w:pPr>
        <w:jc w:val="center"/>
      </w:pPr>
    </w:p>
    <w:sdt>
      <w:sdtPr>
        <w:rPr>
          <w:rFonts w:asciiTheme="minorHAnsi" w:eastAsiaTheme="minorHAnsi" w:hAnsiTheme="minorHAnsi" w:cstheme="minorBidi"/>
          <w:color w:val="auto"/>
          <w:sz w:val="22"/>
          <w:szCs w:val="22"/>
          <w:lang w:val="en-GB"/>
        </w:rPr>
        <w:id w:val="-202721167"/>
        <w:docPartObj>
          <w:docPartGallery w:val="Table of Contents"/>
          <w:docPartUnique/>
        </w:docPartObj>
      </w:sdtPr>
      <w:sdtEndPr>
        <w:rPr>
          <w:b/>
          <w:bCs/>
          <w:noProof/>
        </w:rPr>
      </w:sdtEndPr>
      <w:sdtContent>
        <w:p w:rsidR="002C7E47" w:rsidRDefault="002C7E47">
          <w:pPr>
            <w:pStyle w:val="TOCHeading"/>
          </w:pPr>
          <w:r>
            <w:t>Contents</w:t>
          </w:r>
        </w:p>
        <w:p w:rsidR="004365EA" w:rsidRDefault="002C7E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6067540" w:history="1">
            <w:r w:rsidR="004365EA" w:rsidRPr="003D3532">
              <w:rPr>
                <w:rStyle w:val="Hyperlink"/>
                <w:noProof/>
              </w:rPr>
              <w:t>Introduction</w:t>
            </w:r>
            <w:r w:rsidR="004365EA">
              <w:rPr>
                <w:noProof/>
                <w:webHidden/>
              </w:rPr>
              <w:tab/>
            </w:r>
            <w:r w:rsidR="004365EA">
              <w:rPr>
                <w:noProof/>
                <w:webHidden/>
              </w:rPr>
              <w:fldChar w:fldCharType="begin"/>
            </w:r>
            <w:r w:rsidR="004365EA">
              <w:rPr>
                <w:noProof/>
                <w:webHidden/>
              </w:rPr>
              <w:instrText xml:space="preserve"> PAGEREF _Toc126067540 \h </w:instrText>
            </w:r>
            <w:r w:rsidR="004365EA">
              <w:rPr>
                <w:noProof/>
                <w:webHidden/>
              </w:rPr>
            </w:r>
            <w:r w:rsidR="004365EA">
              <w:rPr>
                <w:noProof/>
                <w:webHidden/>
              </w:rPr>
              <w:fldChar w:fldCharType="separate"/>
            </w:r>
            <w:r w:rsidR="004365EA">
              <w:rPr>
                <w:noProof/>
                <w:webHidden/>
              </w:rPr>
              <w:t>3</w:t>
            </w:r>
            <w:r w:rsidR="004365EA">
              <w:rPr>
                <w:noProof/>
                <w:webHidden/>
              </w:rPr>
              <w:fldChar w:fldCharType="end"/>
            </w:r>
          </w:hyperlink>
        </w:p>
        <w:p w:rsidR="004365EA" w:rsidRDefault="004365EA">
          <w:pPr>
            <w:pStyle w:val="TOC1"/>
            <w:tabs>
              <w:tab w:val="right" w:leader="dot" w:pos="9016"/>
            </w:tabs>
            <w:rPr>
              <w:rFonts w:eastAsiaTheme="minorEastAsia"/>
              <w:noProof/>
              <w:lang w:eastAsia="en-GB"/>
            </w:rPr>
          </w:pPr>
          <w:hyperlink w:anchor="_Toc126067541" w:history="1">
            <w:r w:rsidRPr="003D3532">
              <w:rPr>
                <w:rStyle w:val="Hyperlink"/>
                <w:noProof/>
              </w:rPr>
              <w:t>Strategy and methodology</w:t>
            </w:r>
            <w:r>
              <w:rPr>
                <w:noProof/>
                <w:webHidden/>
              </w:rPr>
              <w:tab/>
            </w:r>
            <w:r>
              <w:rPr>
                <w:noProof/>
                <w:webHidden/>
              </w:rPr>
              <w:fldChar w:fldCharType="begin"/>
            </w:r>
            <w:r>
              <w:rPr>
                <w:noProof/>
                <w:webHidden/>
              </w:rPr>
              <w:instrText xml:space="preserve"> PAGEREF _Toc126067541 \h </w:instrText>
            </w:r>
            <w:r>
              <w:rPr>
                <w:noProof/>
                <w:webHidden/>
              </w:rPr>
            </w:r>
            <w:r>
              <w:rPr>
                <w:noProof/>
                <w:webHidden/>
              </w:rPr>
              <w:fldChar w:fldCharType="separate"/>
            </w:r>
            <w:r>
              <w:rPr>
                <w:noProof/>
                <w:webHidden/>
              </w:rPr>
              <w:t>3</w:t>
            </w:r>
            <w:r>
              <w:rPr>
                <w:noProof/>
                <w:webHidden/>
              </w:rPr>
              <w:fldChar w:fldCharType="end"/>
            </w:r>
          </w:hyperlink>
        </w:p>
        <w:p w:rsidR="004365EA" w:rsidRDefault="004365EA">
          <w:pPr>
            <w:pStyle w:val="TOC1"/>
            <w:tabs>
              <w:tab w:val="right" w:leader="dot" w:pos="9016"/>
            </w:tabs>
            <w:rPr>
              <w:rFonts w:eastAsiaTheme="minorEastAsia"/>
              <w:noProof/>
              <w:lang w:eastAsia="en-GB"/>
            </w:rPr>
          </w:pPr>
          <w:hyperlink w:anchor="_Toc126067542" w:history="1">
            <w:r w:rsidRPr="003D3532">
              <w:rPr>
                <w:rStyle w:val="Hyperlink"/>
                <w:noProof/>
              </w:rPr>
              <w:t>Critically analyse the current forces for change in the organisations micro and macro environment that can impact workplace culture and capability</w:t>
            </w:r>
            <w:r>
              <w:rPr>
                <w:noProof/>
                <w:webHidden/>
              </w:rPr>
              <w:tab/>
            </w:r>
            <w:r>
              <w:rPr>
                <w:noProof/>
                <w:webHidden/>
              </w:rPr>
              <w:fldChar w:fldCharType="begin"/>
            </w:r>
            <w:r>
              <w:rPr>
                <w:noProof/>
                <w:webHidden/>
              </w:rPr>
              <w:instrText xml:space="preserve"> PAGEREF _Toc126067542 \h </w:instrText>
            </w:r>
            <w:r>
              <w:rPr>
                <w:noProof/>
                <w:webHidden/>
              </w:rPr>
            </w:r>
            <w:r>
              <w:rPr>
                <w:noProof/>
                <w:webHidden/>
              </w:rPr>
              <w:fldChar w:fldCharType="separate"/>
            </w:r>
            <w:r>
              <w:rPr>
                <w:noProof/>
                <w:webHidden/>
              </w:rPr>
              <w:t>4</w:t>
            </w:r>
            <w:r>
              <w:rPr>
                <w:noProof/>
                <w:webHidden/>
              </w:rPr>
              <w:fldChar w:fldCharType="end"/>
            </w:r>
          </w:hyperlink>
        </w:p>
        <w:p w:rsidR="004365EA" w:rsidRDefault="004365EA">
          <w:pPr>
            <w:pStyle w:val="TOC1"/>
            <w:tabs>
              <w:tab w:val="right" w:leader="dot" w:pos="9016"/>
            </w:tabs>
            <w:rPr>
              <w:rFonts w:eastAsiaTheme="minorEastAsia"/>
              <w:noProof/>
              <w:lang w:eastAsia="en-GB"/>
            </w:rPr>
          </w:pPr>
          <w:hyperlink w:anchor="_Toc126067543" w:history="1">
            <w:r w:rsidRPr="003D3532">
              <w:rPr>
                <w:rStyle w:val="Hyperlink"/>
                <w:noProof/>
              </w:rPr>
              <w:t>Environmental change and organisational capability</w:t>
            </w:r>
            <w:r>
              <w:rPr>
                <w:noProof/>
                <w:webHidden/>
              </w:rPr>
              <w:tab/>
            </w:r>
            <w:r>
              <w:rPr>
                <w:noProof/>
                <w:webHidden/>
              </w:rPr>
              <w:fldChar w:fldCharType="begin"/>
            </w:r>
            <w:r>
              <w:rPr>
                <w:noProof/>
                <w:webHidden/>
              </w:rPr>
              <w:instrText xml:space="preserve"> PAGEREF _Toc126067543 \h </w:instrText>
            </w:r>
            <w:r>
              <w:rPr>
                <w:noProof/>
                <w:webHidden/>
              </w:rPr>
            </w:r>
            <w:r>
              <w:rPr>
                <w:noProof/>
                <w:webHidden/>
              </w:rPr>
              <w:fldChar w:fldCharType="separate"/>
            </w:r>
            <w:r>
              <w:rPr>
                <w:noProof/>
                <w:webHidden/>
              </w:rPr>
              <w:t>4</w:t>
            </w:r>
            <w:r>
              <w:rPr>
                <w:noProof/>
                <w:webHidden/>
              </w:rPr>
              <w:fldChar w:fldCharType="end"/>
            </w:r>
          </w:hyperlink>
        </w:p>
        <w:p w:rsidR="004365EA" w:rsidRDefault="004365EA">
          <w:pPr>
            <w:pStyle w:val="TOC1"/>
            <w:tabs>
              <w:tab w:val="right" w:leader="dot" w:pos="9016"/>
            </w:tabs>
            <w:rPr>
              <w:rFonts w:eastAsiaTheme="minorEastAsia"/>
              <w:noProof/>
              <w:lang w:eastAsia="en-GB"/>
            </w:rPr>
          </w:pPr>
          <w:hyperlink w:anchor="_Toc126067544" w:history="1">
            <w:r w:rsidRPr="003D3532">
              <w:rPr>
                <w:rStyle w:val="Hyperlink"/>
                <w:noProof/>
              </w:rPr>
              <w:t>Conclusion</w:t>
            </w:r>
            <w:r>
              <w:rPr>
                <w:noProof/>
                <w:webHidden/>
              </w:rPr>
              <w:tab/>
            </w:r>
            <w:r>
              <w:rPr>
                <w:noProof/>
                <w:webHidden/>
              </w:rPr>
              <w:fldChar w:fldCharType="begin"/>
            </w:r>
            <w:r>
              <w:rPr>
                <w:noProof/>
                <w:webHidden/>
              </w:rPr>
              <w:instrText xml:space="preserve"> PAGEREF _Toc126067544 \h </w:instrText>
            </w:r>
            <w:r>
              <w:rPr>
                <w:noProof/>
                <w:webHidden/>
              </w:rPr>
            </w:r>
            <w:r>
              <w:rPr>
                <w:noProof/>
                <w:webHidden/>
              </w:rPr>
              <w:fldChar w:fldCharType="separate"/>
            </w:r>
            <w:r>
              <w:rPr>
                <w:noProof/>
                <w:webHidden/>
              </w:rPr>
              <w:t>5</w:t>
            </w:r>
            <w:r>
              <w:rPr>
                <w:noProof/>
                <w:webHidden/>
              </w:rPr>
              <w:fldChar w:fldCharType="end"/>
            </w:r>
          </w:hyperlink>
        </w:p>
        <w:p w:rsidR="004365EA" w:rsidRDefault="004365EA">
          <w:pPr>
            <w:pStyle w:val="TOC1"/>
            <w:tabs>
              <w:tab w:val="right" w:leader="dot" w:pos="9016"/>
            </w:tabs>
            <w:rPr>
              <w:rFonts w:eastAsiaTheme="minorEastAsia"/>
              <w:noProof/>
              <w:lang w:eastAsia="en-GB"/>
            </w:rPr>
          </w:pPr>
          <w:hyperlink w:anchor="_Toc126067545" w:history="1">
            <w:r w:rsidRPr="003D3532">
              <w:rPr>
                <w:rStyle w:val="Hyperlink"/>
                <w:noProof/>
              </w:rPr>
              <w:t>Analyse the nature of change and evaluate complex concepts relating to leadership in relation to change management.</w:t>
            </w:r>
            <w:r>
              <w:rPr>
                <w:noProof/>
                <w:webHidden/>
              </w:rPr>
              <w:tab/>
            </w:r>
            <w:r>
              <w:rPr>
                <w:noProof/>
                <w:webHidden/>
              </w:rPr>
              <w:fldChar w:fldCharType="begin"/>
            </w:r>
            <w:r>
              <w:rPr>
                <w:noProof/>
                <w:webHidden/>
              </w:rPr>
              <w:instrText xml:space="preserve"> PAGEREF _Toc126067545 \h </w:instrText>
            </w:r>
            <w:r>
              <w:rPr>
                <w:noProof/>
                <w:webHidden/>
              </w:rPr>
            </w:r>
            <w:r>
              <w:rPr>
                <w:noProof/>
                <w:webHidden/>
              </w:rPr>
              <w:fldChar w:fldCharType="separate"/>
            </w:r>
            <w:r>
              <w:rPr>
                <w:noProof/>
                <w:webHidden/>
              </w:rPr>
              <w:t>5</w:t>
            </w:r>
            <w:r>
              <w:rPr>
                <w:noProof/>
                <w:webHidden/>
              </w:rPr>
              <w:fldChar w:fldCharType="end"/>
            </w:r>
          </w:hyperlink>
        </w:p>
        <w:p w:rsidR="004365EA" w:rsidRDefault="004365EA">
          <w:pPr>
            <w:pStyle w:val="TOC1"/>
            <w:tabs>
              <w:tab w:val="right" w:leader="dot" w:pos="9016"/>
            </w:tabs>
            <w:rPr>
              <w:rFonts w:eastAsiaTheme="minorEastAsia"/>
              <w:noProof/>
              <w:lang w:eastAsia="en-GB"/>
            </w:rPr>
          </w:pPr>
          <w:hyperlink w:anchor="_Toc126067546" w:history="1">
            <w:r w:rsidRPr="003D3532">
              <w:rPr>
                <w:rStyle w:val="Hyperlink"/>
                <w:noProof/>
              </w:rPr>
              <w:t>Conclusion</w:t>
            </w:r>
            <w:r>
              <w:rPr>
                <w:noProof/>
                <w:webHidden/>
              </w:rPr>
              <w:tab/>
            </w:r>
            <w:r>
              <w:rPr>
                <w:noProof/>
                <w:webHidden/>
              </w:rPr>
              <w:fldChar w:fldCharType="begin"/>
            </w:r>
            <w:r>
              <w:rPr>
                <w:noProof/>
                <w:webHidden/>
              </w:rPr>
              <w:instrText xml:space="preserve"> PAGEREF _Toc126067546 \h </w:instrText>
            </w:r>
            <w:r>
              <w:rPr>
                <w:noProof/>
                <w:webHidden/>
              </w:rPr>
            </w:r>
            <w:r>
              <w:rPr>
                <w:noProof/>
                <w:webHidden/>
              </w:rPr>
              <w:fldChar w:fldCharType="separate"/>
            </w:r>
            <w:r>
              <w:rPr>
                <w:noProof/>
                <w:webHidden/>
              </w:rPr>
              <w:t>7</w:t>
            </w:r>
            <w:r>
              <w:rPr>
                <w:noProof/>
                <w:webHidden/>
              </w:rPr>
              <w:fldChar w:fldCharType="end"/>
            </w:r>
          </w:hyperlink>
        </w:p>
        <w:p w:rsidR="004365EA" w:rsidRDefault="004365EA">
          <w:pPr>
            <w:pStyle w:val="TOC1"/>
            <w:tabs>
              <w:tab w:val="right" w:leader="dot" w:pos="9016"/>
            </w:tabs>
            <w:rPr>
              <w:rFonts w:eastAsiaTheme="minorEastAsia"/>
              <w:noProof/>
              <w:lang w:eastAsia="en-GB"/>
            </w:rPr>
          </w:pPr>
          <w:hyperlink w:anchor="_Toc126067547" w:history="1">
            <w:r w:rsidRPr="003D3532">
              <w:rPr>
                <w:rStyle w:val="Hyperlink"/>
                <w:noProof/>
              </w:rPr>
              <w:t>Explore contemporary issues and their impact on business management</w:t>
            </w:r>
            <w:r>
              <w:rPr>
                <w:noProof/>
                <w:webHidden/>
              </w:rPr>
              <w:tab/>
            </w:r>
            <w:r>
              <w:rPr>
                <w:noProof/>
                <w:webHidden/>
              </w:rPr>
              <w:fldChar w:fldCharType="begin"/>
            </w:r>
            <w:r>
              <w:rPr>
                <w:noProof/>
                <w:webHidden/>
              </w:rPr>
              <w:instrText xml:space="preserve"> PAGEREF _Toc126067547 \h </w:instrText>
            </w:r>
            <w:r>
              <w:rPr>
                <w:noProof/>
                <w:webHidden/>
              </w:rPr>
            </w:r>
            <w:r>
              <w:rPr>
                <w:noProof/>
                <w:webHidden/>
              </w:rPr>
              <w:fldChar w:fldCharType="separate"/>
            </w:r>
            <w:r>
              <w:rPr>
                <w:noProof/>
                <w:webHidden/>
              </w:rPr>
              <w:t>8</w:t>
            </w:r>
            <w:r>
              <w:rPr>
                <w:noProof/>
                <w:webHidden/>
              </w:rPr>
              <w:fldChar w:fldCharType="end"/>
            </w:r>
          </w:hyperlink>
        </w:p>
        <w:p w:rsidR="004365EA" w:rsidRDefault="004365EA">
          <w:pPr>
            <w:pStyle w:val="TOC1"/>
            <w:tabs>
              <w:tab w:val="right" w:leader="dot" w:pos="9016"/>
            </w:tabs>
            <w:rPr>
              <w:rFonts w:eastAsiaTheme="minorEastAsia"/>
              <w:noProof/>
              <w:lang w:eastAsia="en-GB"/>
            </w:rPr>
          </w:pPr>
          <w:hyperlink w:anchor="_Toc126067548" w:history="1">
            <w:r w:rsidRPr="003D3532">
              <w:rPr>
                <w:rStyle w:val="Hyperlink"/>
                <w:noProof/>
              </w:rPr>
              <w:t>Conclusion</w:t>
            </w:r>
            <w:r>
              <w:rPr>
                <w:noProof/>
                <w:webHidden/>
              </w:rPr>
              <w:tab/>
            </w:r>
            <w:r>
              <w:rPr>
                <w:noProof/>
                <w:webHidden/>
              </w:rPr>
              <w:fldChar w:fldCharType="begin"/>
            </w:r>
            <w:r>
              <w:rPr>
                <w:noProof/>
                <w:webHidden/>
              </w:rPr>
              <w:instrText xml:space="preserve"> PAGEREF _Toc126067548 \h </w:instrText>
            </w:r>
            <w:r>
              <w:rPr>
                <w:noProof/>
                <w:webHidden/>
              </w:rPr>
            </w:r>
            <w:r>
              <w:rPr>
                <w:noProof/>
                <w:webHidden/>
              </w:rPr>
              <w:fldChar w:fldCharType="separate"/>
            </w:r>
            <w:r>
              <w:rPr>
                <w:noProof/>
                <w:webHidden/>
              </w:rPr>
              <w:t>9</w:t>
            </w:r>
            <w:r>
              <w:rPr>
                <w:noProof/>
                <w:webHidden/>
              </w:rPr>
              <w:fldChar w:fldCharType="end"/>
            </w:r>
          </w:hyperlink>
        </w:p>
        <w:p w:rsidR="004365EA" w:rsidRDefault="004365EA">
          <w:pPr>
            <w:pStyle w:val="TOC1"/>
            <w:tabs>
              <w:tab w:val="right" w:leader="dot" w:pos="9016"/>
            </w:tabs>
            <w:rPr>
              <w:rFonts w:eastAsiaTheme="minorEastAsia"/>
              <w:noProof/>
              <w:lang w:eastAsia="en-GB"/>
            </w:rPr>
          </w:pPr>
          <w:hyperlink w:anchor="_Toc126067549" w:history="1">
            <w:r w:rsidRPr="003D3532">
              <w:rPr>
                <w:rStyle w:val="Hyperlink"/>
                <w:noProof/>
              </w:rPr>
              <w:t>Analyse and evaluate the relationship between organisational culture and change</w:t>
            </w:r>
            <w:r>
              <w:rPr>
                <w:noProof/>
                <w:webHidden/>
              </w:rPr>
              <w:tab/>
            </w:r>
            <w:r>
              <w:rPr>
                <w:noProof/>
                <w:webHidden/>
              </w:rPr>
              <w:fldChar w:fldCharType="begin"/>
            </w:r>
            <w:r>
              <w:rPr>
                <w:noProof/>
                <w:webHidden/>
              </w:rPr>
              <w:instrText xml:space="preserve"> PAGEREF _Toc126067549 \h </w:instrText>
            </w:r>
            <w:r>
              <w:rPr>
                <w:noProof/>
                <w:webHidden/>
              </w:rPr>
            </w:r>
            <w:r>
              <w:rPr>
                <w:noProof/>
                <w:webHidden/>
              </w:rPr>
              <w:fldChar w:fldCharType="separate"/>
            </w:r>
            <w:r>
              <w:rPr>
                <w:noProof/>
                <w:webHidden/>
              </w:rPr>
              <w:t>9</w:t>
            </w:r>
            <w:r>
              <w:rPr>
                <w:noProof/>
                <w:webHidden/>
              </w:rPr>
              <w:fldChar w:fldCharType="end"/>
            </w:r>
          </w:hyperlink>
        </w:p>
        <w:p w:rsidR="004365EA" w:rsidRDefault="004365EA">
          <w:pPr>
            <w:pStyle w:val="TOC1"/>
            <w:tabs>
              <w:tab w:val="right" w:leader="dot" w:pos="9016"/>
            </w:tabs>
            <w:rPr>
              <w:rFonts w:eastAsiaTheme="minorEastAsia"/>
              <w:noProof/>
              <w:lang w:eastAsia="en-GB"/>
            </w:rPr>
          </w:pPr>
          <w:hyperlink w:anchor="_Toc126067550" w:history="1">
            <w:r w:rsidRPr="003D3532">
              <w:rPr>
                <w:rStyle w:val="Hyperlink"/>
                <w:noProof/>
              </w:rPr>
              <w:t>Evaluate how organisational stakeholders can be efficiently led through complex workplace change</w:t>
            </w:r>
            <w:r>
              <w:rPr>
                <w:noProof/>
                <w:webHidden/>
              </w:rPr>
              <w:tab/>
            </w:r>
            <w:r>
              <w:rPr>
                <w:noProof/>
                <w:webHidden/>
              </w:rPr>
              <w:fldChar w:fldCharType="begin"/>
            </w:r>
            <w:r>
              <w:rPr>
                <w:noProof/>
                <w:webHidden/>
              </w:rPr>
              <w:instrText xml:space="preserve"> PAGEREF _Toc126067550 \h </w:instrText>
            </w:r>
            <w:r>
              <w:rPr>
                <w:noProof/>
                <w:webHidden/>
              </w:rPr>
            </w:r>
            <w:r>
              <w:rPr>
                <w:noProof/>
                <w:webHidden/>
              </w:rPr>
              <w:fldChar w:fldCharType="separate"/>
            </w:r>
            <w:r>
              <w:rPr>
                <w:noProof/>
                <w:webHidden/>
              </w:rPr>
              <w:t>10</w:t>
            </w:r>
            <w:r>
              <w:rPr>
                <w:noProof/>
                <w:webHidden/>
              </w:rPr>
              <w:fldChar w:fldCharType="end"/>
            </w:r>
          </w:hyperlink>
        </w:p>
        <w:p w:rsidR="004365EA" w:rsidRDefault="004365EA">
          <w:pPr>
            <w:pStyle w:val="TOC1"/>
            <w:tabs>
              <w:tab w:val="right" w:leader="dot" w:pos="9016"/>
            </w:tabs>
            <w:rPr>
              <w:rFonts w:eastAsiaTheme="minorEastAsia"/>
              <w:noProof/>
              <w:lang w:eastAsia="en-GB"/>
            </w:rPr>
          </w:pPr>
          <w:hyperlink w:anchor="_Toc126067551" w:history="1">
            <w:r w:rsidRPr="003D3532">
              <w:rPr>
                <w:rStyle w:val="Hyperlink"/>
                <w:noProof/>
              </w:rPr>
              <w:t>Conclusion</w:t>
            </w:r>
            <w:r>
              <w:rPr>
                <w:noProof/>
                <w:webHidden/>
              </w:rPr>
              <w:tab/>
            </w:r>
            <w:r>
              <w:rPr>
                <w:noProof/>
                <w:webHidden/>
              </w:rPr>
              <w:fldChar w:fldCharType="begin"/>
            </w:r>
            <w:r>
              <w:rPr>
                <w:noProof/>
                <w:webHidden/>
              </w:rPr>
              <w:instrText xml:space="preserve"> PAGEREF _Toc126067551 \h </w:instrText>
            </w:r>
            <w:r>
              <w:rPr>
                <w:noProof/>
                <w:webHidden/>
              </w:rPr>
            </w:r>
            <w:r>
              <w:rPr>
                <w:noProof/>
                <w:webHidden/>
              </w:rPr>
              <w:fldChar w:fldCharType="separate"/>
            </w:r>
            <w:r>
              <w:rPr>
                <w:noProof/>
                <w:webHidden/>
              </w:rPr>
              <w:t>10</w:t>
            </w:r>
            <w:r>
              <w:rPr>
                <w:noProof/>
                <w:webHidden/>
              </w:rPr>
              <w:fldChar w:fldCharType="end"/>
            </w:r>
          </w:hyperlink>
        </w:p>
        <w:p w:rsidR="004365EA" w:rsidRDefault="004365EA">
          <w:pPr>
            <w:pStyle w:val="TOC1"/>
            <w:tabs>
              <w:tab w:val="right" w:leader="dot" w:pos="9016"/>
            </w:tabs>
            <w:rPr>
              <w:rFonts w:eastAsiaTheme="minorEastAsia"/>
              <w:noProof/>
              <w:lang w:eastAsia="en-GB"/>
            </w:rPr>
          </w:pPr>
          <w:hyperlink w:anchor="_Toc126067552" w:history="1">
            <w:r w:rsidRPr="003D3532">
              <w:rPr>
                <w:rStyle w:val="Hyperlink"/>
                <w:noProof/>
              </w:rPr>
              <w:t>Final Conclusion</w:t>
            </w:r>
            <w:r>
              <w:rPr>
                <w:noProof/>
                <w:webHidden/>
              </w:rPr>
              <w:tab/>
            </w:r>
            <w:r>
              <w:rPr>
                <w:noProof/>
                <w:webHidden/>
              </w:rPr>
              <w:fldChar w:fldCharType="begin"/>
            </w:r>
            <w:r>
              <w:rPr>
                <w:noProof/>
                <w:webHidden/>
              </w:rPr>
              <w:instrText xml:space="preserve"> PAGEREF _Toc126067552 \h </w:instrText>
            </w:r>
            <w:r>
              <w:rPr>
                <w:noProof/>
                <w:webHidden/>
              </w:rPr>
            </w:r>
            <w:r>
              <w:rPr>
                <w:noProof/>
                <w:webHidden/>
              </w:rPr>
              <w:fldChar w:fldCharType="separate"/>
            </w:r>
            <w:r>
              <w:rPr>
                <w:noProof/>
                <w:webHidden/>
              </w:rPr>
              <w:t>11</w:t>
            </w:r>
            <w:r>
              <w:rPr>
                <w:noProof/>
                <w:webHidden/>
              </w:rPr>
              <w:fldChar w:fldCharType="end"/>
            </w:r>
          </w:hyperlink>
        </w:p>
        <w:p w:rsidR="004365EA" w:rsidRDefault="004365EA">
          <w:pPr>
            <w:pStyle w:val="TOC1"/>
            <w:tabs>
              <w:tab w:val="right" w:leader="dot" w:pos="9016"/>
            </w:tabs>
            <w:rPr>
              <w:rFonts w:eastAsiaTheme="minorEastAsia"/>
              <w:noProof/>
              <w:lang w:eastAsia="en-GB"/>
            </w:rPr>
          </w:pPr>
          <w:hyperlink w:anchor="_Toc126067553" w:history="1">
            <w:r w:rsidRPr="003D3532">
              <w:rPr>
                <w:rStyle w:val="Hyperlink"/>
                <w:noProof/>
              </w:rPr>
              <w:t>References</w:t>
            </w:r>
            <w:r>
              <w:rPr>
                <w:noProof/>
                <w:webHidden/>
              </w:rPr>
              <w:tab/>
            </w:r>
            <w:r>
              <w:rPr>
                <w:noProof/>
                <w:webHidden/>
              </w:rPr>
              <w:fldChar w:fldCharType="begin"/>
            </w:r>
            <w:r>
              <w:rPr>
                <w:noProof/>
                <w:webHidden/>
              </w:rPr>
              <w:instrText xml:space="preserve"> PAGEREF _Toc126067553 \h </w:instrText>
            </w:r>
            <w:r>
              <w:rPr>
                <w:noProof/>
                <w:webHidden/>
              </w:rPr>
            </w:r>
            <w:r>
              <w:rPr>
                <w:noProof/>
                <w:webHidden/>
              </w:rPr>
              <w:fldChar w:fldCharType="separate"/>
            </w:r>
            <w:r>
              <w:rPr>
                <w:noProof/>
                <w:webHidden/>
              </w:rPr>
              <w:t>12</w:t>
            </w:r>
            <w:r>
              <w:rPr>
                <w:noProof/>
                <w:webHidden/>
              </w:rPr>
              <w:fldChar w:fldCharType="end"/>
            </w:r>
          </w:hyperlink>
        </w:p>
        <w:p w:rsidR="004365EA" w:rsidRDefault="004365EA">
          <w:pPr>
            <w:pStyle w:val="TOC1"/>
            <w:tabs>
              <w:tab w:val="right" w:leader="dot" w:pos="9016"/>
            </w:tabs>
            <w:rPr>
              <w:rFonts w:eastAsiaTheme="minorEastAsia"/>
              <w:noProof/>
              <w:lang w:eastAsia="en-GB"/>
            </w:rPr>
          </w:pPr>
          <w:hyperlink w:anchor="_Toc126067554" w:history="1">
            <w:r w:rsidRPr="003D3532">
              <w:rPr>
                <w:rStyle w:val="Hyperlink"/>
                <w:noProof/>
              </w:rPr>
              <w:t>Apendix A</w:t>
            </w:r>
            <w:r>
              <w:rPr>
                <w:noProof/>
                <w:webHidden/>
              </w:rPr>
              <w:tab/>
            </w:r>
            <w:r>
              <w:rPr>
                <w:noProof/>
                <w:webHidden/>
              </w:rPr>
              <w:fldChar w:fldCharType="begin"/>
            </w:r>
            <w:r>
              <w:rPr>
                <w:noProof/>
                <w:webHidden/>
              </w:rPr>
              <w:instrText xml:space="preserve"> PAGEREF _Toc126067554 \h </w:instrText>
            </w:r>
            <w:r>
              <w:rPr>
                <w:noProof/>
                <w:webHidden/>
              </w:rPr>
            </w:r>
            <w:r>
              <w:rPr>
                <w:noProof/>
                <w:webHidden/>
              </w:rPr>
              <w:fldChar w:fldCharType="separate"/>
            </w:r>
            <w:r>
              <w:rPr>
                <w:noProof/>
                <w:webHidden/>
              </w:rPr>
              <w:t>14</w:t>
            </w:r>
            <w:r>
              <w:rPr>
                <w:noProof/>
                <w:webHidden/>
              </w:rPr>
              <w:fldChar w:fldCharType="end"/>
            </w:r>
          </w:hyperlink>
        </w:p>
        <w:p w:rsidR="004365EA" w:rsidRDefault="004365EA">
          <w:pPr>
            <w:pStyle w:val="TOC1"/>
            <w:tabs>
              <w:tab w:val="right" w:leader="dot" w:pos="9016"/>
            </w:tabs>
            <w:rPr>
              <w:rFonts w:eastAsiaTheme="minorEastAsia"/>
              <w:noProof/>
              <w:lang w:eastAsia="en-GB"/>
            </w:rPr>
          </w:pPr>
          <w:hyperlink w:anchor="_Toc126067555" w:history="1">
            <w:r w:rsidRPr="003D3532">
              <w:rPr>
                <w:rStyle w:val="Hyperlink"/>
                <w:noProof/>
              </w:rPr>
              <w:t>Apendix B</w:t>
            </w:r>
            <w:r>
              <w:rPr>
                <w:noProof/>
                <w:webHidden/>
              </w:rPr>
              <w:tab/>
            </w:r>
            <w:r>
              <w:rPr>
                <w:noProof/>
                <w:webHidden/>
              </w:rPr>
              <w:fldChar w:fldCharType="begin"/>
            </w:r>
            <w:r>
              <w:rPr>
                <w:noProof/>
                <w:webHidden/>
              </w:rPr>
              <w:instrText xml:space="preserve"> PAGEREF _Toc126067555 \h </w:instrText>
            </w:r>
            <w:r>
              <w:rPr>
                <w:noProof/>
                <w:webHidden/>
              </w:rPr>
            </w:r>
            <w:r>
              <w:rPr>
                <w:noProof/>
                <w:webHidden/>
              </w:rPr>
              <w:fldChar w:fldCharType="separate"/>
            </w:r>
            <w:r>
              <w:rPr>
                <w:noProof/>
                <w:webHidden/>
              </w:rPr>
              <w:t>15</w:t>
            </w:r>
            <w:r>
              <w:rPr>
                <w:noProof/>
                <w:webHidden/>
              </w:rPr>
              <w:fldChar w:fldCharType="end"/>
            </w:r>
          </w:hyperlink>
        </w:p>
        <w:p w:rsidR="002C7E47" w:rsidRDefault="002C7E47">
          <w:r>
            <w:rPr>
              <w:b/>
              <w:bCs/>
              <w:noProof/>
            </w:rPr>
            <w:fldChar w:fldCharType="end"/>
          </w:r>
        </w:p>
      </w:sdtContent>
    </w:sdt>
    <w:p w:rsidR="002C7E47" w:rsidRDefault="002C7E47" w:rsidP="00A21B92">
      <w:pPr>
        <w:pStyle w:val="Heading1"/>
      </w:pPr>
    </w:p>
    <w:p w:rsidR="002C7E47" w:rsidRDefault="002C7E47" w:rsidP="00A21B92">
      <w:pPr>
        <w:pStyle w:val="Heading1"/>
      </w:pPr>
    </w:p>
    <w:p w:rsidR="002C7E47" w:rsidRDefault="002C7E47" w:rsidP="00A21B92">
      <w:pPr>
        <w:pStyle w:val="Heading1"/>
      </w:pPr>
    </w:p>
    <w:p w:rsidR="002C7E47" w:rsidRDefault="002C7E47" w:rsidP="00A21B92">
      <w:pPr>
        <w:pStyle w:val="Heading1"/>
      </w:pPr>
    </w:p>
    <w:p w:rsidR="002C7E47" w:rsidRDefault="002C7E47" w:rsidP="00A21B92">
      <w:pPr>
        <w:pStyle w:val="Heading1"/>
      </w:pPr>
    </w:p>
    <w:p w:rsidR="002C7E47" w:rsidRDefault="002C7E47" w:rsidP="00A21B92">
      <w:pPr>
        <w:pStyle w:val="Heading1"/>
      </w:pPr>
    </w:p>
    <w:p w:rsidR="002C7E47" w:rsidRDefault="002C7E47" w:rsidP="00A21B92">
      <w:pPr>
        <w:pStyle w:val="Heading1"/>
      </w:pPr>
    </w:p>
    <w:p w:rsidR="002C7E47" w:rsidRDefault="002C7E47" w:rsidP="00A21B92">
      <w:pPr>
        <w:pStyle w:val="Heading1"/>
      </w:pPr>
    </w:p>
    <w:p w:rsidR="002C7E47" w:rsidRDefault="002C7E47" w:rsidP="002C7E47"/>
    <w:p w:rsidR="002C7E47" w:rsidRPr="002C7E47" w:rsidRDefault="002C7E47" w:rsidP="002C7E47"/>
    <w:p w:rsidR="00A21B92" w:rsidRDefault="00A21B92" w:rsidP="00A21B92">
      <w:pPr>
        <w:pStyle w:val="Heading1"/>
      </w:pPr>
      <w:bookmarkStart w:id="1" w:name="_Toc126067540"/>
      <w:r>
        <w:t>Introduction</w:t>
      </w:r>
      <w:bookmarkEnd w:id="1"/>
    </w:p>
    <w:p w:rsidR="00A21B92" w:rsidRDefault="00A21B92" w:rsidP="00A21B92"/>
    <w:p w:rsidR="00A21B92" w:rsidRDefault="00A21B92" w:rsidP="00A21B92">
      <w:r>
        <w:t>In this dissertation research will be conducted to find a solution to Cambrian Training Companies</w:t>
      </w:r>
      <w:r w:rsidR="00ED2F4F">
        <w:t xml:space="preserve"> (CTC) </w:t>
      </w:r>
      <w:r>
        <w:t xml:space="preserve"> use of petrol vehicles and the replacement of the fleet of company and pool cars to either fully electric or hybrid electric. We will discuss and research methodology and evaluate and analyse the changes necessary to accomplish the transition from one vehicle to another. We will discuss and analyse the change procedure and what is needed for that change to happen. We will discuss the formation of groups within the company to understand the elements of change within the company. </w:t>
      </w:r>
    </w:p>
    <w:p w:rsidR="00A21B92" w:rsidRDefault="00A21B92" w:rsidP="00A21B92">
      <w:r>
        <w:t xml:space="preserve">Back in 2017 the Ford Focus was the </w:t>
      </w:r>
      <w:proofErr w:type="gramStart"/>
      <w:r>
        <w:t>best selling</w:t>
      </w:r>
      <w:proofErr w:type="gramEnd"/>
      <w:r>
        <w:t xml:space="preserve"> car in the UK ( Autocar, 2018), however, with todays development of hybrid and fully electric cars the pendulum of climate change has influenced many to convert from petrol/diesel to newer cleaner cars. </w:t>
      </w:r>
      <w:r w:rsidR="00D466B8">
        <w:t xml:space="preserve">And as CTC have ties with Toyota in </w:t>
      </w:r>
      <w:proofErr w:type="spellStart"/>
      <w:r w:rsidR="00D466B8">
        <w:t>Builth</w:t>
      </w:r>
      <w:proofErr w:type="spellEnd"/>
      <w:r w:rsidR="00D466B8">
        <w:t xml:space="preserve"> Wells it was decided to test vehicles that were Toyotas, for both hybrid and electric vehicles ( EV). </w:t>
      </w:r>
    </w:p>
    <w:p w:rsidR="00A76FB6" w:rsidRDefault="00A76FB6" w:rsidP="00A21B92">
      <w:r>
        <w:t xml:space="preserve">Global estimates of the sales of electric/ hybrid electric cars area almost $10 trillion (Euler Hermes Economic Research, 2018) excluding the warranties and finance insurance. </w:t>
      </w:r>
    </w:p>
    <w:p w:rsidR="00A76FB6" w:rsidRDefault="00A76FB6" w:rsidP="00A21B92">
      <w:r>
        <w:t xml:space="preserve">We will analyse the PESTLE analysis for the effectiveness of electric/hybrid cars to see what social/economic benefits there are as well as any cultural influences are in effect. </w:t>
      </w:r>
    </w:p>
    <w:p w:rsidR="00A76FB6" w:rsidRDefault="00A76FB6" w:rsidP="00A21B92">
      <w:r>
        <w:t xml:space="preserve">The need for any organisation to be more profitable is ever more transient in this current economic climate, and the possible fuel reduction electric and hybrid cars could bring could be beneficial as a key indicator in managing fuel costs effectively.  Another contributing factor is the need to reduce emissions to meet 2050 net zero and the </w:t>
      </w:r>
      <w:proofErr w:type="gramStart"/>
      <w:r>
        <w:t>ever changing</w:t>
      </w:r>
      <w:proofErr w:type="gramEnd"/>
      <w:r>
        <w:t xml:space="preserve"> need to “Go Green” and protect the planet from issues of global warming ( </w:t>
      </w:r>
      <w:proofErr w:type="spellStart"/>
      <w:r>
        <w:t>Kvaloy</w:t>
      </w:r>
      <w:proofErr w:type="spellEnd"/>
      <w:r>
        <w:t xml:space="preserve"> et al, 2012). The public have been voicing their concerns over emissions for quite a while with diesel “</w:t>
      </w:r>
      <w:proofErr w:type="spellStart"/>
      <w:r>
        <w:t>Scandalgate</w:t>
      </w:r>
      <w:proofErr w:type="spellEnd"/>
      <w:r>
        <w:t>” coming to the fore in many car manufacturers. In 2015 VW saw a market share plummet as their emissions scandal hit the news (</w:t>
      </w:r>
      <w:proofErr w:type="spellStart"/>
      <w:r>
        <w:t>Cambell</w:t>
      </w:r>
      <w:proofErr w:type="spellEnd"/>
      <w:r>
        <w:t>, 2016)</w:t>
      </w:r>
      <w:r w:rsidR="00A24E58">
        <w:t>.</w:t>
      </w:r>
    </w:p>
    <w:p w:rsidR="00A24E58" w:rsidRDefault="00A24E58" w:rsidP="00A21B92">
      <w:r>
        <w:t xml:space="preserve">I will research and analyse why change is inevitable with any organisation, with possible outcomes such as growth, direction, structure  and profit forecasting.  </w:t>
      </w:r>
    </w:p>
    <w:p w:rsidR="00A24E58" w:rsidRDefault="00A24E58" w:rsidP="00A24E58">
      <w:pPr>
        <w:pStyle w:val="Heading1"/>
      </w:pPr>
      <w:bookmarkStart w:id="2" w:name="_Toc126067541"/>
      <w:r>
        <w:t>Strategy and methodology</w:t>
      </w:r>
      <w:bookmarkEnd w:id="2"/>
    </w:p>
    <w:p w:rsidR="0001718E" w:rsidRDefault="00A24E58" w:rsidP="00A24E58">
      <w:r>
        <w:t xml:space="preserve">The strategy to achieve these objectives will be a research survey from the </w:t>
      </w:r>
      <w:r w:rsidR="0001718E">
        <w:t>direct front line staff</w:t>
      </w:r>
      <w:r>
        <w:t xml:space="preserve"> of Cambrian Training</w:t>
      </w:r>
      <w:r w:rsidR="00ED2F4F">
        <w:t xml:space="preserve"> Company (CTC</w:t>
      </w:r>
      <w:r w:rsidR="0001718E">
        <w:t>, ( this survey was conducted</w:t>
      </w:r>
      <w:r>
        <w:t xml:space="preserve"> internally</w:t>
      </w:r>
      <w:r w:rsidR="0001718E">
        <w:t xml:space="preserve"> through Cambrian Training)</w:t>
      </w:r>
      <w:r>
        <w:t xml:space="preserve">, with the results catalogued and analysed. </w:t>
      </w:r>
      <w:r w:rsidR="004410CF">
        <w:t xml:space="preserve"> </w:t>
      </w:r>
    </w:p>
    <w:p w:rsidR="00A24E58" w:rsidRPr="00A24E58" w:rsidRDefault="004410CF" w:rsidP="00A24E58">
      <w:r>
        <w:t xml:space="preserve">I will analyse research by notable theorists in the implementation of change within an organisation. The effects of change and how to manage that change. </w:t>
      </w:r>
      <w:r w:rsidR="00BC24B2">
        <w:t xml:space="preserve"> I will critically analyse the Macro and Micro changes and their affects on the organisation. I will research the nature of leadership and change in relation to change management. </w:t>
      </w:r>
    </w:p>
    <w:p w:rsidR="00A21B92" w:rsidRDefault="00A21B92" w:rsidP="00A21B92"/>
    <w:p w:rsidR="00A21B92" w:rsidRDefault="00A21B92" w:rsidP="00A21B92"/>
    <w:p w:rsidR="00A21B92" w:rsidRDefault="00A21B92" w:rsidP="00A21B92"/>
    <w:p w:rsidR="00A21B92" w:rsidRDefault="00A21B92" w:rsidP="00A21B92"/>
    <w:p w:rsidR="00A21B92" w:rsidRDefault="00A21B92" w:rsidP="00A21B92"/>
    <w:p w:rsidR="008D2F53" w:rsidRDefault="008D2F53" w:rsidP="008D2F53">
      <w:pPr>
        <w:pStyle w:val="Heading1"/>
      </w:pPr>
      <w:bookmarkStart w:id="3" w:name="_Toc126067542"/>
      <w:r w:rsidRPr="008D2F53">
        <w:lastRenderedPageBreak/>
        <w:t>Critically analyse the current forces for change in the organisations micro and macro environment that can impact workplace culture and capability</w:t>
      </w:r>
      <w:bookmarkEnd w:id="3"/>
    </w:p>
    <w:p w:rsidR="00A237BD" w:rsidRPr="00A237BD" w:rsidRDefault="00A237BD" w:rsidP="00A237BD">
      <w:pPr>
        <w:pStyle w:val="Heading1"/>
      </w:pPr>
      <w:bookmarkStart w:id="4" w:name="_Toc126067543"/>
      <w:r>
        <w:t>Environmental change and organisational capability</w:t>
      </w:r>
      <w:bookmarkEnd w:id="4"/>
    </w:p>
    <w:p w:rsidR="008D2F53" w:rsidRDefault="0001718E" w:rsidP="008D2F53">
      <w:r>
        <w:t xml:space="preserve">By definition a micro-environment has a direct impact on the organisation, this can be its customers, competitors and the general public. All these factors have an influence on the organisation and could directly affect the performance of that company. ( </w:t>
      </w:r>
      <w:proofErr w:type="spellStart"/>
      <w:r>
        <w:t>Pozzebon</w:t>
      </w:r>
      <w:proofErr w:type="spellEnd"/>
      <w:r>
        <w:t>, 2014)</w:t>
      </w:r>
      <w:r w:rsidR="007E737E">
        <w:t xml:space="preserve"> On the other hand the macro environment is defined by all outside </w:t>
      </w:r>
      <w:r w:rsidR="005762C9">
        <w:t xml:space="preserve">forces that can affect the organisation, in wok-based learning this can take the form of the apprenticeship levy, employer engagement and participation in apprenticeship programs. </w:t>
      </w:r>
      <w:r w:rsidR="005762C9" w:rsidRPr="005762C9">
        <w:t xml:space="preserve">(Sutherland &amp; </w:t>
      </w:r>
      <w:proofErr w:type="spellStart"/>
      <w:r w:rsidR="005762C9" w:rsidRPr="005762C9">
        <w:t>Canwell</w:t>
      </w:r>
      <w:proofErr w:type="spellEnd"/>
      <w:r w:rsidR="005762C9" w:rsidRPr="005762C9">
        <w:t>, 2006)</w:t>
      </w:r>
    </w:p>
    <w:p w:rsidR="00DE0E08" w:rsidRDefault="00DE0E08" w:rsidP="008D2F53">
      <w:r>
        <w:t xml:space="preserve">The change we will be researching is the effect on Cambrian Training on reviewing, purchasing and using electric or hybrid electric cars for their fleet of vehicles to deliver work-based learning. This will look at how purchasing decisions affect the social, environmental and profits of the company in attempting to follow government advice and go “Net Zero” by 2050. ( </w:t>
      </w:r>
      <w:proofErr w:type="spellStart"/>
      <w:r>
        <w:t>Hettiwattage</w:t>
      </w:r>
      <w:proofErr w:type="spellEnd"/>
      <w:r>
        <w:t xml:space="preserve">, et al, 2023). </w:t>
      </w:r>
    </w:p>
    <w:p w:rsidR="00DE0E08" w:rsidRDefault="00DE0E08" w:rsidP="008D2F53">
      <w:r>
        <w:t xml:space="preserve">We must analyse the relationship between environmental change and organisational capability, to do this we must analyse and research our PESTEL analysis to discover the benefits of change ( either electric or hybrid capability cars versus combustion engine cars). </w:t>
      </w:r>
    </w:p>
    <w:p w:rsidR="00BC37F3" w:rsidRDefault="00BC37F3" w:rsidP="008D2F53">
      <w:r>
        <w:t xml:space="preserve">The PESTEL analysis provided a resource to identify external factors that could influence CTC’s choice of vehicle. Reference Appendix A. </w:t>
      </w:r>
    </w:p>
    <w:p w:rsidR="00D466B8" w:rsidRDefault="00D466B8" w:rsidP="008D2F53">
      <w:r>
        <w:t>I used the SWOT analysis to identify potential threats and weaknesses that could prove problematic but turned each around into a strength and opportunity. Reference Appendix C</w:t>
      </w:r>
    </w:p>
    <w:p w:rsidR="00D466B8" w:rsidRDefault="00D466B8" w:rsidP="008D2F53">
      <w:r>
        <w:t xml:space="preserve">Noted strengths of CTC were its staff, who approach change in a positive manner and are very open to change, this would make the transition from traditional to electric/hybrid easier. The Threat was the cost od leasing a fleet of vehicles and its impact on the profitability of CTC.  </w:t>
      </w:r>
    </w:p>
    <w:p w:rsidR="003274E3" w:rsidRDefault="00DE0E08" w:rsidP="008D2F53">
      <w:r>
        <w:t>The main driving force for change is to lower spending and increase profitability, but this has got to be linked with Corporate Social Responsibility, in other words the company must be seen to be doing the right thing. In light of governmental advice for “Net Zero” carbon emissions</w:t>
      </w:r>
      <w:r w:rsidR="0017092E">
        <w:t xml:space="preserve"> by 2050, Cambrian Training have resolved to change its fleet of 50 pool cars and 15 management cars to either fully electric or hybrid electric within the next year.  </w:t>
      </w:r>
      <w:r w:rsidR="0017092E" w:rsidRPr="0017092E">
        <w:t>(</w:t>
      </w:r>
      <w:r w:rsidR="0017092E">
        <w:t xml:space="preserve"> CambrianTraining.com, 2019) </w:t>
      </w:r>
    </w:p>
    <w:p w:rsidR="0017092E" w:rsidRDefault="00ED2F4F" w:rsidP="008D2F53">
      <w:r>
        <w:t xml:space="preserve">The theory of change can be described as Freezing, unfreezing and refreezing. (Lewin, 1951)( </w:t>
      </w:r>
      <w:proofErr w:type="spellStart"/>
      <w:r>
        <w:t>Awati</w:t>
      </w:r>
      <w:proofErr w:type="spellEnd"/>
      <w:r>
        <w:t xml:space="preserve">, et al, 2022) To break this down, currently at CTC they are in the process of unfreezing their change implementation, they had been frozen by using older combustion engine cars since 1991, however detailing their corporate social responsibility and their desire to protecting the environment they have adopted key strategies.  They have pledged to change their fleet of ageing cars to either fully electric or hybrid electric. </w:t>
      </w:r>
      <w:r w:rsidR="00A2669C" w:rsidRPr="00A2669C">
        <w:t xml:space="preserve">)To further this theory professor </w:t>
      </w:r>
      <w:proofErr w:type="spellStart"/>
      <w:r w:rsidR="00A2669C" w:rsidRPr="00A2669C">
        <w:t>Badham’s</w:t>
      </w:r>
      <w:proofErr w:type="spellEnd"/>
      <w:r w:rsidR="00A2669C" w:rsidRPr="00A2669C">
        <w:t xml:space="preserve"> 5m framework for change defines change as the process for influencing others to accomplish key objectives.</w:t>
      </w:r>
      <w:r w:rsidR="00A2669C">
        <w:t xml:space="preserve"> (</w:t>
      </w:r>
      <w:r w:rsidR="00A2669C" w:rsidRPr="00A2669C">
        <w:t>(</w:t>
      </w:r>
      <w:proofErr w:type="spellStart"/>
      <w:r w:rsidR="00A2669C" w:rsidRPr="00A2669C">
        <w:t>Badham</w:t>
      </w:r>
      <w:proofErr w:type="spellEnd"/>
      <w:r w:rsidR="00A2669C" w:rsidRPr="00A2669C">
        <w:t xml:space="preserve"> et al., 2015)</w:t>
      </w:r>
      <w:r w:rsidR="00B478EA">
        <w:t xml:space="preserve">. He discussed issues of mindfulness and mobilisation to mapping the journey of the change. In other </w:t>
      </w:r>
      <w:proofErr w:type="gramStart"/>
      <w:r w:rsidR="00B478EA">
        <w:t>words</w:t>
      </w:r>
      <w:proofErr w:type="gramEnd"/>
      <w:r w:rsidR="00B478EA">
        <w:t xml:space="preserve"> a plan-do-check system leading the change. </w:t>
      </w:r>
    </w:p>
    <w:p w:rsidR="00B478EA" w:rsidRDefault="00B478EA" w:rsidP="008D2F53">
      <w:r>
        <w:t xml:space="preserve">The change that CTC </w:t>
      </w:r>
      <w:r w:rsidR="00BC37F3">
        <w:t>i</w:t>
      </w:r>
      <w:r>
        <w:t>s proposing can be identifie</w:t>
      </w:r>
      <w:r w:rsidR="00BC37F3">
        <w:t xml:space="preserve">d </w:t>
      </w:r>
      <w:r>
        <w:t xml:space="preserve">as both proactive and reactive, in terms of being proactive in its willingness to accept change and lower its emissions and carbon footprint, but also </w:t>
      </w:r>
      <w:r>
        <w:lastRenderedPageBreak/>
        <w:t xml:space="preserve">reactive to external forces for climate change, following governmental advice for Net Zero and environmental benefits of lowering its emissions and carbon output. </w:t>
      </w:r>
    </w:p>
    <w:p w:rsidR="00B478EA" w:rsidRDefault="00B478EA" w:rsidP="008D2F53">
      <w:r>
        <w:t>Also, Mint</w:t>
      </w:r>
      <w:r w:rsidR="007050C6">
        <w:t xml:space="preserve">zberg theorised that change can happen using the 5p’s theory, which included planning and perspective, which would indicate CTC is doing the right thing in implementing this change to its vehicle fleet. </w:t>
      </w:r>
      <w:r w:rsidR="007050C6" w:rsidRPr="007050C6">
        <w:t>(Pettigrew, 1990)</w:t>
      </w:r>
      <w:r w:rsidR="00B44943">
        <w:t xml:space="preserve"> and promoting its corporate and social responsibility by lowering its emissions and carbon footprint and implementing the change necessary to incorporate either fully electric or hybrid electric into its company strategic planning. </w:t>
      </w:r>
    </w:p>
    <w:p w:rsidR="00B44943" w:rsidRDefault="00B44943" w:rsidP="008D2F53">
      <w:r>
        <w:t xml:space="preserve">Furthering the theory of change Kotter suggests that to </w:t>
      </w:r>
      <w:proofErr w:type="gramStart"/>
      <w:r>
        <w:t>effect</w:t>
      </w:r>
      <w:proofErr w:type="gramEnd"/>
      <w:r>
        <w:t xml:space="preserve"> any kind of change then you need to follow the 8 steps for leading change which include forming a strategic vision and enabling action by creating and following that vision by enlisting others to buy into the vision and share their thoughts to others creating an ever increasing circle buying into that shared strategic vision. </w:t>
      </w:r>
      <w:r w:rsidRPr="00B44943">
        <w:t>(kotter2022, 2022)</w:t>
      </w:r>
    </w:p>
    <w:p w:rsidR="00826EE8" w:rsidRDefault="00826EE8" w:rsidP="008D2F53">
      <w:r>
        <w:t>Following on the shoulders of giants Drucker theorised that there are three main assumptions for a business or organisation being led through change which can be external factors like poli</w:t>
      </w:r>
      <w:r w:rsidR="003121D3">
        <w:t xml:space="preserve">tical and socio-economic factors, you must </w:t>
      </w:r>
      <w:r w:rsidR="00AE5BF5">
        <w:t xml:space="preserve">lokma the organisational mission statement and the </w:t>
      </w:r>
      <w:proofErr w:type="gramStart"/>
      <w:r w:rsidR="00AE5BF5">
        <w:t>companies</w:t>
      </w:r>
      <w:proofErr w:type="gramEnd"/>
      <w:r w:rsidR="00AE5BF5">
        <w:t xml:space="preserve"> purpose, following the companies core competencies to identify whether the company has the skills and the drive to accomplish their identified strategic change. </w:t>
      </w:r>
    </w:p>
    <w:p w:rsidR="00AE5BF5" w:rsidRDefault="00AE5BF5" w:rsidP="00AE5BF5">
      <w:pPr>
        <w:pStyle w:val="Heading1"/>
      </w:pPr>
      <w:bookmarkStart w:id="5" w:name="_Toc126067544"/>
      <w:r>
        <w:t>Conclusion</w:t>
      </w:r>
      <w:bookmarkEnd w:id="5"/>
    </w:p>
    <w:p w:rsidR="00AE5BF5" w:rsidRPr="00AE5BF5" w:rsidRDefault="00AE5BF5" w:rsidP="00AE5BF5">
      <w:r>
        <w:t>In conclusion</w:t>
      </w:r>
      <w:r w:rsidR="00233834">
        <w:t>,</w:t>
      </w:r>
      <w:r>
        <w:t xml:space="preserve"> </w:t>
      </w:r>
      <w:r w:rsidR="00233834">
        <w:t xml:space="preserve">analysing </w:t>
      </w:r>
      <w:r w:rsidR="00233834" w:rsidRPr="00233834">
        <w:t>the relationship between environmental change and organisational capability</w:t>
      </w:r>
      <w:r w:rsidR="00233834">
        <w:t xml:space="preserve"> we must conclude that Cambrian Training is in an excellent position for its transition from old combustible engine cars to modern electric or hybrid cars to further its strategic goals and follow its corporate social responsibility in meeting key governmental targets for lowering emissions and carbon footprints to protect the environment. CTC has the infrastructure and governance as well as a mission statement for implementing this change.  </w:t>
      </w:r>
      <w:r w:rsidR="001B78A9">
        <w:t xml:space="preserve">This would be beneficial for the company in developing cost savings for the company as well as following current trends in climate awareness and affecting climate change. This would mean CTC are taking the lead in affecting this type of change within the work-based learning sector. Showing others in our sector that strategic change can be implemented to incorporate new technologies and innovation, maximising the lowering of emissions and following governmental guidance in lowering carbon output to “ Net Zero” by 2050.   </w:t>
      </w:r>
    </w:p>
    <w:p w:rsidR="0017092E" w:rsidRPr="008D2F53" w:rsidRDefault="00A237BD" w:rsidP="00A237BD">
      <w:pPr>
        <w:pStyle w:val="Heading1"/>
      </w:pPr>
      <w:bookmarkStart w:id="6" w:name="_Toc126067545"/>
      <w:r>
        <w:t>Analyse the nature of change and evaluate complex concepts relating to leadership in relation to change management.</w:t>
      </w:r>
      <w:bookmarkEnd w:id="6"/>
      <w:r>
        <w:t xml:space="preserve"> </w:t>
      </w:r>
    </w:p>
    <w:p w:rsidR="008D2F53" w:rsidRDefault="008D2F53" w:rsidP="008D2F53"/>
    <w:p w:rsidR="00A237BD" w:rsidRDefault="00A237BD" w:rsidP="008D2F53">
      <w:r>
        <w:t xml:space="preserve">The nature of change can be daunting for some but challenging for others, it is just a question of </w:t>
      </w:r>
      <w:r w:rsidR="00036177">
        <w:t xml:space="preserve">perspective or </w:t>
      </w:r>
      <w:r>
        <w:t xml:space="preserve">your point of view. Change by </w:t>
      </w:r>
      <w:r w:rsidR="0076106D">
        <w:t>leading theorists can be identified as the transformation and</w:t>
      </w:r>
      <w:r w:rsidR="00036177">
        <w:t xml:space="preserve">/or </w:t>
      </w:r>
      <w:r w:rsidR="0076106D">
        <w:t xml:space="preserve">transition from the past into something new which can provide </w:t>
      </w:r>
      <w:r w:rsidR="00036177">
        <w:t xml:space="preserve">certain </w:t>
      </w:r>
      <w:r w:rsidR="0076106D">
        <w:t>challenges. This would include “Paradox and Transformation” theories. ( Quinn, et al ; 1988)</w:t>
      </w:r>
      <w:r w:rsidR="00036177">
        <w:t xml:space="preserve"> </w:t>
      </w:r>
    </w:p>
    <w:p w:rsidR="00036177" w:rsidRDefault="00036177" w:rsidP="008D2F53">
      <w:r>
        <w:t>“</w:t>
      </w:r>
      <w:r w:rsidRPr="002C7E47">
        <w:rPr>
          <w:i/>
        </w:rPr>
        <w:t>Leadership is about revitalizing the organisation to be more effective over time</w:t>
      </w:r>
      <w:r>
        <w:t xml:space="preserve">” </w:t>
      </w:r>
      <w:r w:rsidRPr="00036177">
        <w:t>(Hayes, 2022)</w:t>
      </w:r>
      <w:r w:rsidR="002C7E47">
        <w:t xml:space="preserve"> This concept would identify the dilemma posed for CTC in their ideology in striving for “Net Zero” emissions and lowering their carbon footprint from their company vehicles by 2050. The implementation of a stratospheric change would be needed to implement this goal. The nature of this change would be seen by the employees of the company as something new and forbearing, in </w:t>
      </w:r>
      <w:r w:rsidR="002C7E47">
        <w:lastRenderedPageBreak/>
        <w:t xml:space="preserve">other words they would already be frozen to their beliefs and values as defined by the theorist Lewin. </w:t>
      </w:r>
    </w:p>
    <w:p w:rsidR="00BC24B2" w:rsidRDefault="00BC24B2" w:rsidP="008D2F53">
      <w:r>
        <w:t xml:space="preserve">If we take change as a construct then the affects of that change for both individual and company are prolific depending on the size and magnitude of the change. Leading theorist </w:t>
      </w:r>
      <w:proofErr w:type="spellStart"/>
      <w:r>
        <w:t>Kubbler</w:t>
      </w:r>
      <w:proofErr w:type="spellEnd"/>
      <w:r>
        <w:t xml:space="preserve">-Ross claimed that the effects of change would inherently affect morale and competence over time, she stated that  there is a clear wave of emotions that one would feel from disbelief to experimentation and finally integration of the new change.  </w:t>
      </w:r>
      <w:r w:rsidRPr="00BC24B2">
        <w:t>(Wright, 2016)</w:t>
      </w:r>
    </w:p>
    <w:p w:rsidR="00BC24B2" w:rsidRDefault="00BC24B2" w:rsidP="008D2F53">
      <w:r>
        <w:rPr>
          <w:noProof/>
        </w:rPr>
        <w:drawing>
          <wp:inline distT="0" distB="0" distL="0" distR="0" wp14:anchorId="1AB9E3F4" wp14:editId="01D2EA2A">
            <wp:extent cx="5731510" cy="3568700"/>
            <wp:effectExtent l="0" t="0" r="2540" b="0"/>
            <wp:docPr id="6" name="Picture 5">
              <a:extLst xmlns:a="http://schemas.openxmlformats.org/drawingml/2006/main">
                <a:ext uri="{FF2B5EF4-FFF2-40B4-BE49-F238E27FC236}">
                  <a16:creationId xmlns:a16="http://schemas.microsoft.com/office/drawing/2014/main" id="{3059A20E-26F0-4379-B540-3B32A831FD7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3059A20E-26F0-4379-B540-3B32A831FD7A}"/>
                        </a:ext>
                      </a:extLst>
                    </pic:cNvPr>
                    <pic:cNvPicPr>
                      <a:picLocks noChangeAspect="1"/>
                    </pic:cNvPicPr>
                  </pic:nvPicPr>
                  <pic:blipFill>
                    <a:blip r:embed="rId6"/>
                    <a:stretch>
                      <a:fillRect/>
                    </a:stretch>
                  </pic:blipFill>
                  <pic:spPr>
                    <a:xfrm>
                      <a:off x="0" y="0"/>
                      <a:ext cx="5731510" cy="3568700"/>
                    </a:xfrm>
                    <a:prstGeom prst="rect">
                      <a:avLst/>
                    </a:prstGeom>
                  </pic:spPr>
                </pic:pic>
              </a:graphicData>
            </a:graphic>
          </wp:inline>
        </w:drawing>
      </w:r>
    </w:p>
    <w:p w:rsidR="008D2F53" w:rsidRDefault="00BC37F3" w:rsidP="008D2F53">
      <w:r w:rsidRPr="00BC37F3">
        <w:t xml:space="preserve">Furthering the theory of change Kotter suggests that to </w:t>
      </w:r>
      <w:proofErr w:type="gramStart"/>
      <w:r w:rsidRPr="00BC37F3">
        <w:t>effect</w:t>
      </w:r>
      <w:proofErr w:type="gramEnd"/>
      <w:r w:rsidRPr="00BC37F3">
        <w:t xml:space="preserve"> any kind of change then you need to follow the 8 steps for leading change which include forming a strategic vision and enabling action by creating and following that vision by enlisting others to buy into the vision and share their thoughts to others creating an ever increasing circle buying into that shared strategic vision. (kotter2022, 2022)</w:t>
      </w:r>
    </w:p>
    <w:p w:rsidR="00BC37F3" w:rsidRDefault="00BC37F3" w:rsidP="008D2F53">
      <w:r>
        <w:t xml:space="preserve">One could argue that the changes proposed by CTC in their renewal of their fleet of vehicles could be a shock to its employees, but with time their experimental use of the new cars could prove beneficial and eventually they would be integrated into the main business of CTC. </w:t>
      </w:r>
    </w:p>
    <w:p w:rsidR="00BC37F3" w:rsidRDefault="00BC37F3" w:rsidP="008D2F53">
      <w:r>
        <w:t xml:space="preserve">Kotter also suggested that the negatives of change for an organisation could include the underestimation of vision both from the directors and the employees. </w:t>
      </w:r>
      <w:proofErr w:type="gramStart"/>
      <w:r>
        <w:t>Furthermore</w:t>
      </w:r>
      <w:proofErr w:type="gramEnd"/>
      <w:r>
        <w:t xml:space="preserve"> there could be a lack of effective communication between the directors and the employees creating a resentment of the new vehicles. </w:t>
      </w:r>
    </w:p>
    <w:p w:rsidR="00BC37F3" w:rsidRDefault="002D59C4" w:rsidP="008D2F53">
      <w:r>
        <w:t>However, i</w:t>
      </w:r>
      <w:r w:rsidR="00BC37F3">
        <w:t xml:space="preserve">n research conducted by </w:t>
      </w:r>
      <w:proofErr w:type="spellStart"/>
      <w:r w:rsidR="00BC37F3">
        <w:t>Audia</w:t>
      </w:r>
      <w:proofErr w:type="spellEnd"/>
      <w:r w:rsidR="00BC37F3">
        <w:t xml:space="preserve">, Locke and Smith (2000) whereby 2 studies concluded </w:t>
      </w:r>
      <w:r>
        <w:t xml:space="preserve">greater past successes lead to greater persistence in the development of greater changes which in time led to greater decline in performance </w:t>
      </w:r>
    </w:p>
    <w:p w:rsidR="008B7CCD" w:rsidRDefault="002D59C4" w:rsidP="008D2F53">
      <w:r>
        <w:t xml:space="preserve">The nature of change is such that it is constantly changing, if we take </w:t>
      </w:r>
      <w:r w:rsidRPr="002D59C4">
        <w:t xml:space="preserve">Pettigrew et al. (2001), who suggested that </w:t>
      </w:r>
      <w:r>
        <w:t>the leaders and directors of CTC should consider the</w:t>
      </w:r>
      <w:r w:rsidRPr="002D59C4">
        <w:t xml:space="preserve"> context, content, process, and </w:t>
      </w:r>
      <w:r w:rsidRPr="002D59C4">
        <w:lastRenderedPageBreak/>
        <w:t>outcomes when studying change</w:t>
      </w:r>
      <w:r>
        <w:t xml:space="preserve">, so this would mitigate the necessity for change of its vehicle fleet to a cleaner and greener </w:t>
      </w:r>
      <w:r w:rsidR="008B7CCD">
        <w:t>fleet</w:t>
      </w:r>
      <w:r>
        <w:t>.</w:t>
      </w:r>
    </w:p>
    <w:p w:rsidR="004A414F" w:rsidRDefault="004A414F" w:rsidP="008D2F53">
      <w:r>
        <w:t xml:space="preserve">Another nature of change is the </w:t>
      </w:r>
      <w:proofErr w:type="spellStart"/>
      <w:r>
        <w:t>Prosci</w:t>
      </w:r>
      <w:proofErr w:type="spellEnd"/>
      <w:r>
        <w:t xml:space="preserve"> 3 phase process to change, where there are three clearly defined actions to the change process, Approach, Change and sustain. It could be argued that if these three phases are managed correctly then the transition to a new change and approach should be smooth and seamless. </w:t>
      </w:r>
      <w:r w:rsidRPr="004A414F">
        <w:t>(</w:t>
      </w:r>
      <w:proofErr w:type="spellStart"/>
      <w:r w:rsidRPr="004A414F">
        <w:t>Prosci</w:t>
      </w:r>
      <w:proofErr w:type="spellEnd"/>
      <w:r w:rsidRPr="004A414F">
        <w:t>, 2022)</w:t>
      </w:r>
    </w:p>
    <w:p w:rsidR="00C40961" w:rsidRDefault="00C40961" w:rsidP="008D2F53">
      <w:r>
        <w:t xml:space="preserve">Leaders ( in this case study, the directors of CTC) should have emotional intelligence to review and deliver any changes with the support of all its employees. Emotional intelligence can be defined as having empathy with others and identifying the feelings others have including any reservations about the pending change. This would give the leaders the opportunity to have emotional intelligence and deliver the change taking on board all feelings of the employees and their reservations. </w:t>
      </w:r>
      <w:r w:rsidRPr="00C40961">
        <w:t>(Goleman, 2020)</w:t>
      </w:r>
    </w:p>
    <w:p w:rsidR="0047349C" w:rsidRDefault="0047349C" w:rsidP="008D2F53">
      <w:r>
        <w:t>The directors of CTC decided when it was time for a decision to be made about the purchase of new felt vehicles</w:t>
      </w:r>
      <w:r w:rsidR="00ED5107">
        <w:t xml:space="preserve">. The directors of CTC liaised with stakeholders Toyota </w:t>
      </w:r>
      <w:proofErr w:type="spellStart"/>
      <w:r w:rsidR="00ED5107">
        <w:t>Builth</w:t>
      </w:r>
      <w:proofErr w:type="spellEnd"/>
      <w:r w:rsidR="00ED5107">
        <w:t xml:space="preserve"> and realised that after testing a number of vehicles it came down to the Toyota Yaris hybrid and the Toyota BZ4X. CTC </w:t>
      </w:r>
      <w:r>
        <w:t xml:space="preserve"> set up command groups/ steering groups, whereby a small proportion of those who would be using the new cars test drove the cars to see </w:t>
      </w:r>
      <w:r w:rsidR="004365EA">
        <w:t xml:space="preserve">their performance, comfort and reliability as well as serviceability and cost effectiveness. The steering group noted </w:t>
      </w:r>
      <w:r>
        <w:t xml:space="preserve">if they were effective and manageable for CTC, reporting their findings back to the board of directors with the results.  </w:t>
      </w:r>
    </w:p>
    <w:p w:rsidR="0047349C" w:rsidRDefault="0047349C" w:rsidP="008D2F53">
      <w:r>
        <w:t xml:space="preserve">The command group identified causes for concern, this being fully EV cars had limited range for the day to day tasks required to be carried out by the training officers ( going to see learners) and they spent more time re-charging that they would normally with petrol cars, thus making their working day longer. </w:t>
      </w:r>
      <w:r w:rsidR="004365EA">
        <w:t xml:space="preserve">It was also noted that the worrying discernment of the charging points could be problematic for mid and North Wales employees with fewer recharging points in those areas compared to South Wales. </w:t>
      </w:r>
    </w:p>
    <w:p w:rsidR="0047349C" w:rsidRDefault="0047349C" w:rsidP="008D2F53">
      <w:r>
        <w:t xml:space="preserve">The directors also set up a communications group which would communicate all aspects of the trials back to the employees. </w:t>
      </w:r>
    </w:p>
    <w:p w:rsidR="0047349C" w:rsidRDefault="0047349C" w:rsidP="008D2F53">
      <w:r>
        <w:t xml:space="preserve">After numerous testing it was concluded that hybrid EV cars worked best for employees but fully EV cars could be adopted by the managers and directors. </w:t>
      </w:r>
    </w:p>
    <w:p w:rsidR="000625B0" w:rsidRDefault="000625B0" w:rsidP="000625B0">
      <w:pPr>
        <w:pStyle w:val="Heading1"/>
      </w:pPr>
      <w:bookmarkStart w:id="7" w:name="_Toc126067546"/>
      <w:r>
        <w:t>Conclusion</w:t>
      </w:r>
      <w:bookmarkEnd w:id="7"/>
    </w:p>
    <w:p w:rsidR="000625B0" w:rsidRDefault="000625B0" w:rsidP="000625B0">
      <w:r>
        <w:t xml:space="preserve">In my opinion the leadership of CTC have correctly assessed their operational strategy with regards to implementing a new change, this would fall in line with government rhetoric regarding emissions and CO2 reduction to meet the “NET ZERO” policy set out by the government for 2050. CTC have a corporate and social responsibility to implement changes that would benefit climate change. The board of director set up steering and command groups having identified trials of both fully electric and hybrid cars for their new fleet. The directors assessed their options to go greener and carbon neutral, this has a big impact on leasing costs for the company and </w:t>
      </w:r>
      <w:r w:rsidR="000C428F">
        <w:t xml:space="preserve">they took a big risk in their decision to go greener with their vehicle fleet. This </w:t>
      </w:r>
      <w:r>
        <w:t xml:space="preserve">demonstrated a commitment to protecting the climate </w:t>
      </w:r>
      <w:r w:rsidR="000C428F">
        <w:t xml:space="preserve">and following their corporate and social responsibility for the work-based learning sector to go greener. </w:t>
      </w:r>
    </w:p>
    <w:p w:rsidR="000C428F" w:rsidRPr="000625B0" w:rsidRDefault="000C428F" w:rsidP="000625B0">
      <w:r>
        <w:t xml:space="preserve">Throughout the process of trailing the vehicles feedback was given to the directors which was fed back to all staff via the weekly communications bulletins about their intentions so it would gain the commitment of the staff when this was being rolled out. </w:t>
      </w:r>
    </w:p>
    <w:p w:rsidR="004A414F" w:rsidRDefault="004A414F" w:rsidP="004A414F">
      <w:pPr>
        <w:pStyle w:val="Heading1"/>
      </w:pPr>
      <w:bookmarkStart w:id="8" w:name="_Toc126067547"/>
      <w:r>
        <w:lastRenderedPageBreak/>
        <w:t>Explore contemporary issues and their impact on business management</w:t>
      </w:r>
      <w:bookmarkEnd w:id="8"/>
    </w:p>
    <w:p w:rsidR="00C40961" w:rsidRDefault="00C40961" w:rsidP="00C40961"/>
    <w:p w:rsidR="00C40961" w:rsidRDefault="00C40961" w:rsidP="00C40961">
      <w:r>
        <w:t xml:space="preserve">The main contemporary issue facing CTC in defining its corporate and social responsibility , especially relating to this report is climate change and the need to reduce carbon emissions following governmental guidelines for “Net Zero” by 2050, with consequences for business being sanctions, fines or worst if they fail to implement the agreement to lower their carbon offsetting. </w:t>
      </w:r>
    </w:p>
    <w:p w:rsidR="00C40961" w:rsidRDefault="00C40961" w:rsidP="00C40961">
      <w:r>
        <w:t xml:space="preserve">To meet the Paris agreement most </w:t>
      </w:r>
      <w:r w:rsidR="009F5DE5">
        <w:t>countries,</w:t>
      </w:r>
      <w:r>
        <w:t xml:space="preserve"> need to reduce their CO2 emissions </w:t>
      </w:r>
      <w:r w:rsidR="009F5DE5">
        <w:t xml:space="preserve">drastically over the coming years to meet the need for climate change. Many debates whether EV (Electric Vehicle) will actually lower the CO2 emissions, and there are two clear distinct camps, those maintaining the positives for EV cars and those who argue the construction and use of EV cars is detrimental to the environment. Neither side of the argument are wholly valid, but nether side have conclusive proof and evidence of their argument.  </w:t>
      </w:r>
      <w:r w:rsidR="009F5DE5" w:rsidRPr="009F5DE5">
        <w:t>(Olsson, 2019)</w:t>
      </w:r>
    </w:p>
    <w:p w:rsidR="009F5DE5" w:rsidRDefault="009F5DE5" w:rsidP="00C40961">
      <w:r>
        <w:t xml:space="preserve">Clearly the running costs of the EV’s is lower than that of a normal combustion engine, and the emissions are next to zero, so for CTC the running costs of EV or hybrid vehicles is a benefit to the profitability of the business. Another benefit of EV or hybrid is the cleaner and greener posture they have, demonstrating the </w:t>
      </w:r>
      <w:proofErr w:type="gramStart"/>
      <w:r>
        <w:t>companies</w:t>
      </w:r>
      <w:proofErr w:type="gramEnd"/>
      <w:r>
        <w:t xml:space="preserve"> commitment to climate change and sustainability and also demonstrating their greener corporate social responsibility reporting. (Rivervaleleasing.com, 2023)</w:t>
      </w:r>
    </w:p>
    <w:p w:rsidR="00A86B71" w:rsidRDefault="00A86B71" w:rsidP="00C40961">
      <w:r>
        <w:t xml:space="preserve">However, EV cars take more emissions to construct, with mining lithium and cobalt. One could argue that what emissions are used to recharge the EV from the electric grid. Do they use fossil fuels in their power stations? Or even worst nuclear reactors to power the electric stations that generate the electricity to recharge the EV? </w:t>
      </w:r>
      <w:r w:rsidR="00EA207C">
        <w:t xml:space="preserve">In the trials for car replacements many considerations were thought, these included recharging points for fully electric vehicles and whether this would be a cost-effective strategy for front line delivery staff to be waiting around whilst their cars re-charged themselves and not being very productive. This was problematic for the trials as many </w:t>
      </w:r>
      <w:proofErr w:type="gramStart"/>
      <w:r w:rsidR="00EA207C">
        <w:t>front line</w:t>
      </w:r>
      <w:proofErr w:type="gramEnd"/>
      <w:r w:rsidR="00EA207C">
        <w:t xml:space="preserve"> staff drive over 150 miles to see learners, this would mean finding a recharging point as the majority of EV cars only had a range of 198 miles. </w:t>
      </w:r>
    </w:p>
    <w:p w:rsidR="00A86B71" w:rsidRDefault="00A86B71" w:rsidP="00C40961">
      <w:r>
        <w:t xml:space="preserve">Another consideration is the life expectancy of the batteries of the EV, Renault have a lifetime expectancy of 15 years, then you have to renew the battery at a cost of around £15,000. </w:t>
      </w:r>
      <w:r w:rsidR="00C779D4">
        <w:t xml:space="preserve">                      ( Renault.com, 2023).  The main consideration apart from protecting the environment is actual cost, the lowest EV car to buy is around £35,000  whereas a normal combustion engine car is around £25,000. So, there is a substantial investment from companies wanting to promote their green agenda.  (Bunce et al, 2014) concluded a study on electric cars in the UK and found that the majority of sample studies found a reduction in of people believing that EV cars were greener. </w:t>
      </w:r>
    </w:p>
    <w:p w:rsidR="00CB11E3" w:rsidRDefault="00CB11E3" w:rsidP="00C40961">
      <w:r>
        <w:t xml:space="preserve">To offset the higher cost of purchase the government are offering an EV grant to anyone wanting to buy an electric vehicle of up to £2,500. This would help with the cost to CTC for buying a fleet of hybrid/fully electric cars and help with the purchasing of the vehicles. </w:t>
      </w:r>
    </w:p>
    <w:p w:rsidR="000C428F" w:rsidRDefault="000C428F" w:rsidP="00C40961">
      <w:r>
        <w:t>As we can see from the PESTEL analysis the politics and social factors that surround the use of electric cars as a way of going greener and lowering CO2 emissions is a worldwide problem</w:t>
      </w:r>
      <w:r w:rsidR="00FD7754">
        <w:t xml:space="preserve">, but changing a whole fleet can be expensive. </w:t>
      </w:r>
      <w:r w:rsidR="00E83424">
        <w:t>However,</w:t>
      </w:r>
      <w:r w:rsidR="00FD7754">
        <w:t xml:space="preserve"> CTC have demonstrated they intend to face this contemporary issue head on and  be the sector leaders in the implementation of greener and </w:t>
      </w:r>
      <w:r w:rsidR="00E83424">
        <w:t>eco-friendlier</w:t>
      </w:r>
      <w:r w:rsidR="00FD7754">
        <w:t xml:space="preserve"> fleet of vehicles that service their industry. A good example of this in other sectors are the </w:t>
      </w:r>
      <w:r w:rsidR="00FD7754">
        <w:lastRenderedPageBreak/>
        <w:t xml:space="preserve">likes of Disney, Nike, Apple who have all announced their major environmental programs to help promote a greener and more sustainable company dynamic. </w:t>
      </w:r>
      <w:r w:rsidR="00FD7754" w:rsidRPr="00FD7754">
        <w:t>(Matthews, 2021)</w:t>
      </w:r>
    </w:p>
    <w:p w:rsidR="00AF7477" w:rsidRDefault="00AF7477" w:rsidP="00AF7477">
      <w:pPr>
        <w:pStyle w:val="Heading1"/>
      </w:pPr>
      <w:bookmarkStart w:id="9" w:name="_Toc126067548"/>
      <w:r>
        <w:t>Conclusion</w:t>
      </w:r>
      <w:bookmarkEnd w:id="9"/>
    </w:p>
    <w:p w:rsidR="00AF7477" w:rsidRPr="00AF7477" w:rsidRDefault="00AF7477" w:rsidP="00AF7477">
      <w:r>
        <w:t>One of the most disturbing issue we face today is that of climate change, to protect the plane</w:t>
      </w:r>
      <w:r w:rsidR="00E83424">
        <w:t>t</w:t>
      </w:r>
      <w:r>
        <w:t xml:space="preserve"> at all costs is one of the governments targets for lowering emissions by both 2030 and “Net Zero” carbon emissions by 2050. By adopting a new change to challenge the emissions</w:t>
      </w:r>
      <w:r w:rsidR="00E83424">
        <w:t xml:space="preserve"> problem, </w:t>
      </w:r>
      <w:r>
        <w:t>CTC have taken the lead in being instrumental in delivering their promise from their corporate and social responsibility and strategic report. To implement a fleet of hybrid electric cars for front line delivery staff and fully electric cars for all managers and directors, this demonstrates that CTC have understood and addressed the current contemporary issues of climate controls</w:t>
      </w:r>
      <w:r w:rsidR="00E83424">
        <w:t xml:space="preserve"> and the issues faced by companies to be greener. </w:t>
      </w:r>
      <w:r>
        <w:t xml:space="preserve"> </w:t>
      </w:r>
    </w:p>
    <w:p w:rsidR="004A414F" w:rsidRDefault="004A414F" w:rsidP="004A414F"/>
    <w:p w:rsidR="0047349C" w:rsidRDefault="004A414F" w:rsidP="00255DFA">
      <w:pPr>
        <w:pStyle w:val="Heading1"/>
      </w:pPr>
      <w:bookmarkStart w:id="10" w:name="_Toc126067549"/>
      <w:r>
        <w:t>Analyse and evaluate the relationship between organisational culture and change</w:t>
      </w:r>
      <w:bookmarkEnd w:id="10"/>
    </w:p>
    <w:p w:rsidR="00255DFA" w:rsidRDefault="00EA207C" w:rsidP="00255DFA">
      <w:r>
        <w:t>The values, attitudes and beliefs of CTC are available of their website, through governance and developing a culture through their mission statement “ Engage, Inspire, Lead” This ethos is delivered everyday through their dedicated training officers who deliver the work-based apprenticeships throughout the country. Some of the driving forces for organisational change include workforce diversity, economic developments outside of the business, technology (</w:t>
      </w:r>
      <w:proofErr w:type="spellStart"/>
      <w:r>
        <w:t>Scandura</w:t>
      </w:r>
      <w:proofErr w:type="spellEnd"/>
      <w:r>
        <w:t xml:space="preserve">, T.A, 2018 p.289), but </w:t>
      </w:r>
      <w:proofErr w:type="spellStart"/>
      <w:r>
        <w:t>Scandura</w:t>
      </w:r>
      <w:proofErr w:type="spellEnd"/>
      <w:r>
        <w:t xml:space="preserve"> failed to realise and mention other driving forces that are contemporary issues faced by modern day companies like the global reduction in CO2 emissions to reduce the emissions output and minimalize their carbon footprint. </w:t>
      </w:r>
    </w:p>
    <w:p w:rsidR="00EA207C" w:rsidRDefault="00EA207C" w:rsidP="00255DFA">
      <w:r>
        <w:t xml:space="preserve">Lewin has described the freezing stage when companies are happy to be where they are and are not challenging themselves to change, if we take this model for CTC then they have unfrozen and are </w:t>
      </w:r>
      <w:r w:rsidR="00334BDD">
        <w:t xml:space="preserve">currently re-freezing the new roll out of the hybrid – electric cars that are now being used by front line staff. Kotter suggested that forming a strategic vision was essential in the development of change, I would agree with this as CTC made the strategic decision to “Go Greener” and communicated this with all their staff. As described the </w:t>
      </w:r>
      <w:proofErr w:type="spellStart"/>
      <w:r w:rsidR="00334BDD">
        <w:t>Kubbler</w:t>
      </w:r>
      <w:proofErr w:type="spellEnd"/>
      <w:r w:rsidR="00334BDD">
        <w:t xml:space="preserve">-Ross change curve states that staff could have had a shock and experiences frustration with change, however this was not the case with CTC. All staff embraced the new challenge and change and wanted to get on board with the new systems of working, for my colleagues and I went straight to the experimentation and integration stage, which Lewin suggested as the unfreezing and re-freezing of the new change. </w:t>
      </w:r>
    </w:p>
    <w:p w:rsidR="003F425A" w:rsidRPr="00255DFA" w:rsidRDefault="00CB11E3" w:rsidP="006A06B1">
      <w:r w:rsidRPr="00CB11E3">
        <w:t>(Admin, 1970)</w:t>
      </w:r>
      <w:r>
        <w:t xml:space="preserve"> Hodson suggests that the transitional curve related to change goes from negation to resolution, I would say that CTC, through demonstrating their desire to commit to change and help climate controls, and having communicated their desires to their staff succeeded in setting a clear goal and achieved that goal. All staff have committed to the new ways of working and enjoy the benefits that hybrid cars bring both for the company and protecting the environment. </w:t>
      </w:r>
    </w:p>
    <w:p w:rsidR="002D59C4" w:rsidRDefault="002D59C4" w:rsidP="008D2F53">
      <w:r>
        <w:t xml:space="preserve"> </w:t>
      </w:r>
    </w:p>
    <w:p w:rsidR="002D59C4" w:rsidRDefault="002D59C4" w:rsidP="008D2F53"/>
    <w:p w:rsidR="008D2F53" w:rsidRDefault="008D2F53" w:rsidP="008D2F53">
      <w:pPr>
        <w:pStyle w:val="Heading1"/>
      </w:pPr>
      <w:bookmarkStart w:id="11" w:name="_Toc126067550"/>
      <w:r w:rsidRPr="008D2F53">
        <w:lastRenderedPageBreak/>
        <w:t>Evaluate how organisational stakeholders can be efficiently led through complex workplace change</w:t>
      </w:r>
      <w:bookmarkEnd w:id="11"/>
      <w:r w:rsidRPr="008D2F53">
        <w:t xml:space="preserve">   </w:t>
      </w:r>
    </w:p>
    <w:p w:rsidR="008D6D57" w:rsidRDefault="008D6D57" w:rsidP="0047349C">
      <w:r>
        <w:t>Stakeholder analysis was conducted having identified the stakeholders, prioritising the stakeholders</w:t>
      </w:r>
      <w:r w:rsidR="00731CDB">
        <w:t xml:space="preserve">. Using the (Mitchell, R.K, et al 1997) stakeholder prioritising chart key stakeholders were identified, informed and managed.   </w:t>
      </w:r>
    </w:p>
    <w:p w:rsidR="0047349C" w:rsidRDefault="00F12B00" w:rsidP="0047349C">
      <w:r>
        <w:t xml:space="preserve">Stakeholders for CTC are its customers, the employers who take on apprenticeships and want CTC to deliver that apprenticeship, banks who invest in CTC, employees of CTC. Everybody who has a vested interest in the company. </w:t>
      </w:r>
      <w:proofErr w:type="spellStart"/>
      <w:r w:rsidRPr="00F12B00">
        <w:t>Levicki</w:t>
      </w:r>
      <w:proofErr w:type="spellEnd"/>
      <w:r w:rsidRPr="00F12B00">
        <w:t>, C. (</w:t>
      </w:r>
      <w:r>
        <w:t>2003)</w:t>
      </w:r>
    </w:p>
    <w:p w:rsidR="00F12B00" w:rsidRDefault="00F12B00" w:rsidP="0047349C">
      <w:r>
        <w:t xml:space="preserve">The complex change CTC faced was the rising cost of traditional fuel, an aging fleet of vehicles within the company, the drive for “Greener” sources of fuel and the need for a reduction in CO2 emissions to fall in line with governmental directives for “Net Zero” by 2050. </w:t>
      </w:r>
    </w:p>
    <w:p w:rsidR="00E816D1" w:rsidRDefault="00E816D1" w:rsidP="0047349C">
      <w:r>
        <w:t xml:space="preserve">A project team for the car trials was set up, who would report back to the board of directors with their findings. After extensive testing of a number of vehicles it was concluded that the </w:t>
      </w:r>
      <w:r w:rsidR="008D6D57" w:rsidRPr="008D6D57">
        <w:t>Toyota Yaris hybrid car</w:t>
      </w:r>
      <w:r w:rsidR="008D6D57">
        <w:t xml:space="preserve"> was </w:t>
      </w:r>
      <w:r w:rsidR="008D6D57" w:rsidRPr="008D6D57">
        <w:t>one of the most energy-efficient on the market</w:t>
      </w:r>
      <w:r w:rsidR="008D6D57">
        <w:t xml:space="preserve"> and would suit the needs of the </w:t>
      </w:r>
      <w:proofErr w:type="gramStart"/>
      <w:r w:rsidR="008D6D57">
        <w:t>front line</w:t>
      </w:r>
      <w:proofErr w:type="gramEnd"/>
      <w:r w:rsidR="008D6D57">
        <w:t xml:space="preserve"> delivery staff by being a hybrid it had the range needed to complete a day’s work, also being a hybrid there would be ample opportunities for re-filling rather that re-charging. </w:t>
      </w:r>
    </w:p>
    <w:p w:rsidR="008D6D57" w:rsidRDefault="008D6D57" w:rsidP="0047349C">
      <w:r>
        <w:t xml:space="preserve">CTC also communicated with Toyota in </w:t>
      </w:r>
      <w:proofErr w:type="spellStart"/>
      <w:r>
        <w:t>Builth</w:t>
      </w:r>
      <w:proofErr w:type="spellEnd"/>
      <w:r>
        <w:t xml:space="preserve"> Wells who supported the change. And with constant dialogue between CTC and Toyota </w:t>
      </w:r>
      <w:proofErr w:type="spellStart"/>
      <w:r>
        <w:t>Builth</w:t>
      </w:r>
      <w:proofErr w:type="spellEnd"/>
      <w:r>
        <w:t xml:space="preserve"> the steering group together with CTC finance and admin team secured a good bargain price for the leasing of the vehicles needed for CTC’s operation. </w:t>
      </w:r>
    </w:p>
    <w:p w:rsidR="008D6D57" w:rsidRDefault="008D6D57" w:rsidP="0047349C">
      <w:r>
        <w:t xml:space="preserve">During the negotiations it was decided that CTC branding and logos would be needed for the vehicles, and Toyota </w:t>
      </w:r>
      <w:proofErr w:type="spellStart"/>
      <w:r>
        <w:t>Builth</w:t>
      </w:r>
      <w:proofErr w:type="spellEnd"/>
      <w:r>
        <w:t xml:space="preserve"> agreed to pay for any branding on the cars and agreed a servicing plan for all the fleet vehicles for any Toyota garage in Wales. </w:t>
      </w:r>
    </w:p>
    <w:p w:rsidR="008D6D57" w:rsidRDefault="008D6D57" w:rsidP="0047349C">
      <w:r>
        <w:t xml:space="preserve">External stakeholders like the general public would only be made aware of CTC’s vehicle fleet transition when they had already been rolled out. With a big media events conducted with the fleet of cars, directors of the company and the trials and command steering group conducting social media events across Wales to showcase the new fleet of eco-friendly and climate friendly vehicles with the CTC branding. </w:t>
      </w:r>
    </w:p>
    <w:p w:rsidR="00731CDB" w:rsidRDefault="00731CDB" w:rsidP="0047349C">
      <w:r>
        <w:t>There was no conflict or any negative behaviours during the trials and leading the stakeholders through this change as identified by (</w:t>
      </w:r>
      <w:r w:rsidRPr="00731CDB">
        <w:t>Dawson, P. &amp; Constantine, A. (2018) p.589</w:t>
      </w:r>
      <w:r>
        <w:t>).</w:t>
      </w:r>
    </w:p>
    <w:p w:rsidR="00731CDB" w:rsidRDefault="00731CDB" w:rsidP="00731CDB">
      <w:r>
        <w:t xml:space="preserve">I would agree with </w:t>
      </w:r>
      <w:r w:rsidR="001670C2">
        <w:t>(</w:t>
      </w:r>
      <w:proofErr w:type="spellStart"/>
      <w:r w:rsidRPr="00731CDB">
        <w:t>Deszca</w:t>
      </w:r>
      <w:proofErr w:type="spellEnd"/>
      <w:r w:rsidRPr="00731CDB">
        <w:t xml:space="preserve">, </w:t>
      </w:r>
      <w:proofErr w:type="spellStart"/>
      <w:r w:rsidRPr="00731CDB">
        <w:t>Ingols</w:t>
      </w:r>
      <w:proofErr w:type="spellEnd"/>
      <w:r w:rsidRPr="00731CDB">
        <w:t xml:space="preserve"> &amp; </w:t>
      </w:r>
      <w:proofErr w:type="spellStart"/>
      <w:r w:rsidRPr="00731CDB">
        <w:t>Cawsey</w:t>
      </w:r>
      <w:proofErr w:type="spellEnd"/>
      <w:r w:rsidRPr="00731CDB">
        <w:t>, 2019)</w:t>
      </w:r>
      <w:r w:rsidR="001670C2">
        <w:t xml:space="preserve"> that the command and steering group were trusted to have the </w:t>
      </w:r>
      <w:proofErr w:type="gramStart"/>
      <w:r w:rsidR="001670C2">
        <w:t>employees</w:t>
      </w:r>
      <w:proofErr w:type="gramEnd"/>
      <w:r w:rsidR="001670C2">
        <w:t xml:space="preserve"> greater interest, but were influential in disseminating the information back to other employees. This </w:t>
      </w:r>
      <w:proofErr w:type="gramStart"/>
      <w:r w:rsidR="001670C2">
        <w:t>lead</w:t>
      </w:r>
      <w:proofErr w:type="gramEnd"/>
      <w:r w:rsidR="001670C2">
        <w:t xml:space="preserve"> to employees also accepted the change in a positive and accepting manner. </w:t>
      </w:r>
    </w:p>
    <w:p w:rsidR="00D568FD" w:rsidRDefault="00D568FD" w:rsidP="00D568FD">
      <w:pPr>
        <w:pStyle w:val="Heading1"/>
      </w:pPr>
      <w:bookmarkStart w:id="12" w:name="_Toc126067551"/>
      <w:r>
        <w:t>Conclusion</w:t>
      </w:r>
      <w:bookmarkEnd w:id="12"/>
    </w:p>
    <w:p w:rsidR="0047349C" w:rsidRDefault="003B4C48" w:rsidP="0047349C">
      <w:r>
        <w:t xml:space="preserve">In my opinion CTC had the right ideas and the right people doing the right things at the right time. The </w:t>
      </w:r>
      <w:r w:rsidR="00B24A2B">
        <w:t xml:space="preserve">change from traditional fossil fuelled cars to hybrid and full electric was consulted with staff at every level, with key decisions being made by the board of directors then communicated with staff to prevent what </w:t>
      </w:r>
      <w:proofErr w:type="spellStart"/>
      <w:r w:rsidR="00B24A2B">
        <w:t>Kubbler</w:t>
      </w:r>
      <w:proofErr w:type="spellEnd"/>
      <w:r w:rsidR="00B24A2B">
        <w:t>-Ross describes as shock, frustration and depression. These were avoided by continual communication between all the stakeholders. Feedback was being given back to the directors by the trialling steering/command group</w:t>
      </w:r>
      <w:r w:rsidR="00980EED">
        <w:t xml:space="preserve">, this was also fed back to every member of staff. </w:t>
      </w:r>
    </w:p>
    <w:p w:rsidR="0047349C" w:rsidRDefault="0047349C" w:rsidP="0047349C"/>
    <w:p w:rsidR="0047349C" w:rsidRDefault="00D568FD" w:rsidP="0047349C">
      <w:pPr>
        <w:pStyle w:val="Heading1"/>
      </w:pPr>
      <w:bookmarkStart w:id="13" w:name="_Toc126067552"/>
      <w:r>
        <w:lastRenderedPageBreak/>
        <w:t xml:space="preserve">Final </w:t>
      </w:r>
      <w:r w:rsidR="0047349C">
        <w:t>Conclusion</w:t>
      </w:r>
      <w:bookmarkEnd w:id="13"/>
    </w:p>
    <w:p w:rsidR="0047349C" w:rsidRDefault="00B91C8E" w:rsidP="0047349C">
      <w:r>
        <w:t xml:space="preserve">As traditional fuels like petrol and diesel continue to rise, in my opinion CTC has delivered on their promise to be “Net Zero” by 2050, and one way of helping to achieve this is to re-structure their fleet of vehicles. It was decided back in 2018 that CTC would use hybrid and electric cars as part of their drive for net zero, to reduce the emissions that the company produce and lower their carbon footprint in line with governmental guidelines. The Welsh Governments Electric Vehicle charging Action plan is set to roll out within the next year ( 2023) and will enable electric cars to have more re-charging points all across Wales making it better for anyone with al electric car to recharge. </w:t>
      </w:r>
      <w:r w:rsidR="006A06B1">
        <w:t xml:space="preserve">Currently there are around 1,500 charge points across Wales, in addition The Welsh Government has approved a further 55,000 fast charge points by 2030. </w:t>
      </w:r>
    </w:p>
    <w:p w:rsidR="003B4C48" w:rsidRDefault="006A06B1" w:rsidP="0047349C">
      <w:r>
        <w:t xml:space="preserve">The initial cost of leasing would be integrated into CTC’s annual accounts with grants and </w:t>
      </w:r>
      <w:r w:rsidR="003B4C48">
        <w:t xml:space="preserve">incentives </w:t>
      </w:r>
      <w:r>
        <w:t xml:space="preserve">being recorded, moving from traditional fuels to hybrid and full electric </w:t>
      </w:r>
      <w:r w:rsidRPr="006A06B1">
        <w:t xml:space="preserve">would be beneficial for the company in developing cost savings for </w:t>
      </w:r>
      <w:r>
        <w:t>CTC</w:t>
      </w:r>
      <w:r w:rsidRPr="006A06B1">
        <w:t xml:space="preserve"> as well as following current trends in climate awareness and </w:t>
      </w:r>
      <w:r>
        <w:t xml:space="preserve"> developing a key strategy to minimise </w:t>
      </w:r>
      <w:r w:rsidRPr="006A06B1">
        <w:t xml:space="preserve">climate change. This would mean CTC are taking the lead in affecting this type of change within the work-based learning sector. Showing others in our sector that strategic change can be implemented to incorporate new technologies and innovation, maximising the lowering of emissions and following governmental guidance in lowering carbon output to “ Net Zero” by 2050.  </w:t>
      </w:r>
    </w:p>
    <w:p w:rsidR="006A06B1" w:rsidRDefault="003B4C48" w:rsidP="0047349C">
      <w:r>
        <w:t xml:space="preserve">For the managers and above who will utilise the full electric vehicles , depending on the tariff, mileage and being able to charge whilst in work it is estimated that savings of up to £200 per week could be made with an annual saving of around £1000 per vehicle compared to traditional fuels. </w:t>
      </w:r>
    </w:p>
    <w:p w:rsidR="0001718E" w:rsidRDefault="00ED5107" w:rsidP="0001718E">
      <w:r>
        <w:t xml:space="preserve">During the un-freezing </w:t>
      </w:r>
      <w:proofErr w:type="gramStart"/>
      <w:r>
        <w:t>stage</w:t>
      </w:r>
      <w:proofErr w:type="gramEnd"/>
      <w:r>
        <w:t xml:space="preserve"> it was evident that staff commitment was on board and through effective communication all staff were on board with the change. With cost of living expenses increasing CTC decided that all </w:t>
      </w:r>
      <w:proofErr w:type="gramStart"/>
      <w:r>
        <w:t>front line</w:t>
      </w:r>
      <w:proofErr w:type="gramEnd"/>
      <w:r>
        <w:t xml:space="preserve"> staff should use a shared pool car all week to minimise the cost to each employee traveling back and forth to their place of work, this was a contributing factor in staff realising the potential savings from CTC and themselves and got the staff motivated and engaged with the new change. If we take </w:t>
      </w:r>
      <w:proofErr w:type="spellStart"/>
      <w:r>
        <w:t>Lewins</w:t>
      </w:r>
      <w:proofErr w:type="spellEnd"/>
      <w:r>
        <w:t xml:space="preserve"> theory then </w:t>
      </w:r>
      <w:r w:rsidRPr="00ED5107">
        <w:t>CTC then they have unfrozen and are currently re-freezing the new roll out of the hybrid – electric cars that are now being used by front line staff</w:t>
      </w:r>
      <w:r>
        <w:t xml:space="preserve"> to great success. </w:t>
      </w:r>
    </w:p>
    <w:p w:rsidR="004365EA" w:rsidRDefault="004365EA" w:rsidP="0001718E">
      <w:r>
        <w:t>Having analysed and evaluated CTC’s delivery of a complex change i</w:t>
      </w:r>
      <w:r w:rsidRPr="004365EA">
        <w:t>n my opinion CTC had the right ideas</w:t>
      </w:r>
      <w:r>
        <w:t>,</w:t>
      </w:r>
      <w:r w:rsidRPr="004365EA">
        <w:t xml:space="preserve"> the right people doing the right things at the right time. The change from traditional fossil fuelled cars to hybrid and full electric was consulted with staff at every level, with key decisions being made by the board of directors then communicated with staff</w:t>
      </w:r>
      <w:r>
        <w:t xml:space="preserve">. </w:t>
      </w:r>
    </w:p>
    <w:p w:rsidR="004365EA" w:rsidRDefault="004365EA" w:rsidP="0001718E"/>
    <w:p w:rsidR="004365EA" w:rsidRDefault="004365EA" w:rsidP="0001718E">
      <w:r>
        <w:t xml:space="preserve">Thank you. </w:t>
      </w:r>
    </w:p>
    <w:p w:rsidR="0001718E" w:rsidRDefault="0001718E" w:rsidP="0001718E"/>
    <w:p w:rsidR="0001718E" w:rsidRDefault="0001718E" w:rsidP="0001718E"/>
    <w:p w:rsidR="0017092E" w:rsidRDefault="0017092E" w:rsidP="0001718E"/>
    <w:p w:rsidR="0017092E" w:rsidRDefault="0017092E" w:rsidP="0001718E"/>
    <w:p w:rsidR="004A414F" w:rsidRDefault="004A414F" w:rsidP="0001718E"/>
    <w:p w:rsidR="004A414F" w:rsidRDefault="004A414F" w:rsidP="0001718E"/>
    <w:p w:rsidR="004A414F" w:rsidRDefault="004A414F" w:rsidP="0001718E"/>
    <w:p w:rsidR="004A414F" w:rsidRDefault="004A414F" w:rsidP="0001718E"/>
    <w:p w:rsidR="004A414F" w:rsidRDefault="004A414F" w:rsidP="0001718E"/>
    <w:p w:rsidR="004A414F" w:rsidRDefault="004A414F" w:rsidP="0001718E"/>
    <w:p w:rsidR="004A414F" w:rsidRDefault="004A414F" w:rsidP="0001718E"/>
    <w:p w:rsidR="0001718E" w:rsidRDefault="0001718E" w:rsidP="0001718E">
      <w:pPr>
        <w:pStyle w:val="Heading1"/>
      </w:pPr>
      <w:bookmarkStart w:id="14" w:name="_Toc126067553"/>
      <w:r>
        <w:t>References</w:t>
      </w:r>
      <w:bookmarkEnd w:id="14"/>
    </w:p>
    <w:p w:rsidR="005941A0" w:rsidRPr="00FD7754" w:rsidRDefault="005941A0" w:rsidP="0001718E">
      <w:r w:rsidRPr="00FD7754">
        <w:t xml:space="preserve">Autocar. 2018. Top </w:t>
      </w:r>
      <w:proofErr w:type="gramStart"/>
      <w:r w:rsidRPr="00FD7754">
        <w:t>Best Selling</w:t>
      </w:r>
      <w:proofErr w:type="gramEnd"/>
      <w:r w:rsidRPr="00FD7754">
        <w:t xml:space="preserve"> Cars of 2017. Autocar. [online]. [Accessed 02 January 2023] Available from </w:t>
      </w:r>
      <w:hyperlink r:id="rId7" w:history="1">
        <w:r w:rsidRPr="00FD7754">
          <w:rPr>
            <w:rStyle w:val="Hyperlink"/>
            <w:color w:val="auto"/>
          </w:rPr>
          <w:t>https://www.autoacr.co.uk/carnews/industry/</w:t>
        </w:r>
      </w:hyperlink>
      <w:r w:rsidRPr="00FD7754">
        <w:t xml:space="preserve"> top-selling-cars-2017-Britain</w:t>
      </w:r>
    </w:p>
    <w:p w:rsidR="005941A0" w:rsidRPr="00FD7754" w:rsidRDefault="005941A0" w:rsidP="0001718E">
      <w:proofErr w:type="spellStart"/>
      <w:r w:rsidRPr="00FD7754">
        <w:t>Cambell,P</w:t>
      </w:r>
      <w:proofErr w:type="spellEnd"/>
      <w:r w:rsidRPr="00FD7754">
        <w:t xml:space="preserve">. 2016. Volkswagen’s Market share falls after scandal. Financial Times [Online].[Accessed 02 January 2023]. Available from </w:t>
      </w:r>
      <w:hyperlink r:id="rId8" w:history="1">
        <w:r w:rsidRPr="00FD7754">
          <w:rPr>
            <w:rStyle w:val="Hyperlink"/>
            <w:color w:val="auto"/>
          </w:rPr>
          <w:t>https://ft.com/content/35575f80-4a75-11e6-b387-64abOa67014c</w:t>
        </w:r>
      </w:hyperlink>
    </w:p>
    <w:p w:rsidR="005941A0" w:rsidRPr="00FD7754" w:rsidRDefault="005941A0" w:rsidP="0001718E">
      <w:r w:rsidRPr="00FD7754">
        <w:t xml:space="preserve">Euler Hermes Economic Research, 2018. Global </w:t>
      </w:r>
      <w:proofErr w:type="spellStart"/>
      <w:r w:rsidRPr="00FD7754">
        <w:t>Automative</w:t>
      </w:r>
      <w:proofErr w:type="spellEnd"/>
      <w:r w:rsidRPr="00FD7754">
        <w:t xml:space="preserve"> Report [online</w:t>
      </w:r>
      <w:r w:rsidR="00D930F8" w:rsidRPr="00FD7754">
        <w:t>].[Accessed 03 January 2023]. Available from htt://www.eulerhermes.com/economic-research/sector-risks/Global-Automative-Report/pages/default.aspx</w:t>
      </w:r>
    </w:p>
    <w:p w:rsidR="00D930F8" w:rsidRPr="00FD7754" w:rsidRDefault="00D930F8" w:rsidP="0001718E">
      <w:proofErr w:type="spellStart"/>
      <w:r w:rsidRPr="00FD7754">
        <w:t>Kvaloy,B</w:t>
      </w:r>
      <w:proofErr w:type="spellEnd"/>
      <w:r w:rsidRPr="00FD7754">
        <w:t xml:space="preserve"> et al, 2012. The Publics </w:t>
      </w:r>
      <w:proofErr w:type="spellStart"/>
      <w:r w:rsidRPr="00FD7754">
        <w:t>Concenr</w:t>
      </w:r>
      <w:proofErr w:type="spellEnd"/>
      <w:r w:rsidRPr="00FD7754">
        <w:t xml:space="preserve"> </w:t>
      </w:r>
      <w:proofErr w:type="gramStart"/>
      <w:r w:rsidRPr="00FD7754">
        <w:t>For</w:t>
      </w:r>
      <w:proofErr w:type="gramEnd"/>
      <w:r w:rsidRPr="00FD7754">
        <w:t xml:space="preserve"> global Warming. A cross Study of 47 Countries. Journal of peace Research. 49(1),pp11-22. </w:t>
      </w:r>
    </w:p>
    <w:p w:rsidR="0001718E" w:rsidRPr="00FD7754" w:rsidRDefault="0001718E" w:rsidP="0001718E">
      <w:r w:rsidRPr="00FD7754">
        <w:t xml:space="preserve">Understanding of micro and macro factors that affect your business. </w:t>
      </w:r>
      <w:proofErr w:type="spellStart"/>
      <w:r w:rsidRPr="00FD7754">
        <w:t>Mageplaza</w:t>
      </w:r>
      <w:proofErr w:type="spellEnd"/>
      <w:r w:rsidRPr="00FD7754">
        <w:t>. (n.d.). Retrieved January 1, 2023, from https://www.mageplaza.com/blog/micro-and-macro-factors-affect-your-business.html</w:t>
      </w:r>
    </w:p>
    <w:p w:rsidR="0001718E" w:rsidRPr="00FD7754" w:rsidRDefault="005941A0" w:rsidP="0001718E">
      <w:proofErr w:type="spellStart"/>
      <w:r w:rsidRPr="00FD7754">
        <w:t>Pozzebon</w:t>
      </w:r>
      <w:proofErr w:type="spellEnd"/>
      <w:r w:rsidRPr="00FD7754">
        <w:t xml:space="preserve">, M. (2004). The influence of a </w:t>
      </w:r>
      <w:proofErr w:type="spellStart"/>
      <w:r w:rsidRPr="00FD7754">
        <w:t>structurationist</w:t>
      </w:r>
      <w:proofErr w:type="spellEnd"/>
      <w:r w:rsidRPr="00FD7754">
        <w:t xml:space="preserve"> view on Strategic Management Research*. Journal of Management Studies, 41(2), 247–272. </w:t>
      </w:r>
      <w:hyperlink r:id="rId9" w:history="1">
        <w:r w:rsidR="007E737E" w:rsidRPr="00FD7754">
          <w:rPr>
            <w:rStyle w:val="Hyperlink"/>
            <w:color w:val="auto"/>
          </w:rPr>
          <w:t>https://doi.org/10.1111/j.1467-6486.2004.00431.x</w:t>
        </w:r>
      </w:hyperlink>
    </w:p>
    <w:p w:rsidR="007E737E" w:rsidRPr="00FD7754" w:rsidRDefault="007E737E" w:rsidP="0001718E">
      <w:r w:rsidRPr="00FD7754">
        <w:t>Burke, W 2018. Organisational change. Theory and Practice. 5</w:t>
      </w:r>
      <w:r w:rsidRPr="00FD7754">
        <w:rPr>
          <w:vertAlign w:val="superscript"/>
        </w:rPr>
        <w:t>th</w:t>
      </w:r>
      <w:r w:rsidRPr="00FD7754">
        <w:t xml:space="preserve"> ed. London. Sage Publications</w:t>
      </w:r>
    </w:p>
    <w:p w:rsidR="005762C9" w:rsidRPr="00FD7754" w:rsidRDefault="005762C9" w:rsidP="0001718E">
      <w:r w:rsidRPr="00FD7754">
        <w:t xml:space="preserve">Sutherland, J., &amp;amp; </w:t>
      </w:r>
      <w:proofErr w:type="spellStart"/>
      <w:r w:rsidRPr="00FD7754">
        <w:t>Canwell</w:t>
      </w:r>
      <w:proofErr w:type="spellEnd"/>
      <w:r w:rsidRPr="00FD7754">
        <w:t>, D. (2006). Key Concepts in Management. Palgrave Macmillan.</w:t>
      </w:r>
    </w:p>
    <w:p w:rsidR="00DE0E08" w:rsidRPr="00FD7754" w:rsidRDefault="00DE0E08" w:rsidP="0001718E">
      <w:proofErr w:type="spellStart"/>
      <w:r w:rsidRPr="00FD7754">
        <w:t>Hettiwattage</w:t>
      </w:r>
      <w:proofErr w:type="spellEnd"/>
      <w:r w:rsidRPr="00FD7754">
        <w:t xml:space="preserve"> </w:t>
      </w:r>
      <w:proofErr w:type="spellStart"/>
      <w:r w:rsidRPr="00FD7754">
        <w:t>Harshani</w:t>
      </w:r>
      <w:proofErr w:type="spellEnd"/>
      <w:r w:rsidRPr="00FD7754">
        <w:t xml:space="preserve"> </w:t>
      </w:r>
      <w:proofErr w:type="spellStart"/>
      <w:r w:rsidRPr="00FD7754">
        <w:t>Dedunu</w:t>
      </w:r>
      <w:proofErr w:type="spellEnd"/>
      <w:r w:rsidRPr="00FD7754">
        <w:t xml:space="preserve">, Darshana </w:t>
      </w:r>
      <w:proofErr w:type="spellStart"/>
      <w:r w:rsidRPr="00FD7754">
        <w:t>Sedara</w:t>
      </w:r>
      <w:proofErr w:type="spellEnd"/>
      <w:r w:rsidRPr="00FD7754">
        <w:t>, Impact of Environmental, Social, and Governance Practices on the Consumer Buying Decision, Intellectual Capital as a Precursor to Sustainable Corporate Social Responsibility, 10.4018/978-1-6684-6815-9.ch008, (129-147), (2023).</w:t>
      </w:r>
    </w:p>
    <w:p w:rsidR="0017092E" w:rsidRPr="00FD7754" w:rsidRDefault="0017092E" w:rsidP="0017092E">
      <w:r w:rsidRPr="00FD7754">
        <w:rPr>
          <w:i/>
          <w:iCs/>
        </w:rPr>
        <w:t>Cambrian training</w:t>
      </w:r>
      <w:r w:rsidRPr="00FD7754">
        <w:t xml:space="preserve">. (n.d.). Retrieved January 12, 2023, from </w:t>
      </w:r>
      <w:hyperlink r:id="rId10" w:history="1">
        <w:r w:rsidR="00ED2F4F" w:rsidRPr="00FD7754">
          <w:rPr>
            <w:rStyle w:val="Hyperlink"/>
            <w:color w:val="auto"/>
          </w:rPr>
          <w:t>https://cambriantraining.com/wp/en/wp-content/uploads/2019/09/Strategic-Plan-2019-2022-FINAL-1.pdf</w:t>
        </w:r>
      </w:hyperlink>
      <w:r w:rsidRPr="00FD7754">
        <w:t xml:space="preserve"> </w:t>
      </w:r>
    </w:p>
    <w:p w:rsidR="00ED2F4F" w:rsidRPr="00FD7754" w:rsidRDefault="00ED2F4F" w:rsidP="0017092E">
      <w:proofErr w:type="spellStart"/>
      <w:r w:rsidRPr="00FD7754">
        <w:t>Awati</w:t>
      </w:r>
      <w:proofErr w:type="spellEnd"/>
      <w:r w:rsidRPr="00FD7754">
        <w:t xml:space="preserve">, R., &amp;amp; Contributor, T. T. (2022, May 31). What is unfreeze, change, refreeze (Kurt Lewin Change Management Model)? WhatIs.com. Retrieved January 11, 2023, from </w:t>
      </w:r>
      <w:hyperlink r:id="rId11" w:anchor=":~:text=Kurt%20Lewin%20change%20management%20model%20explained&amp;amp;text=Instead%2C%20to%20achieve%20a%20transformation,the%20new%20shape%20(refreeze)" w:history="1">
        <w:r w:rsidR="00B478EA" w:rsidRPr="00FD7754">
          <w:rPr>
            <w:rStyle w:val="Hyperlink"/>
            <w:color w:val="auto"/>
          </w:rPr>
          <w:t>https://www.techtarget.com/whatis/definition/Kurt-Lewins-Change-Management-Model-Unfreeze-Change-Refreeze#:~:text=Kurt%20Lewin%20change%20management%20model%20explained&amp;amp;text=Instead%2C%20to%20achieve%20a%20transformation,the%20new%20shape%20(refreeze)</w:t>
        </w:r>
      </w:hyperlink>
      <w:r w:rsidRPr="00FD7754">
        <w:t>.</w:t>
      </w:r>
    </w:p>
    <w:p w:rsidR="00B478EA" w:rsidRPr="00FD7754" w:rsidRDefault="00B478EA" w:rsidP="0017092E">
      <w:proofErr w:type="spellStart"/>
      <w:r w:rsidRPr="00FD7754">
        <w:t>Badham</w:t>
      </w:r>
      <w:proofErr w:type="spellEnd"/>
      <w:r w:rsidRPr="00FD7754">
        <w:t xml:space="preserve">, R., </w:t>
      </w:r>
      <w:proofErr w:type="spellStart"/>
      <w:r w:rsidRPr="00FD7754">
        <w:t>Cançado</w:t>
      </w:r>
      <w:proofErr w:type="spellEnd"/>
      <w:r w:rsidRPr="00FD7754">
        <w:t xml:space="preserve">, V. L., &amp;amp; </w:t>
      </w:r>
      <w:proofErr w:type="spellStart"/>
      <w:r w:rsidRPr="00FD7754">
        <w:t>Darief</w:t>
      </w:r>
      <w:proofErr w:type="spellEnd"/>
      <w:r w:rsidRPr="00FD7754">
        <w:t xml:space="preserve">, T. (2015). An introduction to the 5M framework: Reframing Change Management Education. BAR - Brazilian Administration Review, 12(1), 22–38. </w:t>
      </w:r>
      <w:hyperlink r:id="rId12" w:history="1">
        <w:r w:rsidRPr="00FD7754">
          <w:rPr>
            <w:rStyle w:val="Hyperlink"/>
            <w:color w:val="auto"/>
          </w:rPr>
          <w:t>https://doi.org/10.1590/1807-7692bar2015140033</w:t>
        </w:r>
      </w:hyperlink>
    </w:p>
    <w:p w:rsidR="007050C6" w:rsidRPr="00FD7754" w:rsidRDefault="007050C6" w:rsidP="0017092E">
      <w:r w:rsidRPr="00FD7754">
        <w:lastRenderedPageBreak/>
        <w:t xml:space="preserve">Pettigrew, A. M. (1990). Studying strategic choice and strategic change. A comment on Mintzberg and waters: 'does decision get in the way?'. Organization Studies, 11(1), 6–11. </w:t>
      </w:r>
      <w:hyperlink r:id="rId13" w:history="1">
        <w:r w:rsidR="00B44943" w:rsidRPr="00FD7754">
          <w:rPr>
            <w:rStyle w:val="Hyperlink"/>
            <w:color w:val="auto"/>
          </w:rPr>
          <w:t>https://doi.org/10.1177/017084069001100102</w:t>
        </w:r>
      </w:hyperlink>
    </w:p>
    <w:p w:rsidR="00B44943" w:rsidRPr="00FD7754" w:rsidRDefault="00B44943" w:rsidP="0017092E">
      <w:r w:rsidRPr="00FD7754">
        <w:t xml:space="preserve">kotter2022. (2022, August 18). The 8-step process for leading change: </w:t>
      </w:r>
      <w:proofErr w:type="spellStart"/>
      <w:r w:rsidRPr="00FD7754">
        <w:t>Dr.</w:t>
      </w:r>
      <w:proofErr w:type="spellEnd"/>
      <w:r w:rsidRPr="00FD7754">
        <w:t xml:space="preserve"> John Kotter. Kotter International Inc. Retrieved January 11, 2023, from </w:t>
      </w:r>
      <w:hyperlink r:id="rId14" w:history="1">
        <w:r w:rsidR="0076106D" w:rsidRPr="00FD7754">
          <w:rPr>
            <w:rStyle w:val="Hyperlink"/>
            <w:color w:val="auto"/>
          </w:rPr>
          <w:t>https://www.kotterinc.com/methodology/8-steps/</w:t>
        </w:r>
      </w:hyperlink>
    </w:p>
    <w:p w:rsidR="0076106D" w:rsidRPr="00FD7754" w:rsidRDefault="0076106D" w:rsidP="0017092E">
      <w:r w:rsidRPr="00FD7754">
        <w:t>Quinn, R. E., &amp; Cameron, K. S. (Eds.). (1988). Paradox and transformation: Toward a theory of change in organization and management. Ballinger Publishing Co/Harper &amp; Row Publishers.</w:t>
      </w:r>
    </w:p>
    <w:p w:rsidR="00036177" w:rsidRPr="00FD7754" w:rsidRDefault="00036177" w:rsidP="0017092E">
      <w:r w:rsidRPr="00FD7754">
        <w:t>Hayes, J. (2022). The theory and practice of Change Management. Red Globe Press.</w:t>
      </w:r>
    </w:p>
    <w:p w:rsidR="00BC24B2" w:rsidRPr="00FD7754" w:rsidRDefault="00BC24B2" w:rsidP="0017092E">
      <w:r w:rsidRPr="00FD7754">
        <w:t>Wright, M. (2016). Gower Handbook of Internal Communication. Routledge.</w:t>
      </w:r>
    </w:p>
    <w:p w:rsidR="002D59C4" w:rsidRPr="00FD7754" w:rsidRDefault="002D59C4" w:rsidP="0017092E">
      <w:proofErr w:type="spellStart"/>
      <w:r w:rsidRPr="00FD7754">
        <w:t>Audia</w:t>
      </w:r>
      <w:proofErr w:type="spellEnd"/>
      <w:r w:rsidRPr="00FD7754">
        <w:t xml:space="preserve">, P. G., Locke, E. A., &amp; Smith, K. G. (2000). The paradox of success: An archival and a laboratory study of strategic persistence following radical environmental change. Academy of Management Journal, 43(5), 837–853. </w:t>
      </w:r>
      <w:hyperlink r:id="rId15" w:history="1">
        <w:r w:rsidR="004A414F" w:rsidRPr="00FD7754">
          <w:rPr>
            <w:rStyle w:val="Hyperlink"/>
            <w:color w:val="auto"/>
          </w:rPr>
          <w:t>https://doi.org/10.2307/1556413</w:t>
        </w:r>
      </w:hyperlink>
    </w:p>
    <w:p w:rsidR="004A414F" w:rsidRPr="00FD7754" w:rsidRDefault="004A414F" w:rsidP="0017092E">
      <w:proofErr w:type="spellStart"/>
      <w:r w:rsidRPr="00FD7754">
        <w:t>Prosci</w:t>
      </w:r>
      <w:proofErr w:type="spellEnd"/>
      <w:r w:rsidRPr="00FD7754">
        <w:t xml:space="preserve">. (2022, July 1). What is change management and how does it work? </w:t>
      </w:r>
      <w:proofErr w:type="spellStart"/>
      <w:r w:rsidRPr="00FD7754">
        <w:t>Prosci</w:t>
      </w:r>
      <w:proofErr w:type="spellEnd"/>
      <w:r w:rsidRPr="00FD7754">
        <w:t xml:space="preserve">. Retrieved January 13, 2023, from </w:t>
      </w:r>
      <w:hyperlink r:id="rId16" w:history="1">
        <w:r w:rsidR="00C40961" w:rsidRPr="00FD7754">
          <w:rPr>
            <w:rStyle w:val="Hyperlink"/>
            <w:color w:val="auto"/>
          </w:rPr>
          <w:t>https://www.prosci.com/resources/articles/what-is-change-management-and-how-does-it-work</w:t>
        </w:r>
      </w:hyperlink>
    </w:p>
    <w:p w:rsidR="00C40961" w:rsidRPr="00FD7754" w:rsidRDefault="00C40961" w:rsidP="0017092E">
      <w:r w:rsidRPr="00FD7754">
        <w:t>Goleman, D. (2020). Emotional intelligence. Bantam Books.</w:t>
      </w:r>
    </w:p>
    <w:p w:rsidR="009F5DE5" w:rsidRPr="00FD7754" w:rsidRDefault="009F5DE5" w:rsidP="0017092E">
      <w:r w:rsidRPr="00FD7754">
        <w:t xml:space="preserve">Olsson, L. (2019). The role of electric vehicles in reducing climate impact: Swedish public debate 2010–2018. The International Journal of Climate Change: Impacts and Responses, 11(3), 1–13. </w:t>
      </w:r>
      <w:hyperlink r:id="rId17" w:history="1">
        <w:r w:rsidR="00A86B71" w:rsidRPr="00FD7754">
          <w:rPr>
            <w:rStyle w:val="Hyperlink"/>
            <w:color w:val="auto"/>
          </w:rPr>
          <w:t>https://doi.org/10.18848/1835-7156/cgp/v11i03/1-13</w:t>
        </w:r>
      </w:hyperlink>
    </w:p>
    <w:p w:rsidR="00A86B71" w:rsidRPr="00FD7754" w:rsidRDefault="00A86B71" w:rsidP="0017092E">
      <w:r w:rsidRPr="00FD7754">
        <w:t xml:space="preserve">Are Electric Cars Better for the Environment? (n.d.). Retrieved January 10, 2023, from </w:t>
      </w:r>
      <w:hyperlink r:id="rId18" w:history="1">
        <w:r w:rsidRPr="00FD7754">
          <w:rPr>
            <w:rStyle w:val="Hyperlink"/>
            <w:color w:val="auto"/>
          </w:rPr>
          <w:t>https://www.rivervaleleasing.co.uk/guides/electric-vehicle-leasing/are-electric-cars-better-for-the-environment-pros-cons</w:t>
        </w:r>
      </w:hyperlink>
    </w:p>
    <w:p w:rsidR="00A86B71" w:rsidRPr="00FD7754" w:rsidRDefault="00A86B71" w:rsidP="00A86B71">
      <w:r w:rsidRPr="00FD7754">
        <w:t>Renault. 2017. Technical Specifications: Zoe. [Online].</w:t>
      </w:r>
      <w:r w:rsidR="00C779D4" w:rsidRPr="00FD7754">
        <w:t xml:space="preserve"> </w:t>
      </w:r>
      <w:r w:rsidRPr="00FD7754">
        <w:t>Available from: http://www.google.co.uk/url?sa=t&amp;rct=j&amp;q=&amp;esrc=s&amp;source=web&amp;cd=1&amp;ved=0ahUKEwiDo87wlPzYAhUJBsAKHfkSDxsQFggsMAA&amp;url=http%3A%2F%2Fpress.renault.co.uk%2FViewFile.aspx%3Ffilename%3D%2Fdocument%2Fmodel%2FZOE%2B2BTech%2BSpec.pdf%26forceDownload%3Dtrue&amp;usg=AOvVaw3Bv06Ett8gnvgqrUndGME</w:t>
      </w:r>
    </w:p>
    <w:p w:rsidR="00B478EA" w:rsidRPr="00FD7754" w:rsidRDefault="00FD7754" w:rsidP="0017092E">
      <w:r w:rsidRPr="00FD7754">
        <w:t>Matthews, K. (2021, October 6). 10 green companies with Amazing Environmental Initiatives. Blue and Green Tomorrow. Retrieved January 11, 2023, from https://blueandgreentomorrow.com/magazines/10-green-companies-with-amazing-environmental-initiatives/</w:t>
      </w:r>
    </w:p>
    <w:p w:rsidR="0017092E" w:rsidRDefault="00EA207C" w:rsidP="0001718E">
      <w:proofErr w:type="spellStart"/>
      <w:r w:rsidRPr="00EA207C">
        <w:t>Scandura</w:t>
      </w:r>
      <w:proofErr w:type="spellEnd"/>
      <w:r w:rsidRPr="00EA207C">
        <w:t xml:space="preserve">, T. A., (2018) Essentials of Organization </w:t>
      </w:r>
      <w:proofErr w:type="spellStart"/>
      <w:r w:rsidRPr="00EA207C">
        <w:t>Behavior</w:t>
      </w:r>
      <w:proofErr w:type="spellEnd"/>
      <w:r w:rsidRPr="00EA207C">
        <w:t>, 2nd Ed., Thousand Oaks, CA: Sage</w:t>
      </w:r>
    </w:p>
    <w:p w:rsidR="008D2F53" w:rsidRDefault="00CB11E3" w:rsidP="008D2F53">
      <w:r w:rsidRPr="00CB11E3">
        <w:t xml:space="preserve">Admin. (1970, June 17). Days of change. Phillip Hodson. Retrieved January 9, 2023, from </w:t>
      </w:r>
      <w:hyperlink r:id="rId19" w:history="1">
        <w:r w:rsidR="00F12B00" w:rsidRPr="00F12B00">
          <w:rPr>
            <w:rStyle w:val="Hyperlink"/>
            <w:color w:val="auto"/>
          </w:rPr>
          <w:t>https://www.philliphodson.co.uk/554/</w:t>
        </w:r>
      </w:hyperlink>
    </w:p>
    <w:p w:rsidR="00F12B00" w:rsidRDefault="00F12B00" w:rsidP="008D2F53">
      <w:proofErr w:type="spellStart"/>
      <w:r w:rsidRPr="00F12B00">
        <w:t>Levicki</w:t>
      </w:r>
      <w:proofErr w:type="spellEnd"/>
      <w:r w:rsidRPr="00F12B00">
        <w:t>, C. (2003). The interactive strategy workout: Analyse and develop the fitness of your business. Prentice Hall.</w:t>
      </w:r>
    </w:p>
    <w:p w:rsidR="00731CDB" w:rsidRDefault="00731CDB" w:rsidP="008D2F53">
      <w:r w:rsidRPr="00731CDB">
        <w:lastRenderedPageBreak/>
        <w:t xml:space="preserve">Mitchell, R. K., </w:t>
      </w:r>
      <w:proofErr w:type="spellStart"/>
      <w:r w:rsidRPr="00731CDB">
        <w:t>Agle</w:t>
      </w:r>
      <w:proofErr w:type="spellEnd"/>
      <w:r w:rsidRPr="00731CDB">
        <w:t xml:space="preserve">, B. R., &amp;amp; Wood, D. J. (1998). Toward a theory of stakeholder identification and salience: Defining the principle of who and what really counts. The Corporation and Its Stakeholders, 275–314. </w:t>
      </w:r>
      <w:hyperlink r:id="rId20" w:history="1">
        <w:r w:rsidRPr="00731CDB">
          <w:rPr>
            <w:rStyle w:val="Hyperlink"/>
            <w:color w:val="auto"/>
          </w:rPr>
          <w:t>https://doi.org/10.3138/9781442673496-014</w:t>
        </w:r>
      </w:hyperlink>
    </w:p>
    <w:p w:rsidR="00731CDB" w:rsidRDefault="00731CDB" w:rsidP="008D2F53">
      <w:r w:rsidRPr="00731CDB">
        <w:t xml:space="preserve">Peterson, D.J. (1993). Troubled Lands: The Legacy </w:t>
      </w:r>
      <w:proofErr w:type="gramStart"/>
      <w:r w:rsidRPr="00731CDB">
        <w:t>Of</w:t>
      </w:r>
      <w:proofErr w:type="gramEnd"/>
      <w:r w:rsidRPr="00731CDB">
        <w:t xml:space="preserve"> Soviet Environmental Destruction (1st ed.). Routledge. https://doi.org/10.4324/9780429269615</w:t>
      </w:r>
    </w:p>
    <w:p w:rsidR="00887699" w:rsidRDefault="001670C2" w:rsidP="008D2F53">
      <w:proofErr w:type="spellStart"/>
      <w:r w:rsidRPr="001670C2">
        <w:t>Deszca</w:t>
      </w:r>
      <w:proofErr w:type="spellEnd"/>
      <w:r w:rsidRPr="001670C2">
        <w:t xml:space="preserve">, G., </w:t>
      </w:r>
      <w:proofErr w:type="spellStart"/>
      <w:r w:rsidRPr="001670C2">
        <w:t>Ingols</w:t>
      </w:r>
      <w:proofErr w:type="spellEnd"/>
      <w:r w:rsidRPr="001670C2">
        <w:t xml:space="preserve">, C., &amp;amp; </w:t>
      </w:r>
      <w:proofErr w:type="spellStart"/>
      <w:r w:rsidRPr="001670C2">
        <w:t>Cawsey</w:t>
      </w:r>
      <w:proofErr w:type="spellEnd"/>
      <w:r w:rsidRPr="001670C2">
        <w:t>, T. F. (2020). Organizational change: An action-oriented toolkit. SAGE Publications.</w:t>
      </w:r>
    </w:p>
    <w:p w:rsidR="00887699" w:rsidRDefault="00887699" w:rsidP="008D2F53"/>
    <w:p w:rsidR="00887699" w:rsidRDefault="00887699" w:rsidP="008D2F53"/>
    <w:p w:rsidR="00887699" w:rsidRDefault="00887699" w:rsidP="008D2F53"/>
    <w:p w:rsidR="00887699" w:rsidRDefault="00887699" w:rsidP="008D2F53"/>
    <w:p w:rsidR="007B226A" w:rsidRDefault="007B226A" w:rsidP="008D2F53"/>
    <w:p w:rsidR="007B226A" w:rsidRDefault="007B226A" w:rsidP="008D2F53"/>
    <w:p w:rsidR="007B226A" w:rsidRDefault="007B226A" w:rsidP="008D2F53"/>
    <w:p w:rsidR="00FD7754" w:rsidRDefault="00FD7754" w:rsidP="008D2F53"/>
    <w:p w:rsidR="00FD7754" w:rsidRDefault="00FD7754" w:rsidP="008D2F53"/>
    <w:p w:rsidR="007B226A" w:rsidRDefault="007B226A" w:rsidP="008D2F53"/>
    <w:p w:rsidR="007B226A" w:rsidRDefault="007B226A" w:rsidP="00887699">
      <w:pPr>
        <w:pStyle w:val="Heading1"/>
      </w:pPr>
      <w:bookmarkStart w:id="15" w:name="_Toc126067554"/>
      <w:proofErr w:type="spellStart"/>
      <w:r>
        <w:t>Apendix</w:t>
      </w:r>
      <w:proofErr w:type="spellEnd"/>
      <w:r>
        <w:t xml:space="preserve"> A</w:t>
      </w:r>
      <w:bookmarkEnd w:id="15"/>
    </w:p>
    <w:p w:rsidR="00FD7754" w:rsidRPr="00FD7754" w:rsidRDefault="00FD7754" w:rsidP="00FD7754"/>
    <w:tbl>
      <w:tblPr>
        <w:tblStyle w:val="TableGrid"/>
        <w:tblW w:w="11057" w:type="dxa"/>
        <w:tblInd w:w="-1281" w:type="dxa"/>
        <w:tblLayout w:type="fixed"/>
        <w:tblLook w:val="04A0" w:firstRow="1" w:lastRow="0" w:firstColumn="1" w:lastColumn="0" w:noHBand="0" w:noVBand="1"/>
      </w:tblPr>
      <w:tblGrid>
        <w:gridCol w:w="2127"/>
        <w:gridCol w:w="2268"/>
        <w:gridCol w:w="2268"/>
        <w:gridCol w:w="1701"/>
        <w:gridCol w:w="1417"/>
        <w:gridCol w:w="1276"/>
      </w:tblGrid>
      <w:tr w:rsidR="000B460D" w:rsidTr="007E737E">
        <w:tc>
          <w:tcPr>
            <w:tcW w:w="2127" w:type="dxa"/>
            <w:shd w:val="clear" w:color="auto" w:fill="4472C4" w:themeFill="accent1"/>
          </w:tcPr>
          <w:p w:rsidR="000B460D" w:rsidRDefault="000B460D" w:rsidP="000B460D">
            <w:pPr>
              <w:jc w:val="center"/>
            </w:pPr>
            <w:r>
              <w:t>P</w:t>
            </w:r>
          </w:p>
          <w:p w:rsidR="000B460D" w:rsidRDefault="000B460D" w:rsidP="000B460D">
            <w:pPr>
              <w:jc w:val="center"/>
            </w:pPr>
            <w:r>
              <w:t>Political</w:t>
            </w:r>
          </w:p>
        </w:tc>
        <w:tc>
          <w:tcPr>
            <w:tcW w:w="2268" w:type="dxa"/>
            <w:shd w:val="clear" w:color="auto" w:fill="ED7D31" w:themeFill="accent2"/>
          </w:tcPr>
          <w:p w:rsidR="000B460D" w:rsidRDefault="000B460D" w:rsidP="000B460D">
            <w:pPr>
              <w:jc w:val="center"/>
            </w:pPr>
            <w:r>
              <w:t>E</w:t>
            </w:r>
          </w:p>
          <w:p w:rsidR="000B460D" w:rsidRDefault="000B460D" w:rsidP="000B460D">
            <w:pPr>
              <w:jc w:val="center"/>
            </w:pPr>
            <w:r>
              <w:t>Economics</w:t>
            </w:r>
          </w:p>
        </w:tc>
        <w:tc>
          <w:tcPr>
            <w:tcW w:w="2268" w:type="dxa"/>
            <w:shd w:val="clear" w:color="auto" w:fill="A5A5A5" w:themeFill="accent3"/>
          </w:tcPr>
          <w:p w:rsidR="000B460D" w:rsidRDefault="000B460D" w:rsidP="000B460D">
            <w:pPr>
              <w:jc w:val="center"/>
            </w:pPr>
            <w:r>
              <w:t>S</w:t>
            </w:r>
          </w:p>
          <w:p w:rsidR="000B460D" w:rsidRDefault="000B460D" w:rsidP="000B460D">
            <w:pPr>
              <w:jc w:val="center"/>
            </w:pPr>
            <w:r>
              <w:t>Sociological</w:t>
            </w:r>
          </w:p>
        </w:tc>
        <w:tc>
          <w:tcPr>
            <w:tcW w:w="1701" w:type="dxa"/>
            <w:shd w:val="clear" w:color="auto" w:fill="FFC000" w:themeFill="accent4"/>
          </w:tcPr>
          <w:p w:rsidR="000B460D" w:rsidRDefault="000B460D" w:rsidP="000B460D">
            <w:pPr>
              <w:jc w:val="center"/>
            </w:pPr>
            <w:r>
              <w:t>T</w:t>
            </w:r>
          </w:p>
          <w:p w:rsidR="000B460D" w:rsidRDefault="000B460D" w:rsidP="000B460D">
            <w:pPr>
              <w:jc w:val="center"/>
            </w:pPr>
            <w:r>
              <w:t>Technological</w:t>
            </w:r>
          </w:p>
        </w:tc>
        <w:tc>
          <w:tcPr>
            <w:tcW w:w="1417" w:type="dxa"/>
            <w:shd w:val="clear" w:color="auto" w:fill="70AD47" w:themeFill="accent6"/>
          </w:tcPr>
          <w:p w:rsidR="000B460D" w:rsidRDefault="000B460D" w:rsidP="000B460D">
            <w:pPr>
              <w:jc w:val="center"/>
            </w:pPr>
            <w:r>
              <w:t>E</w:t>
            </w:r>
          </w:p>
          <w:p w:rsidR="000B460D" w:rsidRDefault="000B460D" w:rsidP="000B460D">
            <w:pPr>
              <w:jc w:val="center"/>
            </w:pPr>
            <w:r>
              <w:t>Ecological</w:t>
            </w:r>
          </w:p>
        </w:tc>
        <w:tc>
          <w:tcPr>
            <w:tcW w:w="1276" w:type="dxa"/>
          </w:tcPr>
          <w:p w:rsidR="000B460D" w:rsidRDefault="000B460D" w:rsidP="000B460D">
            <w:pPr>
              <w:jc w:val="center"/>
            </w:pPr>
            <w:r>
              <w:t>L</w:t>
            </w:r>
          </w:p>
          <w:p w:rsidR="000B460D" w:rsidRDefault="000B460D" w:rsidP="000B460D">
            <w:pPr>
              <w:jc w:val="center"/>
            </w:pPr>
            <w:r>
              <w:t>Legal</w:t>
            </w:r>
          </w:p>
        </w:tc>
      </w:tr>
      <w:tr w:rsidR="000B460D" w:rsidTr="007E737E">
        <w:tc>
          <w:tcPr>
            <w:tcW w:w="2127" w:type="dxa"/>
          </w:tcPr>
          <w:p w:rsidR="000B460D" w:rsidRDefault="000B460D" w:rsidP="007E737E">
            <w:r>
              <w:t>Worldwide political factors have favoured the buy in of electric cars, promoting a net zero emissions by 2050</w:t>
            </w:r>
          </w:p>
          <w:p w:rsidR="007E737E" w:rsidRDefault="007E737E" w:rsidP="000B460D">
            <w:pPr>
              <w:ind w:left="360"/>
            </w:pPr>
          </w:p>
          <w:p w:rsidR="000B460D" w:rsidRDefault="000B460D" w:rsidP="007E737E">
            <w:r>
              <w:t>Governmental incentives offer up to £2,500 for a plug in EV grant facilitating the buying of an electric car</w:t>
            </w:r>
          </w:p>
        </w:tc>
        <w:tc>
          <w:tcPr>
            <w:tcW w:w="2268" w:type="dxa"/>
          </w:tcPr>
          <w:p w:rsidR="000B460D" w:rsidRDefault="000B460D" w:rsidP="007E737E">
            <w:r>
              <w:t xml:space="preserve">Companies like Tesla have seen phenomenal growth in their electric car business. With sales worldwide topping 1.3 million car sales in 2022. </w:t>
            </w:r>
          </w:p>
          <w:p w:rsidR="007E737E" w:rsidRDefault="007E737E" w:rsidP="000B460D">
            <w:pPr>
              <w:ind w:left="360"/>
            </w:pPr>
          </w:p>
          <w:p w:rsidR="000B460D" w:rsidRDefault="000B460D" w:rsidP="007E737E">
            <w:r>
              <w:t>The sale of electric cars and hybrid has been proven to boost the global economy</w:t>
            </w:r>
          </w:p>
        </w:tc>
        <w:tc>
          <w:tcPr>
            <w:tcW w:w="2268" w:type="dxa"/>
          </w:tcPr>
          <w:p w:rsidR="000B460D" w:rsidRDefault="000B460D" w:rsidP="007E737E">
            <w:r>
              <w:t xml:space="preserve">With the “Green” Agenda it is easy to see why the electric car is being promoted as the best green energy sale. With minimal emission and </w:t>
            </w:r>
            <w:proofErr w:type="gramStart"/>
            <w:r>
              <w:t>pollution</w:t>
            </w:r>
            <w:proofErr w:type="gramEnd"/>
            <w:r>
              <w:t xml:space="preserve"> it falls in line with </w:t>
            </w:r>
            <w:proofErr w:type="spellStart"/>
            <w:r>
              <w:t>world wide</w:t>
            </w:r>
            <w:proofErr w:type="spellEnd"/>
            <w:r>
              <w:t xml:space="preserve"> pollution expectation</w:t>
            </w:r>
          </w:p>
          <w:p w:rsidR="007E737E" w:rsidRDefault="007E737E" w:rsidP="007E737E">
            <w:pPr>
              <w:ind w:left="360"/>
            </w:pPr>
          </w:p>
          <w:p w:rsidR="000B460D" w:rsidRDefault="000B460D" w:rsidP="007E737E">
            <w:r>
              <w:t>“ Net Zero”</w:t>
            </w:r>
          </w:p>
        </w:tc>
        <w:tc>
          <w:tcPr>
            <w:tcW w:w="1701" w:type="dxa"/>
          </w:tcPr>
          <w:p w:rsidR="000B460D" w:rsidRDefault="007E737E" w:rsidP="008D2F53">
            <w:r>
              <w:t xml:space="preserve">With increased AI and computer technology Tesla is one of the innovative companies adopting new technology in their cars. This is surpassing the tech advancement in EV technology. </w:t>
            </w:r>
          </w:p>
        </w:tc>
        <w:tc>
          <w:tcPr>
            <w:tcW w:w="1417" w:type="dxa"/>
          </w:tcPr>
          <w:p w:rsidR="000B460D" w:rsidRDefault="007E737E" w:rsidP="008D2F53">
            <w:r>
              <w:t xml:space="preserve">Tesla supports the environment programs to deal with climate change. </w:t>
            </w:r>
          </w:p>
        </w:tc>
        <w:tc>
          <w:tcPr>
            <w:tcW w:w="1276" w:type="dxa"/>
          </w:tcPr>
          <w:p w:rsidR="000B460D" w:rsidRDefault="007E737E" w:rsidP="008D2F53">
            <w:r>
              <w:t xml:space="preserve">Tesla is a worldwide company and needs to maintain and keep up with legislative and regulatory procedures in each country it sells their cars. </w:t>
            </w:r>
          </w:p>
        </w:tc>
      </w:tr>
    </w:tbl>
    <w:p w:rsidR="000B460D" w:rsidRDefault="000B460D" w:rsidP="008D2F53"/>
    <w:p w:rsidR="00FD7754" w:rsidRDefault="00FD7754" w:rsidP="008D2F53"/>
    <w:p w:rsidR="00FD7754" w:rsidRDefault="00FD7754" w:rsidP="008D2F53"/>
    <w:p w:rsidR="00FD7754" w:rsidRDefault="00FD7754" w:rsidP="008D2F53"/>
    <w:p w:rsidR="00FD7754" w:rsidRDefault="00FD7754" w:rsidP="008D2F53"/>
    <w:p w:rsidR="00FD7754" w:rsidRDefault="00FD7754" w:rsidP="008D2F53"/>
    <w:p w:rsidR="00FD7754" w:rsidRDefault="00FD7754" w:rsidP="008D2F53"/>
    <w:p w:rsidR="00FD7754" w:rsidRDefault="00FD7754" w:rsidP="008D2F53"/>
    <w:p w:rsidR="00FD7754" w:rsidRDefault="00FD7754" w:rsidP="008D2F53"/>
    <w:p w:rsidR="00FD7754" w:rsidRDefault="00FD7754" w:rsidP="008D2F53"/>
    <w:p w:rsidR="00FD7754" w:rsidRDefault="00FD7754" w:rsidP="00AF7477">
      <w:pPr>
        <w:pStyle w:val="Heading1"/>
      </w:pPr>
      <w:bookmarkStart w:id="16" w:name="_Toc126067555"/>
      <w:proofErr w:type="spellStart"/>
      <w:r>
        <w:t>Apendix</w:t>
      </w:r>
      <w:proofErr w:type="spellEnd"/>
      <w:r>
        <w:t xml:space="preserve"> B</w:t>
      </w:r>
      <w:bookmarkEnd w:id="16"/>
    </w:p>
    <w:p w:rsidR="00AF7477" w:rsidRDefault="00AF7477" w:rsidP="008D2F53">
      <w:r w:rsidRPr="00AF7477">
        <w:t>https://cambriantraining.com/wp/en/wp-content/uploads/2019/09/Strategic-Plan-2019-2022-FINAL-1.pdf</w:t>
      </w:r>
    </w:p>
    <w:p w:rsidR="00FD7754" w:rsidRDefault="00AF7477" w:rsidP="008D2F53">
      <w:r>
        <w:object w:dxaOrig="8925" w:dyaOrig="12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46.4pt;height:631.7pt" o:ole="">
            <v:imagedata r:id="rId21" o:title=""/>
          </v:shape>
          <o:OLEObject Type="Embed" ProgID="AcroExch.Document.DC" ShapeID="_x0000_i1027" DrawAspect="Content" ObjectID="_1736680311" r:id="rId22"/>
        </w:object>
      </w:r>
    </w:p>
    <w:p w:rsidR="00D466B8" w:rsidRDefault="00D466B8" w:rsidP="008D2F53">
      <w:r>
        <w:t xml:space="preserve">Appendix C </w:t>
      </w:r>
    </w:p>
    <w:p w:rsidR="00D466B8" w:rsidRDefault="00D466B8" w:rsidP="008D2F53"/>
    <w:tbl>
      <w:tblPr>
        <w:tblStyle w:val="TableGrid"/>
        <w:tblW w:w="0" w:type="auto"/>
        <w:tblLook w:val="04A0" w:firstRow="1" w:lastRow="0" w:firstColumn="1" w:lastColumn="0" w:noHBand="0" w:noVBand="1"/>
      </w:tblPr>
      <w:tblGrid>
        <w:gridCol w:w="4508"/>
        <w:gridCol w:w="4508"/>
      </w:tblGrid>
      <w:tr w:rsidR="00D466B8" w:rsidTr="00ED5107">
        <w:tc>
          <w:tcPr>
            <w:tcW w:w="4508" w:type="dxa"/>
            <w:shd w:val="clear" w:color="auto" w:fill="70AD47" w:themeFill="accent6"/>
          </w:tcPr>
          <w:p w:rsidR="00D466B8" w:rsidRPr="00ED5107" w:rsidRDefault="00D466B8" w:rsidP="008D2F53">
            <w:pPr>
              <w:rPr>
                <w:sz w:val="32"/>
                <w:szCs w:val="32"/>
              </w:rPr>
            </w:pPr>
            <w:r w:rsidRPr="00ED5107">
              <w:rPr>
                <w:sz w:val="32"/>
                <w:szCs w:val="32"/>
              </w:rPr>
              <w:lastRenderedPageBreak/>
              <w:t>Strengths</w:t>
            </w:r>
          </w:p>
          <w:p w:rsidR="00D466B8" w:rsidRDefault="00D466B8" w:rsidP="00D466B8">
            <w:pPr>
              <w:pStyle w:val="ListParagraph"/>
              <w:numPr>
                <w:ilvl w:val="0"/>
                <w:numId w:val="2"/>
              </w:numPr>
            </w:pPr>
            <w:r>
              <w:t>Staff open to change</w:t>
            </w:r>
          </w:p>
          <w:p w:rsidR="00D466B8" w:rsidRDefault="00D466B8" w:rsidP="00D466B8">
            <w:pPr>
              <w:pStyle w:val="ListParagraph"/>
              <w:numPr>
                <w:ilvl w:val="0"/>
                <w:numId w:val="2"/>
              </w:numPr>
            </w:pPr>
            <w:r>
              <w:t xml:space="preserve">Resilience </w:t>
            </w:r>
          </w:p>
          <w:p w:rsidR="00D466B8" w:rsidRDefault="00D466B8" w:rsidP="00D466B8">
            <w:pPr>
              <w:pStyle w:val="ListParagraph"/>
              <w:numPr>
                <w:ilvl w:val="0"/>
                <w:numId w:val="2"/>
              </w:numPr>
            </w:pPr>
            <w:r>
              <w:t>Main provider of WBL in Wales</w:t>
            </w:r>
          </w:p>
          <w:p w:rsidR="00D466B8" w:rsidRDefault="00D466B8" w:rsidP="00D466B8">
            <w:pPr>
              <w:pStyle w:val="ListParagraph"/>
              <w:numPr>
                <w:ilvl w:val="0"/>
                <w:numId w:val="2"/>
              </w:numPr>
            </w:pPr>
            <w:r>
              <w:t>Company ethos/mission statement</w:t>
            </w:r>
          </w:p>
          <w:p w:rsidR="00D466B8" w:rsidRDefault="00D466B8" w:rsidP="00D466B8">
            <w:pPr>
              <w:pStyle w:val="ListParagraph"/>
              <w:numPr>
                <w:ilvl w:val="0"/>
                <w:numId w:val="2"/>
              </w:numPr>
            </w:pPr>
            <w:r>
              <w:t>Company values attitudes and beliefs</w:t>
            </w:r>
          </w:p>
          <w:p w:rsidR="00D466B8" w:rsidRDefault="00D466B8" w:rsidP="00D466B8">
            <w:pPr>
              <w:pStyle w:val="ListParagraph"/>
              <w:numPr>
                <w:ilvl w:val="0"/>
                <w:numId w:val="2"/>
              </w:numPr>
            </w:pPr>
          </w:p>
        </w:tc>
        <w:tc>
          <w:tcPr>
            <w:tcW w:w="4508" w:type="dxa"/>
            <w:shd w:val="clear" w:color="auto" w:fill="8EAADB" w:themeFill="accent1" w:themeFillTint="99"/>
          </w:tcPr>
          <w:p w:rsidR="00D466B8" w:rsidRPr="00ED5107" w:rsidRDefault="00D466B8" w:rsidP="008D2F53">
            <w:pPr>
              <w:rPr>
                <w:sz w:val="32"/>
                <w:szCs w:val="32"/>
              </w:rPr>
            </w:pPr>
            <w:r w:rsidRPr="00ED5107">
              <w:rPr>
                <w:sz w:val="32"/>
                <w:szCs w:val="32"/>
              </w:rPr>
              <w:t>Weaknesses</w:t>
            </w:r>
          </w:p>
          <w:p w:rsidR="00D466B8" w:rsidRDefault="00D466B8" w:rsidP="00D466B8">
            <w:pPr>
              <w:pStyle w:val="ListParagraph"/>
              <w:numPr>
                <w:ilvl w:val="0"/>
                <w:numId w:val="3"/>
              </w:numPr>
            </w:pPr>
            <w:r>
              <w:t>Cost of change</w:t>
            </w:r>
          </w:p>
          <w:p w:rsidR="00D466B8" w:rsidRDefault="00D466B8" w:rsidP="00D466B8">
            <w:pPr>
              <w:pStyle w:val="ListParagraph"/>
              <w:numPr>
                <w:ilvl w:val="0"/>
                <w:numId w:val="3"/>
              </w:numPr>
            </w:pPr>
            <w:r>
              <w:t>Financial loss to company</w:t>
            </w:r>
          </w:p>
          <w:p w:rsidR="00D466B8" w:rsidRDefault="00ED5107" w:rsidP="00D466B8">
            <w:pPr>
              <w:pStyle w:val="ListParagraph"/>
              <w:numPr>
                <w:ilvl w:val="0"/>
                <w:numId w:val="3"/>
              </w:numPr>
            </w:pPr>
            <w:r>
              <w:t>Possibly going back to fossil fuelled cars</w:t>
            </w:r>
          </w:p>
          <w:p w:rsidR="00ED5107" w:rsidRDefault="00ED5107" w:rsidP="00D466B8">
            <w:pPr>
              <w:pStyle w:val="ListParagraph"/>
              <w:numPr>
                <w:ilvl w:val="0"/>
                <w:numId w:val="3"/>
              </w:numPr>
            </w:pPr>
            <w:r>
              <w:t>Cost of servicing cars</w:t>
            </w:r>
          </w:p>
          <w:p w:rsidR="00ED5107" w:rsidRDefault="00ED5107" w:rsidP="00D466B8">
            <w:pPr>
              <w:pStyle w:val="ListParagraph"/>
              <w:numPr>
                <w:ilvl w:val="0"/>
                <w:numId w:val="3"/>
              </w:numPr>
            </w:pPr>
            <w:r>
              <w:t>Maintenance costs</w:t>
            </w:r>
          </w:p>
        </w:tc>
      </w:tr>
      <w:tr w:rsidR="00D466B8" w:rsidTr="00ED5107">
        <w:tc>
          <w:tcPr>
            <w:tcW w:w="4508" w:type="dxa"/>
            <w:shd w:val="clear" w:color="auto" w:fill="C5E0B3" w:themeFill="accent6" w:themeFillTint="66"/>
          </w:tcPr>
          <w:p w:rsidR="00D466B8" w:rsidRPr="00ED5107" w:rsidRDefault="00D466B8" w:rsidP="008D2F53">
            <w:pPr>
              <w:rPr>
                <w:sz w:val="32"/>
                <w:szCs w:val="32"/>
              </w:rPr>
            </w:pPr>
            <w:r w:rsidRPr="00ED5107">
              <w:rPr>
                <w:sz w:val="32"/>
                <w:szCs w:val="32"/>
              </w:rPr>
              <w:t>Opportunities</w:t>
            </w:r>
          </w:p>
          <w:p w:rsidR="00D466B8" w:rsidRDefault="00D466B8" w:rsidP="00D466B8">
            <w:pPr>
              <w:pStyle w:val="ListParagraph"/>
              <w:numPr>
                <w:ilvl w:val="0"/>
                <w:numId w:val="4"/>
              </w:numPr>
            </w:pPr>
            <w:r>
              <w:t>Develop planned and phased Net Zero</w:t>
            </w:r>
          </w:p>
          <w:p w:rsidR="00D466B8" w:rsidRDefault="00D466B8" w:rsidP="00D466B8">
            <w:pPr>
              <w:pStyle w:val="ListParagraph"/>
              <w:numPr>
                <w:ilvl w:val="0"/>
                <w:numId w:val="4"/>
              </w:numPr>
            </w:pPr>
            <w:r>
              <w:t>Sustainability</w:t>
            </w:r>
          </w:p>
          <w:p w:rsidR="00D466B8" w:rsidRDefault="00D466B8" w:rsidP="00D466B8">
            <w:pPr>
              <w:pStyle w:val="ListParagraph"/>
              <w:numPr>
                <w:ilvl w:val="0"/>
                <w:numId w:val="4"/>
              </w:numPr>
            </w:pPr>
            <w:r>
              <w:t>Resilience</w:t>
            </w:r>
          </w:p>
          <w:p w:rsidR="00D466B8" w:rsidRDefault="00D466B8" w:rsidP="00D466B8">
            <w:pPr>
              <w:pStyle w:val="ListParagraph"/>
              <w:numPr>
                <w:ilvl w:val="0"/>
                <w:numId w:val="4"/>
              </w:numPr>
            </w:pPr>
          </w:p>
        </w:tc>
        <w:tc>
          <w:tcPr>
            <w:tcW w:w="4508" w:type="dxa"/>
            <w:shd w:val="clear" w:color="auto" w:fill="FF0000"/>
          </w:tcPr>
          <w:p w:rsidR="00D466B8" w:rsidRPr="00ED5107" w:rsidRDefault="00ED5107" w:rsidP="008D2F53">
            <w:pPr>
              <w:rPr>
                <w:sz w:val="32"/>
                <w:szCs w:val="32"/>
              </w:rPr>
            </w:pPr>
            <w:r w:rsidRPr="00ED5107">
              <w:rPr>
                <w:sz w:val="32"/>
                <w:szCs w:val="32"/>
              </w:rPr>
              <w:t>Threats</w:t>
            </w:r>
          </w:p>
          <w:p w:rsidR="00ED5107" w:rsidRDefault="00ED5107" w:rsidP="00ED5107">
            <w:pPr>
              <w:pStyle w:val="ListParagraph"/>
              <w:numPr>
                <w:ilvl w:val="0"/>
                <w:numId w:val="5"/>
              </w:numPr>
            </w:pPr>
            <w:r>
              <w:t>Rising cost of electric</w:t>
            </w:r>
          </w:p>
          <w:p w:rsidR="00ED5107" w:rsidRDefault="00ED5107" w:rsidP="00ED5107">
            <w:pPr>
              <w:pStyle w:val="ListParagraph"/>
              <w:numPr>
                <w:ilvl w:val="0"/>
                <w:numId w:val="5"/>
              </w:numPr>
            </w:pPr>
            <w:r>
              <w:t>Not enough recharging points</w:t>
            </w:r>
          </w:p>
          <w:p w:rsidR="00ED5107" w:rsidRDefault="00ED5107" w:rsidP="00ED5107">
            <w:pPr>
              <w:pStyle w:val="ListParagraph"/>
              <w:numPr>
                <w:ilvl w:val="0"/>
                <w:numId w:val="5"/>
              </w:numPr>
            </w:pPr>
            <w:r>
              <w:t>Not enough range on full EV’s</w:t>
            </w:r>
          </w:p>
          <w:p w:rsidR="00ED5107" w:rsidRDefault="00ED5107" w:rsidP="00ED5107">
            <w:pPr>
              <w:pStyle w:val="ListParagraph"/>
              <w:numPr>
                <w:ilvl w:val="0"/>
                <w:numId w:val="5"/>
              </w:numPr>
            </w:pPr>
            <w:r>
              <w:t xml:space="preserve">Time </w:t>
            </w:r>
            <w:proofErr w:type="spellStart"/>
            <w:r>
              <w:t>taked</w:t>
            </w:r>
            <w:proofErr w:type="spellEnd"/>
            <w:r>
              <w:t xml:space="preserve"> to recharge</w:t>
            </w:r>
          </w:p>
        </w:tc>
      </w:tr>
    </w:tbl>
    <w:p w:rsidR="00D466B8" w:rsidRDefault="00D466B8" w:rsidP="008D2F53"/>
    <w:sectPr w:rsidR="00D466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B20A5"/>
    <w:multiLevelType w:val="hybridMultilevel"/>
    <w:tmpl w:val="38B02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E4332C"/>
    <w:multiLevelType w:val="hybridMultilevel"/>
    <w:tmpl w:val="A62A1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AE79A0"/>
    <w:multiLevelType w:val="hybridMultilevel"/>
    <w:tmpl w:val="97007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D3200C"/>
    <w:multiLevelType w:val="hybridMultilevel"/>
    <w:tmpl w:val="32BA4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09405F"/>
    <w:multiLevelType w:val="hybridMultilevel"/>
    <w:tmpl w:val="7BA62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F53"/>
    <w:rsid w:val="0001718E"/>
    <w:rsid w:val="00036177"/>
    <w:rsid w:val="000625B0"/>
    <w:rsid w:val="000B460D"/>
    <w:rsid w:val="000C428F"/>
    <w:rsid w:val="001670C2"/>
    <w:rsid w:val="0017092E"/>
    <w:rsid w:val="001B78A9"/>
    <w:rsid w:val="00233834"/>
    <w:rsid w:val="00255DFA"/>
    <w:rsid w:val="002C7E47"/>
    <w:rsid w:val="002D59C4"/>
    <w:rsid w:val="003121D3"/>
    <w:rsid w:val="003274E3"/>
    <w:rsid w:val="00334BDD"/>
    <w:rsid w:val="00347A23"/>
    <w:rsid w:val="003A2BDF"/>
    <w:rsid w:val="003B4C48"/>
    <w:rsid w:val="003F425A"/>
    <w:rsid w:val="004365EA"/>
    <w:rsid w:val="004410CF"/>
    <w:rsid w:val="0047349C"/>
    <w:rsid w:val="004A414F"/>
    <w:rsid w:val="005762C9"/>
    <w:rsid w:val="005941A0"/>
    <w:rsid w:val="006A06B1"/>
    <w:rsid w:val="006A144A"/>
    <w:rsid w:val="007050C6"/>
    <w:rsid w:val="00731CDB"/>
    <w:rsid w:val="0076106D"/>
    <w:rsid w:val="007B226A"/>
    <w:rsid w:val="007E737E"/>
    <w:rsid w:val="00804523"/>
    <w:rsid w:val="00826EE8"/>
    <w:rsid w:val="00887699"/>
    <w:rsid w:val="008B7CCD"/>
    <w:rsid w:val="008D2F53"/>
    <w:rsid w:val="008D6D57"/>
    <w:rsid w:val="00980EED"/>
    <w:rsid w:val="009F5DE5"/>
    <w:rsid w:val="00A21B92"/>
    <w:rsid w:val="00A237BD"/>
    <w:rsid w:val="00A24E58"/>
    <w:rsid w:val="00A2669C"/>
    <w:rsid w:val="00A76FB6"/>
    <w:rsid w:val="00A86B71"/>
    <w:rsid w:val="00AE5BF5"/>
    <w:rsid w:val="00AF3A71"/>
    <w:rsid w:val="00AF7477"/>
    <w:rsid w:val="00B24A2B"/>
    <w:rsid w:val="00B44943"/>
    <w:rsid w:val="00B478EA"/>
    <w:rsid w:val="00B91C8E"/>
    <w:rsid w:val="00BC24B2"/>
    <w:rsid w:val="00BC37F3"/>
    <w:rsid w:val="00BE41A0"/>
    <w:rsid w:val="00C40961"/>
    <w:rsid w:val="00C779D4"/>
    <w:rsid w:val="00CB11E3"/>
    <w:rsid w:val="00D466B8"/>
    <w:rsid w:val="00D568FD"/>
    <w:rsid w:val="00D930F8"/>
    <w:rsid w:val="00DE0E08"/>
    <w:rsid w:val="00E816D1"/>
    <w:rsid w:val="00E83424"/>
    <w:rsid w:val="00EA207C"/>
    <w:rsid w:val="00ED2F4F"/>
    <w:rsid w:val="00ED5107"/>
    <w:rsid w:val="00EF68A1"/>
    <w:rsid w:val="00F12B00"/>
    <w:rsid w:val="00FD77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081FB"/>
  <w15:chartTrackingRefBased/>
  <w15:docId w15:val="{A95E7DE5-0FD4-4D75-A144-ECF7DD5D3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2F5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2F53"/>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941A0"/>
    <w:rPr>
      <w:color w:val="0563C1" w:themeColor="hyperlink"/>
      <w:u w:val="single"/>
    </w:rPr>
  </w:style>
  <w:style w:type="character" w:styleId="UnresolvedMention">
    <w:name w:val="Unresolved Mention"/>
    <w:basedOn w:val="DefaultParagraphFont"/>
    <w:uiPriority w:val="99"/>
    <w:semiHidden/>
    <w:unhideWhenUsed/>
    <w:rsid w:val="005941A0"/>
    <w:rPr>
      <w:color w:val="605E5C"/>
      <w:shd w:val="clear" w:color="auto" w:fill="E1DFDD"/>
    </w:rPr>
  </w:style>
  <w:style w:type="table" w:styleId="TableGrid">
    <w:name w:val="Table Grid"/>
    <w:basedOn w:val="TableNormal"/>
    <w:uiPriority w:val="39"/>
    <w:rsid w:val="000B46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B460D"/>
    <w:pPr>
      <w:ind w:left="720"/>
      <w:contextualSpacing/>
    </w:pPr>
  </w:style>
  <w:style w:type="paragraph" w:styleId="TOCHeading">
    <w:name w:val="TOC Heading"/>
    <w:basedOn w:val="Heading1"/>
    <w:next w:val="Normal"/>
    <w:uiPriority w:val="39"/>
    <w:unhideWhenUsed/>
    <w:qFormat/>
    <w:rsid w:val="002C7E47"/>
    <w:pPr>
      <w:outlineLvl w:val="9"/>
    </w:pPr>
    <w:rPr>
      <w:lang w:val="en-US"/>
    </w:rPr>
  </w:style>
  <w:style w:type="paragraph" w:styleId="TOC1">
    <w:name w:val="toc 1"/>
    <w:basedOn w:val="Normal"/>
    <w:next w:val="Normal"/>
    <w:autoRedefine/>
    <w:uiPriority w:val="39"/>
    <w:unhideWhenUsed/>
    <w:rsid w:val="002C7E4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646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t.com/content/35575f80-4a75-11e6-b387-64abOa67014c" TargetMode="External"/><Relationship Id="rId13" Type="http://schemas.openxmlformats.org/officeDocument/2006/relationships/hyperlink" Target="https://doi.org/10.1177/017084069001100102" TargetMode="External"/><Relationship Id="rId18" Type="http://schemas.openxmlformats.org/officeDocument/2006/relationships/hyperlink" Target="https://www.rivervaleleasing.co.uk/guides/electric-vehicle-leasing/are-electric-cars-better-for-the-environment-pros-cons" TargetMode="External"/><Relationship Id="rId3" Type="http://schemas.openxmlformats.org/officeDocument/2006/relationships/styles" Target="styles.xml"/><Relationship Id="rId21" Type="http://schemas.openxmlformats.org/officeDocument/2006/relationships/image" Target="media/image2.emf"/><Relationship Id="rId7" Type="http://schemas.openxmlformats.org/officeDocument/2006/relationships/hyperlink" Target="https://www.autoacr.co.uk/carnews/industry/" TargetMode="External"/><Relationship Id="rId12" Type="http://schemas.openxmlformats.org/officeDocument/2006/relationships/hyperlink" Target="https://doi.org/10.1590/1807-7692bar2015140033" TargetMode="External"/><Relationship Id="rId17" Type="http://schemas.openxmlformats.org/officeDocument/2006/relationships/hyperlink" Target="https://doi.org/10.18848/1835-7156/cgp/v11i03/1-13" TargetMode="External"/><Relationship Id="rId2" Type="http://schemas.openxmlformats.org/officeDocument/2006/relationships/numbering" Target="numbering.xml"/><Relationship Id="rId16" Type="http://schemas.openxmlformats.org/officeDocument/2006/relationships/hyperlink" Target="https://www.prosci.com/resources/articles/what-is-change-management-and-how-does-it-work" TargetMode="External"/><Relationship Id="rId20" Type="http://schemas.openxmlformats.org/officeDocument/2006/relationships/hyperlink" Target="https://doi.org/10.3138/9781442673496-014"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techtarget.com/whatis/definition/Kurt-Lewins-Change-Management-Model-Unfreeze-Change-Refreeze"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2307/1556413" TargetMode="External"/><Relationship Id="rId23" Type="http://schemas.openxmlformats.org/officeDocument/2006/relationships/fontTable" Target="fontTable.xml"/><Relationship Id="rId10" Type="http://schemas.openxmlformats.org/officeDocument/2006/relationships/hyperlink" Target="https://cambriantraining.com/wp/en/wp-content/uploads/2019/09/Strategic-Plan-2019-2022-FINAL-1.pdf" TargetMode="External"/><Relationship Id="rId19" Type="http://schemas.openxmlformats.org/officeDocument/2006/relationships/hyperlink" Target="https://www.philliphodson.co.uk/554/" TargetMode="External"/><Relationship Id="rId4" Type="http://schemas.openxmlformats.org/officeDocument/2006/relationships/settings" Target="settings.xml"/><Relationship Id="rId9" Type="http://schemas.openxmlformats.org/officeDocument/2006/relationships/hyperlink" Target="https://doi.org/10.1111/j.1467-6486.2004.00431.x" TargetMode="External"/><Relationship Id="rId14" Type="http://schemas.openxmlformats.org/officeDocument/2006/relationships/hyperlink" Target="https://www.kotterinc.com/methodology/8-steps/" TargetMode="External"/><Relationship Id="rId22"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D34BCEE-F181-45E6-A3C0-64BF08C91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1621</TotalTime>
  <Pages>17</Pages>
  <Words>5895</Words>
  <Characters>33605</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Cambrian Training Company</Company>
  <LinksUpToDate>false</LinksUpToDate>
  <CharactersWithSpaces>39422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Bennett (1911380)</dc:creator>
  <cp:keywords/>
  <dc:description/>
  <cp:lastModifiedBy>Craig Bennett (1911380)</cp:lastModifiedBy>
  <cp:revision>11</cp:revision>
  <dcterms:created xsi:type="dcterms:W3CDTF">2023-01-16T18:26:00Z</dcterms:created>
  <dcterms:modified xsi:type="dcterms:W3CDTF">2023-01-31T14:25:00Z</dcterms:modified>
</cp:coreProperties>
</file>