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Spacing"/>
        <w:rPr/>
      </w:pPr>
      <w:r>
        <w:rPr/>
        <mc:AlternateContent>
          <mc:Choice Requires="wpg">
            <w:drawing>
              <wp:anchor behindDoc="1" distT="0" distB="0" distL="114300" distR="114300" simplePos="0" locked="0" layoutInCell="1" allowOverlap="1" relativeHeight="5">
                <wp:simplePos x="0" y="0"/>
                <wp:positionH relativeFrom="page">
                  <wp:posOffset>635</wp:posOffset>
                </wp:positionH>
                <wp:positionV relativeFrom="page">
                  <wp:align>center</wp:align>
                </wp:positionV>
                <wp:extent cx="2195195" cy="9126220"/>
                <wp:effectExtent l="0" t="0" r="0" b="0"/>
                <wp:wrapNone/>
                <wp:docPr id="1" name="Group 1"/>
                <a:graphic xmlns:a="http://schemas.openxmlformats.org/drawingml/2006/main">
                  <a:graphicData uri="http://schemas.microsoft.com/office/word/2010/wordprocessingGroup">
                    <wpg:wgp>
                      <wpg:cNvGrpSpPr/>
                      <wpg:grpSpPr>
                        <a:xfrm>
                          <a:off x="0" y="0"/>
                          <a:ext cx="2194560" cy="9125640"/>
                        </a:xfrm>
                      </wpg:grpSpPr>
                      <wps:wsp>
                        <wps:cNvSpPr/>
                        <wps:nvSpPr>
                          <wps:cNvPr id="0" name="Rectangle 1"/>
                          <wps:cNvSpPr/>
                        </wps:nvSpPr>
                        <wps:spPr>
                          <a:xfrm>
                            <a:off x="0" y="0"/>
                            <a:ext cx="194400" cy="9125640"/>
                          </a:xfrm>
                          <a:prstGeom prst="rect">
                            <a:avLst/>
                          </a:prstGeom>
                          <a:solidFill>
                            <a:srgbClr val="44546a"/>
                          </a:solidFill>
                          <a:ln>
                            <a:noFill/>
                          </a:ln>
                        </wps:spPr>
                        <wps:bodyPr/>
                      </wps:wsp>
                      <wps:wsp>
                        <wps:cNvSpPr/>
                        <wps:spPr>
                          <a:xfrm>
                            <a:off x="0" y="1467000"/>
                            <a:ext cx="2194560" cy="552600"/>
                          </a:xfrm>
                          <a:custGeom>
                            <a:avLst/>
                            <a:gdLst/>
                            <a:ahLst/>
                            <a:rect l="0" t="0" r="r" b="b"/>
                            <a:pathLst>
                              <a:path w="3458" h="872">
                                <a:moveTo>
                                  <a:pt x="0" y="0"/>
                                </a:moveTo>
                                <a:lnTo>
                                  <a:pt x="3022" y="0"/>
                                </a:lnTo>
                                <a:lnTo>
                                  <a:pt x="3457" y="435"/>
                                </a:lnTo>
                                <a:lnTo>
                                  <a:pt x="3022" y="871"/>
                                </a:lnTo>
                                <a:lnTo>
                                  <a:pt x="0" y="871"/>
                                </a:lnTo>
                                <a:lnTo>
                                  <a:pt x="0" y="0"/>
                                </a:lnTo>
                              </a:path>
                            </a:pathLst>
                          </a:custGeom>
                          <a:solidFill>
                            <a:srgbClr val="4472c4"/>
                          </a:solidFill>
                          <a:ln>
                            <a:noFill/>
                          </a:ln>
                        </wps:spPr>
                        <wps:style>
                          <a:lnRef idx="0"/>
                          <a:fillRef idx="0"/>
                          <a:effectRef idx="0"/>
                          <a:fontRef idx="minor"/>
                        </wps:style>
                        <wps:bodyPr/>
                      </wps:wsp>
                      <wpg:grpSp>
                        <wpg:cNvGrpSpPr/>
                        <wpg:grpSpPr>
                          <a:xfrm>
                            <a:off x="76320" y="4210200"/>
                            <a:ext cx="2057400" cy="4910400"/>
                          </a:xfrm>
                        </wpg:grpSpPr>
                        <wpg:grpSp>
                          <wpg:cNvGrpSpPr/>
                          <wpg:grpSpPr>
                            <a:xfrm>
                              <a:off x="94320" y="0"/>
                              <a:ext cx="1650960" cy="4910400"/>
                            </a:xfrm>
                          </wpg:grpSpPr>
                          <wps:wsp>
                            <wps:cNvSpPr/>
                            <wps:spPr>
                              <a:xfrm>
                                <a:off x="8573040" y="9242640"/>
                                <a:ext cx="304560" cy="1099440"/>
                              </a:xfrm>
                              <a:custGeom>
                                <a:avLst/>
                                <a:gdLst/>
                                <a:ahLst/>
                                <a:rect l="0" t="0" r="r" b="b"/>
                                <a:pathLst>
                                  <a:path w="846" h="3054">
                                    <a:moveTo>
                                      <a:pt x="0" y="0"/>
                                    </a:moveTo>
                                    <a:lnTo>
                                      <a:pt x="271" y="1055"/>
                                    </a:lnTo>
                                    <a:lnTo>
                                      <a:pt x="582" y="2109"/>
                                    </a:lnTo>
                                    <a:lnTo>
                                      <a:pt x="845" y="2893"/>
                                    </a:lnTo>
                                    <a:lnTo>
                                      <a:pt x="845" y="3053"/>
                                    </a:lnTo>
                                    <a:lnTo>
                                      <a:pt x="527" y="2123"/>
                                    </a:lnTo>
                                    <a:lnTo>
                                      <a:pt x="271" y="1249"/>
                                    </a:lnTo>
                                    <a:lnTo>
                                      <a:pt x="42" y="368"/>
                                    </a:lnTo>
                                    <a:lnTo>
                                      <a:pt x="0" y="0"/>
                                    </a:lnTo>
                                  </a:path>
                                </a:pathLst>
                              </a:custGeom>
                              <a:solidFill>
                                <a:srgbClr val="44546a"/>
                              </a:solidFill>
                              <a:ln>
                                <a:solidFill>
                                  <a:srgbClr val="44546a"/>
                                </a:solidFill>
                              </a:ln>
                            </wps:spPr>
                            <wps:bodyPr/>
                          </wps:wsp>
                          <wps:wsp>
                            <wps:cNvSpPr/>
                            <wps:spPr>
                              <a:xfrm>
                                <a:off x="8893080" y="10326600"/>
                                <a:ext cx="290520" cy="672120"/>
                              </a:xfrm>
                              <a:custGeom>
                                <a:avLst/>
                                <a:gdLst/>
                                <a:ahLst/>
                                <a:rect l="0" t="0" r="r" b="b"/>
                                <a:pathLst>
                                  <a:path w="807" h="1867">
                                    <a:moveTo>
                                      <a:pt x="0" y="0"/>
                                    </a:moveTo>
                                    <a:lnTo>
                                      <a:pt x="56" y="132"/>
                                    </a:lnTo>
                                    <a:lnTo>
                                      <a:pt x="257" y="645"/>
                                    </a:lnTo>
                                    <a:lnTo>
                                      <a:pt x="466" y="1158"/>
                                    </a:lnTo>
                                    <a:lnTo>
                                      <a:pt x="806" y="1866"/>
                                    </a:lnTo>
                                    <a:lnTo>
                                      <a:pt x="750" y="1866"/>
                                    </a:lnTo>
                                    <a:lnTo>
                                      <a:pt x="417" y="1172"/>
                                    </a:lnTo>
                                    <a:lnTo>
                                      <a:pt x="208" y="680"/>
                                    </a:lnTo>
                                    <a:lnTo>
                                      <a:pt x="7" y="173"/>
                                    </a:lnTo>
                                    <a:lnTo>
                                      <a:pt x="0" y="0"/>
                                    </a:lnTo>
                                  </a:path>
                                </a:pathLst>
                              </a:custGeom>
                              <a:solidFill>
                                <a:srgbClr val="44546a"/>
                              </a:solidFill>
                              <a:ln>
                                <a:solidFill>
                                  <a:srgbClr val="44546a"/>
                                </a:solidFill>
                              </a:ln>
                            </wps:spPr>
                            <wps:bodyPr/>
                          </wps:wsp>
                          <wps:wsp>
                            <wps:cNvSpPr/>
                            <wps:spPr>
                              <a:xfrm>
                                <a:off x="8212680" y="6087960"/>
                                <a:ext cx="350640" cy="3177360"/>
                              </a:xfrm>
                              <a:custGeom>
                                <a:avLst/>
                                <a:gdLst/>
                                <a:ahLst/>
                                <a:rect l="0" t="0" r="r" b="b"/>
                                <a:pathLst>
                                  <a:path w="974" h="8826">
                                    <a:moveTo>
                                      <a:pt x="0" y="0"/>
                                    </a:moveTo>
                                    <a:lnTo>
                                      <a:pt x="0" y="0"/>
                                    </a:lnTo>
                                    <a:lnTo>
                                      <a:pt x="7" y="548"/>
                                    </a:lnTo>
                                    <a:lnTo>
                                      <a:pt x="21" y="1103"/>
                                    </a:lnTo>
                                    <a:lnTo>
                                      <a:pt x="83" y="2199"/>
                                    </a:lnTo>
                                    <a:lnTo>
                                      <a:pt x="160" y="3302"/>
                                    </a:lnTo>
                                    <a:lnTo>
                                      <a:pt x="271" y="4399"/>
                                    </a:lnTo>
                                    <a:lnTo>
                                      <a:pt x="403" y="5495"/>
                                    </a:lnTo>
                                    <a:lnTo>
                                      <a:pt x="577" y="6577"/>
                                    </a:lnTo>
                                    <a:lnTo>
                                      <a:pt x="744" y="7535"/>
                                    </a:lnTo>
                                    <a:lnTo>
                                      <a:pt x="938" y="8485"/>
                                    </a:lnTo>
                                    <a:lnTo>
                                      <a:pt x="973" y="8825"/>
                                    </a:lnTo>
                                    <a:lnTo>
                                      <a:pt x="959" y="8756"/>
                                    </a:lnTo>
                                    <a:lnTo>
                                      <a:pt x="730" y="7673"/>
                                    </a:lnTo>
                                    <a:lnTo>
                                      <a:pt x="535" y="6584"/>
                                    </a:lnTo>
                                    <a:lnTo>
                                      <a:pt x="368" y="5495"/>
                                    </a:lnTo>
                                    <a:lnTo>
                                      <a:pt x="243" y="4399"/>
                                    </a:lnTo>
                                    <a:lnTo>
                                      <a:pt x="139" y="3302"/>
                                    </a:lnTo>
                                    <a:lnTo>
                                      <a:pt x="63" y="2199"/>
                                    </a:lnTo>
                                    <a:lnTo>
                                      <a:pt x="14" y="1103"/>
                                    </a:lnTo>
                                    <a:lnTo>
                                      <a:pt x="0" y="548"/>
                                    </a:lnTo>
                                    <a:lnTo>
                                      <a:pt x="0" y="0"/>
                                    </a:lnTo>
                                  </a:path>
                                </a:pathLst>
                              </a:custGeom>
                              <a:solidFill>
                                <a:srgbClr val="44546a"/>
                              </a:solidFill>
                              <a:ln>
                                <a:solidFill>
                                  <a:srgbClr val="44546a"/>
                                </a:solidFill>
                              </a:ln>
                            </wps:spPr>
                            <wps:bodyPr/>
                          </wps:wsp>
                          <wps:wsp>
                            <wps:cNvSpPr/>
                            <wps:spPr>
                              <a:xfrm>
                                <a:off x="8527680" y="7109280"/>
                                <a:ext cx="112320" cy="2133360"/>
                              </a:xfrm>
                              <a:custGeom>
                                <a:avLst/>
                                <a:gdLst/>
                                <a:ahLst/>
                                <a:rect l="0" t="0" r="r" b="b"/>
                                <a:pathLst>
                                  <a:path w="312" h="5926">
                                    <a:moveTo>
                                      <a:pt x="311" y="0"/>
                                    </a:moveTo>
                                    <a:lnTo>
                                      <a:pt x="311" y="0"/>
                                    </a:lnTo>
                                    <a:lnTo>
                                      <a:pt x="242" y="458"/>
                                    </a:lnTo>
                                    <a:lnTo>
                                      <a:pt x="180" y="923"/>
                                    </a:lnTo>
                                    <a:lnTo>
                                      <a:pt x="97" y="1852"/>
                                    </a:lnTo>
                                    <a:lnTo>
                                      <a:pt x="42" y="2782"/>
                                    </a:lnTo>
                                    <a:lnTo>
                                      <a:pt x="21" y="3705"/>
                                    </a:lnTo>
                                    <a:lnTo>
                                      <a:pt x="42" y="4641"/>
                                    </a:lnTo>
                                    <a:lnTo>
                                      <a:pt x="97" y="5571"/>
                                    </a:lnTo>
                                    <a:lnTo>
                                      <a:pt x="124" y="5925"/>
                                    </a:lnTo>
                                    <a:lnTo>
                                      <a:pt x="124" y="5904"/>
                                    </a:lnTo>
                                    <a:lnTo>
                                      <a:pt x="63" y="5647"/>
                                    </a:lnTo>
                                    <a:lnTo>
                                      <a:pt x="56" y="5571"/>
                                    </a:lnTo>
                                    <a:lnTo>
                                      <a:pt x="7" y="4641"/>
                                    </a:lnTo>
                                    <a:lnTo>
                                      <a:pt x="0" y="3705"/>
                                    </a:lnTo>
                                    <a:lnTo>
                                      <a:pt x="21" y="2782"/>
                                    </a:lnTo>
                                    <a:lnTo>
                                      <a:pt x="83" y="1852"/>
                                    </a:lnTo>
                                    <a:lnTo>
                                      <a:pt x="173" y="916"/>
                                    </a:lnTo>
                                    <a:lnTo>
                                      <a:pt x="235" y="458"/>
                                    </a:lnTo>
                                    <a:lnTo>
                                      <a:pt x="311" y="0"/>
                                    </a:lnTo>
                                  </a:path>
                                </a:pathLst>
                              </a:custGeom>
                              <a:solidFill>
                                <a:srgbClr val="44546a"/>
                              </a:solidFill>
                              <a:ln>
                                <a:solidFill>
                                  <a:srgbClr val="44546a"/>
                                </a:solidFill>
                              </a:ln>
                            </wps:spPr>
                            <wps:bodyPr/>
                          </wps:wsp>
                          <wps:wsp>
                            <wps:cNvSpPr/>
                            <wps:spPr>
                              <a:xfrm>
                                <a:off x="8562960" y="9264600"/>
                                <a:ext cx="385200" cy="1571400"/>
                              </a:xfrm>
                              <a:custGeom>
                                <a:avLst/>
                                <a:gdLst/>
                                <a:ahLst/>
                                <a:rect l="0" t="0" r="r" b="b"/>
                                <a:pathLst>
                                  <a:path w="1070" h="4365">
                                    <a:moveTo>
                                      <a:pt x="0" y="0"/>
                                    </a:moveTo>
                                    <a:lnTo>
                                      <a:pt x="69" y="305"/>
                                    </a:lnTo>
                                    <a:lnTo>
                                      <a:pt x="146" y="874"/>
                                    </a:lnTo>
                                    <a:lnTo>
                                      <a:pt x="236" y="1436"/>
                                    </a:lnTo>
                                    <a:lnTo>
                                      <a:pt x="368" y="2033"/>
                                    </a:lnTo>
                                    <a:lnTo>
                                      <a:pt x="521" y="2636"/>
                                    </a:lnTo>
                                    <a:lnTo>
                                      <a:pt x="694" y="3233"/>
                                    </a:lnTo>
                                    <a:lnTo>
                                      <a:pt x="833" y="3615"/>
                                    </a:lnTo>
                                    <a:lnTo>
                                      <a:pt x="979" y="3996"/>
                                    </a:lnTo>
                                    <a:lnTo>
                                      <a:pt x="1055" y="4288"/>
                                    </a:lnTo>
                                    <a:lnTo>
                                      <a:pt x="1069" y="4364"/>
                                    </a:lnTo>
                                    <a:lnTo>
                                      <a:pt x="972" y="4128"/>
                                    </a:lnTo>
                                    <a:lnTo>
                                      <a:pt x="798" y="3691"/>
                                    </a:lnTo>
                                    <a:lnTo>
                                      <a:pt x="646" y="3247"/>
                                    </a:lnTo>
                                    <a:lnTo>
                                      <a:pt x="465" y="2657"/>
                                    </a:lnTo>
                                    <a:lnTo>
                                      <a:pt x="326" y="2047"/>
                                    </a:lnTo>
                                    <a:lnTo>
                                      <a:pt x="194" y="1436"/>
                                    </a:lnTo>
                                    <a:lnTo>
                                      <a:pt x="83" y="722"/>
                                    </a:lnTo>
                                    <a:lnTo>
                                      <a:pt x="0" y="0"/>
                                    </a:lnTo>
                                  </a:path>
                                </a:pathLst>
                              </a:custGeom>
                              <a:solidFill>
                                <a:srgbClr val="44546a"/>
                              </a:solidFill>
                              <a:ln>
                                <a:solidFill>
                                  <a:srgbClr val="44546a"/>
                                </a:solidFill>
                              </a:ln>
                            </wps:spPr>
                            <wps:bodyPr/>
                          </wps:wsp>
                          <wps:wsp>
                            <wps:cNvSpPr/>
                            <wps:spPr>
                              <a:xfrm>
                                <a:off x="8968320" y="10825560"/>
                                <a:ext cx="82800" cy="172800"/>
                              </a:xfrm>
                              <a:custGeom>
                                <a:avLst/>
                                <a:gdLst/>
                                <a:ahLst/>
                                <a:rect l="0" t="0" r="r" b="b"/>
                                <a:pathLst>
                                  <a:path w="230" h="480">
                                    <a:moveTo>
                                      <a:pt x="0" y="0"/>
                                    </a:moveTo>
                                    <a:lnTo>
                                      <a:pt x="229" y="479"/>
                                    </a:lnTo>
                                    <a:lnTo>
                                      <a:pt x="167" y="479"/>
                                    </a:lnTo>
                                    <a:lnTo>
                                      <a:pt x="83" y="243"/>
                                    </a:lnTo>
                                    <a:lnTo>
                                      <a:pt x="0" y="0"/>
                                    </a:lnTo>
                                  </a:path>
                                </a:pathLst>
                              </a:custGeom>
                              <a:solidFill>
                                <a:srgbClr val="44546a"/>
                              </a:solidFill>
                              <a:ln>
                                <a:solidFill>
                                  <a:srgbClr val="44546a"/>
                                </a:solidFill>
                              </a:ln>
                            </wps:spPr>
                            <wps:bodyPr/>
                          </wps:wsp>
                          <wps:wsp>
                            <wps:cNvSpPr/>
                            <wps:spPr>
                              <a:xfrm>
                                <a:off x="8550360" y="9142200"/>
                                <a:ext cx="37800" cy="232560"/>
                              </a:xfrm>
                              <a:custGeom>
                                <a:avLst/>
                                <a:gdLst/>
                                <a:ahLst/>
                                <a:rect l="0" t="0" r="r" b="b"/>
                                <a:pathLst>
                                  <a:path w="105" h="646">
                                    <a:moveTo>
                                      <a:pt x="0" y="0"/>
                                    </a:moveTo>
                                    <a:lnTo>
                                      <a:pt x="62" y="257"/>
                                    </a:lnTo>
                                    <a:lnTo>
                                      <a:pt x="62" y="277"/>
                                    </a:lnTo>
                                    <a:lnTo>
                                      <a:pt x="104" y="645"/>
                                    </a:lnTo>
                                    <a:lnTo>
                                      <a:pt x="35" y="340"/>
                                    </a:lnTo>
                                    <a:lnTo>
                                      <a:pt x="0" y="0"/>
                                    </a:lnTo>
                                  </a:path>
                                </a:pathLst>
                              </a:custGeom>
                              <a:solidFill>
                                <a:srgbClr val="44546a"/>
                              </a:solidFill>
                              <a:ln>
                                <a:solidFill>
                                  <a:srgbClr val="44546a"/>
                                </a:solidFill>
                              </a:ln>
                            </wps:spPr>
                            <wps:bodyPr/>
                          </wps:wsp>
                          <wps:wsp>
                            <wps:cNvSpPr/>
                            <wps:spPr>
                              <a:xfrm>
                                <a:off x="8877960" y="8412840"/>
                                <a:ext cx="985680" cy="1913040"/>
                              </a:xfrm>
                              <a:custGeom>
                                <a:avLst/>
                                <a:gdLst/>
                                <a:ahLst/>
                                <a:rect l="0" t="0" r="r" b="b"/>
                                <a:pathLst>
                                  <a:path w="2738" h="5314">
                                    <a:moveTo>
                                      <a:pt x="2737" y="0"/>
                                    </a:moveTo>
                                    <a:lnTo>
                                      <a:pt x="2737" y="0"/>
                                    </a:lnTo>
                                    <a:lnTo>
                                      <a:pt x="2473" y="264"/>
                                    </a:lnTo>
                                    <a:lnTo>
                                      <a:pt x="2216" y="534"/>
                                    </a:lnTo>
                                    <a:lnTo>
                                      <a:pt x="1973" y="812"/>
                                    </a:lnTo>
                                    <a:lnTo>
                                      <a:pt x="1730" y="1109"/>
                                    </a:lnTo>
                                    <a:lnTo>
                                      <a:pt x="1438" y="1512"/>
                                    </a:lnTo>
                                    <a:lnTo>
                                      <a:pt x="1167" y="1914"/>
                                    </a:lnTo>
                                    <a:lnTo>
                                      <a:pt x="910" y="2351"/>
                                    </a:lnTo>
                                    <a:lnTo>
                                      <a:pt x="681" y="2788"/>
                                    </a:lnTo>
                                    <a:lnTo>
                                      <a:pt x="479" y="3239"/>
                                    </a:lnTo>
                                    <a:lnTo>
                                      <a:pt x="313" y="3711"/>
                                    </a:lnTo>
                                    <a:lnTo>
                                      <a:pt x="181" y="4189"/>
                                    </a:lnTo>
                                    <a:lnTo>
                                      <a:pt x="97" y="4668"/>
                                    </a:lnTo>
                                    <a:lnTo>
                                      <a:pt x="49" y="5174"/>
                                    </a:lnTo>
                                    <a:lnTo>
                                      <a:pt x="42" y="5313"/>
                                    </a:lnTo>
                                    <a:lnTo>
                                      <a:pt x="0" y="5195"/>
                                    </a:lnTo>
                                    <a:lnTo>
                                      <a:pt x="7" y="5160"/>
                                    </a:lnTo>
                                    <a:lnTo>
                                      <a:pt x="49" y="4668"/>
                                    </a:lnTo>
                                    <a:lnTo>
                                      <a:pt x="146" y="4182"/>
                                    </a:lnTo>
                                    <a:lnTo>
                                      <a:pt x="278" y="3697"/>
                                    </a:lnTo>
                                    <a:lnTo>
                                      <a:pt x="452" y="3232"/>
                                    </a:lnTo>
                                    <a:lnTo>
                                      <a:pt x="653" y="2774"/>
                                    </a:lnTo>
                                    <a:lnTo>
                                      <a:pt x="882" y="2330"/>
                                    </a:lnTo>
                                    <a:lnTo>
                                      <a:pt x="1139" y="1907"/>
                                    </a:lnTo>
                                    <a:lnTo>
                                      <a:pt x="1417" y="1491"/>
                                    </a:lnTo>
                                    <a:lnTo>
                                      <a:pt x="1723" y="1095"/>
                                    </a:lnTo>
                                    <a:lnTo>
                                      <a:pt x="1959" y="805"/>
                                    </a:lnTo>
                                    <a:lnTo>
                                      <a:pt x="2209" y="527"/>
                                    </a:lnTo>
                                    <a:lnTo>
                                      <a:pt x="2459" y="257"/>
                                    </a:lnTo>
                                    <a:lnTo>
                                      <a:pt x="2737" y="0"/>
                                    </a:lnTo>
                                  </a:path>
                                </a:pathLst>
                              </a:custGeom>
                              <a:solidFill>
                                <a:srgbClr val="44546a"/>
                              </a:solidFill>
                              <a:ln>
                                <a:solidFill>
                                  <a:srgbClr val="44546a"/>
                                </a:solidFill>
                              </a:ln>
                            </wps:spPr>
                            <wps:bodyPr/>
                          </wps:wsp>
                          <wps:wsp>
                            <wps:cNvSpPr/>
                            <wps:spPr>
                              <a:xfrm>
                                <a:off x="8877960" y="10341000"/>
                                <a:ext cx="90360" cy="484920"/>
                              </a:xfrm>
                              <a:custGeom>
                                <a:avLst/>
                                <a:gdLst/>
                                <a:ahLst/>
                                <a:rect l="0" t="0" r="r" b="b"/>
                                <a:pathLst>
                                  <a:path w="251" h="1347">
                                    <a:moveTo>
                                      <a:pt x="0" y="0"/>
                                    </a:moveTo>
                                    <a:lnTo>
                                      <a:pt x="42" y="111"/>
                                    </a:lnTo>
                                    <a:lnTo>
                                      <a:pt x="49" y="132"/>
                                    </a:lnTo>
                                    <a:lnTo>
                                      <a:pt x="76" y="555"/>
                                    </a:lnTo>
                                    <a:lnTo>
                                      <a:pt x="139" y="916"/>
                                    </a:lnTo>
                                    <a:lnTo>
                                      <a:pt x="229" y="1284"/>
                                    </a:lnTo>
                                    <a:lnTo>
                                      <a:pt x="250" y="1346"/>
                                    </a:lnTo>
                                    <a:lnTo>
                                      <a:pt x="146" y="1117"/>
                                    </a:lnTo>
                                    <a:lnTo>
                                      <a:pt x="104" y="1006"/>
                                    </a:lnTo>
                                    <a:lnTo>
                                      <a:pt x="35" y="562"/>
                                    </a:lnTo>
                                    <a:lnTo>
                                      <a:pt x="7" y="284"/>
                                    </a:lnTo>
                                    <a:lnTo>
                                      <a:pt x="0" y="0"/>
                                    </a:lnTo>
                                  </a:path>
                                </a:pathLst>
                              </a:custGeom>
                              <a:solidFill>
                                <a:srgbClr val="44546a"/>
                              </a:solidFill>
                              <a:ln>
                                <a:solidFill>
                                  <a:srgbClr val="44546a"/>
                                </a:solidFill>
                              </a:ln>
                            </wps:spPr>
                            <wps:bodyPr/>
                          </wps:wsp>
                          <wps:wsp>
                            <wps:cNvSpPr/>
                            <wps:spPr>
                              <a:xfrm>
                                <a:off x="8947800" y="10835640"/>
                                <a:ext cx="77400" cy="162720"/>
                              </a:xfrm>
                              <a:custGeom>
                                <a:avLst/>
                                <a:gdLst/>
                                <a:ahLst/>
                                <a:rect l="0" t="0" r="r" b="b"/>
                                <a:pathLst>
                                  <a:path w="215" h="452">
                                    <a:moveTo>
                                      <a:pt x="0" y="0"/>
                                    </a:moveTo>
                                    <a:lnTo>
                                      <a:pt x="214" y="451"/>
                                    </a:lnTo>
                                    <a:lnTo>
                                      <a:pt x="159" y="451"/>
                                    </a:lnTo>
                                    <a:lnTo>
                                      <a:pt x="0" y="0"/>
                                    </a:lnTo>
                                  </a:path>
                                </a:pathLst>
                              </a:custGeom>
                              <a:solidFill>
                                <a:srgbClr val="44546a"/>
                              </a:solidFill>
                              <a:ln>
                                <a:solidFill>
                                  <a:srgbClr val="44546a"/>
                                </a:solidFill>
                              </a:ln>
                            </wps:spPr>
                            <wps:bodyPr/>
                          </wps:wsp>
                          <wps:wsp>
                            <wps:cNvSpPr/>
                            <wps:spPr>
                              <a:xfrm>
                                <a:off x="8877960" y="10283760"/>
                                <a:ext cx="18000" cy="105120"/>
                              </a:xfrm>
                              <a:custGeom>
                                <a:avLst/>
                                <a:gdLst/>
                                <a:ahLst/>
                                <a:rect l="0" t="0" r="r" b="b"/>
                                <a:pathLst>
                                  <a:path w="50" h="292">
                                    <a:moveTo>
                                      <a:pt x="0" y="0"/>
                                    </a:moveTo>
                                    <a:lnTo>
                                      <a:pt x="42" y="118"/>
                                    </a:lnTo>
                                    <a:lnTo>
                                      <a:pt x="49" y="291"/>
                                    </a:lnTo>
                                    <a:lnTo>
                                      <a:pt x="42" y="270"/>
                                    </a:lnTo>
                                    <a:lnTo>
                                      <a:pt x="0" y="159"/>
                                    </a:lnTo>
                                    <a:lnTo>
                                      <a:pt x="0" y="0"/>
                                    </a:lnTo>
                                  </a:path>
                                </a:pathLst>
                              </a:custGeom>
                              <a:solidFill>
                                <a:srgbClr val="44546a"/>
                              </a:solidFill>
                              <a:ln>
                                <a:solidFill>
                                  <a:srgbClr val="44546a"/>
                                </a:solidFill>
                              </a:ln>
                            </wps:spPr>
                            <wps:bodyPr/>
                          </wps:wsp>
                          <wps:wsp>
                            <wps:cNvSpPr/>
                            <wps:spPr>
                              <a:xfrm>
                                <a:off x="8915400" y="10703520"/>
                                <a:ext cx="112680" cy="294480"/>
                              </a:xfrm>
                              <a:custGeom>
                                <a:avLst/>
                                <a:gdLst/>
                                <a:ahLst/>
                                <a:rect l="0" t="0" r="r" b="b"/>
                                <a:pathLst>
                                  <a:path w="313" h="818">
                                    <a:moveTo>
                                      <a:pt x="0" y="0"/>
                                    </a:moveTo>
                                    <a:lnTo>
                                      <a:pt x="42" y="111"/>
                                    </a:lnTo>
                                    <a:lnTo>
                                      <a:pt x="146" y="339"/>
                                    </a:lnTo>
                                    <a:lnTo>
                                      <a:pt x="229" y="582"/>
                                    </a:lnTo>
                                    <a:lnTo>
                                      <a:pt x="312" y="817"/>
                                    </a:lnTo>
                                    <a:lnTo>
                                      <a:pt x="305" y="817"/>
                                    </a:lnTo>
                                    <a:lnTo>
                                      <a:pt x="90" y="367"/>
                                    </a:lnTo>
                                    <a:lnTo>
                                      <a:pt x="76" y="291"/>
                                    </a:lnTo>
                                    <a:lnTo>
                                      <a:pt x="0" y="0"/>
                                    </a:lnTo>
                                  </a:path>
                                </a:pathLst>
                              </a:custGeom>
                              <a:solidFill>
                                <a:srgbClr val="44546a"/>
                              </a:solidFill>
                              <a:ln>
                                <a:solidFill>
                                  <a:srgbClr val="44546a"/>
                                </a:solidFill>
                              </a:ln>
                            </wps:spPr>
                            <wps:bodyPr/>
                          </wps:wsp>
                        </wpg:grpSp>
                        <wpg:grpSp>
                          <wpg:cNvGrpSpPr/>
                          <wpg:grpSpPr>
                            <a:xfrm>
                              <a:off x="0" y="967680"/>
                              <a:ext cx="2057400" cy="3942720"/>
                            </a:xfrm>
                          </wpg:grpSpPr>
                          <wps:wsp>
                            <wps:cNvSpPr/>
                            <wps:spPr>
                              <a:xfrm>
                                <a:off x="8207280" y="8323560"/>
                                <a:ext cx="466920" cy="1678680"/>
                              </a:xfrm>
                              <a:custGeom>
                                <a:avLst/>
                                <a:gdLst/>
                                <a:ahLst/>
                                <a:rect l="0" t="0" r="r" b="b"/>
                                <a:pathLst>
                                  <a:path w="1297" h="4663">
                                    <a:moveTo>
                                      <a:pt x="0" y="0"/>
                                    </a:moveTo>
                                    <a:lnTo>
                                      <a:pt x="425" y="1606"/>
                                    </a:lnTo>
                                    <a:lnTo>
                                      <a:pt x="892" y="3201"/>
                                    </a:lnTo>
                                    <a:lnTo>
                                      <a:pt x="1296" y="4403"/>
                                    </a:lnTo>
                                    <a:lnTo>
                                      <a:pt x="1296" y="4662"/>
                                    </a:lnTo>
                                    <a:lnTo>
                                      <a:pt x="819" y="3222"/>
                                    </a:lnTo>
                                    <a:lnTo>
                                      <a:pt x="425" y="1896"/>
                                    </a:lnTo>
                                    <a:lnTo>
                                      <a:pt x="73" y="559"/>
                                    </a:lnTo>
                                    <a:lnTo>
                                      <a:pt x="0" y="0"/>
                                    </a:lnTo>
                                  </a:path>
                                </a:pathLst>
                              </a:custGeom>
                              <a:solidFill>
                                <a:srgbClr val="44546a">
                                  <a:alpha val="20000"/>
                                </a:srgbClr>
                              </a:solidFill>
                              <a:ln>
                                <a:solidFill>
                                  <a:srgbClr val="44546a">
                                    <a:alpha val="20000"/>
                                  </a:srgbClr>
                                </a:solidFill>
                              </a:ln>
                            </wps:spPr>
                            <wps:bodyPr/>
                          </wps:wsp>
                          <wps:wsp>
                            <wps:cNvSpPr/>
                            <wps:spPr>
                              <a:xfrm>
                                <a:off x="8700120" y="9972360"/>
                                <a:ext cx="441000" cy="1026360"/>
                              </a:xfrm>
                              <a:custGeom>
                                <a:avLst/>
                                <a:gdLst/>
                                <a:ahLst/>
                                <a:rect l="0" t="0" r="r" b="b"/>
                                <a:pathLst>
                                  <a:path w="1225" h="2851">
                                    <a:moveTo>
                                      <a:pt x="0" y="0"/>
                                    </a:moveTo>
                                    <a:lnTo>
                                      <a:pt x="83" y="207"/>
                                    </a:lnTo>
                                    <a:lnTo>
                                      <a:pt x="384" y="995"/>
                                    </a:lnTo>
                                    <a:lnTo>
                                      <a:pt x="716" y="1762"/>
                                    </a:lnTo>
                                    <a:lnTo>
                                      <a:pt x="1224" y="2850"/>
                                    </a:lnTo>
                                    <a:lnTo>
                                      <a:pt x="1131" y="2850"/>
                                    </a:lnTo>
                                    <a:lnTo>
                                      <a:pt x="633" y="1803"/>
                                    </a:lnTo>
                                    <a:lnTo>
                                      <a:pt x="311" y="1036"/>
                                    </a:lnTo>
                                    <a:lnTo>
                                      <a:pt x="0" y="269"/>
                                    </a:lnTo>
                                    <a:lnTo>
                                      <a:pt x="0" y="0"/>
                                    </a:lnTo>
                                  </a:path>
                                </a:pathLst>
                              </a:custGeom>
                              <a:solidFill>
                                <a:srgbClr val="44546a">
                                  <a:alpha val="20000"/>
                                </a:srgbClr>
                              </a:solidFill>
                              <a:ln>
                                <a:solidFill>
                                  <a:srgbClr val="44546a">
                                    <a:alpha val="20000"/>
                                  </a:srgbClr>
                                </a:solidFill>
                              </a:ln>
                            </wps:spPr>
                            <wps:bodyPr/>
                          </wps:wsp>
                          <wps:wsp>
                            <wps:cNvSpPr/>
                            <wps:spPr>
                              <a:xfrm>
                                <a:off x="8118000" y="7902000"/>
                                <a:ext cx="74880" cy="451800"/>
                              </a:xfrm>
                              <a:custGeom>
                                <a:avLst/>
                                <a:gdLst/>
                                <a:ahLst/>
                                <a:rect l="0" t="0" r="r" b="b"/>
                                <a:pathLst>
                                  <a:path w="208" h="1255">
                                    <a:moveTo>
                                      <a:pt x="0" y="0"/>
                                    </a:moveTo>
                                    <a:lnTo>
                                      <a:pt x="166" y="746"/>
                                    </a:lnTo>
                                    <a:lnTo>
                                      <a:pt x="207" y="1254"/>
                                    </a:lnTo>
                                    <a:lnTo>
                                      <a:pt x="186" y="1161"/>
                                    </a:lnTo>
                                    <a:lnTo>
                                      <a:pt x="0" y="321"/>
                                    </a:lnTo>
                                    <a:lnTo>
                                      <a:pt x="0" y="0"/>
                                    </a:lnTo>
                                  </a:path>
                                </a:pathLst>
                              </a:custGeom>
                              <a:solidFill>
                                <a:srgbClr val="44546a">
                                  <a:alpha val="20000"/>
                                </a:srgbClr>
                              </a:solidFill>
                              <a:ln>
                                <a:solidFill>
                                  <a:srgbClr val="44546a">
                                    <a:alpha val="20000"/>
                                  </a:srgbClr>
                                </a:solidFill>
                              </a:ln>
                            </wps:spPr>
                            <wps:bodyPr/>
                          </wps:wsp>
                          <wps:wsp>
                            <wps:cNvSpPr/>
                            <wps:spPr>
                              <a:xfrm>
                                <a:off x="8192160" y="8353440"/>
                                <a:ext cx="590400" cy="2398680"/>
                              </a:xfrm>
                              <a:custGeom>
                                <a:avLst/>
                                <a:gdLst/>
                                <a:ahLst/>
                                <a:rect l="0" t="0" r="r" b="b"/>
                                <a:pathLst>
                                  <a:path w="1640" h="6663">
                                    <a:moveTo>
                                      <a:pt x="0" y="0"/>
                                    </a:moveTo>
                                    <a:lnTo>
                                      <a:pt x="114" y="477"/>
                                    </a:lnTo>
                                    <a:lnTo>
                                      <a:pt x="228" y="1337"/>
                                    </a:lnTo>
                                    <a:lnTo>
                                      <a:pt x="373" y="2186"/>
                                    </a:lnTo>
                                    <a:lnTo>
                                      <a:pt x="571" y="3119"/>
                                    </a:lnTo>
                                    <a:lnTo>
                                      <a:pt x="788" y="4030"/>
                                    </a:lnTo>
                                    <a:lnTo>
                                      <a:pt x="1068" y="4932"/>
                                    </a:lnTo>
                                    <a:lnTo>
                                      <a:pt x="1276" y="5522"/>
                                    </a:lnTo>
                                    <a:lnTo>
                                      <a:pt x="1494" y="6092"/>
                                    </a:lnTo>
                                    <a:lnTo>
                                      <a:pt x="1608" y="6548"/>
                                    </a:lnTo>
                                    <a:lnTo>
                                      <a:pt x="1639" y="6662"/>
                                    </a:lnTo>
                                    <a:lnTo>
                                      <a:pt x="1473" y="6299"/>
                                    </a:lnTo>
                                    <a:lnTo>
                                      <a:pt x="1224" y="5636"/>
                                    </a:lnTo>
                                    <a:lnTo>
                                      <a:pt x="985" y="4952"/>
                                    </a:lnTo>
                                    <a:lnTo>
                                      <a:pt x="716" y="4051"/>
                                    </a:lnTo>
                                    <a:lnTo>
                                      <a:pt x="488" y="3129"/>
                                    </a:lnTo>
                                    <a:lnTo>
                                      <a:pt x="301" y="2196"/>
                                    </a:lnTo>
                                    <a:lnTo>
                                      <a:pt x="135" y="1109"/>
                                    </a:lnTo>
                                    <a:lnTo>
                                      <a:pt x="0" y="0"/>
                                    </a:lnTo>
                                  </a:path>
                                </a:pathLst>
                              </a:custGeom>
                              <a:solidFill>
                                <a:srgbClr val="44546a">
                                  <a:alpha val="20000"/>
                                </a:srgbClr>
                              </a:solidFill>
                              <a:ln>
                                <a:solidFill>
                                  <a:srgbClr val="44546a">
                                    <a:alpha val="20000"/>
                                  </a:srgbClr>
                                </a:solidFill>
                              </a:ln>
                            </wps:spPr>
                            <wps:bodyPr/>
                          </wps:wsp>
                          <wps:wsp>
                            <wps:cNvSpPr/>
                            <wps:spPr>
                              <a:xfrm>
                                <a:off x="8812440" y="10733400"/>
                                <a:ext cx="123480" cy="265320"/>
                              </a:xfrm>
                              <a:custGeom>
                                <a:avLst/>
                                <a:gdLst/>
                                <a:ahLst/>
                                <a:rect l="0" t="0" r="r" b="b"/>
                                <a:pathLst>
                                  <a:path w="343" h="737">
                                    <a:moveTo>
                                      <a:pt x="0" y="0"/>
                                    </a:moveTo>
                                    <a:lnTo>
                                      <a:pt x="342" y="736"/>
                                    </a:lnTo>
                                    <a:lnTo>
                                      <a:pt x="249" y="736"/>
                                    </a:lnTo>
                                    <a:lnTo>
                                      <a:pt x="114" y="373"/>
                                    </a:lnTo>
                                    <a:lnTo>
                                      <a:pt x="0" y="0"/>
                                    </a:lnTo>
                                  </a:path>
                                </a:pathLst>
                              </a:custGeom>
                              <a:solidFill>
                                <a:srgbClr val="44546a">
                                  <a:alpha val="20000"/>
                                </a:srgbClr>
                              </a:solidFill>
                              <a:ln>
                                <a:solidFill>
                                  <a:srgbClr val="44546a">
                                    <a:alpha val="20000"/>
                                  </a:srgbClr>
                                </a:solidFill>
                              </a:ln>
                            </wps:spPr>
                            <wps:bodyPr/>
                          </wps:wsp>
                          <wps:wsp>
                            <wps:cNvSpPr/>
                            <wps:spPr>
                              <a:xfrm>
                                <a:off x="8177400" y="8170560"/>
                                <a:ext cx="56520" cy="354600"/>
                              </a:xfrm>
                              <a:custGeom>
                                <a:avLst/>
                                <a:gdLst/>
                                <a:ahLst/>
                                <a:rect l="0" t="0" r="r" b="b"/>
                                <a:pathLst>
                                  <a:path w="157" h="985">
                                    <a:moveTo>
                                      <a:pt x="0" y="0"/>
                                    </a:moveTo>
                                    <a:lnTo>
                                      <a:pt x="83" y="383"/>
                                    </a:lnTo>
                                    <a:lnTo>
                                      <a:pt x="83" y="425"/>
                                    </a:lnTo>
                                    <a:lnTo>
                                      <a:pt x="156" y="984"/>
                                    </a:lnTo>
                                    <a:lnTo>
                                      <a:pt x="42" y="508"/>
                                    </a:lnTo>
                                    <a:lnTo>
                                      <a:pt x="0" y="0"/>
                                    </a:lnTo>
                                  </a:path>
                                </a:pathLst>
                              </a:custGeom>
                              <a:solidFill>
                                <a:srgbClr val="44546a">
                                  <a:alpha val="20000"/>
                                </a:srgbClr>
                              </a:solidFill>
                              <a:ln>
                                <a:solidFill>
                                  <a:srgbClr val="44546a">
                                    <a:alpha val="20000"/>
                                  </a:srgbClr>
                                </a:solidFill>
                              </a:ln>
                            </wps:spPr>
                            <wps:bodyPr/>
                          </wps:wsp>
                          <wps:wsp>
                            <wps:cNvSpPr/>
                            <wps:spPr>
                              <a:xfrm>
                                <a:off x="8673840" y="7055280"/>
                                <a:ext cx="1501560" cy="2918160"/>
                              </a:xfrm>
                              <a:custGeom>
                                <a:avLst/>
                                <a:gdLst/>
                                <a:ahLst/>
                                <a:rect l="0" t="0" r="r" b="b"/>
                                <a:pathLst>
                                  <a:path w="4171" h="8106">
                                    <a:moveTo>
                                      <a:pt x="4170" y="0"/>
                                    </a:moveTo>
                                    <a:lnTo>
                                      <a:pt x="4170" y="10"/>
                                    </a:lnTo>
                                    <a:lnTo>
                                      <a:pt x="3765" y="404"/>
                                    </a:lnTo>
                                    <a:lnTo>
                                      <a:pt x="3371" y="819"/>
                                    </a:lnTo>
                                    <a:lnTo>
                                      <a:pt x="3008" y="1254"/>
                                    </a:lnTo>
                                    <a:lnTo>
                                      <a:pt x="2645" y="1699"/>
                                    </a:lnTo>
                                    <a:lnTo>
                                      <a:pt x="2189" y="2300"/>
                                    </a:lnTo>
                                    <a:lnTo>
                                      <a:pt x="1774" y="2943"/>
                                    </a:lnTo>
                                    <a:lnTo>
                                      <a:pt x="1380" y="3586"/>
                                    </a:lnTo>
                                    <a:lnTo>
                                      <a:pt x="1037" y="4260"/>
                                    </a:lnTo>
                                    <a:lnTo>
                                      <a:pt x="736" y="4954"/>
                                    </a:lnTo>
                                    <a:lnTo>
                                      <a:pt x="467" y="5659"/>
                                    </a:lnTo>
                                    <a:lnTo>
                                      <a:pt x="280" y="6394"/>
                                    </a:lnTo>
                                    <a:lnTo>
                                      <a:pt x="135" y="7140"/>
                                    </a:lnTo>
                                    <a:lnTo>
                                      <a:pt x="73" y="7887"/>
                                    </a:lnTo>
                                    <a:lnTo>
                                      <a:pt x="73" y="8105"/>
                                    </a:lnTo>
                                    <a:lnTo>
                                      <a:pt x="0" y="7929"/>
                                    </a:lnTo>
                                    <a:lnTo>
                                      <a:pt x="10" y="7887"/>
                                    </a:lnTo>
                                    <a:lnTo>
                                      <a:pt x="73" y="7130"/>
                                    </a:lnTo>
                                    <a:lnTo>
                                      <a:pt x="218" y="6384"/>
                                    </a:lnTo>
                                    <a:lnTo>
                                      <a:pt x="415" y="5648"/>
                                    </a:lnTo>
                                    <a:lnTo>
                                      <a:pt x="685" y="4923"/>
                                    </a:lnTo>
                                    <a:lnTo>
                                      <a:pt x="985" y="4239"/>
                                    </a:lnTo>
                                    <a:lnTo>
                                      <a:pt x="1349" y="3555"/>
                                    </a:lnTo>
                                    <a:lnTo>
                                      <a:pt x="1732" y="2912"/>
                                    </a:lnTo>
                                    <a:lnTo>
                                      <a:pt x="2168" y="2280"/>
                                    </a:lnTo>
                                    <a:lnTo>
                                      <a:pt x="2624" y="1689"/>
                                    </a:lnTo>
                                    <a:lnTo>
                                      <a:pt x="2977" y="1243"/>
                                    </a:lnTo>
                                    <a:lnTo>
                                      <a:pt x="3361" y="808"/>
                                    </a:lnTo>
                                    <a:lnTo>
                                      <a:pt x="3755" y="394"/>
                                    </a:lnTo>
                                    <a:lnTo>
                                      <a:pt x="4170" y="0"/>
                                    </a:lnTo>
                                  </a:path>
                                </a:pathLst>
                              </a:custGeom>
                              <a:solidFill>
                                <a:srgbClr val="44546a">
                                  <a:alpha val="20000"/>
                                </a:srgbClr>
                              </a:solidFill>
                              <a:ln>
                                <a:solidFill>
                                  <a:srgbClr val="44546a">
                                    <a:alpha val="20000"/>
                                  </a:srgbClr>
                                </a:solidFill>
                              </a:ln>
                            </wps:spPr>
                            <wps:bodyPr/>
                          </wps:wsp>
                          <wps:wsp>
                            <wps:cNvSpPr/>
                            <wps:spPr>
                              <a:xfrm>
                                <a:off x="8673840" y="10002240"/>
                                <a:ext cx="139320" cy="730800"/>
                              </a:xfrm>
                              <a:custGeom>
                                <a:avLst/>
                                <a:gdLst/>
                                <a:ahLst/>
                                <a:rect l="0" t="0" r="r" b="b"/>
                                <a:pathLst>
                                  <a:path w="387" h="2030">
                                    <a:moveTo>
                                      <a:pt x="0" y="0"/>
                                    </a:moveTo>
                                    <a:lnTo>
                                      <a:pt x="62" y="155"/>
                                    </a:lnTo>
                                    <a:lnTo>
                                      <a:pt x="73" y="187"/>
                                    </a:lnTo>
                                    <a:lnTo>
                                      <a:pt x="126" y="828"/>
                                    </a:lnTo>
                                    <a:lnTo>
                                      <a:pt x="219" y="1388"/>
                                    </a:lnTo>
                                    <a:lnTo>
                                      <a:pt x="344" y="1946"/>
                                    </a:lnTo>
                                    <a:lnTo>
                                      <a:pt x="386" y="2029"/>
                                    </a:lnTo>
                                    <a:lnTo>
                                      <a:pt x="229" y="1677"/>
                                    </a:lnTo>
                                    <a:lnTo>
                                      <a:pt x="157" y="1512"/>
                                    </a:lnTo>
                                    <a:lnTo>
                                      <a:pt x="52" y="838"/>
                                    </a:lnTo>
                                    <a:lnTo>
                                      <a:pt x="10" y="413"/>
                                    </a:lnTo>
                                    <a:lnTo>
                                      <a:pt x="0" y="0"/>
                                    </a:lnTo>
                                  </a:path>
                                </a:pathLst>
                              </a:custGeom>
                              <a:solidFill>
                                <a:srgbClr val="44546a">
                                  <a:alpha val="20000"/>
                                </a:srgbClr>
                              </a:solidFill>
                              <a:ln>
                                <a:solidFill>
                                  <a:srgbClr val="44546a">
                                    <a:alpha val="20000"/>
                                  </a:srgbClr>
                                </a:solidFill>
                              </a:ln>
                            </wps:spPr>
                            <wps:bodyPr/>
                          </wps:wsp>
                          <wps:wsp>
                            <wps:cNvSpPr/>
                            <wps:spPr>
                              <a:xfrm>
                                <a:off x="8782560" y="10752120"/>
                                <a:ext cx="115920" cy="246600"/>
                              </a:xfrm>
                              <a:custGeom>
                                <a:avLst/>
                                <a:gdLst/>
                                <a:ahLst/>
                                <a:rect l="0" t="0" r="r" b="b"/>
                                <a:pathLst>
                                  <a:path w="322" h="685">
                                    <a:moveTo>
                                      <a:pt x="0" y="0"/>
                                    </a:moveTo>
                                    <a:lnTo>
                                      <a:pt x="321" y="684"/>
                                    </a:lnTo>
                                    <a:lnTo>
                                      <a:pt x="249" y="684"/>
                                    </a:lnTo>
                                    <a:lnTo>
                                      <a:pt x="0" y="0"/>
                                    </a:lnTo>
                                  </a:path>
                                </a:pathLst>
                              </a:custGeom>
                              <a:solidFill>
                                <a:srgbClr val="44546a">
                                  <a:alpha val="20000"/>
                                </a:srgbClr>
                              </a:solidFill>
                              <a:ln>
                                <a:solidFill>
                                  <a:srgbClr val="44546a">
                                    <a:alpha val="20000"/>
                                  </a:srgbClr>
                                </a:solidFill>
                              </a:ln>
                            </wps:spPr>
                            <wps:bodyPr/>
                          </wps:wsp>
                          <wps:wsp>
                            <wps:cNvSpPr/>
                            <wps:spPr>
                              <a:xfrm>
                                <a:off x="8673840" y="9909000"/>
                                <a:ext cx="26640" cy="160560"/>
                              </a:xfrm>
                              <a:custGeom>
                                <a:avLst/>
                                <a:gdLst/>
                                <a:ahLst/>
                                <a:rect l="0" t="0" r="r" b="b"/>
                                <a:pathLst>
                                  <a:path w="74" h="446">
                                    <a:moveTo>
                                      <a:pt x="0" y="0"/>
                                    </a:moveTo>
                                    <a:lnTo>
                                      <a:pt x="73" y="176"/>
                                    </a:lnTo>
                                    <a:lnTo>
                                      <a:pt x="73" y="445"/>
                                    </a:lnTo>
                                    <a:lnTo>
                                      <a:pt x="63" y="414"/>
                                    </a:lnTo>
                                    <a:lnTo>
                                      <a:pt x="0" y="259"/>
                                    </a:lnTo>
                                    <a:lnTo>
                                      <a:pt x="0" y="0"/>
                                    </a:lnTo>
                                  </a:path>
                                </a:pathLst>
                              </a:custGeom>
                              <a:solidFill>
                                <a:srgbClr val="44546a">
                                  <a:alpha val="20000"/>
                                </a:srgbClr>
                              </a:solidFill>
                              <a:ln>
                                <a:solidFill>
                                  <a:srgbClr val="44546a">
                                    <a:alpha val="20000"/>
                                  </a:srgbClr>
                                </a:solidFill>
                              </a:ln>
                            </wps:spPr>
                            <wps:bodyPr/>
                          </wps:wsp>
                          <wps:wsp>
                            <wps:cNvSpPr/>
                            <wps:spPr>
                              <a:xfrm>
                                <a:off x="8730000" y="10547280"/>
                                <a:ext cx="172440" cy="451800"/>
                              </a:xfrm>
                              <a:custGeom>
                                <a:avLst/>
                                <a:gdLst/>
                                <a:ahLst/>
                                <a:rect l="0" t="0" r="r" b="b"/>
                                <a:pathLst>
                                  <a:path w="479" h="1255">
                                    <a:moveTo>
                                      <a:pt x="0" y="0"/>
                                    </a:moveTo>
                                    <a:lnTo>
                                      <a:pt x="73" y="166"/>
                                    </a:lnTo>
                                    <a:lnTo>
                                      <a:pt x="229" y="518"/>
                                    </a:lnTo>
                                    <a:lnTo>
                                      <a:pt x="343" y="891"/>
                                    </a:lnTo>
                                    <a:lnTo>
                                      <a:pt x="478" y="1254"/>
                                    </a:lnTo>
                                    <a:lnTo>
                                      <a:pt x="468" y="1254"/>
                                    </a:lnTo>
                                    <a:lnTo>
                                      <a:pt x="145" y="570"/>
                                    </a:lnTo>
                                    <a:lnTo>
                                      <a:pt x="114" y="456"/>
                                    </a:lnTo>
                                    <a:lnTo>
                                      <a:pt x="0" y="0"/>
                                    </a:lnTo>
                                  </a:path>
                                </a:pathLst>
                              </a:custGeom>
                              <a:solidFill>
                                <a:srgbClr val="44546a">
                                  <a:alpha val="20000"/>
                                </a:srgbClr>
                              </a:solidFill>
                              <a:ln>
                                <a:solidFill>
                                  <a:srgbClr val="44546a">
                                    <a:alpha val="20000"/>
                                  </a:srgbClr>
                                </a:solidFill>
                              </a:ln>
                            </wps:spPr>
                            <wps:bodyPr/>
                          </wps:wsp>
                        </wpg:grpSp>
                      </wpg:grpSp>
                    </wpg:wgp>
                  </a:graphicData>
                </a:graphic>
              </wp:anchor>
            </w:drawing>
          </mc:Choice>
          <mc:Fallback>
            <w:pict>
              <v:group id="shape_0" alt="Group 1" style="position:absolute;margin-left:0.05pt;margin-top:61.65pt;width:172.8pt;height:718.55pt" coordorigin="1,1233" coordsize="3456,14371">
                <v:rect id="shape_0" ID="Rectangle 3" fillcolor="#44546a" stroked="f" style="position:absolute;left:1;top:1233;width:305;height:14370;mso-position-horizontal-relative:page;mso-position-vertical:center;mso-position-vertical-relative:page">
                  <w10:wrap type="none"/>
                  <v:fill o:detectmouseclick="t" type="solid" color2="#bbab95"/>
                  <v:stroke color="#3465a4" joinstyle="round" endcap="flat"/>
                </v:rect>
                <v:shapetype id="shapetype_15" coordsize="21600,21600" o:spt="15" adj="10800" path="m,l@2,l21600,10800l@2,21600l,21600xe">
                  <v:stroke joinstyle="miter"/>
                  <v:formulas>
                    <v:f eqn="val 21600"/>
                    <v:f eqn="val #0"/>
                    <v:f eqn="sum width 0 @1"/>
                    <v:f eqn="sum @2 width 0"/>
                    <v:f eqn="prod 1 @3 2"/>
                    <v:f eqn="prod @2 1 2"/>
                  </v:formulas>
                  <v:path gradientshapeok="t" o:connecttype="rect" textboxrect="0,0,@4,21600"/>
                  <v:handles>
                    <v:h position="@2,0"/>
                  </v:handles>
                </v:shapetype>
                <v:shape id="shape_0" ID="Pentagon 4" fillcolor="#4472c4" stroked="f" style="position:absolute;left:1;top:3543;width:3455;height:869;mso-position-horizontal-relative:page;mso-position-vertical:center;mso-position-vertical-relative:page" type="shapetype_15">
                  <w10:wrap type="none"/>
                  <v:fill o:detectmouseclick="t" type="solid" color2="#bb8d3b"/>
                  <v:stroke color="#3465a4" joinstyle="round" endcap="flat"/>
                </v:shape>
                <v:group id="shape_0" alt="Group 5" style="position:absolute;left:121;top:7863;width:3238;height:7732">
                  <v:group id="shape_0" alt="Group 6" style="position:absolute;left:270;top:7863;width:2598;height:7732">
                    <v:shape id="shape_0" ID="Freeform 20" fillcolor="#44546a" stroked="t" style="position:absolute;left:837;top:12831;width:479;height:1730;mso-position-horizontal-relative:page;mso-position-vertical:center;mso-position-vertical-relative:page">
                      <w10:wrap type="none"/>
                      <v:fill o:detectmouseclick="t" type="solid" color2="#bbab95"/>
                      <v:stroke color="#44546a" joinstyle="round" endcap="flat"/>
                    </v:shape>
                    <v:shape id="shape_0" ID="Freeform 21" fillcolor="#44546a" stroked="t" style="position:absolute;left:1341;top:14538;width:456;height:1057;mso-position-horizontal-relative:page;mso-position-vertical:center;mso-position-vertical-relative:page">
                      <w10:wrap type="none"/>
                      <v:fill o:detectmouseclick="t" type="solid" color2="#bbab95"/>
                      <v:stroke color="#44546a" joinstyle="round" endcap="flat"/>
                    </v:shape>
                    <v:shape id="shape_0" ID="Freeform 22" fillcolor="#44546a" stroked="t" style="position:absolute;left:270;top:7863;width:551;height:5002;mso-position-horizontal-relative:page;mso-position-vertical:center;mso-position-vertical-relative:page">
                      <w10:wrap type="none"/>
                      <v:fill o:detectmouseclick="t" type="solid" color2="#bbab95"/>
                      <v:stroke color="#44546a" joinstyle="round" endcap="flat"/>
                    </v:shape>
                    <v:shape id="shape_0" ID="Freeform 23" fillcolor="#44546a" stroked="t" style="position:absolute;left:766;top:9472;width:176;height:3358;mso-position-horizontal-relative:page;mso-position-vertical:center;mso-position-vertical-relative:page">
                      <w10:wrap type="none"/>
                      <v:fill o:detectmouseclick="t" type="solid" color2="#bbab95"/>
                      <v:stroke color="#44546a" joinstyle="round" endcap="flat"/>
                    </v:shape>
                    <v:shape id="shape_0" ID="Freeform 24" fillcolor="#44546a" stroked="t" style="position:absolute;left:822;top:12866;width:605;height:2473;mso-position-horizontal-relative:page;mso-position-vertical:center;mso-position-vertical-relative:page">
                      <w10:wrap type="none"/>
                      <v:fill o:detectmouseclick="t" type="solid" color2="#bbab95"/>
                      <v:stroke color="#44546a" joinstyle="round" endcap="flat"/>
                    </v:shape>
                    <v:shape id="shape_0" ID="Freeform 25" fillcolor="#44546a" stroked="t" style="position:absolute;left:1460;top:15324;width:129;height:271;mso-position-horizontal-relative:page;mso-position-vertical:center;mso-position-vertical-relative:page">
                      <w10:wrap type="none"/>
                      <v:fill o:detectmouseclick="t" type="solid" color2="#bbab95"/>
                      <v:stroke color="#44546a" joinstyle="round" endcap="flat"/>
                    </v:shape>
                    <v:shape id="shape_0" ID="Freeform 26" fillcolor="#44546a" stroked="t" style="position:absolute;left:802;top:12673;width:58;height:365;mso-position-horizontal-relative:page;mso-position-vertical:center;mso-position-vertical-relative:page">
                      <w10:wrap type="none"/>
                      <v:fill o:detectmouseclick="t" type="solid" color2="#bbab95"/>
                      <v:stroke color="#44546a" joinstyle="round" endcap="flat"/>
                    </v:shape>
                    <v:shape id="shape_0" ID="Freeform 27" fillcolor="#44546a" stroked="t" style="position:absolute;left:1318;top:11524;width:1551;height:3012;mso-position-horizontal-relative:page;mso-position-vertical:center;mso-position-vertical-relative:page">
                      <w10:wrap type="none"/>
                      <v:fill o:detectmouseclick="t" type="solid" color2="#bbab95"/>
                      <v:stroke color="#44546a" joinstyle="round" endcap="flat"/>
                    </v:shape>
                    <v:shape id="shape_0" ID="Freeform 28" fillcolor="#44546a" stroked="t" style="position:absolute;left:1318;top:14561;width:141;height:762;mso-position-horizontal-relative:page;mso-position-vertical:center;mso-position-vertical-relative:page">
                      <w10:wrap type="none"/>
                      <v:fill o:detectmouseclick="t" type="solid" color2="#bbab95"/>
                      <v:stroke color="#44546a" joinstyle="round" endcap="flat"/>
                    </v:shape>
                    <v:shape id="shape_0" ID="Freeform 29" fillcolor="#44546a" stroked="t" style="position:absolute;left:1428;top:15340;width:121;height:255;mso-position-horizontal-relative:page;mso-position-vertical:center;mso-position-vertical-relative:page">
                      <w10:wrap type="none"/>
                      <v:fill o:detectmouseclick="t" type="solid" color2="#bbab95"/>
                      <v:stroke color="#44546a" joinstyle="round" endcap="flat"/>
                    </v:shape>
                    <v:shape id="shape_0" ID="Freeform 30" fillcolor="#44546a" stroked="t" style="position:absolute;left:1318;top:14471;width:27;height:164;mso-position-horizontal-relative:page;mso-position-vertical:center;mso-position-vertical-relative:page">
                      <w10:wrap type="none"/>
                      <v:fill o:detectmouseclick="t" type="solid" color2="#bbab95"/>
                      <v:stroke color="#44546a" joinstyle="round" endcap="flat"/>
                    </v:shape>
                    <v:shape id="shape_0" ID="Freeform 31" fillcolor="#44546a" stroked="t" style="position:absolute;left:1377;top:15131;width:176;height:463;mso-position-horizontal-relative:page;mso-position-vertical:center;mso-position-vertical-relative:page">
                      <w10:wrap type="none"/>
                      <v:fill o:detectmouseclick="t" type="solid" color2="#bbab95"/>
                      <v:stroke color="#44546a" joinstyle="round" endcap="flat"/>
                    </v:shape>
                  </v:group>
                  <v:group id="shape_0" alt="Group 7" style="position:absolute;left:121;top:9387;width:3238;height:6209">
                    <v:shape id="shape_0" ID="Freeform 8" fillcolor="#44546a" stroked="t" style="position:absolute;left:262;top:11384;width:734;height:2642;mso-position-horizontal-relative:page;mso-position-vertical:center;mso-position-vertical-relative:page">
                      <w10:wrap type="none"/>
                      <v:fill o:detectmouseclick="t" type="solid" color2="#bbab95" opacity="0.19"/>
                      <v:stroke color="#44546a" joinstyle="round" endcap="flat"/>
                    </v:shape>
                    <v:shape id="shape_0" ID="Freeform 9" fillcolor="#44546a" stroked="t" style="position:absolute;left:1038;top:13980;width:693;height:1615;mso-position-horizontal-relative:page;mso-position-vertical:center;mso-position-vertical-relative:page">
                      <w10:wrap type="none"/>
                      <v:fill o:detectmouseclick="t" type="solid" color2="#bbab95" opacity="0.19"/>
                      <v:stroke color="#44546a" joinstyle="round" endcap="flat"/>
                    </v:shape>
                    <v:shape id="shape_0" ID="Freeform 10" fillcolor="#44546a" stroked="t" style="position:absolute;left:121;top:10720;width:116;height:710;mso-position-horizontal-relative:page;mso-position-vertical:center;mso-position-vertical-relative:page">
                      <w10:wrap type="none"/>
                      <v:fill o:detectmouseclick="t" type="solid" color2="#bbab95" opacity="0.19"/>
                      <v:stroke color="#44546a" joinstyle="round" endcap="flat"/>
                    </v:shape>
                    <v:shape id="shape_0" ID="Freeform 12" fillcolor="#44546a" stroked="t" style="position:absolute;left:238;top:11431;width:928;height:3776;mso-position-horizontal-relative:page;mso-position-vertical:center;mso-position-vertical-relative:page">
                      <w10:wrap type="none"/>
                      <v:fill o:detectmouseclick="t" type="solid" color2="#bbab95" opacity="0.19"/>
                      <v:stroke color="#44546a" joinstyle="round" endcap="flat"/>
                    </v:shape>
                    <v:shape id="shape_0" ID="Freeform 13" fillcolor="#44546a" stroked="t" style="position:absolute;left:1214;top:15179;width:193;height:416;mso-position-horizontal-relative:page;mso-position-vertical:center;mso-position-vertical-relative:page">
                      <w10:wrap type="none"/>
                      <v:fill o:detectmouseclick="t" type="solid" color2="#bbab95" opacity="0.19"/>
                      <v:stroke color="#44546a" joinstyle="round" endcap="flat"/>
                    </v:shape>
                    <v:shape id="shape_0" ID="Freeform 14" fillcolor="#44546a" stroked="t" style="position:absolute;left:215;top:11143;width:87;height:557;mso-position-horizontal-relative:page;mso-position-vertical:center;mso-position-vertical-relative:page">
                      <w10:wrap type="none"/>
                      <v:fill o:detectmouseclick="t" type="solid" color2="#bbab95" opacity="0.19"/>
                      <v:stroke color="#44546a" joinstyle="round" endcap="flat"/>
                    </v:shape>
                    <v:shape id="shape_0" ID="Freeform 15" fillcolor="#44546a" stroked="t" style="position:absolute;left:997;top:9387;width:2363;height:4593;mso-position-horizontal-relative:page;mso-position-vertical:center;mso-position-vertical-relative:page">
                      <w10:wrap type="none"/>
                      <v:fill o:detectmouseclick="t" type="solid" color2="#bbab95" opacity="0.19"/>
                      <v:stroke color="#44546a" joinstyle="round" endcap="flat"/>
                    </v:shape>
                    <v:shape id="shape_0" ID="Freeform 16" fillcolor="#44546a" stroked="t" style="position:absolute;left:997;top:14027;width:217;height:1150;mso-position-horizontal-relative:page;mso-position-vertical:center;mso-position-vertical-relative:page">
                      <w10:wrap type="none"/>
                      <v:fill o:detectmouseclick="t" type="solid" color2="#bbab95" opacity="0.19"/>
                      <v:stroke color="#44546a" joinstyle="round" endcap="flat"/>
                    </v:shape>
                    <v:shape id="shape_0" ID="Freeform 17" fillcolor="#44546a" stroked="t" style="position:absolute;left:1167;top:15208;width:181;height:387;mso-position-horizontal-relative:page;mso-position-vertical:center;mso-position-vertical-relative:page">
                      <w10:wrap type="none"/>
                      <v:fill o:detectmouseclick="t" type="solid" color2="#bbab95" opacity="0.19"/>
                      <v:stroke color="#44546a" joinstyle="round" endcap="flat"/>
                    </v:shape>
                    <v:shape id="shape_0" ID="Freeform 18" fillcolor="#44546a" stroked="t" style="position:absolute;left:997;top:13881;width:40;height:251;mso-position-horizontal-relative:page;mso-position-vertical:center;mso-position-vertical-relative:page">
                      <w10:wrap type="none"/>
                      <v:fill o:detectmouseclick="t" type="solid" color2="#bbab95" opacity="0.19"/>
                      <v:stroke color="#44546a" joinstyle="round" endcap="flat"/>
                    </v:shape>
                    <v:shape id="shape_0" ID="Freeform 19" fillcolor="#44546a" stroked="t" style="position:absolute;left:1085;top:14885;width:270;height:710;mso-position-horizontal-relative:page;mso-position-vertical:center;mso-position-vertical-relative:page">
                      <w10:wrap type="none"/>
                      <v:fill o:detectmouseclick="t" type="solid" color2="#bbab95" opacity="0.19"/>
                      <v:stroke color="#44546a" joinstyle="round" endcap="flat"/>
                    </v:shape>
                  </v:group>
                </v:group>
              </v:group>
            </w:pict>
          </mc:Fallback>
        </mc:AlternateContent>
      </w:r>
    </w:p>
    <w:p>
      <w:pPr>
        <w:pStyle w:val="Normal"/>
        <w:rPr/>
      </w:pPr>
      <w:r>
        <w:rPr/>
      </w:r>
      <w:r>
        <w:br w:type="page"/>
      </w:r>
      <w:r>
        <mc:AlternateContent>
          <mc:Choice Requires="wps">
            <w:drawing>
              <wp:anchor behindDoc="0" distT="0" distB="0" distL="114300" distR="114300" simplePos="0" locked="0" layoutInCell="1" allowOverlap="1" relativeHeight="2">
                <wp:simplePos x="0" y="0"/>
                <wp:positionH relativeFrom="column">
                  <wp:posOffset>549275</wp:posOffset>
                </wp:positionH>
                <wp:positionV relativeFrom="paragraph">
                  <wp:posOffset>2449195</wp:posOffset>
                </wp:positionV>
                <wp:extent cx="3657600" cy="1069975"/>
                <wp:effectExtent l="0" t="0" r="0" b="0"/>
                <wp:wrapNone/>
                <wp:docPr id="2" name="Frame2"/>
                <a:graphic xmlns:a="http://schemas.openxmlformats.org/drawingml/2006/main">
                  <a:graphicData uri="http://schemas.microsoft.com/office/word/2010/wordprocessingShape">
                    <wps:wsp>
                      <wps:cNvSpPr txBox="1"/>
                      <wps:spPr>
                        <a:xfrm>
                          <a:off x="0" y="0"/>
                          <a:ext cx="3657600" cy="1069975"/>
                        </a:xfrm>
                        <a:prstGeom prst="rect"/>
                      </wps:spPr>
                      <wps:txbx>
                        <w:txbxContent>
                          <w:p>
                            <w:pPr>
                              <w:pStyle w:val="NoSpacing"/>
                              <w:rPr>
                                <w:rFonts w:ascii="Calibri Light" w:hAnsi="Calibri Light" w:eastAsia="" w:cs="" w:asciiTheme="majorHAnsi" w:cstheme="majorBidi" w:eastAsiaTheme="majorEastAsia" w:hAnsiTheme="majorHAnsi"/>
                                <w:color w:val="262626" w:themeColor="text1" w:themeTint="d9"/>
                                <w:sz w:val="72"/>
                              </w:rPr>
                            </w:pPr>
                            <w:sdt>
                              <w:sdtPr>
                                <w:alias w:val="Title"/>
                              </w:sdtPr>
                              <w:sdtContent>
                                <w:r>
                                  <w:rPr>
                                    <w:rFonts w:eastAsia="" w:cs="" w:ascii="Calibri Light" w:hAnsi="Calibri Light" w:asciiTheme="majorHAnsi" w:cstheme="majorBidi" w:eastAsiaTheme="majorEastAsia" w:hAnsiTheme="majorHAnsi"/>
                                    <w:color w:val="262626" w:themeColor="text1" w:themeTint="d9"/>
                                    <w:sz w:val="56"/>
                                    <w:szCs w:val="56"/>
                                  </w:rPr>
                                  <w:t xml:space="preserve">     </w:t>
                                </w:r>
                              </w:sdtContent>
                            </w:sdt>
                          </w:p>
                          <w:p>
                            <w:pPr>
                              <w:pStyle w:val="FrameContents"/>
                              <w:spacing w:before="120" w:after="0"/>
                              <w:rPr/>
                            </w:pPr>
                            <w:sdt>
                              <w:sdtPr>
                                <w:text/>
                                <w:dataBinding w:prefixMappings="xmlns:ns0='http://purl.org/dc/elements/1.1/' xmlns:ns1='http://schemas.openxmlformats.org/package/2006/metadata/core-properties' " w:xpath="/ns1:coreProperties[1]/ns0:subject[1]" w:storeItemID="{6C3C8BC8-F283-45AE-878A-BAB7291924A1}"/>
                                <w:alias w:val="Subtitle"/>
                              </w:sdtPr>
                              <w:sdtContent>
                                <w:r>
                                  <w:rPr>
                                    <w:color w:val="404040" w:themeColor="text1" w:themeTint="bf"/>
                                    <w:sz w:val="36"/>
                                    <w:szCs w:val="36"/>
                                  </w:rPr>
                                  <w:t xml:space="preserve">     </w:t>
                                </w:r>
                              </w:sdtContent>
                            </w:sdt>
                          </w:p>
                        </w:txbxContent>
                      </wps:txbx>
                      <wps:bodyPr anchor="t" lIns="0" tIns="0" rIns="0" bIns="0">
                        <a:noAutofit/>
                      </wps:bodyPr>
                    </wps:wsp>
                  </a:graphicData>
                </a:graphic>
              </wp:anchor>
            </w:drawing>
          </mc:Choice>
          <mc:Fallback>
            <w:pict>
              <v:rect stroked="f" strokeweight="0pt" style="position:absolute;rotation:0;width:288pt;height:84.25pt;mso-wrap-distance-left:9pt;mso-wrap-distance-right:9pt;mso-wrap-distance-top:0pt;mso-wrap-distance-bottom:0pt;margin-top:192.85pt;mso-position-vertical-relative:text;margin-left:43.25pt;mso-position-horizontal-relative:text">
                <v:textbox inset="0in,0in,0in,0in">
                  <w:txbxContent>
                    <w:p>
                      <w:pPr>
                        <w:pStyle w:val="NoSpacing"/>
                        <w:rPr>
                          <w:rFonts w:ascii="Calibri Light" w:hAnsi="Calibri Light" w:eastAsia="" w:cs="" w:asciiTheme="majorHAnsi" w:cstheme="majorBidi" w:eastAsiaTheme="majorEastAsia" w:hAnsiTheme="majorHAnsi"/>
                          <w:color w:val="262626" w:themeColor="text1" w:themeTint="d9"/>
                          <w:sz w:val="72"/>
                        </w:rPr>
                      </w:pPr>
                      <w:sdt>
                        <w:sdtPr>
                          <w:text/>
                          <w:dataBinding w:prefixMappings="xmlns:ns0='http://purl.org/dc/elements/1.1/' xmlns:ns1='http://schemas.openxmlformats.org/package/2006/metadata/core-properties' " w:xpath="/ns1:coreProperties[1]/ns0:title[1]" w:storeItemID="{6C3C8BC8-F283-45AE-878A-BAB7291924A1}"/>
                          <w:alias w:val="Title"/>
                        </w:sdtPr>
                        <w:sdtContent>
                          <w:r>
                            <w:rPr>
                              <w:rFonts w:eastAsia="" w:cs="" w:ascii="Calibri Light" w:hAnsi="Calibri Light" w:asciiTheme="majorHAnsi" w:cstheme="majorBidi" w:eastAsiaTheme="majorEastAsia" w:hAnsiTheme="majorHAnsi"/>
                              <w:color w:val="262626" w:themeColor="text1" w:themeTint="d9"/>
                              <w:sz w:val="56"/>
                              <w:szCs w:val="56"/>
                            </w:rPr>
                            <w:t xml:space="preserve">     </w:t>
                          </w:r>
                        </w:sdtContent>
                      </w:sdt>
                    </w:p>
                    <w:p>
                      <w:pPr>
                        <w:pStyle w:val="FrameContents"/>
                        <w:spacing w:before="120" w:after="0"/>
                        <w:rPr/>
                      </w:pPr>
                      <w:sdt>
                        <w:sdtPr>
                          <w:text/>
                          <w:dataBinding w:prefixMappings="xmlns:ns0='http://purl.org/dc/elements/1.1/' xmlns:ns1='http://schemas.openxmlformats.org/package/2006/metadata/core-properties' " w:xpath="/ns1:coreProperties[1]/ns0:subject[1]" w:storeItemID="{6C3C8BC8-F283-45AE-878A-BAB7291924A1}"/>
                          <w:alias w:val="Subtitle"/>
                        </w:sdtPr>
                        <w:sdtContent>
                          <w:r>
                            <w:rPr>
                              <w:color w:val="404040" w:themeColor="text1" w:themeTint="bf"/>
                              <w:sz w:val="36"/>
                              <w:szCs w:val="36"/>
                            </w:rPr>
                            <w:t xml:space="preserve">     </w:t>
                          </w:r>
                        </w:sdtContent>
                      </w:sdt>
                    </w:p>
                  </w:txbxContent>
                </v:textbox>
              </v:rect>
            </w:pict>
          </mc:Fallback>
        </mc:AlternateContent>
      </w:r>
      <w:r>
        <mc:AlternateContent>
          <mc:Choice Requires="wps">
            <w:drawing>
              <wp:anchor behindDoc="0" distT="0" distB="0" distL="114300" distR="114300" simplePos="0" locked="0" layoutInCell="1" allowOverlap="1" relativeHeight="3">
                <wp:simplePos x="0" y="0"/>
                <wp:positionH relativeFrom="column">
                  <wp:posOffset>549275</wp:posOffset>
                </wp:positionH>
                <wp:positionV relativeFrom="paragraph">
                  <wp:posOffset>2449195</wp:posOffset>
                </wp:positionV>
                <wp:extent cx="3657600" cy="365760"/>
                <wp:effectExtent l="0" t="0" r="0" b="0"/>
                <wp:wrapNone/>
                <wp:docPr id="3" name="Frame1"/>
                <a:graphic xmlns:a="http://schemas.openxmlformats.org/drawingml/2006/main">
                  <a:graphicData uri="http://schemas.microsoft.com/office/word/2010/wordprocessingShape">
                    <wps:wsp>
                      <wps:cNvSpPr txBox="1"/>
                      <wps:spPr>
                        <a:xfrm>
                          <a:off x="0" y="0"/>
                          <a:ext cx="3657600" cy="365760"/>
                        </a:xfrm>
                        <a:prstGeom prst="rect"/>
                      </wps:spPr>
                      <wps:txbx>
                        <w:txbxContent>
                          <w:p>
                            <w:pPr>
                              <w:pStyle w:val="NoSpacing"/>
                              <w:rPr>
                                <w:color w:val="4472C4" w:themeColor="accent1"/>
                                <w:sz w:val="26"/>
                                <w:szCs w:val="26"/>
                              </w:rPr>
                            </w:pPr>
                            <w:sdt>
                              <w:sdtPr>
                                <w:alias w:val="Author"/>
                              </w:sdtPr>
                              <w:sdtContent>
                                <w:r>
                                  <w:rPr>
                                    <w:color w:val="4472C4" w:themeColor="accent1"/>
                                    <w:sz w:val="26"/>
                                    <w:szCs w:val="26"/>
                                  </w:rPr>
                                  <w:t>Matthews, Sean</w:t>
                                </w:r>
                              </w:sdtContent>
                            </w:sdt>
                          </w:p>
                          <w:p>
                            <w:pPr>
                              <w:pStyle w:val="NoSpacing"/>
                              <w:rPr/>
                            </w:pPr>
                            <w:sdt>
                              <w:sdtPr>
                                <w:text/>
                                <w:dataBinding w:prefixMappings="xmlns:ns0='http://schemas.openxmlformats.org/officeDocument/2006/extended-properties' " w:xpath="/ns0:Properties[1]/ns0:Company[1]" w:storeItemID="{6668398D-A668-4E3E-A5EB-62B293D839F1}"/>
                                <w:alias w:val="Company"/>
                              </w:sdtPr>
                              <w:sdtContent>
                                <w:r>
                                  <w:rPr>
                                    <w:caps/>
                                    <w:color w:val="595959" w:themeColor="text1" w:themeTint="a6"/>
                                    <w:sz w:val="20"/>
                                    <w:szCs w:val="20"/>
                                  </w:rPr>
                                  <w:t>student number 2131768</w:t>
                                </w:r>
                              </w:sdtContent>
                            </w:sdt>
                          </w:p>
                        </w:txbxContent>
                      </wps:txbx>
                      <wps:bodyPr anchor="t" lIns="0" tIns="0" rIns="0" bIns="0">
                        <a:noAutofit/>
                      </wps:bodyPr>
                    </wps:wsp>
                  </a:graphicData>
                </a:graphic>
              </wp:anchor>
            </w:drawing>
          </mc:Choice>
          <mc:Fallback>
            <w:pict>
              <v:rect stroked="f" strokeweight="0pt" style="position:absolute;rotation:0;width:288pt;height:28.8pt;mso-wrap-distance-left:9pt;mso-wrap-distance-right:9pt;mso-wrap-distance-top:0pt;mso-wrap-distance-bottom:0pt;margin-top:192.85pt;mso-position-vertical-relative:text;margin-left:43.25pt;mso-position-horizontal-relative:text">
                <v:textbox inset="0in,0in,0in,0in">
                  <w:txbxContent>
                    <w:p>
                      <w:pPr>
                        <w:pStyle w:val="NoSpacing"/>
                        <w:rPr>
                          <w:color w:val="4472C4" w:themeColor="accent1"/>
                          <w:sz w:val="26"/>
                          <w:szCs w:val="26"/>
                        </w:rPr>
                      </w:pPr>
                      <w:sdt>
                        <w:sdtPr>
                          <w:text/>
                          <w:dataBinding w:prefixMappings="xmlns:ns0='http://purl.org/dc/elements/1.1/' xmlns:ns1='http://schemas.openxmlformats.org/package/2006/metadata/core-properties' " w:xpath="/ns1:coreProperties[1]/ns0:creator[1]" w:storeItemID="{6C3C8BC8-F283-45AE-878A-BAB7291924A1}"/>
                          <w:alias w:val="Author"/>
                        </w:sdtPr>
                        <w:sdtContent>
                          <w:r>
                            <w:rPr>
                              <w:color w:val="4472C4" w:themeColor="accent1"/>
                              <w:sz w:val="26"/>
                              <w:szCs w:val="26"/>
                            </w:rPr>
                            <w:t>Matthews, Sean</w:t>
                          </w:r>
                        </w:sdtContent>
                      </w:sdt>
                    </w:p>
                    <w:p>
                      <w:pPr>
                        <w:pStyle w:val="NoSpacing"/>
                        <w:rPr/>
                      </w:pPr>
                      <w:sdt>
                        <w:sdtPr>
                          <w:text/>
                          <w:dataBinding w:prefixMappings="xmlns:ns0='http://schemas.openxmlformats.org/officeDocument/2006/extended-properties' " w:xpath="/ns0:Properties[1]/ns0:Company[1]" w:storeItemID="{6668398D-A668-4E3E-A5EB-62B293D839F1}"/>
                          <w:alias w:val="Company"/>
                        </w:sdtPr>
                        <w:sdtContent>
                          <w:r>
                            <w:rPr>
                              <w:caps/>
                              <w:color w:val="595959" w:themeColor="text1" w:themeTint="a6"/>
                              <w:sz w:val="20"/>
                              <w:szCs w:val="20"/>
                            </w:rPr>
                            <w:t>student number 2131768</w:t>
                          </w:r>
                        </w:sdtContent>
                      </w:sdt>
                    </w:p>
                  </w:txbxContent>
                </v:textbox>
              </v:rect>
            </w:pict>
          </mc:Fallback>
        </mc:AlternateContent>
      </w:r>
      <w:r>
        <mc:AlternateContent>
          <mc:Choice Requires="wps">
            <w:drawing>
              <wp:anchor behindDoc="0" distT="45720" distB="45720" distL="114300" distR="114300" simplePos="0" locked="0" layoutInCell="1" allowOverlap="1" relativeHeight="4">
                <wp:simplePos x="0" y="0"/>
                <wp:positionH relativeFrom="column">
                  <wp:posOffset>549275</wp:posOffset>
                </wp:positionH>
                <wp:positionV relativeFrom="paragraph">
                  <wp:posOffset>1814195</wp:posOffset>
                </wp:positionV>
                <wp:extent cx="4636770" cy="635635"/>
                <wp:effectExtent l="0" t="0" r="0" b="0"/>
                <wp:wrapSquare wrapText="bothSides"/>
                <wp:docPr id="4" name="Frame3"/>
                <a:graphic xmlns:a="http://schemas.openxmlformats.org/drawingml/2006/main">
                  <a:graphicData uri="http://schemas.microsoft.com/office/word/2010/wordprocessingShape">
                    <wps:wsp>
                      <wps:cNvSpPr txBox="1"/>
                      <wps:spPr>
                        <a:xfrm>
                          <a:off x="0" y="0"/>
                          <a:ext cx="4636770" cy="635635"/>
                        </a:xfrm>
                        <a:prstGeom prst="rect"/>
                        <a:solidFill>
                          <a:srgbClr val="FFFFFF"/>
                        </a:solidFill>
                        <a:ln w="635">
                          <a:solidFill>
                            <a:srgbClr val="000000"/>
                          </a:solidFill>
                        </a:ln>
                      </wps:spPr>
                      <wps:txbx>
                        <w:txbxContent>
                          <w:p>
                            <w:pPr>
                              <w:pStyle w:val="FrameContents"/>
                              <w:spacing w:before="0" w:after="160"/>
                              <w:rPr/>
                            </w:pPr>
                            <w:r>
                              <w:rPr>
                                <w:rFonts w:cs="Calibri Light" w:ascii="Calibri Light" w:hAnsi="Calibri Light" w:asciiTheme="majorHAnsi" w:cstheme="majorHAnsi" w:hAnsiTheme="majorHAnsi"/>
                                <w:sz w:val="44"/>
                                <w:szCs w:val="44"/>
                              </w:rPr>
                              <w:t xml:space="preserve">ACADEMIC ASSIGNMENTS </w:t>
                            </w:r>
                          </w:p>
                        </w:txbxContent>
                      </wps:txbx>
                      <wps:bodyPr anchor="t" lIns="91440" tIns="45720" rIns="91440" bIns="45720">
                        <a:noAutofit/>
                      </wps:bodyPr>
                    </wps:wsp>
                  </a:graphicData>
                </a:graphic>
              </wp:anchor>
            </w:drawing>
          </mc:Choice>
          <mc:Fallback>
            <w:pict>
              <v:rect fillcolor="#FFFFFF" strokecolor="#000000" strokeweight="0pt" style="position:absolute;rotation:0;width:365.1pt;height:50.05pt;mso-wrap-distance-left:9pt;mso-wrap-distance-right:9pt;mso-wrap-distance-top:3.6pt;mso-wrap-distance-bottom:3.6pt;margin-top:142.85pt;mso-position-vertical-relative:text;margin-left:43.25pt;mso-position-horizontal-relative:text">
                <v:textbox>
                  <w:txbxContent>
                    <w:p>
                      <w:pPr>
                        <w:pStyle w:val="FrameContents"/>
                        <w:spacing w:before="0" w:after="160"/>
                        <w:rPr/>
                      </w:pPr>
                      <w:r>
                        <w:rPr>
                          <w:rFonts w:cs="Calibri Light" w:ascii="Calibri Light" w:hAnsi="Calibri Light" w:asciiTheme="majorHAnsi" w:cstheme="majorHAnsi" w:hAnsiTheme="majorHAnsi"/>
                          <w:sz w:val="44"/>
                          <w:szCs w:val="44"/>
                        </w:rPr>
                        <w:t xml:space="preserve">ACADEMIC ASSIGNMENTS </w:t>
                      </w:r>
                    </w:p>
                  </w:txbxContent>
                </v:textbox>
                <w10:wrap type="square"/>
              </v:rect>
            </w:pict>
          </mc:Fallback>
        </mc:AlternateContent>
      </w:r>
    </w:p>
    <w:p>
      <w:pPr>
        <w:pStyle w:val="TextBody"/>
        <w:rPr>
          <w:rFonts w:ascii="Inter;apple-system;BlinkMacSystemFont;Segoe UI;Roboto;Oxygen;Ubuntu;Cantarell;Helvetica Neue;sans-serif;Arial" w:hAnsi="Inter;apple-system;BlinkMacSystemFont;Segoe UI;Roboto;Oxygen;Ubuntu;Cantarell;Helvetica Neue;sans-serif;Arial"/>
          <w:b/>
          <w:i w:val="false"/>
          <w:caps w:val="false"/>
          <w:smallCaps w:val="false"/>
          <w:spacing w:val="0"/>
          <w:sz w:val="23"/>
        </w:rPr>
      </w:pPr>
      <w:r>
        <w:rPr>
          <w:rFonts w:ascii="Inter;apple-system;BlinkMacSystemFont;Segoe UI;Roboto;Oxygen;Ubuntu;Cantarell;Helvetica Neue;sans-serif;Arial" w:hAnsi="Inter;apple-system;BlinkMacSystemFont;Segoe UI;Roboto;Oxygen;Ubuntu;Cantarell;Helvetica Neue;sans-serif;Arial"/>
          <w:b/>
          <w:i w:val="false"/>
          <w:caps w:val="false"/>
          <w:smallCaps w:val="false"/>
          <w:spacing w:val="0"/>
          <w:sz w:val="23"/>
        </w:rPr>
        <w:t>Academic assignment effectiveness of crime prevention theories</w:t>
      </w:r>
    </w:p>
    <w:p>
      <w:pPr>
        <w:pStyle w:val="TextBody"/>
        <w:widowControl/>
        <w:spacing w:before="0" w:after="0"/>
        <w:ind w:left="0" w:right="0" w:hanging="0"/>
        <w:rPr/>
      </w:pPr>
      <w:r>
        <w:rPr/>
      </w:r>
    </w:p>
    <w:p>
      <w:pPr>
        <w:pStyle w:val="TextBody"/>
        <w:widowControl/>
        <w:spacing w:lineRule="auto" w:line="360" w:before="0" w:after="0"/>
        <w:ind w:left="0" w:right="0" w:hanging="0"/>
        <w:rPr>
          <w:rFonts w:ascii="Arial" w:hAnsi="Arial"/>
          <w:b w:val="false"/>
          <w:i w:val="false"/>
          <w:caps w:val="false"/>
          <w:smallCaps w:val="false"/>
          <w:spacing w:val="0"/>
          <w:sz w:val="24"/>
          <w:szCs w:val="24"/>
        </w:rPr>
      </w:pPr>
      <w:r>
        <w:rPr>
          <w:rFonts w:ascii="Arial" w:hAnsi="Arial"/>
          <w:b w:val="false"/>
          <w:i w:val="false"/>
          <w:caps w:val="false"/>
          <w:smallCaps w:val="false"/>
          <w:spacing w:val="0"/>
          <w:sz w:val="24"/>
          <w:szCs w:val="24"/>
        </w:rPr>
        <w:t>For this task, the essay will evaluate the effectiveness of different theories and strategies for addressing anti-social behaviour and how they are used overall.</w:t>
      </w:r>
    </w:p>
    <w:p>
      <w:pPr>
        <w:pStyle w:val="TextBody"/>
        <w:widowControl/>
        <w:spacing w:lineRule="auto" w:line="360"/>
        <w:ind w:left="0" w:right="0" w:hanging="0"/>
        <w:rPr>
          <w:rFonts w:ascii="Arial" w:hAnsi="Arial"/>
          <w:sz w:val="24"/>
          <w:szCs w:val="24"/>
        </w:rPr>
      </w:pPr>
      <w:r>
        <w:rPr>
          <w:rFonts w:ascii="Arial" w:hAnsi="Arial"/>
          <w:sz w:val="24"/>
          <w:szCs w:val="24"/>
        </w:rPr>
      </w:r>
    </w:p>
    <w:p>
      <w:pPr>
        <w:pStyle w:val="TextBody"/>
        <w:widowControl/>
        <w:spacing w:lineRule="auto" w:line="360" w:before="0" w:after="0"/>
        <w:ind w:left="0" w:right="0" w:hanging="0"/>
        <w:rPr>
          <w:rFonts w:ascii="Arial" w:hAnsi="Arial"/>
          <w:b w:val="false"/>
          <w:i w:val="false"/>
          <w:caps w:val="false"/>
          <w:smallCaps w:val="false"/>
          <w:spacing w:val="0"/>
          <w:sz w:val="24"/>
          <w:szCs w:val="24"/>
        </w:rPr>
      </w:pPr>
      <w:r>
        <w:rPr>
          <w:rFonts w:ascii="Arial" w:hAnsi="Arial"/>
          <w:b w:val="false"/>
          <w:i w:val="false"/>
          <w:caps w:val="false"/>
          <w:smallCaps w:val="false"/>
          <w:spacing w:val="0"/>
          <w:sz w:val="24"/>
          <w:szCs w:val="24"/>
        </w:rPr>
        <w:t>Anti-social behaviour refers to a range of activities that cause harm, alarm, or distress to others, such as public disorder, vandalism, and harassment. One of the crime prevention strategies used to address anti-social behaviour is the Community Safety Partnership model, which involves the collaboration of various agencies, including the police, local authorities, and community groups, to develop and implement prevention measures tailored to the specific needs of the community (Hough, 2005). This model has been found to be effective in reducing some forms of anti-social behaviour, such as youth disorder and street drinking (Casey et al., 2012).</w:t>
      </w:r>
    </w:p>
    <w:p>
      <w:pPr>
        <w:pStyle w:val="TextBody"/>
        <w:widowControl/>
        <w:spacing w:lineRule="auto" w:line="360"/>
        <w:ind w:left="0" w:right="0" w:hanging="0"/>
        <w:rPr>
          <w:rFonts w:ascii="Arial" w:hAnsi="Arial"/>
          <w:sz w:val="24"/>
          <w:szCs w:val="24"/>
        </w:rPr>
      </w:pPr>
      <w:r>
        <w:rPr>
          <w:rFonts w:ascii="Arial" w:hAnsi="Arial"/>
          <w:sz w:val="24"/>
          <w:szCs w:val="24"/>
        </w:rPr>
      </w:r>
    </w:p>
    <w:p>
      <w:pPr>
        <w:pStyle w:val="TextBody"/>
        <w:widowControl/>
        <w:spacing w:lineRule="auto" w:line="360" w:before="0" w:after="0"/>
        <w:ind w:left="0" w:right="0" w:hanging="0"/>
        <w:rPr>
          <w:rFonts w:ascii="Arial" w:hAnsi="Arial"/>
          <w:b w:val="false"/>
          <w:i w:val="false"/>
          <w:caps w:val="false"/>
          <w:smallCaps w:val="false"/>
          <w:spacing w:val="0"/>
          <w:sz w:val="24"/>
          <w:szCs w:val="24"/>
        </w:rPr>
      </w:pPr>
      <w:r>
        <w:rPr>
          <w:rFonts w:ascii="Arial" w:hAnsi="Arial"/>
          <w:b w:val="false"/>
          <w:i w:val="false"/>
          <w:caps w:val="false"/>
          <w:smallCaps w:val="false"/>
          <w:spacing w:val="0"/>
          <w:sz w:val="24"/>
          <w:szCs w:val="24"/>
        </w:rPr>
        <w:t>One such strategy used to help deal with anti-social behaviour is the Anti-social Behaviour Review process, formerly known as Community Trigger meeting, which allows repeat victims of anti-social behaviour to have a more significant say in how their complaints are handled - allowing those who have made three separate complaints about anti-social behaviour in the last six months to have their cases reviewed. ( West Yorkshire Police. 2020)</w:t>
      </w:r>
    </w:p>
    <w:p>
      <w:pPr>
        <w:pStyle w:val="TextBody"/>
        <w:widowControl/>
        <w:spacing w:lineRule="auto" w:line="360"/>
        <w:ind w:left="0" w:right="0" w:hanging="0"/>
        <w:rPr>
          <w:rFonts w:ascii="Arial" w:hAnsi="Arial"/>
          <w:sz w:val="24"/>
          <w:szCs w:val="24"/>
        </w:rPr>
      </w:pPr>
      <w:r>
        <w:rPr>
          <w:rFonts w:ascii="Arial" w:hAnsi="Arial"/>
          <w:sz w:val="24"/>
          <w:szCs w:val="24"/>
        </w:rPr>
      </w:r>
    </w:p>
    <w:p>
      <w:pPr>
        <w:pStyle w:val="TextBody"/>
        <w:widowControl/>
        <w:spacing w:lineRule="auto" w:line="360" w:before="0" w:after="0"/>
        <w:ind w:left="0" w:right="0" w:hanging="0"/>
        <w:rPr>
          <w:rFonts w:ascii="Arial" w:hAnsi="Arial"/>
          <w:sz w:val="24"/>
          <w:szCs w:val="24"/>
        </w:rPr>
      </w:pPr>
      <w:r>
        <w:rPr>
          <w:rFonts w:ascii="Arial" w:hAnsi="Arial"/>
          <w:b w:val="false"/>
          <w:i w:val="false"/>
          <w:caps w:val="false"/>
          <w:smallCaps w:val="false"/>
          <w:spacing w:val="0"/>
          <w:sz w:val="24"/>
          <w:szCs w:val="24"/>
        </w:rPr>
        <w:t>This entails meeting with the victim and reviewing problems such as the type of anti-social behaviour. This strategy offers many different benefits for solving the problem at hand.  Firstly, the aim is to give victims and communities the right to request a review of their case and bring agencies together to take a joined-up, problem-solving approach to finding a solution. This would allow the victim to provide feedback on how other strategies have worked and how they feel the matter should be handled. It would also allow the victim to speak with other services and see how they can aid with the problem and how they can work alongside the police. </w:t>
      </w:r>
    </w:p>
    <w:p>
      <w:pPr>
        <w:pStyle w:val="TextBody"/>
        <w:widowControl/>
        <w:spacing w:lineRule="auto" w:line="360"/>
        <w:ind w:left="0" w:right="0" w:hanging="0"/>
        <w:rPr>
          <w:rFonts w:ascii="Arial" w:hAnsi="Arial"/>
          <w:sz w:val="24"/>
          <w:szCs w:val="24"/>
        </w:rPr>
      </w:pPr>
      <w:r>
        <w:rPr>
          <w:rFonts w:ascii="Arial" w:hAnsi="Arial"/>
          <w:sz w:val="24"/>
          <w:szCs w:val="24"/>
        </w:rPr>
      </w:r>
    </w:p>
    <w:p>
      <w:pPr>
        <w:pStyle w:val="TextBody"/>
        <w:widowControl/>
        <w:spacing w:lineRule="auto" w:line="360" w:before="0" w:after="0"/>
        <w:ind w:left="0" w:right="0" w:hanging="0"/>
        <w:rPr>
          <w:rFonts w:ascii="Arial" w:hAnsi="Arial"/>
          <w:b w:val="false"/>
          <w:i w:val="false"/>
          <w:caps w:val="false"/>
          <w:smallCaps w:val="false"/>
          <w:spacing w:val="0"/>
          <w:sz w:val="24"/>
          <w:szCs w:val="24"/>
        </w:rPr>
      </w:pPr>
      <w:r>
        <w:rPr>
          <w:rFonts w:ascii="Arial" w:hAnsi="Arial"/>
          <w:b w:val="false"/>
          <w:i w:val="false"/>
          <w:caps w:val="false"/>
          <w:smallCaps w:val="false"/>
          <w:spacing w:val="0"/>
          <w:sz w:val="24"/>
          <w:szCs w:val="24"/>
        </w:rPr>
        <w:t>Another added benefit of the case review is that it is simple to request a case review, making it easier for the victim to request one and not have to worry about delays in the process or worry about if they are been taken seriously as Agencies, including local authorities, the police, local health teams and registered providers of social housing have a duty to carry out a case review when someone requests one and their case meets a locally defined threshold. (Home Office. 2020)</w:t>
      </w:r>
    </w:p>
    <w:p>
      <w:pPr>
        <w:pStyle w:val="TextBody"/>
        <w:widowControl/>
        <w:spacing w:lineRule="auto" w:line="360"/>
        <w:ind w:left="0" w:right="0" w:hanging="0"/>
        <w:rPr>
          <w:rFonts w:ascii="Arial" w:hAnsi="Arial"/>
          <w:sz w:val="24"/>
          <w:szCs w:val="24"/>
        </w:rPr>
      </w:pPr>
      <w:r>
        <w:rPr>
          <w:rFonts w:ascii="Arial" w:hAnsi="Arial"/>
          <w:sz w:val="24"/>
          <w:szCs w:val="24"/>
        </w:rPr>
      </w:r>
    </w:p>
    <w:p>
      <w:pPr>
        <w:pStyle w:val="TextBody"/>
        <w:widowControl/>
        <w:spacing w:lineRule="auto" w:line="360" w:before="0" w:after="0"/>
        <w:ind w:left="0" w:right="0" w:hanging="0"/>
        <w:rPr>
          <w:rFonts w:ascii="Arial" w:hAnsi="Arial"/>
          <w:b w:val="false"/>
          <w:i w:val="false"/>
          <w:caps w:val="false"/>
          <w:smallCaps w:val="false"/>
          <w:spacing w:val="0"/>
          <w:sz w:val="24"/>
          <w:szCs w:val="24"/>
        </w:rPr>
      </w:pPr>
      <w:r>
        <w:rPr>
          <w:rFonts w:ascii="Arial" w:hAnsi="Arial"/>
          <w:b w:val="false"/>
          <w:i w:val="false"/>
          <w:caps w:val="false"/>
          <w:smallCaps w:val="false"/>
          <w:spacing w:val="0"/>
          <w:sz w:val="24"/>
          <w:szCs w:val="24"/>
        </w:rPr>
        <w:t>However, there are downsides to using a Community Trigger meeting, mainly the resources needed to hold the meeting. As stated above, several agencies will be present during a session and try to arrange a review, which can take time and delay the investigation into the problem. Moreover, investigating where the problems started and where they would finish would help clarify the issue; otherwise, resources would be misplaced or misused. (HOUGH 2005)</w:t>
      </w:r>
    </w:p>
    <w:p>
      <w:pPr>
        <w:pStyle w:val="TextBody"/>
        <w:widowControl/>
        <w:spacing w:lineRule="auto" w:line="360"/>
        <w:ind w:left="0" w:right="0" w:hanging="0"/>
        <w:rPr>
          <w:rFonts w:ascii="Arial" w:hAnsi="Arial"/>
          <w:sz w:val="24"/>
          <w:szCs w:val="24"/>
        </w:rPr>
      </w:pPr>
      <w:r>
        <w:rPr>
          <w:rFonts w:ascii="Arial" w:hAnsi="Arial"/>
          <w:sz w:val="24"/>
          <w:szCs w:val="24"/>
        </w:rPr>
      </w:r>
    </w:p>
    <w:p>
      <w:pPr>
        <w:pStyle w:val="TextBody"/>
        <w:widowControl/>
        <w:spacing w:lineRule="auto" w:line="360" w:before="0" w:after="0"/>
        <w:ind w:left="0" w:right="0" w:hanging="0"/>
        <w:rPr>
          <w:rFonts w:ascii="Arial" w:hAnsi="Arial"/>
          <w:b w:val="false"/>
          <w:i w:val="false"/>
          <w:caps w:val="false"/>
          <w:smallCaps w:val="false"/>
          <w:spacing w:val="0"/>
          <w:sz w:val="24"/>
          <w:szCs w:val="24"/>
        </w:rPr>
      </w:pPr>
      <w:r>
        <w:rPr>
          <w:rFonts w:ascii="Arial" w:hAnsi="Arial"/>
          <w:b w:val="false"/>
          <w:i w:val="false"/>
          <w:caps w:val="false"/>
          <w:smallCaps w:val="false"/>
          <w:spacing w:val="0"/>
          <w:sz w:val="24"/>
          <w:szCs w:val="24"/>
        </w:rPr>
        <w:t>During the time before and after the review, the victim is considered to be particularly vulnerable, and the relevant bodies should consider whether additional practical and emotional support can be offered to the victim. (AVON AND SUMMERSET POLICE2020)</w:t>
      </w:r>
    </w:p>
    <w:p>
      <w:pPr>
        <w:pStyle w:val="TextBody"/>
        <w:widowControl/>
        <w:spacing w:lineRule="auto" w:line="360"/>
        <w:ind w:left="0" w:right="0" w:hanging="0"/>
        <w:rPr>
          <w:rFonts w:ascii="Arial" w:hAnsi="Arial"/>
          <w:sz w:val="24"/>
          <w:szCs w:val="24"/>
        </w:rPr>
      </w:pPr>
      <w:r>
        <w:rPr>
          <w:rFonts w:ascii="Arial" w:hAnsi="Arial"/>
          <w:sz w:val="24"/>
          <w:szCs w:val="24"/>
        </w:rPr>
      </w:r>
    </w:p>
    <w:p>
      <w:pPr>
        <w:pStyle w:val="TextBody"/>
        <w:widowControl/>
        <w:spacing w:lineRule="auto" w:line="360" w:before="0" w:after="0"/>
        <w:ind w:left="0" w:right="0" w:hanging="0"/>
        <w:rPr>
          <w:rFonts w:ascii="Arial" w:hAnsi="Arial"/>
          <w:b w:val="false"/>
          <w:i w:val="false"/>
          <w:caps w:val="false"/>
          <w:smallCaps w:val="false"/>
          <w:spacing w:val="0"/>
          <w:sz w:val="24"/>
          <w:szCs w:val="24"/>
        </w:rPr>
      </w:pPr>
      <w:r>
        <w:rPr>
          <w:rFonts w:ascii="Arial" w:hAnsi="Arial"/>
          <w:b w:val="false"/>
          <w:i w:val="false"/>
          <w:caps w:val="false"/>
          <w:smallCaps w:val="false"/>
          <w:spacing w:val="0"/>
          <w:sz w:val="24"/>
          <w:szCs w:val="24"/>
        </w:rPr>
        <w:t>Mainly in cases in which the threshold for a case review is not met. Although the formal procedures will not be invoked, this provides an opportunity for the relevant bodies to review the case to determine whether more can be done. </w:t>
      </w:r>
    </w:p>
    <w:p>
      <w:pPr>
        <w:pStyle w:val="TextBody"/>
        <w:widowControl/>
        <w:spacing w:lineRule="auto" w:line="360"/>
        <w:ind w:left="0" w:right="0" w:hanging="0"/>
        <w:rPr>
          <w:rFonts w:ascii="Arial" w:hAnsi="Arial"/>
          <w:sz w:val="24"/>
          <w:szCs w:val="24"/>
        </w:rPr>
      </w:pPr>
      <w:r>
        <w:rPr>
          <w:rFonts w:ascii="Arial" w:hAnsi="Arial"/>
          <w:sz w:val="24"/>
          <w:szCs w:val="24"/>
        </w:rPr>
      </w:r>
    </w:p>
    <w:p>
      <w:pPr>
        <w:pStyle w:val="TextBody"/>
        <w:widowControl/>
        <w:spacing w:lineRule="auto" w:line="360" w:before="0" w:after="0"/>
        <w:ind w:left="0" w:right="0" w:hanging="0"/>
        <w:rPr>
          <w:rFonts w:ascii="Arial" w:hAnsi="Arial"/>
          <w:b w:val="false"/>
          <w:i w:val="false"/>
          <w:caps w:val="false"/>
          <w:smallCaps w:val="false"/>
          <w:spacing w:val="0"/>
          <w:sz w:val="24"/>
          <w:szCs w:val="24"/>
        </w:rPr>
      </w:pPr>
      <w:r>
        <w:rPr>
          <w:rFonts w:ascii="Arial" w:hAnsi="Arial"/>
          <w:b w:val="false"/>
          <w:i w:val="false"/>
          <w:caps w:val="false"/>
          <w:smallCaps w:val="false"/>
          <w:spacing w:val="0"/>
          <w:sz w:val="24"/>
          <w:szCs w:val="24"/>
        </w:rPr>
        <w:t>It can be frustrating for victims of anti-social behaviour to feel that not enough is being done to address their concerns. It can be disheartening to have the case reviewed and involve other agencies only to find out that it doesn't meet the threshold for a Community Trigger meeting. In these situations, it can seem like there are no alternatives or options left to pursue(Home Office, 2013)</w:t>
      </w:r>
    </w:p>
    <w:p>
      <w:pPr>
        <w:pStyle w:val="TextBody"/>
        <w:widowControl/>
        <w:spacing w:lineRule="auto" w:line="360"/>
        <w:ind w:left="0" w:right="0" w:hanging="0"/>
        <w:rPr>
          <w:rFonts w:ascii="Arial" w:hAnsi="Arial"/>
          <w:sz w:val="24"/>
          <w:szCs w:val="24"/>
        </w:rPr>
      </w:pPr>
      <w:r>
        <w:rPr>
          <w:rFonts w:ascii="Arial" w:hAnsi="Arial"/>
          <w:sz w:val="24"/>
          <w:szCs w:val="24"/>
        </w:rPr>
      </w:r>
    </w:p>
    <w:p>
      <w:pPr>
        <w:pStyle w:val="TextBody"/>
        <w:widowControl/>
        <w:spacing w:lineRule="auto" w:line="360" w:before="0" w:after="0"/>
        <w:ind w:left="0" w:right="0" w:hanging="0"/>
        <w:rPr>
          <w:rFonts w:ascii="Arial" w:hAnsi="Arial"/>
          <w:b w:val="false"/>
          <w:i w:val="false"/>
          <w:caps w:val="false"/>
          <w:smallCaps w:val="false"/>
          <w:spacing w:val="0"/>
          <w:sz w:val="24"/>
          <w:szCs w:val="24"/>
        </w:rPr>
      </w:pPr>
      <w:r>
        <w:rPr>
          <w:rFonts w:ascii="Arial" w:hAnsi="Arial"/>
          <w:b w:val="false"/>
          <w:i w:val="false"/>
          <w:caps w:val="false"/>
          <w:smallCaps w:val="false"/>
          <w:spacing w:val="0"/>
          <w:sz w:val="24"/>
          <w:szCs w:val="24"/>
        </w:rPr>
        <w:t>Moving on from the use of Community Trigger meetings, another strategy used to deal with Anti-social behaviour is the use of a Community Protection Notice, known as CPO, which can be used to deal with ongoing problems or nuisances which are having a detrimental effect on the community's quality of life by targeting those responsible. (Home Office. 2023)</w:t>
      </w:r>
    </w:p>
    <w:p>
      <w:pPr>
        <w:pStyle w:val="TextBody"/>
        <w:widowControl/>
        <w:spacing w:lineRule="auto" w:line="360"/>
        <w:ind w:left="0" w:right="0" w:hanging="0"/>
        <w:rPr>
          <w:rFonts w:ascii="Arial" w:hAnsi="Arial"/>
          <w:sz w:val="24"/>
          <w:szCs w:val="24"/>
        </w:rPr>
      </w:pPr>
      <w:r>
        <w:rPr>
          <w:rFonts w:ascii="Arial" w:hAnsi="Arial"/>
          <w:sz w:val="24"/>
          <w:szCs w:val="24"/>
        </w:rPr>
      </w:r>
    </w:p>
    <w:p>
      <w:pPr>
        <w:pStyle w:val="TextBody"/>
        <w:widowControl/>
        <w:spacing w:lineRule="auto" w:line="360" w:before="0" w:after="0"/>
        <w:ind w:left="0" w:right="0" w:hanging="0"/>
        <w:rPr>
          <w:rFonts w:ascii="Arial" w:hAnsi="Arial"/>
          <w:b w:val="false"/>
          <w:i w:val="false"/>
          <w:caps w:val="false"/>
          <w:smallCaps w:val="false"/>
          <w:spacing w:val="0"/>
          <w:sz w:val="24"/>
          <w:szCs w:val="24"/>
        </w:rPr>
      </w:pPr>
      <w:r>
        <w:rPr>
          <w:rFonts w:ascii="Arial" w:hAnsi="Arial"/>
          <w:b w:val="false"/>
          <w:i w:val="false"/>
          <w:caps w:val="false"/>
          <w:smallCaps w:val="false"/>
          <w:spacing w:val="0"/>
          <w:sz w:val="24"/>
          <w:szCs w:val="24"/>
        </w:rPr>
        <w:t>Local police forces will need sufficient evidence to satisfy themselves that the behaviour in question is genuinely having a detrimental effect on others' quality of life in terms of the nuisance or harm that is being caused to others rather than simply having an effect on their day-to-day lives before they can use a Community Protection Notice. </w:t>
      </w:r>
    </w:p>
    <w:p>
      <w:pPr>
        <w:pStyle w:val="TextBody"/>
        <w:widowControl/>
        <w:spacing w:lineRule="auto" w:line="360"/>
        <w:ind w:left="0" w:right="0" w:hanging="0"/>
        <w:rPr>
          <w:rFonts w:ascii="Arial" w:hAnsi="Arial"/>
          <w:sz w:val="24"/>
          <w:szCs w:val="24"/>
        </w:rPr>
      </w:pPr>
      <w:r>
        <w:rPr>
          <w:rFonts w:ascii="Arial" w:hAnsi="Arial"/>
          <w:sz w:val="24"/>
          <w:szCs w:val="24"/>
        </w:rPr>
      </w:r>
    </w:p>
    <w:p>
      <w:pPr>
        <w:pStyle w:val="TextBody"/>
        <w:widowControl/>
        <w:spacing w:lineRule="auto" w:line="360" w:before="0" w:after="0"/>
        <w:ind w:left="0" w:right="0" w:hanging="0"/>
        <w:rPr>
          <w:rFonts w:ascii="Arial" w:hAnsi="Arial"/>
          <w:b w:val="false"/>
          <w:i w:val="false"/>
          <w:caps w:val="false"/>
          <w:smallCaps w:val="false"/>
          <w:spacing w:val="0"/>
          <w:sz w:val="24"/>
          <w:szCs w:val="24"/>
        </w:rPr>
      </w:pPr>
      <w:r>
        <w:rPr>
          <w:rFonts w:ascii="Arial" w:hAnsi="Arial"/>
          <w:b w:val="false"/>
          <w:i w:val="false"/>
          <w:caps w:val="false"/>
          <w:smallCaps w:val="false"/>
          <w:spacing w:val="0"/>
          <w:sz w:val="24"/>
          <w:szCs w:val="24"/>
        </w:rPr>
        <w:t>The use of a community protection order does have benefits. For example, it can be issued to people 16 and older, allowing police forces to use a less intrusive method to deal with younger people rather than arresting those who are causing anti-social behaviour in certain places. Moreover, after one has been issued, there is no time limit as to how long a person can be used with one.</w:t>
      </w:r>
    </w:p>
    <w:p>
      <w:pPr>
        <w:pStyle w:val="TextBody"/>
        <w:widowControl/>
        <w:spacing w:lineRule="auto" w:line="360"/>
        <w:ind w:left="0" w:right="0" w:hanging="0"/>
        <w:rPr>
          <w:rFonts w:ascii="Arial" w:hAnsi="Arial"/>
          <w:sz w:val="24"/>
          <w:szCs w:val="24"/>
        </w:rPr>
      </w:pPr>
      <w:r>
        <w:rPr>
          <w:rFonts w:ascii="Arial" w:hAnsi="Arial"/>
          <w:sz w:val="24"/>
          <w:szCs w:val="24"/>
        </w:rPr>
      </w:r>
    </w:p>
    <w:p>
      <w:pPr>
        <w:pStyle w:val="TextBody"/>
        <w:widowControl/>
        <w:spacing w:lineRule="auto" w:line="360" w:before="0" w:after="0"/>
        <w:ind w:left="0" w:right="0" w:hanging="0"/>
        <w:rPr>
          <w:rFonts w:ascii="Arial" w:hAnsi="Arial"/>
          <w:b w:val="false"/>
          <w:i w:val="false"/>
          <w:caps w:val="false"/>
          <w:smallCaps w:val="false"/>
          <w:spacing w:val="0"/>
          <w:sz w:val="24"/>
          <w:szCs w:val="24"/>
        </w:rPr>
      </w:pPr>
      <w:r>
        <w:rPr>
          <w:rFonts w:ascii="Arial" w:hAnsi="Arial"/>
          <w:b w:val="false"/>
          <w:i w:val="false"/>
          <w:caps w:val="false"/>
          <w:smallCaps w:val="false"/>
          <w:spacing w:val="0"/>
          <w:sz w:val="24"/>
          <w:szCs w:val="24"/>
        </w:rPr>
        <w:t>However, although a community protection order can significantly reduce anti-social behaviour, it can also greatly affect the young person who has the order, as studies have shown that the conditions set in the order can affect the young person due to having much of their freedom been limited such as who they can be with and what areas they are allowed in and at times this can push them further away from society and ensure the chance of criminal behaviour. (</w:t>
      </w:r>
      <w:r>
        <w:rPr>
          <w:rFonts w:ascii="Arial" w:hAnsi="Arial"/>
          <w:b w:val="false"/>
          <w:i w:val="false"/>
          <w:caps w:val="false"/>
          <w:smallCaps w:val="false"/>
          <w:spacing w:val="0"/>
          <w:sz w:val="24"/>
          <w:szCs w:val="24"/>
        </w:rPr>
        <w:t>Furlong</w:t>
      </w:r>
      <w:r>
        <w:rPr>
          <w:rFonts w:ascii="Arial" w:hAnsi="Arial"/>
          <w:b w:val="false"/>
          <w:i w:val="false"/>
          <w:caps w:val="false"/>
          <w:smallCaps w:val="false"/>
          <w:spacing w:val="0"/>
          <w:sz w:val="24"/>
          <w:szCs w:val="24"/>
        </w:rPr>
        <w:t xml:space="preserve"> 2016)</w:t>
      </w:r>
    </w:p>
    <w:p>
      <w:pPr>
        <w:pStyle w:val="TextBody"/>
        <w:widowControl/>
        <w:spacing w:lineRule="auto" w:line="360"/>
        <w:ind w:left="0" w:right="0" w:hanging="0"/>
        <w:rPr>
          <w:rFonts w:ascii="Arial" w:hAnsi="Arial"/>
          <w:sz w:val="24"/>
          <w:szCs w:val="24"/>
        </w:rPr>
      </w:pPr>
      <w:r>
        <w:rPr>
          <w:rFonts w:ascii="Arial" w:hAnsi="Arial"/>
          <w:sz w:val="24"/>
          <w:szCs w:val="24"/>
        </w:rPr>
      </w:r>
    </w:p>
    <w:p>
      <w:pPr>
        <w:pStyle w:val="TextBody"/>
        <w:widowControl/>
        <w:spacing w:lineRule="auto" w:line="360" w:before="0" w:after="0"/>
        <w:ind w:left="0" w:right="0" w:hanging="0"/>
        <w:rPr>
          <w:rFonts w:ascii="Arial" w:hAnsi="Arial"/>
          <w:b w:val="false"/>
          <w:i w:val="false"/>
          <w:caps w:val="false"/>
          <w:smallCaps w:val="false"/>
          <w:spacing w:val="0"/>
          <w:sz w:val="24"/>
          <w:szCs w:val="24"/>
        </w:rPr>
      </w:pPr>
      <w:r>
        <w:rPr>
          <w:rFonts w:ascii="Arial" w:hAnsi="Arial"/>
          <w:b w:val="false"/>
          <w:i w:val="false"/>
          <w:caps w:val="false"/>
          <w:smallCaps w:val="false"/>
          <w:spacing w:val="0"/>
          <w:sz w:val="24"/>
          <w:szCs w:val="24"/>
        </w:rPr>
        <w:t>The police are able to place certain conditions on the community protection order, such as preventing a person from being in a specific area or being at a set time, such as having a curfew and even not being in the same area as other people who have also been given a community protection order. ( Chartered Institute of Environmental Health 2014)</w:t>
      </w:r>
    </w:p>
    <w:p>
      <w:pPr>
        <w:pStyle w:val="TextBody"/>
        <w:widowControl/>
        <w:spacing w:lineRule="auto" w:line="360"/>
        <w:ind w:left="0" w:right="0" w:hanging="0"/>
        <w:rPr>
          <w:rFonts w:ascii="Arial" w:hAnsi="Arial"/>
          <w:sz w:val="24"/>
          <w:szCs w:val="24"/>
        </w:rPr>
      </w:pPr>
      <w:r>
        <w:rPr>
          <w:rFonts w:ascii="Arial" w:hAnsi="Arial"/>
          <w:sz w:val="24"/>
          <w:szCs w:val="24"/>
        </w:rPr>
      </w:r>
    </w:p>
    <w:p>
      <w:pPr>
        <w:pStyle w:val="TextBody"/>
        <w:widowControl/>
        <w:spacing w:lineRule="auto" w:line="360" w:before="0" w:after="0"/>
        <w:ind w:left="0" w:right="0" w:hanging="0"/>
        <w:rPr>
          <w:rFonts w:ascii="Arial" w:hAnsi="Arial"/>
          <w:b w:val="false"/>
          <w:i w:val="false"/>
          <w:caps w:val="false"/>
          <w:smallCaps w:val="false"/>
          <w:spacing w:val="0"/>
          <w:sz w:val="24"/>
          <w:szCs w:val="24"/>
        </w:rPr>
      </w:pPr>
      <w:r>
        <w:rPr>
          <w:rFonts w:ascii="Arial" w:hAnsi="Arial"/>
          <w:b w:val="false"/>
          <w:i w:val="false"/>
          <w:caps w:val="false"/>
          <w:smallCaps w:val="false"/>
          <w:spacing w:val="0"/>
          <w:sz w:val="24"/>
          <w:szCs w:val="24"/>
        </w:rPr>
        <w:t>The conditions have substantial implications. If they are breached, for example, if the person is found in an area they are not supposed to be in, they are liable to be arrested and then can have the community protection order extended but form. Studies show this only sometimes helps the problem and, at times, can only be a short-term solution. (Sherman et al. 2007)</w:t>
      </w:r>
    </w:p>
    <w:p>
      <w:pPr>
        <w:pStyle w:val="TextBody"/>
        <w:widowControl/>
        <w:spacing w:lineRule="auto" w:line="360"/>
        <w:ind w:left="0" w:right="0" w:hanging="0"/>
        <w:rPr>
          <w:rFonts w:ascii="Arial" w:hAnsi="Arial"/>
          <w:sz w:val="24"/>
          <w:szCs w:val="24"/>
        </w:rPr>
      </w:pPr>
      <w:r>
        <w:rPr>
          <w:rFonts w:ascii="Arial" w:hAnsi="Arial"/>
          <w:sz w:val="24"/>
          <w:szCs w:val="24"/>
        </w:rPr>
      </w:r>
    </w:p>
    <w:p>
      <w:pPr>
        <w:pStyle w:val="TextBody"/>
        <w:widowControl/>
        <w:spacing w:lineRule="auto" w:line="360" w:before="0" w:after="0"/>
        <w:ind w:left="0" w:right="0" w:hanging="0"/>
        <w:rPr>
          <w:rFonts w:ascii="Arial" w:hAnsi="Arial"/>
          <w:b w:val="false"/>
          <w:i w:val="false"/>
          <w:caps w:val="false"/>
          <w:smallCaps w:val="false"/>
          <w:spacing w:val="0"/>
          <w:sz w:val="24"/>
          <w:szCs w:val="24"/>
        </w:rPr>
      </w:pPr>
      <w:r>
        <w:rPr>
          <w:rFonts w:ascii="Arial" w:hAnsi="Arial"/>
          <w:b w:val="false"/>
          <w:i w:val="false"/>
          <w:caps w:val="false"/>
          <w:smallCaps w:val="false"/>
          <w:spacing w:val="0"/>
          <w:sz w:val="24"/>
          <w:szCs w:val="24"/>
        </w:rPr>
        <w:t>In conclusion, while crime prevention theories and strategies can be effective in combating anti-social behaviour, their effectiveness may depend on a range of factors, such as the nature of the crime, the characteristics of the community, and the resources available for implementing and sustaining prevention efforts. It is therefore important to carefully evaluate the effectiveness of different strategies and approaches in order to develop evidence-based policies and interventions for preventing crime and reducing anti-social behaviour.</w:t>
      </w:r>
    </w:p>
    <w:p>
      <w:pPr>
        <w:pStyle w:val="TextBody"/>
        <w:widowControl/>
        <w:ind w:left="0" w:right="0" w:hanging="0"/>
        <w:rPr/>
      </w:pPr>
      <w:r>
        <w:rPr/>
      </w:r>
    </w:p>
    <w:p>
      <w:pPr>
        <w:pStyle w:val="TextBody"/>
        <w:widowControl/>
        <w:ind w:left="0" w:right="0" w:hanging="0"/>
        <w:rPr/>
      </w:pPr>
      <w:r>
        <w:rPr/>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word count 1087</w:t>
      </w:r>
    </w:p>
    <w:p>
      <w:pPr>
        <w:pStyle w:val="TextBody"/>
        <w:widowControl/>
        <w:ind w:left="0" w:right="0" w:hanging="0"/>
        <w:rPr/>
      </w:pPr>
      <w:r>
        <w:rPr/>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
    </w:p>
    <w:p>
      <w:pPr>
        <w:pStyle w:val="TextBody"/>
        <w:widowControl/>
        <w:spacing w:before="0" w:after="0"/>
        <w:ind w:left="0" w:right="0" w:hanging="0"/>
        <w:rPr/>
      </w:pPr>
      <w:r>
        <w:rPr/>
      </w:r>
    </w:p>
    <w:p>
      <w:pPr>
        <w:pStyle w:val="TextBody"/>
        <w:widowControl/>
        <w:spacing w:before="0" w:after="0"/>
        <w:ind w:left="0" w:right="0" w:hanging="0"/>
        <w:rPr>
          <w:rFonts w:ascii="Inter;apple-system;BlinkMacSystemFont;Segoe UI;Roboto;Oxygen;Ubuntu;Cantarell;Helvetica Neue;sans-serif;Arial" w:hAnsi="Inter;apple-system;BlinkMacSystemFont;Segoe UI;Roboto;Oxygen;Ubuntu;Cantarell;Helvetica Neue;sans-serif;Arial"/>
          <w:b/>
          <w:i w:val="false"/>
          <w:caps w:val="false"/>
          <w:smallCaps w:val="false"/>
          <w:spacing w:val="0"/>
          <w:sz w:val="23"/>
        </w:rPr>
      </w:pPr>
      <w:r>
        <w:rPr>
          <w:rFonts w:ascii="Inter;apple-system;BlinkMacSystemFont;Segoe UI;Roboto;Oxygen;Ubuntu;Cantarell;Helvetica Neue;sans-serif;Arial" w:hAnsi="Inter;apple-system;BlinkMacSystemFont;Segoe UI;Roboto;Oxygen;Ubuntu;Cantarell;Helvetica Neue;sans-serif;Arial"/>
          <w:b/>
          <w:i w:val="false"/>
          <w:caps w:val="false"/>
          <w:smallCaps w:val="false"/>
          <w:spacing w:val="0"/>
          <w:sz w:val="23"/>
        </w:rPr>
        <w:t>Academic assignment task  CHIS</w:t>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For this task, this essay will Critically evaluate the use of Covert Human Intelligence Sources.</w:t>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w:t>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A Covert Human Intelligence Source secretly provides information to help with investigations. It is authorized and regulated by the Regulation of Investigatory Powers Act 2000, overseen by His Majesty's Inspectorate of Constabulary and Fire &amp; Rescue Services. This practice has been utilized for many years to prevent and prosecute serious crimes such as terrorism and human trafficking. Recently, the Covert Human Intelligence Sources ,Criminal Conduct Act 2021 granted legal powers to organizations such as intelligence agencies and law enforcement bodies to permit covert human intelligence sources to engage in criminal activities to obtain information.</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The uses of Covert human intelligence sources are strictly controlled and governed. When it comes to the authorization of the use of Covert human intelligence sources for an investigation, this is done by the public authorities entitled to authorize the use or conduct of a CHIS, together with the specific purposes for which each public administration may allow the use or behaviour of a CHIS. (Home office. 2000)</w:t>
      </w:r>
    </w:p>
    <w:p>
      <w:pPr>
        <w:pStyle w:val="TextBody"/>
        <w:widowControl/>
        <w:spacing w:lineRule="auto" w:line="360"/>
        <w:ind w:left="0" w:right="0" w:hanging="0"/>
        <w:rPr/>
      </w:pPr>
      <w:r>
        <w:rPr/>
      </w:r>
    </w:p>
    <w:p>
      <w:pPr>
        <w:pStyle w:val="TextBody"/>
        <w:widowControl/>
        <w:spacing w:lineRule="auto" w:line="360" w:before="0" w:after="0"/>
        <w:ind w:left="0" w:right="0" w:hanging="0"/>
        <w:rPr>
          <w:caps w:val="false"/>
          <w:smallCaps w:val="false"/>
          <w:spacing w:val="0"/>
        </w:rPr>
      </w:pPr>
      <w:r>
        <w:rPr>
          <w:caps w:val="false"/>
          <w:smallCaps w:val="false"/>
          <w:spacing w:val="0"/>
        </w:rPr>
        <w:t> </w:t>
      </w:r>
      <w:r>
        <w:rPr>
          <w:rFonts w:ascii="Arial;Helvetica;sans-serif" w:hAnsi="Arial;Helvetica;sans-serif"/>
          <w:b w:val="false"/>
          <w:i w:val="false"/>
          <w:caps w:val="false"/>
          <w:smallCaps w:val="false"/>
          <w:spacing w:val="0"/>
          <w:sz w:val="24"/>
        </w:rPr>
        <w:t>Covert Human Intelligence Sources (CHIS) are used to investigate serious and organized crime. While some argue that CHIS can be a valuable tool for law enforcement agencies, providing access to information that might not be available through other means, others have expressed concerns about the potential for abuse of power, entrapment, and the risk of harm to the CHIS. (Juliana ,Q et al 2023)</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One particularly controversial aspect is when a CHIS is required to commit a criminal offence as part of an investigation. These actions are heavily scrutinized and recorded and can only be carried out if strict parameters are in place and an experienced and highly trained officer grants authorization. It is essential to balance the need for effective law enforcement with protecting the rights and safety of all individuals involved.</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Covert human intelligence sources are crucial to protect victims of crime and can offer unique types of safeguarding. However, it is essential to note that this kind of safeguarding occurs during an investigation. Using covert human intelligence sources is essential when handling serious and organized crime. It enables investigators to employ different investigation methods and strategies, such as developing fake relationships and bonds to gather critical information.</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It seems that according to The Police Service of Scotland (2017), the reactive nature of the work of a Covert human intelligence source and the need for them to maintain cover may lead to situations where they have to engage in conduct that was not initially planned or foreseen at the time the authorization was granted.</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As Covert human intelligence is used to help investigate serious and organized crime Within the United Kingdom, The Covert Human Intelligence Sources Act 2021 empowers the police and other authorities throughout the United Kingdom to use children as Covert Human Intelligence Sources and to authorize these children to engage in criminality, with no criminal liability, in return for information. Raymond, A. (2020), </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using younger Covert human intelligence is worth it. As with any undercover work, a great deal of risk assessment would need to be carried out due to the nature of the work. And even with the all the time put into the risk assessment that this practice puts children at risk of severe physical andauthorisationrm and that the safeguards for children used in this way were so inadequate Case S, Haines K 2018)</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So, although using CHIS intelligence can seem ideal as they often meet the requirement when organized crime groups start recruitment, a tremendous amount of risk is involved. Although a considerable amount of time is put into the risk assessment, even well-done risk authorized can only account for some things.</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But there is also the chance to obtain crucial evidence when it comes to the investigation of serious and organized crime and also with being able to gather evidence which can be used to help protect victims of crimes and even have the opportunity to prevent a further offence from taken place though the information they are able to gather(John, G, James, E. 2022) </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However, their concern is that the informants may not always be reliable or truthful and could provide false information that could lead to wrongful convictions or other adverse outcomes. Additionally, relying on informants can create a culture of secrecy and mistrustorganised public confidence in law enforcement. (Bawden, D., &amp; Robinson, L. 2009)</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Another downside is the risk of CHIS being compromised and putting their safety at risk. This can also lead to a loss of trust between law enforcement agencies and the communities they serve, as people may fear that their personal information is co-organized with CHIS without their knowledge or consent.</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There are also ethical considerations to using informants, mainly if they are vulnerable individuals who may be coerced or manipulated by law enforcement. Using informants can also put their safety at risk, as criminal organizations or others may target them if their identities are revealed. (Chappell, B. 2015)</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There are several alternative options to the use of Covert Human Intelligence Sources. One such option is technical surveillance, such as wiretapping or video surveillance. Another option is to gather information through open-source intelligence, which involves collecting information from publicly available sources like social media, news articles, and government reports. (Rumney, P. N., &amp; McPhee, D. 2023)</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Additionally, law enforcement agencies can use data analysis tools to identify patterns and trends in criminal activity, which can help them predict and prevent future criminal behaviour. Finally, community policing and outreach programs can help build trust between law enforcement agencies and local communities, leading to more effective crime prevention and investigation.</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In conclusion, using covert human intelligence sources (CHIS) is a complex issue that raises ethical, legal, and human rights concerns. While CHIS can provide important information and help prevent and safeguard victims of serious crimes, their use must be carefully regulated and monitored to ensure that they do not engage in criminal activity and that their actions do not violate individuals' rights and privacy. </w:t>
      </w:r>
    </w:p>
    <w:p>
      <w:pPr>
        <w:pStyle w:val="TextBody"/>
        <w:widowControl/>
        <w:ind w:left="0" w:right="0" w:hanging="0"/>
        <w:rPr/>
      </w:pPr>
      <w:r>
        <w:rPr/>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word count 1003</w:t>
      </w:r>
    </w:p>
    <w:p>
      <w:pPr>
        <w:pStyle w:val="TextBody"/>
        <w:widowControl/>
        <w:ind w:left="0" w:right="0" w:hanging="0"/>
        <w:rPr/>
      </w:pPr>
      <w:r>
        <w:rPr/>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r>
    </w:p>
    <w:p>
      <w:pPr>
        <w:pStyle w:val="TextBody"/>
        <w:widowControl/>
        <w:ind w:left="0" w:right="0" w:hanging="0"/>
        <w:rPr/>
      </w:pPr>
      <w:r>
        <w:rPr/>
      </w:r>
    </w:p>
    <w:p>
      <w:pPr>
        <w:pStyle w:val="TextBody"/>
        <w:widowControl/>
        <w:spacing w:before="0" w:after="0"/>
        <w:ind w:left="0" w:right="0" w:hanging="0"/>
        <w:rPr>
          <w:rFonts w:ascii="Arial;Helvetica;sans-serif" w:hAnsi="Arial;Helvetica;sans-serif"/>
          <w:b w:val="false"/>
          <w:i w:val="false"/>
          <w:caps w:val="false"/>
          <w:smallCaps w:val="false"/>
          <w:color w:val="0E101A"/>
          <w:spacing w:val="0"/>
          <w:sz w:val="24"/>
        </w:rPr>
      </w:pPr>
      <w:r>
        <w:rPr/>
      </w:r>
    </w:p>
    <w:p>
      <w:pPr>
        <w:pStyle w:val="TextBody"/>
        <w:widowControl/>
        <w:spacing w:before="0" w:after="0"/>
        <w:ind w:left="0" w:right="0" w:hanging="0"/>
        <w:rPr>
          <w:color w:val="0E101A"/>
        </w:rPr>
      </w:pPr>
      <w:r>
        <w:rPr>
          <w:color w:val="0E101A"/>
        </w:rPr>
      </w:r>
    </w:p>
    <w:p>
      <w:pPr>
        <w:pStyle w:val="TextBody"/>
        <w:widowControl/>
        <w:spacing w:before="0" w:after="0"/>
        <w:ind w:left="0" w:right="0" w:hanging="0"/>
        <w:rPr>
          <w:caps w:val="false"/>
          <w:smallCaps w:val="false"/>
          <w:color w:val="0E101A"/>
          <w:spacing w:val="0"/>
        </w:rPr>
      </w:pPr>
      <w:r>
        <w:rPr>
          <w:rFonts w:ascii="Inter;apple-system;BlinkMacSystemFont;Segoe UI;Roboto;Oxygen;Ubuntu;Cantarell;Helvetica Neue;sans-serif;Arial" w:hAnsi="Inter;apple-system;BlinkMacSystemFont;Segoe UI;Roboto;Oxygen;Ubuntu;Cantarell;Helvetica Neue;sans-serif;Arial"/>
          <w:b/>
          <w:i w:val="false"/>
          <w:caps w:val="false"/>
          <w:smallCaps w:val="false"/>
          <w:color w:val="0E101A"/>
          <w:spacing w:val="0"/>
          <w:sz w:val="23"/>
        </w:rPr>
        <w:t>Academic assignment task 1 inclusive and diverse workforce</w:t>
      </w:r>
    </w:p>
    <w:p>
      <w:pPr>
        <w:pStyle w:val="TextBody"/>
        <w:widowControl/>
        <w:spacing w:before="0" w:after="0"/>
        <w:ind w:left="0" w:right="0" w:hanging="0"/>
        <w:rPr>
          <w:color w:val="0E101A"/>
        </w:rPr>
      </w:pPr>
      <w:r>
        <w:rPr>
          <w:color w:val="0E101A"/>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For this task, this essay will be examining the role of the police, mainly the organisational culture, in creating an inclusive and diverse workforce within the force.</w:t>
      </w:r>
    </w:p>
    <w:p>
      <w:pPr>
        <w:pStyle w:val="TextBody"/>
        <w:widowControl/>
        <w:spacing w:lineRule="auto" w:line="360"/>
        <w:ind w:left="0" w:right="0" w:hanging="0"/>
        <w:rPr/>
      </w:pPr>
      <w:r>
        <w:rPr/>
      </w:r>
    </w:p>
    <w:p>
      <w:pPr>
        <w:pStyle w:val="TextBody"/>
        <w:widowControl/>
        <w:spacing w:lineRule="auto" w:line="360" w:before="0" w:after="0"/>
        <w:ind w:left="0" w:right="0" w:hanging="0"/>
        <w:rPr/>
      </w:pPr>
      <w:r>
        <w:rPr>
          <w:rFonts w:ascii="Arial;Helvetica;sans-serif" w:hAnsi="Arial;Helvetica;sans-serif"/>
          <w:b w:val="false"/>
          <w:i w:val="false"/>
          <w:caps w:val="false"/>
          <w:smallCaps w:val="false"/>
          <w:spacing w:val="0"/>
          <w:sz w:val="24"/>
        </w:rPr>
        <w:t xml:space="preserve">Firstly, looking at why it is essential to have a diverse workforce. Diversity and inclusion are integral to everyone's </w:t>
      </w:r>
      <w:hyperlink r:id="rId2" w:tgtFrame="_blank">
        <w:r>
          <w:rPr>
            <w:rStyle w:val="InternetLink"/>
            <w:rFonts w:ascii="Arial;Helvetica;sans-serif" w:hAnsi="Arial;Helvetica;sans-serif"/>
            <w:b w:val="false"/>
            <w:i w:val="false"/>
            <w:caps w:val="false"/>
            <w:smallCaps w:val="false"/>
            <w:color w:val="000000"/>
            <w:spacing w:val="0"/>
            <w:sz w:val="24"/>
            <w:u w:val="none"/>
          </w:rPr>
          <w:t>continuing professional developme</w:t>
        </w:r>
      </w:hyperlink>
      <w:r>
        <w:rPr>
          <w:rFonts w:ascii="Arial;Helvetica;sans-serif" w:hAnsi="Arial;Helvetica;sans-serif"/>
          <w:b w:val="false"/>
          <w:i w:val="false"/>
          <w:caps w:val="false"/>
          <w:smallCaps w:val="false"/>
          <w:color w:val="000000"/>
          <w:spacing w:val="0"/>
          <w:sz w:val="24"/>
          <w:u w:val="none"/>
        </w:rPr>
        <w:t xml:space="preserve">t </w:t>
      </w:r>
      <w:r>
        <w:rPr>
          <w:rFonts w:ascii="Arial;Helvetica;sans-serif" w:hAnsi="Arial;Helvetica;sans-serif"/>
          <w:b w:val="false"/>
          <w:i w:val="false"/>
          <w:caps w:val="false"/>
          <w:smallCaps w:val="false"/>
          <w:spacing w:val="0"/>
          <w:sz w:val="24"/>
        </w:rPr>
        <w:t>within policing.</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The importance of police services having a workforce that is representative of the communities they serve. This not only helps to build trust and understanding between the police and the community but also ensures that the police can serve and support the needs of the diverse population they are responsible for protecting effectively. It is crucial for the police to have the consent of the public, and having a diverse workforce is one of the key ways to achieve this.(the College of Policing 2020)</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Organisational culture plays a crucial role in creating an inclusive and diverse workforce within policing, according to se</w:t>
      </w:r>
      <w:r>
        <w:rPr>
          <w:rFonts w:ascii="Arial;Helvetica;sans-serif" w:hAnsi="Arial;Helvetica;sans-serif"/>
          <w:b w:val="false"/>
          <w:i w:val="false"/>
          <w:caps w:val="false"/>
          <w:smallCaps w:val="false"/>
          <w:spacing w:val="0"/>
          <w:sz w:val="24"/>
        </w:rPr>
        <w:t>v</w:t>
      </w:r>
      <w:r>
        <w:rPr>
          <w:rFonts w:ascii="Arial;Helvetica;sans-serif" w:hAnsi="Arial;Helvetica;sans-serif"/>
          <w:b w:val="false"/>
          <w:i w:val="false"/>
          <w:caps w:val="false"/>
          <w:smallCaps w:val="false"/>
          <w:spacing w:val="0"/>
          <w:sz w:val="24"/>
        </w:rPr>
        <w:t>eral academic studies. Chan and Mak (2019) found that the culture of the police service can significantly impact the recruitment and retention of diverse members due to how underrepresented groups receive the police service. This can be due to ongoing trust issues with the police or a lack of confidence in the police. Hesketh and Stubbs (2023) have also highlighted how the culture of the police force affects diversity and inclusion. They found that certain aspects of police culture, such as a focus on traditional masculine traits, can create barriers for women and minorities who are interested in joining the police force.</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Furthermore, Waters et al. (2003) argue that an open and inclusive workplace culture can help the police force identify with and understand the communities they serve, which can help reduce crime and prevent minority communities from being exploited. However, only some communities are open and happy to engage with the police, and this can lead to different feelings towards the police and a reluctance to speak with them. This underscores the importance of creating a police culture that is open and inclusive, and that can build trust with marginalised communities.</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This is important as not every community the police deal with is open and happy to engage with the police, and this can lead to the community having different feelings towards the police and becoming less likely to speak with them, whether it is through how the police have engaged with them or through their own beliefs in the police. (Peter, K. 2017)</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Some police forces use an equality plan to outline how they plan to create a more inclusive and diverse workforce and which communities they feel are underrepresented.</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For example, South Wales police have an equality plan which has a time scale as the force wishes to improve their diversity and inclusion by 2023. The equality plan looks at communities such as neurodiversity, which includes Dyslexia, Dyspraxia and Autism. The equality plan further explains the reason behind this.</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Officers and staff interacting with people must recognise their condition and make reasonable adjustments accordingly. This is especially important in situations such as when taking calls, dealing with incidents, in custody, when taking statements, and when identifying vulnerability. It is essential to ensure that everyone is treated fairly and with respect (Police and Crime Commissioner South Wales. 2019)</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Moreover, by having staff with different neurodiversity and having the proper support in place, staff members within the organisation will feel more appreciated and, as stated in the equality plan, be able to service the community better, along with improving inclusion within the force. (Krzeminska A et al. 2009)</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Some police forces use an equality plan to outline how they plan to create a more inclusive and diverse workforce and which communities they feel are underrepresented. For example, South Wales police have an equality plan with a timescale as the force wishes to improve their diversity and inclusion by 2023. The equality plan looks at communities such as neurodiversity, which includes Dyslexia, Dyspraxia and Autism. The equality plan further explains the reason behind this. By having staff with different neurodiversity and having the proper support in place, staff members within the organisation will feel more appreciated and, as stated in the equality plan, be able to service the community better, along with improving inclusion within the force (Police and Crime Commissioner. 2019)</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It is vital for UK police forces to ensure that their workforce is both inclusive and diverse, and they examine how different leaders, from frontline leaders to the senior management team, can contribute towards this goal. The College of Policing has laid out guidelines on how the different levels of management can support a more inclusive and diverse workforce. One of the key action points for frontline leaders is to educate themselves and their teams about the experience of minority groups and to continually challenge any discriminatory behaviour while advocating for equality, diversity, and inclusion. (College of Policing. 2022)</w:t>
      </w:r>
    </w:p>
    <w:p>
      <w:pPr>
        <w:pStyle w:val="TextBody"/>
        <w:widowControl/>
        <w:spacing w:lineRule="auto" w:line="360"/>
        <w:ind w:left="0" w:right="0" w:hanging="0"/>
        <w:rPr/>
      </w:pPr>
      <w:r>
        <w:rPr/>
      </w:r>
    </w:p>
    <w:p>
      <w:pPr>
        <w:pStyle w:val="TextBody"/>
        <w:widowControl/>
        <w:spacing w:lineRule="auto" w:line="360" w:before="0" w:after="0"/>
        <w:ind w:left="0" w:right="0" w:hanging="0"/>
        <w:rPr>
          <w:caps w:val="false"/>
          <w:smallCaps w:val="false"/>
          <w:spacing w:val="0"/>
        </w:rPr>
      </w:pPr>
      <w:r>
        <w:rPr>
          <w:caps w:val="false"/>
          <w:smallCaps w:val="false"/>
          <w:spacing w:val="0"/>
        </w:rPr>
        <w:t> </w:t>
      </w:r>
      <w:r>
        <w:rPr>
          <w:rFonts w:ascii="Arial;Helvetica;sans-serif" w:hAnsi="Arial;Helvetica;sans-serif"/>
          <w:b w:val="false"/>
          <w:i w:val="false"/>
          <w:caps w:val="false"/>
          <w:smallCaps w:val="false"/>
          <w:spacing w:val="0"/>
          <w:sz w:val="24"/>
        </w:rPr>
        <w:t>It is crucial for frontline officers and leaders to understand the communities they serve, as they are often the first point of contact for these communities. By knowing how to engage with these communities, officers and staff can build trust and positive relationships with them. Additionally, working together with different police forces can help streamline the recruitment process and ensure that the best candidates are selected for the job.</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''If we are not culturally competent ourselves, we cannot play our part in helping the police to build an institution that serves every member of the public and has the confidence of people, regardless of their background.''. (Equality, diversity and inclusion strategy 2022)</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With the independent Office of Police examining the recruitment strategies of every force and analysing the applications from various communities, efforts are being made to address the challenges the police face in recruiting a diverse workforce. This includes initiatives to reduce the turnover rate of colleagues from Black, Asian, and minority ethnic backgrounds and to create a pool of talented individuals from protected groups through positive action programs.</w:t>
      </w:r>
    </w:p>
    <w:p>
      <w:pPr>
        <w:pStyle w:val="TextBody"/>
        <w:widowControl/>
        <w:spacing w:lineRule="auto" w:line="360"/>
        <w:ind w:left="0" w:right="0" w:hanging="0"/>
        <w:rPr/>
      </w:pPr>
      <w:r>
        <w:rPr/>
      </w:r>
    </w:p>
    <w:p>
      <w:pPr>
        <w:pStyle w:val="TextBody"/>
        <w:widowControl/>
        <w:spacing w:lineRule="auto" w:line="360" w:before="0" w:after="0"/>
        <w:ind w:left="0" w:right="0" w:hanging="0"/>
        <w:rPr/>
      </w:pPr>
      <w:r>
        <w:rPr>
          <w:rFonts w:ascii="Arial;Helvetica;sans-serif" w:hAnsi="Arial;Helvetica;sans-serif"/>
          <w:b w:val="false"/>
          <w:i w:val="false"/>
          <w:caps w:val="false"/>
          <w:smallCaps w:val="false"/>
          <w:spacing w:val="0"/>
          <w:sz w:val="24"/>
        </w:rPr>
        <w:t>Moreover, these are important to have as it is considerably. It helps the police become further inclusive, which then, in part, shows the community that the police have taken an active approach to recruiting members from the disproportionately represented community, which then will allow the police to engage more affected with those communities. (</w:t>
      </w:r>
      <w:r>
        <w:rPr>
          <w:rStyle w:val="Emphasis"/>
          <w:rFonts w:ascii="Arial;Helvetica;sans-serif" w:hAnsi="Arial;Helvetica;sans-serif"/>
          <w:b w:val="false"/>
          <w:i w:val="false"/>
          <w:caps w:val="false"/>
          <w:smallCaps w:val="false"/>
          <w:spacing w:val="0"/>
          <w:sz w:val="24"/>
        </w:rPr>
        <w:t>Metropolitan Police Service 2017)</w:t>
      </w:r>
    </w:p>
    <w:p>
      <w:pPr>
        <w:pStyle w:val="TextBody"/>
        <w:widowControl/>
        <w:spacing w:lineRule="auto" w:line="360"/>
        <w:ind w:left="0" w:right="0" w:hanging="0"/>
        <w:rPr/>
      </w:pPr>
      <w:r>
        <w:rPr/>
      </w:r>
    </w:p>
    <w:p>
      <w:pPr>
        <w:pStyle w:val="TextBody"/>
        <w:widowControl/>
        <w:spacing w:lineRule="auto" w:line="360"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In conclusion, the role of organisational culture in creating an inclusive and diverse workforce within policing cannot be overstated. An open, inclusive, and supportive culture of diversity can help build trust with marginalised communities, reduce crime, and improve the recruitment and retention of diverse members within the police force.</w:t>
      </w:r>
    </w:p>
    <w:p>
      <w:pPr>
        <w:pStyle w:val="TextBody"/>
        <w:widowControl/>
        <w:ind w:left="0" w:right="0" w:hanging="0"/>
        <w:rPr/>
      </w:pPr>
      <w:r>
        <w:rPr/>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word count 1102</w:t>
      </w:r>
    </w:p>
    <w:p>
      <w:pPr>
        <w:pStyle w:val="TextBody"/>
        <w:widowControl/>
        <w:ind w:left="0" w:right="0" w:hanging="0"/>
        <w:rPr/>
      </w:pPr>
      <w:r>
        <w:rPr/>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r>
    </w:p>
    <w:p>
      <w:pPr>
        <w:pStyle w:val="TextBody"/>
        <w:widowControl/>
        <w:spacing w:before="0" w:after="0"/>
        <w:ind w:left="0" w:right="0" w:hanging="0"/>
        <w:rPr/>
      </w:pPr>
      <w:r>
        <w:rPr>
          <w:rFonts w:ascii="Inter;apple-system;BlinkMacSystemFont;Segoe UI;Roboto;Oxygen;Ubuntu;Cantarell;Helvetica Neue;sans-serif;Arial" w:hAnsi="Inter;apple-system;BlinkMacSystemFont;Segoe UI;Roboto;Oxygen;Ubuntu;Cantarell;Helvetica Neue;sans-serif;Arial"/>
          <w:b/>
          <w:i w:val="false"/>
          <w:caps w:val="false"/>
          <w:smallCaps w:val="false"/>
          <w:spacing w:val="0"/>
          <w:sz w:val="23"/>
        </w:rPr>
        <w:t>Academic assignment-Response policing</w:t>
      </w:r>
    </w:p>
    <w:p>
      <w:pPr>
        <w:pStyle w:val="TextBody"/>
        <w:widowControl/>
        <w:spacing w:before="0" w:after="0"/>
        <w:ind w:left="0" w:right="0" w:hanging="0"/>
        <w:rPr/>
      </w:pPr>
      <w:r>
        <w:rPr/>
      </w:r>
    </w:p>
    <w:p>
      <w:pPr>
        <w:pStyle w:val="TextBody"/>
        <w:widowControl/>
        <w:spacing w:before="0" w:after="0"/>
        <w:ind w:left="0" w:right="0" w:hanging="0"/>
        <w:rPr/>
      </w:pPr>
      <w:r>
        <w:rPr/>
      </w:r>
    </w:p>
    <w:p>
      <w:pPr>
        <w:pStyle w:val="TextBody"/>
        <w:widowControl/>
        <w:spacing w:lineRule="auto" w:line="276"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For this task, this essay will critically evaluate the role of response officers in dealing with critical and Major incidents. Firstly, looking at what a major incident is, the College of Police defines a major incident as.</w:t>
      </w:r>
    </w:p>
    <w:p>
      <w:pPr>
        <w:pStyle w:val="TextBody"/>
        <w:widowControl/>
        <w:spacing w:lineRule="auto" w:line="276"/>
        <w:ind w:left="0" w:right="0" w:hanging="0"/>
        <w:rPr/>
      </w:pPr>
      <w:r>
        <w:rPr/>
      </w:r>
    </w:p>
    <w:p>
      <w:pPr>
        <w:pStyle w:val="TextBody"/>
        <w:widowControl/>
        <w:spacing w:lineRule="auto" w:line="276"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w:t>
      </w:r>
      <w:r>
        <w:rPr>
          <w:rFonts w:ascii="Arial;Helvetica;sans-serif" w:hAnsi="Arial;Helvetica;sans-serif"/>
          <w:b w:val="false"/>
          <w:i/>
          <w:iCs/>
          <w:caps w:val="false"/>
          <w:smallCaps w:val="false"/>
          <w:spacing w:val="0"/>
          <w:sz w:val="24"/>
        </w:rPr>
        <w:t>A major incident is an event or situation requiring a response under one or more of the emergency services' major incident plans. This will usually include involving large numbers of people, either directly or indirectly</w:t>
      </w:r>
      <w:r>
        <w:rPr>
          <w:rFonts w:ascii="Arial;Helvetica;sans-serif" w:hAnsi="Arial;Helvetica;sans-serif"/>
          <w:b w:val="false"/>
          <w:i w:val="false"/>
          <w:caps w:val="false"/>
          <w:smallCaps w:val="false"/>
          <w:spacing w:val="0"/>
          <w:sz w:val="24"/>
        </w:rPr>
        <w:t>.''(College of Policing 2013)</w:t>
      </w:r>
    </w:p>
    <w:p>
      <w:pPr>
        <w:pStyle w:val="TextBody"/>
        <w:widowControl/>
        <w:spacing w:lineRule="auto" w:line="276"/>
        <w:ind w:left="0" w:right="0" w:hanging="0"/>
        <w:rPr/>
      </w:pPr>
      <w:r>
        <w:rPr/>
      </w:r>
    </w:p>
    <w:p>
      <w:pPr>
        <w:pStyle w:val="TextBody"/>
        <w:widowControl/>
        <w:spacing w:lineRule="auto" w:line="276"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The College of Policing Define a Critical incident as While College of Policing defines a critical incident as, a critical incident is any incident where the effectiveness of the police response is likely to have a significant impact on the confidence of the victim, their family and or the community. Police services must respond promptly and effectively to ensure public safety and restore community confidence. College of Policing. (23 October 2013)</w:t>
      </w:r>
    </w:p>
    <w:p>
      <w:pPr>
        <w:pStyle w:val="TextBody"/>
        <w:widowControl/>
        <w:spacing w:lineRule="auto" w:line="276"/>
        <w:ind w:left="0" w:right="0" w:hanging="0"/>
        <w:rPr/>
      </w:pPr>
      <w:r>
        <w:rPr/>
      </w:r>
    </w:p>
    <w:p>
      <w:pPr>
        <w:pStyle w:val="TextBody"/>
        <w:widowControl/>
        <w:spacing w:lineRule="auto" w:line="276"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The effectiveness of response officers is dependent on a number of factors, including the nature of the incident, the location, and the resources available. It is essential for response officers to have a clear understanding of their roles and responsibilities and the procedures and protocols to follow in different situations. </w:t>
      </w:r>
    </w:p>
    <w:p>
      <w:pPr>
        <w:pStyle w:val="TextBody"/>
        <w:widowControl/>
        <w:spacing w:lineRule="auto" w:line="276"/>
        <w:ind w:left="0" w:right="0" w:hanging="0"/>
        <w:rPr/>
      </w:pPr>
      <w:r>
        <w:rPr/>
      </w:r>
    </w:p>
    <w:p>
      <w:pPr>
        <w:pStyle w:val="TextBody"/>
        <w:widowControl/>
        <w:spacing w:lineRule="auto" w:line="276"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Response officers play a critical role in dealing with critical and major incidents, and academic research supports this claim. Studies have shown that response officers' ability to manage incidents effectively is vital in reducing overall damage and ensuring public safety. One study conducted by the University of Leicester (2017) found that response officers' ability to make quick and informed decisions is critical in managing critical and major incidents. The study found that the most effective response officers were those who had received extensive training in risk assessment and decision-making.</w:t>
      </w:r>
    </w:p>
    <w:p>
      <w:pPr>
        <w:pStyle w:val="TextBody"/>
        <w:widowControl/>
        <w:spacing w:lineRule="auto" w:line="276"/>
        <w:ind w:left="0" w:right="0" w:hanging="0"/>
        <w:rPr/>
      </w:pPr>
      <w:r>
        <w:rPr/>
      </w:r>
    </w:p>
    <w:p>
      <w:pPr>
        <w:pStyle w:val="TextBody"/>
        <w:widowControl/>
        <w:spacing w:lineRule="auto" w:line="276"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with response officers needing training or already having the proper training, all officers would have used M/ETHANE with the importance of following the M/ETHANE model for incident reporting. It is a well-established framework that provides a standard structure for responders and their control rooms to share information during an incident. Using this format for all incidents ensures consistency and clarity, and updating it as the incident develops helps to keep everyone informed. Moreover, in cases where the incident falls below the major incident threshold, the 'ETHANE' message format can still cover all the necessary points for dealing with a critical or significant incident. ( JESIP 2014)</w:t>
      </w:r>
    </w:p>
    <w:p>
      <w:pPr>
        <w:pStyle w:val="TextBody"/>
        <w:widowControl/>
        <w:spacing w:lineRule="auto" w:line="276"/>
        <w:ind w:left="0" w:right="0" w:hanging="0"/>
        <w:rPr/>
      </w:pPr>
      <w:r>
        <w:rPr/>
      </w:r>
    </w:p>
    <w:p>
      <w:pPr>
        <w:pStyle w:val="TextBody"/>
        <w:widowControl/>
        <w:spacing w:lineRule="auto" w:line="276"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The benefit of using M/ETHANE is that all other emergency services also use it. It significantly helps the first response officers at the scene and provides a step-by-step guide for dealing with the incident after the information has been passed and declared a critical and major incident.</w:t>
      </w:r>
    </w:p>
    <w:p>
      <w:pPr>
        <w:pStyle w:val="TextBody"/>
        <w:widowControl/>
        <w:spacing w:lineRule="auto" w:line="276"/>
        <w:ind w:left="0" w:right="0" w:hanging="0"/>
        <w:rPr/>
      </w:pPr>
      <w:r>
        <w:rPr/>
      </w:r>
    </w:p>
    <w:p>
      <w:pPr>
        <w:pStyle w:val="TextBody"/>
        <w:widowControl/>
        <w:spacing w:lineRule="auto" w:line="276"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Several studies have emphasized the importance of response officers in critical/major incidents. For example, a study by the UK National Police Improvement Agency (NPIA) found that the initial response to an incident significantly impacts the outcome, with response officers playing a critical role in minimizing harm and damage. (National Policing Improvement </w:t>
      </w:r>
    </w:p>
    <w:p>
      <w:pPr>
        <w:pStyle w:val="TextBody"/>
        <w:widowControl/>
        <w:spacing w:lineRule="auto" w:line="276"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Agency 2013)</w:t>
      </w:r>
    </w:p>
    <w:p>
      <w:pPr>
        <w:pStyle w:val="TextBody"/>
        <w:widowControl/>
        <w:spacing w:lineRule="auto" w:line="276"/>
        <w:ind w:left="0" w:right="0" w:hanging="0"/>
        <w:rPr/>
      </w:pPr>
      <w:r>
        <w:rPr/>
      </w:r>
    </w:p>
    <w:p>
      <w:pPr>
        <w:pStyle w:val="TextBody"/>
        <w:widowControl/>
        <w:spacing w:lineRule="auto" w:line="276"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Effective communication is vital in managing critical or significant incidents. Response officers must be able to communicate clearly with other agencies involved in the incident to ensure that everyone is working towards a common goal. Having clear communication protocols can help prevent delays and ensure that the incident is handled efficiently. It is essential for all parties to be on the same page and share information effectively to ensure a successful outcome.</w:t>
      </w:r>
    </w:p>
    <w:p>
      <w:pPr>
        <w:pStyle w:val="TextBody"/>
        <w:widowControl/>
        <w:spacing w:lineRule="auto" w:line="276"/>
        <w:ind w:left="0" w:right="0" w:hanging="0"/>
        <w:rPr/>
      </w:pPr>
      <w:r>
        <w:rPr/>
      </w:r>
    </w:p>
    <w:p>
      <w:pPr>
        <w:pStyle w:val="TextBody"/>
        <w:widowControl/>
        <w:spacing w:lineRule="auto" w:line="276"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Response officers play a critical role in managing critical/major incidents. They are often the first to arrive on the scene and must quickly assess the situation and determine the appropriate course of action. Effective communication is essential in this process, as it allows for a coordinated response effort that can help to minimize harm and prevent further escalation of the incident.(Hewett, P et al. 2001)</w:t>
      </w:r>
    </w:p>
    <w:p>
      <w:pPr>
        <w:pStyle w:val="TextBody"/>
        <w:widowControl/>
        <w:spacing w:lineRule="auto" w:line="276"/>
        <w:ind w:left="0" w:right="0" w:hanging="0"/>
        <w:rPr/>
      </w:pPr>
      <w:r>
        <w:rPr/>
      </w:r>
    </w:p>
    <w:p>
      <w:pPr>
        <w:pStyle w:val="TextBody"/>
        <w:widowControl/>
        <w:spacing w:lineRule="auto" w:line="276"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However, there are also challenges associated with the role of response officers in critical/major incidents. For example, response officers may need help managing the high uncertainty and complexity associated with emergencies and dealing with the situation's emotional and psychological impact. (HMICFRS 2018). </w:t>
      </w:r>
    </w:p>
    <w:p>
      <w:pPr>
        <w:pStyle w:val="TextBody"/>
        <w:widowControl/>
        <w:spacing w:lineRule="auto" w:line="276"/>
        <w:ind w:left="0" w:right="0" w:hanging="0"/>
        <w:rPr/>
      </w:pPr>
      <w:r>
        <w:rPr/>
      </w:r>
    </w:p>
    <w:p>
      <w:pPr>
        <w:pStyle w:val="TextBody"/>
        <w:widowControl/>
        <w:spacing w:lineRule="auto" w:line="276"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Moreover, critically evaluating the role of response officers in dealing with critical/major incidents can also impact the response officers' mental health and well-being. A study conducted by the University of Bristol (2017) found that response officers who experienced traumatic incidents were more likely to suffer from mental health issues, such as post-traumatic stress disorder. The study found that officers who received proper training and support were less likely to experience mental health issues.(Williamson, E. et al 2020)</w:t>
      </w:r>
    </w:p>
    <w:p>
      <w:pPr>
        <w:pStyle w:val="TextBody"/>
        <w:widowControl/>
        <w:spacing w:lineRule="auto" w:line="276"/>
        <w:ind w:left="0" w:right="0" w:hanging="0"/>
        <w:rPr/>
      </w:pPr>
      <w:r>
        <w:rPr/>
      </w:r>
    </w:p>
    <w:p>
      <w:pPr>
        <w:pStyle w:val="TextBody"/>
        <w:widowControl/>
        <w:spacing w:lineRule="auto" w:line="276"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These challenges include managing the high uncertainty and complexity associated with emergencies, dealing with the situation's emotional and psychological impact, and being exposed to physical risks such as violence or hazardous materials.</w:t>
      </w:r>
    </w:p>
    <w:p>
      <w:pPr>
        <w:pStyle w:val="TextBody"/>
        <w:widowControl/>
        <w:spacing w:lineRule="auto" w:line="276"/>
        <w:ind w:left="0" w:right="0" w:hanging="0"/>
        <w:rPr/>
      </w:pPr>
      <w:r>
        <w:rPr/>
      </w:r>
    </w:p>
    <w:p>
      <w:pPr>
        <w:pStyle w:val="TextBody"/>
        <w:widowControl/>
        <w:spacing w:lineRule="auto" w:line="276"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To address this issue, response officers must be provided with adequate support and resources to help them cope with the stress of their job. This can include regular counselling, debriefing sessions, and training on managing their work's emotional impact. Employers should also prioritize the mental health of their employees and create a culture that promotes self-care and support. (Matthew R et al., 2020)</w:t>
      </w:r>
    </w:p>
    <w:p>
      <w:pPr>
        <w:pStyle w:val="TextBody"/>
        <w:widowControl/>
        <w:spacing w:lineRule="auto" w:line="276"/>
        <w:ind w:left="0" w:right="0" w:hanging="0"/>
        <w:rPr/>
      </w:pPr>
      <w:r>
        <w:rPr/>
      </w:r>
    </w:p>
    <w:p>
      <w:pPr>
        <w:pStyle w:val="TextBody"/>
        <w:widowControl/>
        <w:spacing w:lineRule="auto" w:line="276" w:before="0" w:after="0"/>
        <w:ind w:left="0" w:right="0" w:hanging="0"/>
        <w:rPr>
          <w:caps w:val="false"/>
          <w:smallCaps w:val="false"/>
          <w:spacing w:val="0"/>
        </w:rPr>
      </w:pPr>
      <w:r>
        <w:rPr>
          <w:caps w:val="false"/>
          <w:smallCaps w:val="false"/>
          <w:spacing w:val="0"/>
        </w:rPr>
        <w:t> </w:t>
      </w:r>
      <w:r>
        <w:rPr>
          <w:rFonts w:ascii="Arial;Helvetica;sans-serif" w:hAnsi="Arial;Helvetica;sans-serif"/>
          <w:b w:val="false"/>
          <w:i w:val="false"/>
          <w:caps w:val="false"/>
          <w:smallCaps w:val="false"/>
          <w:spacing w:val="0"/>
          <w:sz w:val="24"/>
        </w:rPr>
        <w:t>In addition, response officers may be exposed to physical risks, such as violence or hazardous materials. Several strategies have been proposed in academic literature to address these challenges. These include providing specialized training and equipment to response officers, establishing clear communication protocols between response officers and other agencies, and providing support and resources for response officers' mental health and well-being. (Civil Contingencies Secretariat. (2012)</w:t>
      </w:r>
    </w:p>
    <w:p>
      <w:pPr>
        <w:pStyle w:val="TextBody"/>
        <w:widowControl/>
        <w:spacing w:lineRule="auto" w:line="276"/>
        <w:ind w:left="0" w:right="0" w:hanging="0"/>
        <w:rPr/>
      </w:pPr>
      <w:r>
        <w:rPr/>
      </w:r>
    </w:p>
    <w:p>
      <w:pPr>
        <w:pStyle w:val="TextBody"/>
        <w:widowControl/>
        <w:spacing w:lineRule="auto" w:line="276"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In conclusion, response officers play a critical role in managing critical/major incidents, and their effectiveness is vital in reducing harm and ensuring public safety. While challenges are associated with the role, addressing them through proper training and support can help response officers perform their duties more effectively. Additionally, managing critical/major incidents can also impact response officers' mental health and well-being, making it essential to provide them with proper training and support.</w:t>
      </w:r>
    </w:p>
    <w:p>
      <w:pPr>
        <w:pStyle w:val="TextBody"/>
        <w:widowControl/>
        <w:ind w:left="0" w:right="0" w:hanging="0"/>
        <w:rPr/>
      </w:pPr>
      <w:r>
        <w:rPr/>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word count 980</w:t>
      </w:r>
    </w:p>
    <w:p>
      <w:pPr>
        <w:pStyle w:val="TextBody"/>
        <w:widowControl/>
        <w:ind w:left="0" w:right="0" w:hanging="0"/>
        <w:rPr/>
      </w:pPr>
      <w:r>
        <w:rPr/>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Fonts w:ascii="Arial;Helvetica;sans-serif" w:hAnsi="Arial;Helvetica;sans-serif"/>
          <w:b w:val="false"/>
          <w:i w:val="false"/>
          <w:caps w:val="false"/>
          <w:smallCaps w:val="false"/>
          <w:spacing w:val="0"/>
          <w:sz w:val="24"/>
        </w:rPr>
        <w:t>Bibliography</w:t>
      </w:r>
    </w:p>
    <w:p>
      <w:pPr>
        <w:pStyle w:val="TextBody"/>
        <w:widowControl/>
        <w:ind w:left="0" w:right="0" w:hanging="0"/>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A, FURLONG. (2016). Routledge Handbook of Youth and Young Adulthood. 2nd ed. New York: Routledge. pp.P237-245.</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Afful, I. (2018), "The impact of values, bias, culture and leadership on BME under-representation in the police service", International Journal of Emergency Services, Vol. 7 No. 1, pp. 32-59</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Alison, L., &amp; Crego, J.(2008). Policing critical incidents: Leadership and critical incident management. P67-78</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Argyll-Bute. (2019). Roles and responsibilities of emergency responders. [Online]. Argyll-Bute. Available at: https://www.argyll-bute.gov.uk/my-council/civil-emergencies-and-contingencies/roles-and-responsibili [Accessed 13 September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AVON AND SUMMERSET POLICE. (2020). Request an Anti-social Behaviour (ASB) Case Review. [Online]. AVON AND SUMMERSET POLICE. Last Updated: MAY 2023. Available at: https://www.avonandsomerset.police.uk/report/asb-case-review/ [Accessed 12 October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Bawden, D., &amp; Robinson, L. (2009). The dark side of information: overload, anxiety and other paradoxes and pathologies. Journal of Information Science, 35(2), 180-191</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Brashers, D. E.(2001).Communication and uncertainty </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Case S, Haines K (2018) Transatlantic 'positive youth justice': Coherent movement or disparate critique? Crime Prevention and Community Safety 20(3): 208–222.</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Chappell, B. (2015). the use of juvenile covert human intelligence sources (CHIS) in England. Portsmouth: University of Portsmouth. pp.p-40-57.</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Chartered Institute of Environmental Health. (2014). Guidance on the use of Community Protection Notices. Professional Practice. 1(1), pp.p2-10. [Online]. Available at: https://www.cieh.org/media/1238/guidance-on-the-use-of-community-protection-notices.pdf [Accessed 16 October 2023]</w:t>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Civil Contingencies Secretariat. (2012). Emergency Response and Recovery. Non-statutory guidance accompanying the Civil Contingencies Act 200. 1(1), pp.p27-37. [Online]. Available at: https://assets.publishing.service.gov.uk/government/uploads/system/uploads/attachment_data/file/2534 [Accessed 13 September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College of Policing. (2021). Diversity, equality and inclusion strategy 2021-2024. College of Policing. 1(1), pp.p1-10. [Online]. Available at: https://assets.college.police.uk/s3fs-public/2021-10/Diversity-equality-and-inclusion-strategy.pdf [Accessed 20 July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College of Policing. (2022). Police Race Action Plan Improving policing for Black people. College of Policing. 1(1), pp.p32-40. [Online]. Available at: https://assets.college.police.uk/s3fs-public/Police-Race-Action-Plan.pdf [Accessed 24 July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COLVIN, R., 2015. Shared workplace experiences of lesbian and gay police officers in the United Kingdom. Policing, 38(2), pp. 333-349.</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Commission on Race and Ethnic Disparities. (2021). Commission on Race and Ethnic Disparities: The Report. 1 (1), pp. 24- 39. [Online]. Available at: https://assets.publishing.service.gov.uk/government/uploads/system/uploads/attachment_data/file/9745 [Accessed 24 July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Hesketh, I., &amp; Stubbs, G. (2023). Positive action paradox in UK police recruitment: A critical perspective. The Police Journal, 87-98</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Hewett, P. L., Mitrani, J. E., Metz, W. C., &amp; Vercellone, J. J. (2001). Coordinating, Integrating, and Synchronizing Disaster Response: Use of an Emergency Response Synchronization Matrix in Emergency Planning, Exercises, and Operations. International Journal of Mass Emergencies &amp; Disasters, 19(3), 1-12</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His Majesty's Inspectorate of Constabulary and Fire &amp; Rescue Services. (2018). Picking Up the Pieces. Policing and Mental Health. 1(1), pp.p47-52. [Online]. Available at: https://assets-hmicfrs.justiceinspectorates.gov.uk/uploads/policing-and-mental-health-picking-up-the [Accessed 13 September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His Majesty's Inspectorate of Constabulary and Fire &amp; Rescue Services. (25 January 2023). Covert human intelligence source. [Online]. HMICFRS. Last Updated: 25 January 2023. </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Home office. (2000). Covert Human Intelligence Sources. Code of Practice. 1(1), pp.p40-52. [Online]. Available at: https://assets.publishing.service.gov.uk/government/uploads/system/uploads/attachment_data/file/5140 [Accessed 2 August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Home Office. (2013). Summary report on the community trigger trials. Empowering Communities, Protecting Victims. 1(1), pp.p30-38. [Online]. Available at: https://assets.publishing.service.gov.uk/media/5a7c5dcae5274a7ee2566fb3/community-trigger-trials-rep [Accessed 13 October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Home Office. (2018). Covert Human Intelligence Sources Bill. [Online]. Home Office. Available at: https://www.gov.uk/government/publications/covert-human-intelligence-sources-draft-code-of-practice/ [Accessed 4 August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Home Office. (2020). Anti-social behaviour case review. [Online]. GOV.UK. Last Updated: 27 March 2023. Available at: https://www.gov.uk/guidance/anti-social-behaviour-asb-case-review-also-known-as-the-community-trigge [Accessed 12 October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Home Office. (2023). Anti-social Behaviour, Crime and Policing Act 2014: Anti-social behaviour powers. Statutory guidance for frontline professionals. 2(1), pp.p51-60. [Online]. Available at: https://assets.publishing.service.gov.uk/government/uploads/system/uploads/attachment_data/file/1146 [Accessed 13 October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Independent Officer of Police Conduct. (2022). Equality, diversity and inclusion strategy 2022-25. Independent Officer of Police Conduct. 1(1), pp.p2-14. [Online]. Available at: https://www.policeconduct.gov.uk/sites/default/files/Documents/Who-we-are/EDI/EDI_strategy_FINAL.pdf [Accessed 24 July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JESIP. (2014). Report and Recommendations. Emergency Services Interoperability Research. 1(1), pp.p10-16. [Online]. Available at: https://www.jesip.org.uk/wp-content/uploads/2022/03/JESIP_Workforce_Survey_2_Full_.pdf [Accessed 13 September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JESIP. (2016). JOINT DOCTRINE. The Interoperability Framework. 1(1), pp.p34-40. [Online]. Available at: https://www.jesip.org.uk/uploads/media/pdf/Joint_Doctrine_Draft_Edition_2.docx.pdf [Accessed 13 September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John, G., James, E. (2022). Authorising Crime: The Covert Human Intelligence Sources. LONDON: The Modern Law Review. pp.P1218-1244.</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Juliana Gómez-Quintero, Spencer Chainey, Hervé Borrion, A Method for Organized Crime Harm Assessment: Connecting Associated Crimes, Policing: A Journal of Policy and Practice, Volume 17, 2023, p87-106</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Krzeminska A, Austin RD, Bruyère SM, Hedley D. The advantages and challenges of neurodiversity employment in organisations. Journal of Management &amp; Organization. 2019 p34-50</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Le, Vy, Bell, Peter, &amp; Lauchs, Mark (2013). Elements of best practice in policing transnational organized crime: Critical success factors for international cooperation. International Journal of Management and Administrative Sciences, 2(3), pp. 24-34</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LONDON RESILIENCE PARTNERSHIP. (2021). Major Incident Principles. London Emergency Services Liaison Panel. 1(1), pp.p58-67. [Online]. Availableat:https://www.london.gov.uk/sites/default/files/leslp_mip_v11.5_dec_2021_-_public.pdf [Accessed 30 September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M, HOUGH. (2005). Anti-social behaviour strategies finding a balance. LONDON: ROWNTREE. pp.P25-29.</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management.Journal of Communication, 51, 477–497.</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Manchester Arena inquiry. (2015). The Joint Doctrine. Volume 2: Emergency Response. 2(1), pp.p34-38. [Online]. Available at: https://manchesterarenainquiry.org.uk/report-volume-two/part-11-framework-for-emergency-preparedness [Accessed 13 September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Matthew, R Clifford, S Rebecca, R (2020). A longitudinal case study analysis of the UK's civil contingency response. Journal of Contingencies and Crisis Management. 1(1), pp.p121-130.</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Miller, J., &amp; Alexandrou, B. (2016b). The College of Policing stop and search training experiment: An impact evaluation. Report appendices. Ryton-on-Dunsmore: College of Policing.</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National Policing Improvement Agency. (2013). Annual Report and Accounts 2012/13. National Policing Improvement Agency. 1(1), pp.p64-69.</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Police and Crime Commissioner. (2019). JOINT EQUALITY PLAN 2019-2023. Police and Crime Commissioner. 1(1), pp.p4-18. [Online]. Available at: https://www.southwalescommissioner.org.uk/media/1735/joint_equality_plan_2019-2023_v6.pdf [Accessed 18 July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Police and Crime Commissioner. (2021). JOINT RACE EQUALITY PLAN 2021-2025. Police and Crime Commissioner.. 1(1), pp.p2-12. [Online]. Available at: https://www.south-wales.police.uk/SysSiteAssets/media/downloads/south-wales/about-us/joint-equality- [Accessed 15 July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Raymond, A. (2023). Children as Covert Human Intelligence Sources: Spies First, Children Second. London: Youth Justice. pp.p34-40.</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Rumney, P. N., &amp; McPhee, D. (2023). Vulnerability, resilience, and rape: Uncovering the hidden work of police officers during rape investigations. International Review of Victimology, 29(3), 366–384.</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Sherman, LW, Strang, H, Barnes, G, Bennett, S, Angel, CM, Newbury-Birch, D, Woods, DJ &amp; Gill, CE 2007, Restorative justice: the evidence. The Smith Institute.</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The College of Policing. (2013). Definitions. [Online]. The College of Policing. Last Updated: 6 August 2018. Available at: https://www.college.police.uk/app/civil-emergencies/disaster-victim-identification/definitions [Accessed 13 September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The Commissioner of Police of the Metropolis, Cressida Dick. (2017). Inclusion and Diversity Strategy 2017 – 2021. Metropolitan Police Service. 1(1), pp.p3-23. [Online]. Available at: https://www.met.police.uk/SysSiteAssets/foi-media/metropolitan-police/policies/inclusion-strategy-20 [Accessed 21 July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The Police Service of Scotland. (2017). Covert Human Intelligence Sources. Code of Practice. 1(1), pp.p24-36. [Online]. Available at: https://consult.gov.scot/organised-crime-and-police-powers-unit/regulation-of-investigatory-powers-s [Accessed 12 August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Waters, I., Hardy, N., Delgado, D., &amp; Dahlmann, S. (2007). Ethnic Minorities and the Challenge of Police Recruitment. The Police Journal, 80(3), 191-216.</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West Yorkshire Police. (2020). Anti-social Behaviour Reviews. [Online]. West Yorkshire Police. Last Updated: 18 March 2021. Available at: https://www.westyorkshire.police.uk/advice/anti-social-behaviour/anti-social-behaviour-reviews [Accessed 11 October 2023].</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Williamson, E., Gregory, A., Abrahams, H. , Aghtaie, N., Walker, S-J., &amp; Hester,. (2023). Secondary Trauma: Emotional Safety in Sensitive Research. University of Bristol -. 1(1), pp.45-57.</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p>
      <w:pPr>
        <w:pStyle w:val="TextBody"/>
        <w:widowControl/>
        <w:spacing w:before="0" w:after="0"/>
        <w:ind w:left="0" w:right="0" w:hanging="0"/>
        <w:rPr/>
      </w:pPr>
      <w:r>
        <w:rPr>
          <w:rFonts w:ascii="Arial;Helvetica;sans-serif" w:hAnsi="Arial;Helvetica;sans-serif"/>
          <w:b w:val="false"/>
          <w:i w:val="false"/>
          <w:caps w:val="false"/>
          <w:smallCaps w:val="false"/>
          <w:spacing w:val="0"/>
          <w:sz w:val="24"/>
        </w:rPr>
        <w:t>Woodiwiss, M., Telford, C.(2015). Organized crime and corruption control in Britain: an interview with Alan Wright. Trends Organ Crim 18, 107–117 </w:t>
      </w:r>
    </w:p>
    <w:p>
      <w:pPr>
        <w:pStyle w:val="TextBody"/>
        <w:widowControl/>
        <w:spacing w:before="0" w:after="0"/>
        <w:ind w:left="0" w:right="0" w:hanging="0"/>
        <w:rPr>
          <w:rFonts w:ascii="Arial;Helvetica;sans-serif" w:hAnsi="Arial;Helvetica;sans-serif"/>
          <w:b w:val="false"/>
          <w:i w:val="false"/>
          <w:caps w:val="false"/>
          <w:smallCaps w:val="false"/>
          <w:spacing w:val="0"/>
          <w:sz w:val="24"/>
        </w:rPr>
      </w:pPr>
      <w:r>
        <w:rPr/>
      </w:r>
    </w:p>
    <w:sectPr>
      <w:headerReference w:type="default" r:id="rId3"/>
      <w:headerReference w:type="first" r:id="rId4"/>
      <w:footerReference w:type="default" r:id="rId5"/>
      <w:footerReference w:type="first" r:id="rId6"/>
      <w:type w:val="nextPage"/>
      <w:pgSz w:w="11906" w:h="16838"/>
      <w:pgMar w:left="1440" w:right="1440" w:header="708" w:top="1440" w:footer="708" w:bottom="1440" w:gutter="0"/>
      <w:pgNumType w:start="0" w:fmt="decimal"/>
      <w:formProt w:val="false"/>
      <w:titlePg/>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libri Light">
    <w:charset w:val="00"/>
    <w:family w:val="roman"/>
    <w:pitch w:val="variable"/>
  </w:font>
  <w:font w:name="Inter">
    <w:altName w:val="apple-system"/>
    <w:charset w:val="00"/>
    <w:family w:val="auto"/>
    <w:pitch w:val="default"/>
  </w:font>
  <w:font w:name="Arial">
    <w:charset w:val="01"/>
    <w:family w:val="swiss"/>
    <w:pitch w:val="variable"/>
  </w:font>
  <w:font w:name="Arial">
    <w:altName w:val="Helvetica"/>
    <w:charset w:val="00"/>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625540069"/>
    </w:sdtPr>
    <w:sdtContent>
      <w:p>
        <w:pPr>
          <w:pStyle w:val="Header"/>
          <w:rPr/>
        </w:pPr>
        <w:r>
          <w:rPr/>
          <w:fldChar w:fldCharType="begin"/>
        </w:r>
        <w:r>
          <w:rPr/>
          <w:instrText> PAGE </w:instrText>
        </w:r>
        <w:r>
          <w:rPr/>
          <w:fldChar w:fldCharType="separate"/>
        </w:r>
        <w:r>
          <w:rPr/>
          <w:t>17</w:t>
        </w:r>
        <w:r>
          <w:rPr/>
          <w:fldChar w:fldCharType="end"/>
        </w:r>
      </w:p>
    </w:sdtContent>
  </w:sdt>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rPr/>
    </w:pPr>
    <w:r>
      <w:rPr/>
    </w:r>
  </w:p>
</w:hdr>
</file>

<file path=word/settings.xml><?xml version="1.0" encoding="utf-8"?>
<w:settings xmlns:w="http://schemas.openxmlformats.org/wordprocessingml/2006/main">
  <w:zoom w:percent="81"/>
  <w:defaultTabStop w:val="720"/>
  <w:compat>
    <w:compatSetting w:name="compatibilityMode" w:uri="http://schemas.microsoft.com/office/word" w:val="12"/>
    <w:compatSetting w:name="useWord2013TrackBottomHyphenation" w:uri="http://schemas.microsoft.com/office/word" w:val="1"/>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kern w:val="2"/>
        <w:sz w:val="22"/>
        <w:szCs w:val="22"/>
        <w:lang w:val="en-GB" w:eastAsia="en-US" w:bidi="ar-SA"/>
        <w14:ligatures w14:val="standardContextual"/>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2"/>
      <w:sz w:val="22"/>
      <w:szCs w:val="22"/>
      <w:lang w:val="en-GB" w:eastAsia="en-US" w:bidi="ar-SA"/>
      <w14:ligatures w14:val="standardContextual"/>
    </w:rPr>
  </w:style>
  <w:style w:type="character" w:styleId="DefaultParagraphFont" w:default="1">
    <w:name w:val="Default Paragraph Font"/>
    <w:uiPriority w:val="1"/>
    <w:semiHidden/>
    <w:unhideWhenUsed/>
    <w:qFormat/>
    <w:rPr/>
  </w:style>
  <w:style w:type="character" w:styleId="NoSpacingChar" w:customStyle="1">
    <w:name w:val="No Spacing Char"/>
    <w:basedOn w:val="DefaultParagraphFont"/>
    <w:link w:val="NoSpacing"/>
    <w:uiPriority w:val="1"/>
    <w:qFormat/>
    <w:rsid w:val="005110ee"/>
    <w:rPr>
      <w:rFonts w:eastAsia="" w:eastAsiaTheme="minorEastAsia"/>
      <w:kern w:val="0"/>
      <w:lang w:val="en-US"/>
    </w:rPr>
  </w:style>
  <w:style w:type="character" w:styleId="HeaderChar" w:customStyle="1">
    <w:name w:val="Header Char"/>
    <w:basedOn w:val="DefaultParagraphFont"/>
    <w:link w:val="Header"/>
    <w:uiPriority w:val="99"/>
    <w:qFormat/>
    <w:rsid w:val="00141169"/>
    <w:rPr/>
  </w:style>
  <w:style w:type="character" w:styleId="FooterChar" w:customStyle="1">
    <w:name w:val="Footer Char"/>
    <w:basedOn w:val="DefaultParagraphFont"/>
    <w:link w:val="Footer"/>
    <w:uiPriority w:val="99"/>
    <w:qFormat/>
    <w:rsid w:val="00141169"/>
    <w:rPr/>
  </w:style>
  <w:style w:type="character" w:styleId="Emphasis">
    <w:name w:val="Emphasis"/>
    <w:qFormat/>
    <w:rPr>
      <w:i/>
      <w:iCs/>
    </w:rPr>
  </w:style>
  <w:style w:type="character" w:styleId="InternetLink">
    <w:name w:val="Internet Link"/>
    <w:rPr>
      <w:color w:val="000080"/>
      <w:u w:val="single"/>
      <w:lang w:val="zxx" w:eastAsia="zxx" w:bidi="zxx"/>
    </w:rPr>
  </w:style>
  <w:style w:type="character" w:styleId="StrongEmphasis">
    <w:name w:val="Strong Emphasis"/>
    <w:qFormat/>
    <w:rPr>
      <w:b/>
      <w:bCs/>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Spacing">
    <w:name w:val="No Spacing"/>
    <w:link w:val="NoSpacingChar"/>
    <w:uiPriority w:val="1"/>
    <w:qFormat/>
    <w:rsid w:val="005110ee"/>
    <w:pPr>
      <w:widowControl/>
      <w:bidi w:val="0"/>
      <w:spacing w:lineRule="auto" w:line="240" w:before="0" w:after="0"/>
      <w:jc w:val="left"/>
    </w:pPr>
    <w:rPr>
      <w:rFonts w:eastAsia="" w:eastAsiaTheme="minorEastAsia" w:ascii="Calibri" w:hAnsi="Calibri" w:cs=""/>
      <w:color w:val="auto"/>
      <w:kern w:val="0"/>
      <w:sz w:val="22"/>
      <w:szCs w:val="22"/>
      <w:lang w:val="en-US" w:eastAsia="en-US" w:bidi="ar-SA"/>
    </w:rPr>
  </w:style>
  <w:style w:type="paragraph" w:styleId="Header">
    <w:name w:val="Header"/>
    <w:basedOn w:val="Normal"/>
    <w:link w:val="HeaderChar"/>
    <w:uiPriority w:val="99"/>
    <w:unhideWhenUsed/>
    <w:rsid w:val="00141169"/>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141169"/>
    <w:pPr>
      <w:tabs>
        <w:tab w:val="clear" w:pos="720"/>
        <w:tab w:val="center" w:pos="4513" w:leader="none"/>
        <w:tab w:val="right" w:pos="9026" w:leader="none"/>
      </w:tabs>
      <w:spacing w:lineRule="auto" w:line="240" w:before="0" w:after="0"/>
    </w:pPr>
    <w:rPr/>
  </w:style>
  <w:style w:type="paragraph" w:styleId="FrameContents">
    <w:name w:val="Frame Contents"/>
    <w:basedOn w:val="Normal"/>
    <w:qFormat/>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college.police.uk/career-learning/career-development/CPD" TargetMode="External"/><Relationship Id="rId3" Type="http://schemas.openxmlformats.org/officeDocument/2006/relationships/header" Target="header1.xml"/><Relationship Id="rId4" Type="http://schemas.openxmlformats.org/officeDocument/2006/relationships/header" Target="header2.xml"/><Relationship Id="rId5" Type="http://schemas.openxmlformats.org/officeDocument/2006/relationships/footer" Target="footer1.xml"/><Relationship Id="rId6" Type="http://schemas.openxmlformats.org/officeDocument/2006/relationships/footer" Target="footer2.xml"/><Relationship Id="rId7" Type="http://schemas.openxmlformats.org/officeDocument/2006/relationships/fontTable" Target="fontTable.xml"/><Relationship Id="rId8" Type="http://schemas.openxmlformats.org/officeDocument/2006/relationships/settings" Target="settings.xml"/><Relationship Id="rId9" Type="http://schemas.openxmlformats.org/officeDocument/2006/relationships/theme" Target="theme/theme1.xml"/><Relationship Id="rId10"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CoverPageProperties xmlns="http://schemas.microsoft.com/office/2006/coverPageProps">
  <PublishDate>2023-11-27T00:00:00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TotalTime>
  <Application>Trio_Office/6.2.8.2$Windows_x86 LibreOffice_project/</Application>
  <Pages>20</Pages>
  <Words>5319</Words>
  <Characters>32214</Characters>
  <CharactersWithSpaces>37427</CharactersWithSpaces>
  <Paragraphs>133</Paragraphs>
  <Company>student number 2131768</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2023-11-22T14:17:00Z</dcterms:created>
  <dc:creator>Matthews, Sean</dc:creator>
  <dc:description/>
  <dc:language>en-GB</dc:language>
  <cp:lastModifiedBy/>
  <dcterms:modified xsi:type="dcterms:W3CDTF">2024-01-07T10:00:19Z</dcterms:modified>
  <cp:revision>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student number 2131768</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MSIP_Label_66cf8fe5-b7b7-4df7-b38d-1c61ac2f6639_ActionId">
    <vt:lpwstr>a6ba1836-3b8d-49a9-a863-ce7a8b3b93ea</vt:lpwstr>
  </property>
  <property fmtid="{D5CDD505-2E9C-101B-9397-08002B2CF9AE}" pid="8" name="MSIP_Label_66cf8fe5-b7b7-4df7-b38d-1c61ac2f6639_ContentBits">
    <vt:lpwstr>0</vt:lpwstr>
  </property>
  <property fmtid="{D5CDD505-2E9C-101B-9397-08002B2CF9AE}" pid="9" name="MSIP_Label_66cf8fe5-b7b7-4df7-b38d-1c61ac2f6639_Enabled">
    <vt:lpwstr>true</vt:lpwstr>
  </property>
  <property fmtid="{D5CDD505-2E9C-101B-9397-08002B2CF9AE}" pid="10" name="MSIP_Label_66cf8fe5-b7b7-4df7-b38d-1c61ac2f6639_Method">
    <vt:lpwstr>Standard</vt:lpwstr>
  </property>
  <property fmtid="{D5CDD505-2E9C-101B-9397-08002B2CF9AE}" pid="11" name="MSIP_Label_66cf8fe5-b7b7-4df7-b38d-1c61ac2f6639_Name">
    <vt:lpwstr>66cf8fe5-b7b7-4df7-b38d-1c61ac2f6639</vt:lpwstr>
  </property>
  <property fmtid="{D5CDD505-2E9C-101B-9397-08002B2CF9AE}" pid="12" name="MSIP_Label_66cf8fe5-b7b7-4df7-b38d-1c61ac2f6639_SetDate">
    <vt:lpwstr>2023-11-21T13:20:49Z</vt:lpwstr>
  </property>
  <property fmtid="{D5CDD505-2E9C-101B-9397-08002B2CF9AE}" pid="13" name="MSIP_Label_66cf8fe5-b7b7-4df7-b38d-1c61ac2f6639_SiteId">
    <vt:lpwstr>270c2f4d-fd0c-4f08-92a9-e5bdd8a87e09</vt:lpwstr>
  </property>
  <property fmtid="{D5CDD505-2E9C-101B-9397-08002B2CF9AE}" pid="14" name="ScaleCrop">
    <vt:bool>0</vt:bool>
  </property>
  <property fmtid="{D5CDD505-2E9C-101B-9397-08002B2CF9AE}" pid="15" name="ShareDoc">
    <vt:bool>0</vt:bool>
  </property>
</Properties>
</file>