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537D66" w14:textId="14C0AA19" w:rsidR="00417480" w:rsidRDefault="00417480" w:rsidP="00417480">
      <w:pPr>
        <w:spacing w:after="160" w:line="278" w:lineRule="auto"/>
        <w:jc w:val="center"/>
        <w:rPr>
          <w:rFonts w:eastAsiaTheme="minorEastAsia"/>
          <w:lang w:val="en-US"/>
        </w:rPr>
      </w:pPr>
      <w:r>
        <w:rPr>
          <w:rFonts w:eastAsiaTheme="minorEastAsia"/>
          <w:noProof/>
          <w:lang w:val="en-US"/>
          <w14:ligatures w14:val="standardContextual"/>
        </w:rPr>
        <w:drawing>
          <wp:inline distT="0" distB="0" distL="0" distR="0" wp14:anchorId="76E16FBA" wp14:editId="3E4A3A8D">
            <wp:extent cx="2247900" cy="901700"/>
            <wp:effectExtent l="0" t="0" r="0" b="0"/>
            <wp:docPr id="1962377121" name="Picture 9"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377121" name="Picture 9"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247900" cy="901700"/>
                    </a:xfrm>
                    <a:prstGeom prst="rect">
                      <a:avLst/>
                    </a:prstGeom>
                  </pic:spPr>
                </pic:pic>
              </a:graphicData>
            </a:graphic>
          </wp:inline>
        </w:drawing>
      </w:r>
    </w:p>
    <w:p w14:paraId="76FE6AEC" w14:textId="77777777" w:rsidR="00417480" w:rsidRDefault="00417480" w:rsidP="00417480">
      <w:pPr>
        <w:spacing w:after="160" w:line="360" w:lineRule="auto"/>
        <w:jc w:val="center"/>
        <w:rPr>
          <w:rFonts w:ascii="Arial" w:eastAsiaTheme="minorEastAsia" w:hAnsi="Arial" w:cs="Arial"/>
          <w:sz w:val="22"/>
          <w:szCs w:val="22"/>
          <w:lang w:val="en-US"/>
        </w:rPr>
      </w:pPr>
      <w:proofErr w:type="spellStart"/>
      <w:r>
        <w:rPr>
          <w:rFonts w:ascii="Arial" w:eastAsiaTheme="minorEastAsia" w:hAnsi="Arial" w:cs="Arial"/>
          <w:sz w:val="22"/>
          <w:szCs w:val="22"/>
          <w:lang w:val="en-US"/>
        </w:rPr>
        <w:t>Programme</w:t>
      </w:r>
      <w:proofErr w:type="spellEnd"/>
      <w:r>
        <w:rPr>
          <w:rFonts w:ascii="Arial" w:eastAsiaTheme="minorEastAsia" w:hAnsi="Arial" w:cs="Arial"/>
          <w:sz w:val="22"/>
          <w:szCs w:val="22"/>
          <w:lang w:val="en-US"/>
        </w:rPr>
        <w:t xml:space="preserve">: </w:t>
      </w:r>
      <w:r w:rsidRPr="00D56A6E">
        <w:rPr>
          <w:rFonts w:ascii="Arial" w:eastAsiaTheme="minorEastAsia" w:hAnsi="Arial" w:cs="Arial"/>
          <w:b/>
          <w:bCs/>
          <w:sz w:val="22"/>
          <w:szCs w:val="22"/>
          <w:lang w:val="en-US"/>
        </w:rPr>
        <w:t xml:space="preserve">MBA- </w:t>
      </w:r>
      <w:proofErr w:type="gramStart"/>
      <w:r w:rsidRPr="00D56A6E">
        <w:rPr>
          <w:rFonts w:ascii="Arial" w:eastAsiaTheme="minorEastAsia" w:hAnsi="Arial" w:cs="Arial"/>
          <w:b/>
          <w:bCs/>
          <w:sz w:val="22"/>
          <w:szCs w:val="22"/>
          <w:lang w:val="en-US"/>
        </w:rPr>
        <w:t>Masters of Business Administration</w:t>
      </w:r>
      <w:proofErr w:type="gramEnd"/>
      <w:r>
        <w:rPr>
          <w:rFonts w:ascii="Arial" w:eastAsiaTheme="minorEastAsia" w:hAnsi="Arial" w:cs="Arial"/>
          <w:sz w:val="22"/>
          <w:szCs w:val="22"/>
          <w:lang w:val="en-US"/>
        </w:rPr>
        <w:t xml:space="preserve">  </w:t>
      </w:r>
      <w:r>
        <w:rPr>
          <w:rFonts w:ascii="Arial" w:eastAsiaTheme="minorEastAsia" w:hAnsi="Arial" w:cs="Arial"/>
          <w:sz w:val="22"/>
          <w:szCs w:val="22"/>
          <w:lang w:val="en-US"/>
        </w:rPr>
        <w:tab/>
      </w:r>
    </w:p>
    <w:p w14:paraId="1ACA7456" w14:textId="6A6DA1E2" w:rsidR="00417480" w:rsidRPr="0062018F" w:rsidRDefault="00417480" w:rsidP="00417480">
      <w:pPr>
        <w:spacing w:after="160" w:line="360" w:lineRule="auto"/>
        <w:jc w:val="center"/>
        <w:rPr>
          <w:rFonts w:ascii="Arial" w:eastAsiaTheme="minorEastAsia" w:hAnsi="Arial" w:cs="Arial"/>
          <w:sz w:val="22"/>
          <w:szCs w:val="22"/>
          <w:lang w:val="en-US"/>
        </w:rPr>
      </w:pPr>
      <w:r w:rsidRPr="004F2757">
        <w:rPr>
          <w:rFonts w:ascii="Arial" w:eastAsiaTheme="minorEastAsia" w:hAnsi="Arial" w:cs="Arial"/>
          <w:sz w:val="22"/>
          <w:szCs w:val="22"/>
          <w:lang w:val="en-US"/>
        </w:rPr>
        <w:t xml:space="preserve">Module: </w:t>
      </w:r>
      <w:r w:rsidRPr="00E3003E">
        <w:rPr>
          <w:rFonts w:ascii="Arial" w:eastAsiaTheme="minorEastAsia" w:hAnsi="Arial" w:cs="Arial"/>
          <w:b/>
          <w:bCs/>
          <w:sz w:val="22"/>
          <w:szCs w:val="22"/>
          <w:lang w:val="en-US"/>
        </w:rPr>
        <w:t>Banking and Financial Economics</w:t>
      </w:r>
      <w:r>
        <w:rPr>
          <w:rFonts w:ascii="Arial" w:eastAsiaTheme="minorEastAsia" w:hAnsi="Arial" w:cs="Arial"/>
          <w:sz w:val="22"/>
          <w:szCs w:val="22"/>
          <w:lang w:val="en-US"/>
        </w:rPr>
        <w:t xml:space="preserve"> </w:t>
      </w:r>
    </w:p>
    <w:p w14:paraId="00CD74F0" w14:textId="7118E739" w:rsidR="00417480" w:rsidRPr="004F2757" w:rsidRDefault="00417480" w:rsidP="00417480">
      <w:pPr>
        <w:spacing w:after="160" w:line="360" w:lineRule="auto"/>
        <w:jc w:val="center"/>
        <w:rPr>
          <w:rFonts w:ascii="Arial" w:hAnsi="Arial" w:cs="Arial"/>
          <w:sz w:val="22"/>
          <w:szCs w:val="22"/>
        </w:rPr>
      </w:pPr>
      <w:r w:rsidRPr="004F2757">
        <w:rPr>
          <w:rFonts w:ascii="Arial" w:eastAsiaTheme="minorEastAsia" w:hAnsi="Arial" w:cs="Arial"/>
          <w:sz w:val="22"/>
          <w:szCs w:val="22"/>
          <w:lang w:val="en-US"/>
        </w:rPr>
        <w:t xml:space="preserve">Module code: </w:t>
      </w:r>
      <w:r w:rsidRPr="007C5090">
        <w:rPr>
          <w:rFonts w:ascii="Arial" w:eastAsiaTheme="minorEastAsia" w:hAnsi="Arial" w:cs="Arial"/>
          <w:b/>
          <w:bCs/>
          <w:sz w:val="22"/>
          <w:szCs w:val="22"/>
          <w:lang w:val="en-US"/>
        </w:rPr>
        <w:t>LCMB70</w:t>
      </w:r>
      <w:r>
        <w:rPr>
          <w:rFonts w:ascii="Arial" w:eastAsiaTheme="minorEastAsia" w:hAnsi="Arial" w:cs="Arial"/>
          <w:b/>
          <w:bCs/>
          <w:sz w:val="22"/>
          <w:szCs w:val="22"/>
          <w:lang w:val="en-US"/>
        </w:rPr>
        <w:t>32</w:t>
      </w:r>
    </w:p>
    <w:p w14:paraId="650BC598" w14:textId="69C9A0BB" w:rsidR="00417480" w:rsidRPr="004F2757" w:rsidRDefault="00417480" w:rsidP="00417480">
      <w:pPr>
        <w:spacing w:after="160" w:line="360" w:lineRule="auto"/>
        <w:jc w:val="center"/>
        <w:rPr>
          <w:rFonts w:ascii="Arial" w:hAnsi="Arial" w:cs="Arial"/>
          <w:sz w:val="22"/>
          <w:szCs w:val="22"/>
        </w:rPr>
      </w:pPr>
      <w:r w:rsidRPr="004F2757">
        <w:rPr>
          <w:rFonts w:ascii="Arial" w:eastAsiaTheme="minorEastAsia" w:hAnsi="Arial" w:cs="Arial"/>
          <w:sz w:val="22"/>
          <w:szCs w:val="22"/>
          <w:lang w:val="en-US"/>
        </w:rPr>
        <w:t xml:space="preserve">Lecturer: </w:t>
      </w:r>
      <w:r w:rsidRPr="00E3003E">
        <w:rPr>
          <w:rFonts w:ascii="Arial" w:eastAsiaTheme="minorEastAsia" w:hAnsi="Arial" w:cs="Arial"/>
          <w:b/>
          <w:bCs/>
          <w:sz w:val="22"/>
          <w:szCs w:val="22"/>
          <w:lang w:val="en-US"/>
        </w:rPr>
        <w:t xml:space="preserve">Isaiah </w:t>
      </w:r>
      <w:proofErr w:type="spellStart"/>
      <w:r w:rsidRPr="00E3003E">
        <w:rPr>
          <w:rFonts w:ascii="Arial" w:eastAsiaTheme="minorEastAsia" w:hAnsi="Arial" w:cs="Arial"/>
          <w:b/>
          <w:bCs/>
          <w:sz w:val="22"/>
          <w:szCs w:val="22"/>
          <w:lang w:val="en-US"/>
        </w:rPr>
        <w:t>Oino</w:t>
      </w:r>
      <w:proofErr w:type="spellEnd"/>
      <w:r>
        <w:rPr>
          <w:rFonts w:ascii="Arial" w:eastAsiaTheme="minorEastAsia" w:hAnsi="Arial" w:cs="Arial"/>
          <w:sz w:val="22"/>
          <w:szCs w:val="22"/>
          <w:lang w:val="en-US"/>
        </w:rPr>
        <w:t xml:space="preserve"> </w:t>
      </w:r>
    </w:p>
    <w:p w14:paraId="0FA85115" w14:textId="3B7BAE20" w:rsidR="00417480" w:rsidRDefault="00417480" w:rsidP="00417480">
      <w:pPr>
        <w:spacing w:line="360" w:lineRule="auto"/>
        <w:jc w:val="center"/>
        <w:rPr>
          <w:rFonts w:ascii="Arial" w:eastAsiaTheme="minorEastAsia" w:hAnsi="Arial" w:cs="Arial"/>
          <w:sz w:val="22"/>
          <w:szCs w:val="22"/>
          <w:lang w:val="en-US"/>
        </w:rPr>
      </w:pPr>
      <w:r w:rsidRPr="004F2757">
        <w:rPr>
          <w:rFonts w:ascii="Arial" w:eastAsiaTheme="minorEastAsia" w:hAnsi="Arial" w:cs="Arial"/>
          <w:sz w:val="22"/>
          <w:szCs w:val="22"/>
          <w:lang w:val="en-US"/>
        </w:rPr>
        <w:t>Assignment title:</w:t>
      </w:r>
      <w:r>
        <w:rPr>
          <w:rFonts w:ascii="Arial" w:eastAsiaTheme="minorEastAsia" w:hAnsi="Arial" w:cs="Arial"/>
          <w:sz w:val="22"/>
          <w:szCs w:val="22"/>
          <w:lang w:val="en-US"/>
        </w:rPr>
        <w:t xml:space="preserve"> </w:t>
      </w:r>
      <w:r w:rsidRPr="00E3003E">
        <w:rPr>
          <w:rFonts w:ascii="Arial" w:eastAsiaTheme="minorEastAsia" w:hAnsi="Arial" w:cs="Arial"/>
          <w:b/>
          <w:bCs/>
          <w:sz w:val="22"/>
          <w:szCs w:val="22"/>
          <w:lang w:val="en-US"/>
        </w:rPr>
        <w:t>Banking and Financial Economics</w:t>
      </w:r>
      <w:r>
        <w:rPr>
          <w:rFonts w:ascii="Arial" w:eastAsiaTheme="minorEastAsia" w:hAnsi="Arial" w:cs="Arial"/>
          <w:sz w:val="22"/>
          <w:szCs w:val="22"/>
          <w:lang w:val="en-US"/>
        </w:rPr>
        <w:t xml:space="preserve"> </w:t>
      </w:r>
    </w:p>
    <w:p w14:paraId="473B510B" w14:textId="77777777" w:rsidR="00417480" w:rsidRPr="002A0ED6" w:rsidRDefault="00417480" w:rsidP="00417480">
      <w:pPr>
        <w:spacing w:line="360" w:lineRule="auto"/>
        <w:jc w:val="center"/>
        <w:rPr>
          <w:rFonts w:ascii="Arial" w:hAnsi="Arial" w:cs="Arial"/>
          <w:sz w:val="22"/>
          <w:szCs w:val="22"/>
          <w:lang w:val="en-US"/>
        </w:rPr>
      </w:pPr>
    </w:p>
    <w:p w14:paraId="49A0F899" w14:textId="77777777" w:rsidR="00417480" w:rsidRPr="00D157A2" w:rsidRDefault="00417480" w:rsidP="00417480">
      <w:pPr>
        <w:spacing w:after="160" w:line="360" w:lineRule="auto"/>
        <w:jc w:val="center"/>
        <w:rPr>
          <w:rFonts w:ascii="Arial" w:hAnsi="Arial" w:cs="Arial"/>
          <w:b/>
          <w:bCs/>
          <w:sz w:val="32"/>
          <w:szCs w:val="32"/>
        </w:rPr>
      </w:pPr>
      <w:r w:rsidRPr="007C5090">
        <w:rPr>
          <w:rFonts w:ascii="Arial" w:eastAsiaTheme="minorEastAsia" w:hAnsi="Arial" w:cs="Arial"/>
          <w:sz w:val="32"/>
          <w:szCs w:val="32"/>
          <w:lang w:val="en-US"/>
        </w:rPr>
        <w:t>Student:</w:t>
      </w:r>
      <w:r w:rsidRPr="00D157A2">
        <w:rPr>
          <w:rFonts w:ascii="Arial" w:eastAsiaTheme="minorEastAsia" w:hAnsi="Arial" w:cs="Arial"/>
          <w:b/>
          <w:bCs/>
          <w:sz w:val="32"/>
          <w:szCs w:val="32"/>
          <w:lang w:val="en-US"/>
        </w:rPr>
        <w:t xml:space="preserve"> Marie </w:t>
      </w:r>
      <w:proofErr w:type="spellStart"/>
      <w:r w:rsidRPr="00D157A2">
        <w:rPr>
          <w:rFonts w:ascii="Arial" w:eastAsiaTheme="minorEastAsia" w:hAnsi="Arial" w:cs="Arial"/>
          <w:b/>
          <w:bCs/>
          <w:sz w:val="32"/>
          <w:szCs w:val="32"/>
          <w:lang w:val="en-US"/>
        </w:rPr>
        <w:t>Jandova</w:t>
      </w:r>
      <w:proofErr w:type="spellEnd"/>
    </w:p>
    <w:p w14:paraId="3F6DEB1C" w14:textId="77777777" w:rsidR="00417480" w:rsidRDefault="00417480" w:rsidP="00417480">
      <w:pPr>
        <w:spacing w:line="360" w:lineRule="auto"/>
        <w:jc w:val="center"/>
        <w:rPr>
          <w:rFonts w:ascii="Arial" w:eastAsiaTheme="minorEastAsia" w:hAnsi="Arial" w:cs="Arial"/>
          <w:b/>
          <w:bCs/>
          <w:sz w:val="32"/>
          <w:szCs w:val="32"/>
          <w:lang w:val="en-US"/>
        </w:rPr>
      </w:pPr>
      <w:r w:rsidRPr="007C5090">
        <w:rPr>
          <w:rFonts w:ascii="Arial" w:eastAsiaTheme="minorEastAsia" w:hAnsi="Arial" w:cs="Arial"/>
          <w:sz w:val="32"/>
          <w:szCs w:val="32"/>
          <w:lang w:val="en-US"/>
        </w:rPr>
        <w:t>Student number:</w:t>
      </w:r>
      <w:r w:rsidRPr="00D157A2">
        <w:rPr>
          <w:rFonts w:ascii="Arial" w:eastAsiaTheme="minorEastAsia" w:hAnsi="Arial" w:cs="Arial"/>
          <w:b/>
          <w:bCs/>
          <w:sz w:val="32"/>
          <w:szCs w:val="32"/>
          <w:lang w:val="en-US"/>
        </w:rPr>
        <w:t xml:space="preserve"> 2020984</w:t>
      </w:r>
    </w:p>
    <w:p w14:paraId="08D50DAC" w14:textId="083F63F4" w:rsidR="00626425" w:rsidRDefault="00626425" w:rsidP="00417480">
      <w:pPr>
        <w:spacing w:line="360" w:lineRule="auto"/>
        <w:jc w:val="center"/>
      </w:pPr>
      <w:r>
        <w:fldChar w:fldCharType="begin"/>
      </w:r>
      <w:r>
        <w:instrText xml:space="preserve"> INCLUDEPICTURE "/Users/cex/Library/Group Containers/UBF8T346G9.ms/WebArchiveCopyPasteTempFiles/com.microsoft.Word/AKC8isMER+8+AAAAAElFTkSuQmCC" \* MERGEFORMATINET </w:instrText>
      </w:r>
      <w:r>
        <w:fldChar w:fldCharType="separate"/>
      </w:r>
      <w:r>
        <w:rPr>
          <w:noProof/>
        </w:rPr>
        <w:drawing>
          <wp:inline distT="0" distB="0" distL="0" distR="0" wp14:anchorId="1E543799" wp14:editId="14D6D0E9">
            <wp:extent cx="1967948" cy="1859660"/>
            <wp:effectExtent l="0" t="0" r="635" b="0"/>
            <wp:docPr id="1816675091" name="Picture 1" descr="Deliverect UK | Just Eat ord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295" descr="Deliverect UK | Just Eat order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83820" cy="1874659"/>
                    </a:xfrm>
                    <a:prstGeom prst="rect">
                      <a:avLst/>
                    </a:prstGeom>
                    <a:noFill/>
                    <a:ln>
                      <a:noFill/>
                    </a:ln>
                  </pic:spPr>
                </pic:pic>
              </a:graphicData>
            </a:graphic>
          </wp:inline>
        </w:drawing>
      </w:r>
      <w:r>
        <w:fldChar w:fldCharType="end"/>
      </w:r>
    </w:p>
    <w:p w14:paraId="718E412D" w14:textId="77777777" w:rsidR="00626425" w:rsidRDefault="00626425" w:rsidP="00417480">
      <w:pPr>
        <w:spacing w:line="360" w:lineRule="auto"/>
        <w:jc w:val="center"/>
      </w:pPr>
    </w:p>
    <w:p w14:paraId="0BB789EB" w14:textId="77777777" w:rsidR="00626425" w:rsidRDefault="00626425" w:rsidP="00417480">
      <w:pPr>
        <w:spacing w:line="360" w:lineRule="auto"/>
        <w:jc w:val="center"/>
      </w:pPr>
    </w:p>
    <w:p w14:paraId="029C68FE" w14:textId="77777777" w:rsidR="00626425" w:rsidRDefault="00626425" w:rsidP="00417480">
      <w:pPr>
        <w:spacing w:line="360" w:lineRule="auto"/>
        <w:jc w:val="center"/>
      </w:pPr>
    </w:p>
    <w:p w14:paraId="209873A7" w14:textId="77777777" w:rsidR="00626425" w:rsidRDefault="00626425" w:rsidP="00417480">
      <w:pPr>
        <w:spacing w:line="360" w:lineRule="auto"/>
        <w:jc w:val="center"/>
      </w:pPr>
    </w:p>
    <w:p w14:paraId="07F5A0D3" w14:textId="77777777" w:rsidR="00626425" w:rsidRDefault="00626425" w:rsidP="00417480">
      <w:pPr>
        <w:spacing w:line="360" w:lineRule="auto"/>
        <w:jc w:val="center"/>
      </w:pPr>
    </w:p>
    <w:p w14:paraId="079F7327" w14:textId="77777777" w:rsidR="00626425" w:rsidRDefault="00626425" w:rsidP="00417480">
      <w:pPr>
        <w:spacing w:line="360" w:lineRule="auto"/>
        <w:jc w:val="center"/>
      </w:pPr>
    </w:p>
    <w:p w14:paraId="326E57AF" w14:textId="77777777" w:rsidR="00626425" w:rsidRDefault="00626425" w:rsidP="00417480">
      <w:pPr>
        <w:spacing w:line="360" w:lineRule="auto"/>
        <w:jc w:val="center"/>
      </w:pPr>
    </w:p>
    <w:p w14:paraId="0FDA21CC" w14:textId="77777777" w:rsidR="0069410F" w:rsidRDefault="0069410F" w:rsidP="00417480">
      <w:pPr>
        <w:spacing w:line="360" w:lineRule="auto"/>
        <w:jc w:val="center"/>
      </w:pPr>
    </w:p>
    <w:p w14:paraId="02164208" w14:textId="77777777" w:rsidR="0069410F" w:rsidRDefault="0069410F" w:rsidP="00417480">
      <w:pPr>
        <w:spacing w:line="360" w:lineRule="auto"/>
        <w:jc w:val="center"/>
      </w:pPr>
    </w:p>
    <w:p w14:paraId="4CEABF05" w14:textId="77777777" w:rsidR="0069410F" w:rsidRDefault="0069410F" w:rsidP="00417480">
      <w:pPr>
        <w:spacing w:line="360" w:lineRule="auto"/>
        <w:jc w:val="center"/>
      </w:pPr>
    </w:p>
    <w:p w14:paraId="29D1972D" w14:textId="77777777" w:rsidR="0069410F" w:rsidRDefault="0069410F" w:rsidP="00417480">
      <w:pPr>
        <w:spacing w:line="360" w:lineRule="auto"/>
        <w:jc w:val="center"/>
      </w:pPr>
    </w:p>
    <w:p w14:paraId="1376B981" w14:textId="77777777" w:rsidR="0069410F" w:rsidRDefault="0069410F" w:rsidP="00417480">
      <w:pPr>
        <w:spacing w:line="360" w:lineRule="auto"/>
        <w:jc w:val="center"/>
      </w:pPr>
    </w:p>
    <w:p w14:paraId="12449902" w14:textId="22B58A5F" w:rsidR="0069410F" w:rsidRPr="0069410F" w:rsidRDefault="0069410F" w:rsidP="00626425">
      <w:pPr>
        <w:spacing w:line="360" w:lineRule="auto"/>
        <w:rPr>
          <w:rFonts w:ascii="Arial" w:hAnsi="Arial" w:cs="Arial"/>
          <w:sz w:val="22"/>
          <w:szCs w:val="22"/>
          <w:u w:val="single"/>
        </w:rPr>
      </w:pPr>
      <w:r w:rsidRPr="0069410F">
        <w:rPr>
          <w:rFonts w:ascii="Arial" w:hAnsi="Arial" w:cs="Arial"/>
          <w:sz w:val="22"/>
          <w:szCs w:val="22"/>
          <w:u w:val="single"/>
        </w:rPr>
        <w:lastRenderedPageBreak/>
        <w:t xml:space="preserve">Executive Summary </w:t>
      </w:r>
    </w:p>
    <w:p w14:paraId="60B54AEA" w14:textId="208F28EB" w:rsidR="0069410F" w:rsidRDefault="0069410F" w:rsidP="00626425">
      <w:pPr>
        <w:spacing w:line="360" w:lineRule="auto"/>
        <w:rPr>
          <w:rFonts w:ascii="Arial" w:hAnsi="Arial" w:cs="Arial"/>
          <w:sz w:val="22"/>
          <w:szCs w:val="22"/>
        </w:rPr>
      </w:pPr>
      <w:r w:rsidRPr="0069410F">
        <w:rPr>
          <w:rFonts w:ascii="Arial" w:hAnsi="Arial" w:cs="Arial"/>
          <w:sz w:val="22"/>
          <w:szCs w:val="22"/>
        </w:rPr>
        <w:t>This report analy</w:t>
      </w:r>
      <w:r>
        <w:rPr>
          <w:rFonts w:ascii="Arial" w:hAnsi="Arial" w:cs="Arial"/>
          <w:sz w:val="22"/>
          <w:szCs w:val="22"/>
        </w:rPr>
        <w:t>s</w:t>
      </w:r>
      <w:r w:rsidRPr="0069410F">
        <w:rPr>
          <w:rFonts w:ascii="Arial" w:hAnsi="Arial" w:cs="Arial"/>
          <w:sz w:val="22"/>
          <w:szCs w:val="22"/>
        </w:rPr>
        <w:t xml:space="preserve">es Just Eat Takeaway.com, focusing on its business model, target market, and reasons for going public, including capital raising and brand visibility. It also reviews key risks from Just </w:t>
      </w:r>
      <w:proofErr w:type="spellStart"/>
      <w:r w:rsidRPr="0069410F">
        <w:rPr>
          <w:rFonts w:ascii="Arial" w:hAnsi="Arial" w:cs="Arial"/>
          <w:sz w:val="22"/>
          <w:szCs w:val="22"/>
        </w:rPr>
        <w:t>Eat's</w:t>
      </w:r>
      <w:proofErr w:type="spellEnd"/>
      <w:r w:rsidRPr="0069410F">
        <w:rPr>
          <w:rFonts w:ascii="Arial" w:hAnsi="Arial" w:cs="Arial"/>
          <w:sz w:val="22"/>
          <w:szCs w:val="22"/>
        </w:rPr>
        <w:t xml:space="preserve"> IPO prospectus—regulatory challenges, competition, and technology risks—and their impact on the company’s valuation.</w:t>
      </w:r>
      <w:r>
        <w:rPr>
          <w:rFonts w:ascii="Arial" w:hAnsi="Arial" w:cs="Arial"/>
          <w:sz w:val="22"/>
          <w:szCs w:val="22"/>
        </w:rPr>
        <w:t xml:space="preserve"> </w:t>
      </w:r>
    </w:p>
    <w:p w14:paraId="1747101B" w14:textId="47C9B770" w:rsidR="0069410F" w:rsidRDefault="0069410F" w:rsidP="00626425">
      <w:pPr>
        <w:spacing w:line="360" w:lineRule="auto"/>
        <w:rPr>
          <w:rFonts w:ascii="Arial" w:hAnsi="Arial" w:cs="Arial"/>
          <w:sz w:val="22"/>
          <w:szCs w:val="22"/>
        </w:rPr>
      </w:pPr>
      <w:r w:rsidRPr="0069410F">
        <w:rPr>
          <w:rFonts w:ascii="Arial" w:hAnsi="Arial" w:cs="Arial"/>
          <w:sz w:val="22"/>
          <w:szCs w:val="22"/>
        </w:rPr>
        <w:t xml:space="preserve">The report quantitatively assesses Just </w:t>
      </w:r>
      <w:proofErr w:type="spellStart"/>
      <w:r w:rsidRPr="0069410F">
        <w:rPr>
          <w:rFonts w:ascii="Arial" w:hAnsi="Arial" w:cs="Arial"/>
          <w:sz w:val="22"/>
          <w:szCs w:val="22"/>
        </w:rPr>
        <w:t>Eat's</w:t>
      </w:r>
      <w:proofErr w:type="spellEnd"/>
      <w:r w:rsidRPr="0069410F">
        <w:rPr>
          <w:rFonts w:ascii="Arial" w:hAnsi="Arial" w:cs="Arial"/>
          <w:sz w:val="22"/>
          <w:szCs w:val="22"/>
        </w:rPr>
        <w:t xml:space="preserve"> share price performance from its IPO through December 2023, including descriptive statistics, CAGR, and Sharpe and Treynor ratios. It also examines </w:t>
      </w:r>
      <w:proofErr w:type="spellStart"/>
      <w:r w:rsidRPr="0069410F">
        <w:rPr>
          <w:rFonts w:ascii="Arial" w:hAnsi="Arial" w:cs="Arial"/>
          <w:sz w:val="22"/>
          <w:szCs w:val="22"/>
        </w:rPr>
        <w:t>DoorDash</w:t>
      </w:r>
      <w:proofErr w:type="spellEnd"/>
      <w:r w:rsidRPr="0069410F">
        <w:rPr>
          <w:rFonts w:ascii="Arial" w:hAnsi="Arial" w:cs="Arial"/>
          <w:sz w:val="22"/>
          <w:szCs w:val="22"/>
        </w:rPr>
        <w:t xml:space="preserve">, Inc. through an analysis of at-the-money call and put </w:t>
      </w:r>
      <w:proofErr w:type="gramStart"/>
      <w:r w:rsidRPr="0069410F">
        <w:rPr>
          <w:rFonts w:ascii="Arial" w:hAnsi="Arial" w:cs="Arial"/>
          <w:sz w:val="22"/>
          <w:szCs w:val="22"/>
        </w:rPr>
        <w:t>options, and</w:t>
      </w:r>
      <w:proofErr w:type="gramEnd"/>
      <w:r w:rsidRPr="0069410F">
        <w:rPr>
          <w:rFonts w:ascii="Arial" w:hAnsi="Arial" w:cs="Arial"/>
          <w:sz w:val="22"/>
          <w:szCs w:val="22"/>
        </w:rPr>
        <w:t xml:space="preserve"> discusses a Straddle strategy.</w:t>
      </w:r>
    </w:p>
    <w:p w14:paraId="1C8419C7" w14:textId="75530285" w:rsidR="0069410F" w:rsidRPr="0069410F" w:rsidRDefault="0069410F" w:rsidP="00626425">
      <w:pPr>
        <w:spacing w:line="360" w:lineRule="auto"/>
        <w:rPr>
          <w:rFonts w:ascii="Arial" w:hAnsi="Arial" w:cs="Arial"/>
          <w:sz w:val="22"/>
          <w:szCs w:val="22"/>
        </w:rPr>
      </w:pPr>
      <w:r w:rsidRPr="0069410F">
        <w:rPr>
          <w:rFonts w:ascii="Arial" w:hAnsi="Arial" w:cs="Arial"/>
          <w:sz w:val="22"/>
          <w:szCs w:val="22"/>
        </w:rPr>
        <w:t>Finally, the report evaluates the 2023 performance of the 10-Year U.S. Treasury Note and its impact on consumer debt, focusing on how yield fluctuations influenced borrowing costs and economic activity.</w:t>
      </w:r>
    </w:p>
    <w:p w14:paraId="3556153E" w14:textId="3CC17745" w:rsidR="0069410F" w:rsidRDefault="0069410F" w:rsidP="00626425">
      <w:pPr>
        <w:spacing w:line="360" w:lineRule="auto"/>
        <w:rPr>
          <w:rFonts w:ascii="Arial" w:hAnsi="Arial" w:cs="Arial"/>
          <w:sz w:val="32"/>
          <w:szCs w:val="32"/>
          <w:u w:val="single"/>
        </w:rPr>
      </w:pPr>
    </w:p>
    <w:sdt>
      <w:sdtPr>
        <w:id w:val="-1383244028"/>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3F73963E" w14:textId="3A9DE781" w:rsidR="0069410F" w:rsidRDefault="0069410F">
          <w:pPr>
            <w:pStyle w:val="TOCHeading"/>
          </w:pPr>
          <w:r>
            <w:t>Table of Contents</w:t>
          </w:r>
        </w:p>
        <w:p w14:paraId="766DDAE3" w14:textId="7706894E" w:rsidR="0069410F" w:rsidRDefault="0069410F">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75609874" w:history="1">
            <w:r w:rsidRPr="00300B97">
              <w:rPr>
                <w:rStyle w:val="Hyperlink"/>
                <w:noProof/>
              </w:rPr>
              <w:t>Introduction</w:t>
            </w:r>
            <w:r>
              <w:rPr>
                <w:noProof/>
                <w:webHidden/>
              </w:rPr>
              <w:tab/>
            </w:r>
            <w:r>
              <w:rPr>
                <w:noProof/>
                <w:webHidden/>
              </w:rPr>
              <w:fldChar w:fldCharType="begin"/>
            </w:r>
            <w:r>
              <w:rPr>
                <w:noProof/>
                <w:webHidden/>
              </w:rPr>
              <w:instrText xml:space="preserve"> PAGEREF _Toc175609874 \h </w:instrText>
            </w:r>
            <w:r>
              <w:rPr>
                <w:noProof/>
                <w:webHidden/>
              </w:rPr>
            </w:r>
            <w:r>
              <w:rPr>
                <w:noProof/>
                <w:webHidden/>
              </w:rPr>
              <w:fldChar w:fldCharType="separate"/>
            </w:r>
            <w:r>
              <w:rPr>
                <w:noProof/>
                <w:webHidden/>
              </w:rPr>
              <w:t>3</w:t>
            </w:r>
            <w:r>
              <w:rPr>
                <w:noProof/>
                <w:webHidden/>
              </w:rPr>
              <w:fldChar w:fldCharType="end"/>
            </w:r>
          </w:hyperlink>
        </w:p>
        <w:p w14:paraId="6F733EFB" w14:textId="3486340F" w:rsidR="0069410F" w:rsidRDefault="0069410F">
          <w:pPr>
            <w:pStyle w:val="TOC1"/>
            <w:tabs>
              <w:tab w:val="right" w:leader="dot" w:pos="9016"/>
            </w:tabs>
            <w:rPr>
              <w:rFonts w:eastAsiaTheme="minorEastAsia" w:cstheme="minorBidi"/>
              <w:b w:val="0"/>
              <w:bCs w:val="0"/>
              <w:i w:val="0"/>
              <w:iCs w:val="0"/>
              <w:noProof/>
              <w:kern w:val="2"/>
              <w14:ligatures w14:val="standardContextual"/>
            </w:rPr>
          </w:pPr>
          <w:hyperlink w:anchor="_Toc175609875" w:history="1">
            <w:r w:rsidRPr="00300B97">
              <w:rPr>
                <w:rStyle w:val="Hyperlink"/>
                <w:noProof/>
              </w:rPr>
              <w:t>Just Eat</w:t>
            </w:r>
            <w:r>
              <w:rPr>
                <w:noProof/>
                <w:webHidden/>
              </w:rPr>
              <w:tab/>
            </w:r>
            <w:r>
              <w:rPr>
                <w:noProof/>
                <w:webHidden/>
              </w:rPr>
              <w:fldChar w:fldCharType="begin"/>
            </w:r>
            <w:r>
              <w:rPr>
                <w:noProof/>
                <w:webHidden/>
              </w:rPr>
              <w:instrText xml:space="preserve"> PAGEREF _Toc175609875 \h </w:instrText>
            </w:r>
            <w:r>
              <w:rPr>
                <w:noProof/>
                <w:webHidden/>
              </w:rPr>
            </w:r>
            <w:r>
              <w:rPr>
                <w:noProof/>
                <w:webHidden/>
              </w:rPr>
              <w:fldChar w:fldCharType="separate"/>
            </w:r>
            <w:r>
              <w:rPr>
                <w:noProof/>
                <w:webHidden/>
              </w:rPr>
              <w:t>3</w:t>
            </w:r>
            <w:r>
              <w:rPr>
                <w:noProof/>
                <w:webHidden/>
              </w:rPr>
              <w:fldChar w:fldCharType="end"/>
            </w:r>
          </w:hyperlink>
        </w:p>
        <w:p w14:paraId="33442197" w14:textId="74EACCCA" w:rsidR="0069410F" w:rsidRDefault="0069410F">
          <w:pPr>
            <w:pStyle w:val="TOC2"/>
            <w:tabs>
              <w:tab w:val="right" w:leader="dot" w:pos="9016"/>
            </w:tabs>
            <w:rPr>
              <w:rFonts w:eastAsiaTheme="minorEastAsia" w:cstheme="minorBidi"/>
              <w:i w:val="0"/>
              <w:iCs w:val="0"/>
              <w:noProof/>
              <w:kern w:val="2"/>
              <w:sz w:val="24"/>
              <w:szCs w:val="24"/>
              <w14:ligatures w14:val="standardContextual"/>
            </w:rPr>
          </w:pPr>
          <w:hyperlink w:anchor="_Toc175609876" w:history="1">
            <w:r w:rsidRPr="00300B97">
              <w:rPr>
                <w:rStyle w:val="Hyperlink"/>
                <w:noProof/>
              </w:rPr>
              <w:t>1.1 Company Overview</w:t>
            </w:r>
            <w:r>
              <w:rPr>
                <w:noProof/>
                <w:webHidden/>
              </w:rPr>
              <w:tab/>
            </w:r>
            <w:r>
              <w:rPr>
                <w:noProof/>
                <w:webHidden/>
              </w:rPr>
              <w:fldChar w:fldCharType="begin"/>
            </w:r>
            <w:r>
              <w:rPr>
                <w:noProof/>
                <w:webHidden/>
              </w:rPr>
              <w:instrText xml:space="preserve"> PAGEREF _Toc175609876 \h </w:instrText>
            </w:r>
            <w:r>
              <w:rPr>
                <w:noProof/>
                <w:webHidden/>
              </w:rPr>
            </w:r>
            <w:r>
              <w:rPr>
                <w:noProof/>
                <w:webHidden/>
              </w:rPr>
              <w:fldChar w:fldCharType="separate"/>
            </w:r>
            <w:r>
              <w:rPr>
                <w:noProof/>
                <w:webHidden/>
              </w:rPr>
              <w:t>3</w:t>
            </w:r>
            <w:r>
              <w:rPr>
                <w:noProof/>
                <w:webHidden/>
              </w:rPr>
              <w:fldChar w:fldCharType="end"/>
            </w:r>
          </w:hyperlink>
        </w:p>
        <w:p w14:paraId="57C961D0" w14:textId="6C1DBEBA" w:rsidR="0069410F" w:rsidRDefault="0069410F">
          <w:pPr>
            <w:pStyle w:val="TOC2"/>
            <w:tabs>
              <w:tab w:val="right" w:leader="dot" w:pos="9016"/>
            </w:tabs>
            <w:rPr>
              <w:rFonts w:eastAsiaTheme="minorEastAsia" w:cstheme="minorBidi"/>
              <w:i w:val="0"/>
              <w:iCs w:val="0"/>
              <w:noProof/>
              <w:kern w:val="2"/>
              <w:sz w:val="24"/>
              <w:szCs w:val="24"/>
              <w14:ligatures w14:val="standardContextual"/>
            </w:rPr>
          </w:pPr>
          <w:hyperlink w:anchor="_Toc175609877" w:history="1">
            <w:r w:rsidRPr="00300B97">
              <w:rPr>
                <w:rStyle w:val="Hyperlink"/>
                <w:noProof/>
                <w:lang w:val="en-US"/>
              </w:rPr>
              <w:t>1.2 Key Reasons Why Just Eat Went Public</w:t>
            </w:r>
            <w:r>
              <w:rPr>
                <w:noProof/>
                <w:webHidden/>
              </w:rPr>
              <w:tab/>
            </w:r>
            <w:r>
              <w:rPr>
                <w:noProof/>
                <w:webHidden/>
              </w:rPr>
              <w:fldChar w:fldCharType="begin"/>
            </w:r>
            <w:r>
              <w:rPr>
                <w:noProof/>
                <w:webHidden/>
              </w:rPr>
              <w:instrText xml:space="preserve"> PAGEREF _Toc175609877 \h </w:instrText>
            </w:r>
            <w:r>
              <w:rPr>
                <w:noProof/>
                <w:webHidden/>
              </w:rPr>
            </w:r>
            <w:r>
              <w:rPr>
                <w:noProof/>
                <w:webHidden/>
              </w:rPr>
              <w:fldChar w:fldCharType="separate"/>
            </w:r>
            <w:r>
              <w:rPr>
                <w:noProof/>
                <w:webHidden/>
              </w:rPr>
              <w:t>4</w:t>
            </w:r>
            <w:r>
              <w:rPr>
                <w:noProof/>
                <w:webHidden/>
              </w:rPr>
              <w:fldChar w:fldCharType="end"/>
            </w:r>
          </w:hyperlink>
        </w:p>
        <w:p w14:paraId="63BA5F19" w14:textId="02CEF6EE" w:rsidR="0069410F" w:rsidRDefault="0069410F">
          <w:pPr>
            <w:pStyle w:val="TOC1"/>
            <w:tabs>
              <w:tab w:val="right" w:leader="dot" w:pos="9016"/>
            </w:tabs>
            <w:rPr>
              <w:rFonts w:eastAsiaTheme="minorEastAsia" w:cstheme="minorBidi"/>
              <w:b w:val="0"/>
              <w:bCs w:val="0"/>
              <w:i w:val="0"/>
              <w:iCs w:val="0"/>
              <w:noProof/>
              <w:kern w:val="2"/>
              <w14:ligatures w14:val="standardContextual"/>
            </w:rPr>
          </w:pPr>
          <w:hyperlink w:anchor="_Toc175609878" w:history="1">
            <w:r w:rsidRPr="00300B97">
              <w:rPr>
                <w:rStyle w:val="Hyperlink"/>
                <w:noProof/>
              </w:rPr>
              <w:t>Quantitative review of the share price performance Just Eat</w:t>
            </w:r>
            <w:r>
              <w:rPr>
                <w:noProof/>
                <w:webHidden/>
              </w:rPr>
              <w:tab/>
            </w:r>
            <w:r>
              <w:rPr>
                <w:noProof/>
                <w:webHidden/>
              </w:rPr>
              <w:fldChar w:fldCharType="begin"/>
            </w:r>
            <w:r>
              <w:rPr>
                <w:noProof/>
                <w:webHidden/>
              </w:rPr>
              <w:instrText xml:space="preserve"> PAGEREF _Toc175609878 \h </w:instrText>
            </w:r>
            <w:r>
              <w:rPr>
                <w:noProof/>
                <w:webHidden/>
              </w:rPr>
            </w:r>
            <w:r>
              <w:rPr>
                <w:noProof/>
                <w:webHidden/>
              </w:rPr>
              <w:fldChar w:fldCharType="separate"/>
            </w:r>
            <w:r>
              <w:rPr>
                <w:noProof/>
                <w:webHidden/>
              </w:rPr>
              <w:t>7</w:t>
            </w:r>
            <w:r>
              <w:rPr>
                <w:noProof/>
                <w:webHidden/>
              </w:rPr>
              <w:fldChar w:fldCharType="end"/>
            </w:r>
          </w:hyperlink>
        </w:p>
        <w:p w14:paraId="7FDF298E" w14:textId="2C988198" w:rsidR="0069410F" w:rsidRDefault="0069410F">
          <w:pPr>
            <w:pStyle w:val="TOC2"/>
            <w:tabs>
              <w:tab w:val="right" w:leader="dot" w:pos="9016"/>
            </w:tabs>
            <w:rPr>
              <w:rFonts w:eastAsiaTheme="minorEastAsia" w:cstheme="minorBidi"/>
              <w:i w:val="0"/>
              <w:iCs w:val="0"/>
              <w:noProof/>
              <w:kern w:val="2"/>
              <w:sz w:val="24"/>
              <w:szCs w:val="24"/>
              <w14:ligatures w14:val="standardContextual"/>
            </w:rPr>
          </w:pPr>
          <w:hyperlink w:anchor="_Toc175609879" w:history="1">
            <w:r w:rsidRPr="00300B97">
              <w:rPr>
                <w:rStyle w:val="Hyperlink"/>
                <w:noProof/>
              </w:rPr>
              <w:t>2.1 Descriptive Statistic</w:t>
            </w:r>
            <w:r>
              <w:rPr>
                <w:noProof/>
                <w:webHidden/>
              </w:rPr>
              <w:tab/>
            </w:r>
            <w:r>
              <w:rPr>
                <w:noProof/>
                <w:webHidden/>
              </w:rPr>
              <w:fldChar w:fldCharType="begin"/>
            </w:r>
            <w:r>
              <w:rPr>
                <w:noProof/>
                <w:webHidden/>
              </w:rPr>
              <w:instrText xml:space="preserve"> PAGEREF _Toc175609879 \h </w:instrText>
            </w:r>
            <w:r>
              <w:rPr>
                <w:noProof/>
                <w:webHidden/>
              </w:rPr>
            </w:r>
            <w:r>
              <w:rPr>
                <w:noProof/>
                <w:webHidden/>
              </w:rPr>
              <w:fldChar w:fldCharType="separate"/>
            </w:r>
            <w:r>
              <w:rPr>
                <w:noProof/>
                <w:webHidden/>
              </w:rPr>
              <w:t>7</w:t>
            </w:r>
            <w:r>
              <w:rPr>
                <w:noProof/>
                <w:webHidden/>
              </w:rPr>
              <w:fldChar w:fldCharType="end"/>
            </w:r>
          </w:hyperlink>
        </w:p>
        <w:p w14:paraId="2F4A26DF" w14:textId="724CCF3C" w:rsidR="0069410F" w:rsidRDefault="0069410F">
          <w:pPr>
            <w:pStyle w:val="TOC2"/>
            <w:tabs>
              <w:tab w:val="right" w:leader="dot" w:pos="9016"/>
            </w:tabs>
            <w:rPr>
              <w:rFonts w:eastAsiaTheme="minorEastAsia" w:cstheme="minorBidi"/>
              <w:i w:val="0"/>
              <w:iCs w:val="0"/>
              <w:noProof/>
              <w:kern w:val="2"/>
              <w:sz w:val="24"/>
              <w:szCs w:val="24"/>
              <w14:ligatures w14:val="standardContextual"/>
            </w:rPr>
          </w:pPr>
          <w:hyperlink w:anchor="_Toc175609880" w:history="1">
            <w:r w:rsidRPr="00300B97">
              <w:rPr>
                <w:rStyle w:val="Hyperlink"/>
                <w:rFonts w:ascii="Arial" w:hAnsi="Arial" w:cs="Arial"/>
                <w:b/>
                <w:bCs/>
                <w:noProof/>
              </w:rPr>
              <w:t xml:space="preserve">2.2 </w:t>
            </w:r>
            <w:r w:rsidRPr="00300B97">
              <w:rPr>
                <w:rStyle w:val="Hyperlink"/>
                <w:noProof/>
              </w:rPr>
              <w:t>Compound Annual Growth Rate (CAGR) Estimation (Calculated from Yahoo finance data – vis. APPENDIX)</w:t>
            </w:r>
            <w:r>
              <w:rPr>
                <w:noProof/>
                <w:webHidden/>
              </w:rPr>
              <w:tab/>
            </w:r>
            <w:r>
              <w:rPr>
                <w:noProof/>
                <w:webHidden/>
              </w:rPr>
              <w:fldChar w:fldCharType="begin"/>
            </w:r>
            <w:r>
              <w:rPr>
                <w:noProof/>
                <w:webHidden/>
              </w:rPr>
              <w:instrText xml:space="preserve"> PAGEREF _Toc175609880 \h </w:instrText>
            </w:r>
            <w:r>
              <w:rPr>
                <w:noProof/>
                <w:webHidden/>
              </w:rPr>
            </w:r>
            <w:r>
              <w:rPr>
                <w:noProof/>
                <w:webHidden/>
              </w:rPr>
              <w:fldChar w:fldCharType="separate"/>
            </w:r>
            <w:r>
              <w:rPr>
                <w:noProof/>
                <w:webHidden/>
              </w:rPr>
              <w:t>12</w:t>
            </w:r>
            <w:r>
              <w:rPr>
                <w:noProof/>
                <w:webHidden/>
              </w:rPr>
              <w:fldChar w:fldCharType="end"/>
            </w:r>
          </w:hyperlink>
        </w:p>
        <w:p w14:paraId="4AC1FD45" w14:textId="0A124487" w:rsidR="0069410F" w:rsidRDefault="0069410F">
          <w:pPr>
            <w:pStyle w:val="TOC2"/>
            <w:tabs>
              <w:tab w:val="right" w:leader="dot" w:pos="9016"/>
            </w:tabs>
            <w:rPr>
              <w:rFonts w:eastAsiaTheme="minorEastAsia" w:cstheme="minorBidi"/>
              <w:i w:val="0"/>
              <w:iCs w:val="0"/>
              <w:noProof/>
              <w:kern w:val="2"/>
              <w:sz w:val="24"/>
              <w:szCs w:val="24"/>
              <w14:ligatures w14:val="standardContextual"/>
            </w:rPr>
          </w:pPr>
          <w:hyperlink w:anchor="_Toc175609881" w:history="1">
            <w:r w:rsidRPr="00300B97">
              <w:rPr>
                <w:rStyle w:val="Hyperlink"/>
                <w:noProof/>
              </w:rPr>
              <w:t>2.3 Sharpe and Treynor ratios Just Eat (From PorfoliosLab.com - vis. APPENDIX)</w:t>
            </w:r>
            <w:r>
              <w:rPr>
                <w:noProof/>
                <w:webHidden/>
              </w:rPr>
              <w:tab/>
            </w:r>
            <w:r>
              <w:rPr>
                <w:noProof/>
                <w:webHidden/>
              </w:rPr>
              <w:fldChar w:fldCharType="begin"/>
            </w:r>
            <w:r>
              <w:rPr>
                <w:noProof/>
                <w:webHidden/>
              </w:rPr>
              <w:instrText xml:space="preserve"> PAGEREF _Toc175609881 \h </w:instrText>
            </w:r>
            <w:r>
              <w:rPr>
                <w:noProof/>
                <w:webHidden/>
              </w:rPr>
            </w:r>
            <w:r>
              <w:rPr>
                <w:noProof/>
                <w:webHidden/>
              </w:rPr>
              <w:fldChar w:fldCharType="separate"/>
            </w:r>
            <w:r>
              <w:rPr>
                <w:noProof/>
                <w:webHidden/>
              </w:rPr>
              <w:t>16</w:t>
            </w:r>
            <w:r>
              <w:rPr>
                <w:noProof/>
                <w:webHidden/>
              </w:rPr>
              <w:fldChar w:fldCharType="end"/>
            </w:r>
          </w:hyperlink>
        </w:p>
        <w:p w14:paraId="0F1E2C1E" w14:textId="44F555E7" w:rsidR="0069410F" w:rsidRDefault="0069410F">
          <w:pPr>
            <w:pStyle w:val="TOC1"/>
            <w:tabs>
              <w:tab w:val="right" w:leader="dot" w:pos="9016"/>
            </w:tabs>
            <w:rPr>
              <w:rFonts w:eastAsiaTheme="minorEastAsia" w:cstheme="minorBidi"/>
              <w:b w:val="0"/>
              <w:bCs w:val="0"/>
              <w:i w:val="0"/>
              <w:iCs w:val="0"/>
              <w:noProof/>
              <w:kern w:val="2"/>
              <w14:ligatures w14:val="standardContextual"/>
            </w:rPr>
          </w:pPr>
          <w:hyperlink w:anchor="_Toc175609882" w:history="1">
            <w:r w:rsidRPr="00300B97">
              <w:rPr>
                <w:rStyle w:val="Hyperlink"/>
                <w:noProof/>
              </w:rPr>
              <w:t>Second Listed company DoorDash, Inc (DASH)</w:t>
            </w:r>
            <w:r>
              <w:rPr>
                <w:noProof/>
                <w:webHidden/>
              </w:rPr>
              <w:tab/>
            </w:r>
            <w:r>
              <w:rPr>
                <w:noProof/>
                <w:webHidden/>
              </w:rPr>
              <w:fldChar w:fldCharType="begin"/>
            </w:r>
            <w:r>
              <w:rPr>
                <w:noProof/>
                <w:webHidden/>
              </w:rPr>
              <w:instrText xml:space="preserve"> PAGEREF _Toc175609882 \h </w:instrText>
            </w:r>
            <w:r>
              <w:rPr>
                <w:noProof/>
                <w:webHidden/>
              </w:rPr>
            </w:r>
            <w:r>
              <w:rPr>
                <w:noProof/>
                <w:webHidden/>
              </w:rPr>
              <w:fldChar w:fldCharType="separate"/>
            </w:r>
            <w:r>
              <w:rPr>
                <w:noProof/>
                <w:webHidden/>
              </w:rPr>
              <w:t>17</w:t>
            </w:r>
            <w:r>
              <w:rPr>
                <w:noProof/>
                <w:webHidden/>
              </w:rPr>
              <w:fldChar w:fldCharType="end"/>
            </w:r>
          </w:hyperlink>
        </w:p>
        <w:p w14:paraId="138F2B88" w14:textId="41C42804" w:rsidR="0069410F" w:rsidRDefault="0069410F">
          <w:pPr>
            <w:pStyle w:val="TOC2"/>
            <w:tabs>
              <w:tab w:val="right" w:leader="dot" w:pos="9016"/>
            </w:tabs>
            <w:rPr>
              <w:rFonts w:eastAsiaTheme="minorEastAsia" w:cstheme="minorBidi"/>
              <w:i w:val="0"/>
              <w:iCs w:val="0"/>
              <w:noProof/>
              <w:kern w:val="2"/>
              <w:sz w:val="24"/>
              <w:szCs w:val="24"/>
              <w14:ligatures w14:val="standardContextual"/>
            </w:rPr>
          </w:pPr>
          <w:hyperlink w:anchor="_Toc175609883" w:history="1">
            <w:r w:rsidRPr="00300B97">
              <w:rPr>
                <w:rStyle w:val="Hyperlink"/>
                <w:noProof/>
              </w:rPr>
              <w:t>3.1 Money call</w:t>
            </w:r>
            <w:r>
              <w:rPr>
                <w:noProof/>
                <w:webHidden/>
              </w:rPr>
              <w:tab/>
            </w:r>
            <w:r>
              <w:rPr>
                <w:noProof/>
                <w:webHidden/>
              </w:rPr>
              <w:fldChar w:fldCharType="begin"/>
            </w:r>
            <w:r>
              <w:rPr>
                <w:noProof/>
                <w:webHidden/>
              </w:rPr>
              <w:instrText xml:space="preserve"> PAGEREF _Toc175609883 \h </w:instrText>
            </w:r>
            <w:r>
              <w:rPr>
                <w:noProof/>
                <w:webHidden/>
              </w:rPr>
            </w:r>
            <w:r>
              <w:rPr>
                <w:noProof/>
                <w:webHidden/>
              </w:rPr>
              <w:fldChar w:fldCharType="separate"/>
            </w:r>
            <w:r>
              <w:rPr>
                <w:noProof/>
                <w:webHidden/>
              </w:rPr>
              <w:t>17</w:t>
            </w:r>
            <w:r>
              <w:rPr>
                <w:noProof/>
                <w:webHidden/>
              </w:rPr>
              <w:fldChar w:fldCharType="end"/>
            </w:r>
          </w:hyperlink>
        </w:p>
        <w:p w14:paraId="7685AF75" w14:textId="3AD100C6" w:rsidR="0069410F" w:rsidRDefault="0069410F">
          <w:pPr>
            <w:pStyle w:val="TOC2"/>
            <w:tabs>
              <w:tab w:val="right" w:leader="dot" w:pos="9016"/>
            </w:tabs>
            <w:rPr>
              <w:rFonts w:eastAsiaTheme="minorEastAsia" w:cstheme="minorBidi"/>
              <w:i w:val="0"/>
              <w:iCs w:val="0"/>
              <w:noProof/>
              <w:kern w:val="2"/>
              <w:sz w:val="24"/>
              <w:szCs w:val="24"/>
              <w14:ligatures w14:val="standardContextual"/>
            </w:rPr>
          </w:pPr>
          <w:hyperlink w:anchor="_Toc175609884" w:history="1">
            <w:r w:rsidRPr="00300B97">
              <w:rPr>
                <w:rStyle w:val="Hyperlink"/>
                <w:noProof/>
              </w:rPr>
              <w:t>3.2 Money put</w:t>
            </w:r>
            <w:r>
              <w:rPr>
                <w:noProof/>
                <w:webHidden/>
              </w:rPr>
              <w:tab/>
            </w:r>
            <w:r>
              <w:rPr>
                <w:noProof/>
                <w:webHidden/>
              </w:rPr>
              <w:fldChar w:fldCharType="begin"/>
            </w:r>
            <w:r>
              <w:rPr>
                <w:noProof/>
                <w:webHidden/>
              </w:rPr>
              <w:instrText xml:space="preserve"> PAGEREF _Toc175609884 \h </w:instrText>
            </w:r>
            <w:r>
              <w:rPr>
                <w:noProof/>
                <w:webHidden/>
              </w:rPr>
            </w:r>
            <w:r>
              <w:rPr>
                <w:noProof/>
                <w:webHidden/>
              </w:rPr>
              <w:fldChar w:fldCharType="separate"/>
            </w:r>
            <w:r>
              <w:rPr>
                <w:noProof/>
                <w:webHidden/>
              </w:rPr>
              <w:t>21</w:t>
            </w:r>
            <w:r>
              <w:rPr>
                <w:noProof/>
                <w:webHidden/>
              </w:rPr>
              <w:fldChar w:fldCharType="end"/>
            </w:r>
          </w:hyperlink>
        </w:p>
        <w:p w14:paraId="01A91E68" w14:textId="1E939393" w:rsidR="0069410F" w:rsidRDefault="0069410F">
          <w:pPr>
            <w:pStyle w:val="TOC2"/>
            <w:tabs>
              <w:tab w:val="right" w:leader="dot" w:pos="9016"/>
            </w:tabs>
            <w:rPr>
              <w:rFonts w:eastAsiaTheme="minorEastAsia" w:cstheme="minorBidi"/>
              <w:i w:val="0"/>
              <w:iCs w:val="0"/>
              <w:noProof/>
              <w:kern w:val="2"/>
              <w:sz w:val="24"/>
              <w:szCs w:val="24"/>
              <w14:ligatures w14:val="standardContextual"/>
            </w:rPr>
          </w:pPr>
          <w:hyperlink w:anchor="_Toc175609885" w:history="1">
            <w:r w:rsidRPr="00300B97">
              <w:rPr>
                <w:rStyle w:val="Hyperlink"/>
                <w:noProof/>
              </w:rPr>
              <w:t>3.3 Straddle Strategy</w:t>
            </w:r>
            <w:r>
              <w:rPr>
                <w:noProof/>
                <w:webHidden/>
              </w:rPr>
              <w:tab/>
            </w:r>
            <w:r>
              <w:rPr>
                <w:noProof/>
                <w:webHidden/>
              </w:rPr>
              <w:fldChar w:fldCharType="begin"/>
            </w:r>
            <w:r>
              <w:rPr>
                <w:noProof/>
                <w:webHidden/>
              </w:rPr>
              <w:instrText xml:space="preserve"> PAGEREF _Toc175609885 \h </w:instrText>
            </w:r>
            <w:r>
              <w:rPr>
                <w:noProof/>
                <w:webHidden/>
              </w:rPr>
            </w:r>
            <w:r>
              <w:rPr>
                <w:noProof/>
                <w:webHidden/>
              </w:rPr>
              <w:fldChar w:fldCharType="separate"/>
            </w:r>
            <w:r>
              <w:rPr>
                <w:noProof/>
                <w:webHidden/>
              </w:rPr>
              <w:t>22</w:t>
            </w:r>
            <w:r>
              <w:rPr>
                <w:noProof/>
                <w:webHidden/>
              </w:rPr>
              <w:fldChar w:fldCharType="end"/>
            </w:r>
          </w:hyperlink>
        </w:p>
        <w:p w14:paraId="50003BD8" w14:textId="6E3344A6" w:rsidR="0069410F" w:rsidRDefault="0069410F">
          <w:pPr>
            <w:pStyle w:val="TOC1"/>
            <w:tabs>
              <w:tab w:val="right" w:leader="dot" w:pos="9016"/>
            </w:tabs>
            <w:rPr>
              <w:rFonts w:eastAsiaTheme="minorEastAsia" w:cstheme="minorBidi"/>
              <w:b w:val="0"/>
              <w:bCs w:val="0"/>
              <w:i w:val="0"/>
              <w:iCs w:val="0"/>
              <w:noProof/>
              <w:kern w:val="2"/>
              <w14:ligatures w14:val="standardContextual"/>
            </w:rPr>
          </w:pPr>
          <w:hyperlink w:anchor="_Toc175609886" w:history="1">
            <w:r w:rsidRPr="00300B97">
              <w:rPr>
                <w:rStyle w:val="Hyperlink"/>
                <w:noProof/>
              </w:rPr>
              <w:t>10Y Note, Yield</w:t>
            </w:r>
            <w:r>
              <w:rPr>
                <w:noProof/>
                <w:webHidden/>
              </w:rPr>
              <w:tab/>
            </w:r>
            <w:r>
              <w:rPr>
                <w:noProof/>
                <w:webHidden/>
              </w:rPr>
              <w:fldChar w:fldCharType="begin"/>
            </w:r>
            <w:r>
              <w:rPr>
                <w:noProof/>
                <w:webHidden/>
              </w:rPr>
              <w:instrText xml:space="preserve"> PAGEREF _Toc175609886 \h </w:instrText>
            </w:r>
            <w:r>
              <w:rPr>
                <w:noProof/>
                <w:webHidden/>
              </w:rPr>
            </w:r>
            <w:r>
              <w:rPr>
                <w:noProof/>
                <w:webHidden/>
              </w:rPr>
              <w:fldChar w:fldCharType="separate"/>
            </w:r>
            <w:r>
              <w:rPr>
                <w:noProof/>
                <w:webHidden/>
              </w:rPr>
              <w:t>24</w:t>
            </w:r>
            <w:r>
              <w:rPr>
                <w:noProof/>
                <w:webHidden/>
              </w:rPr>
              <w:fldChar w:fldCharType="end"/>
            </w:r>
          </w:hyperlink>
        </w:p>
        <w:p w14:paraId="3404B2ED" w14:textId="6AD6594E" w:rsidR="0069410F" w:rsidRDefault="0069410F">
          <w:pPr>
            <w:pStyle w:val="TOC2"/>
            <w:tabs>
              <w:tab w:val="right" w:leader="dot" w:pos="9016"/>
            </w:tabs>
            <w:rPr>
              <w:rFonts w:eastAsiaTheme="minorEastAsia" w:cstheme="minorBidi"/>
              <w:i w:val="0"/>
              <w:iCs w:val="0"/>
              <w:noProof/>
              <w:kern w:val="2"/>
              <w:sz w:val="24"/>
              <w:szCs w:val="24"/>
              <w14:ligatures w14:val="standardContextual"/>
            </w:rPr>
          </w:pPr>
          <w:hyperlink w:anchor="_Toc175609887" w:history="1">
            <w:r w:rsidRPr="00300B97">
              <w:rPr>
                <w:rStyle w:val="Hyperlink"/>
                <w:rFonts w:ascii="ArialMT" w:hAnsi="ArialMT"/>
                <w:noProof/>
              </w:rPr>
              <w:t xml:space="preserve">4.1 </w:t>
            </w:r>
            <w:r w:rsidRPr="00300B97">
              <w:rPr>
                <w:rStyle w:val="Hyperlink"/>
                <w:noProof/>
              </w:rPr>
              <w:t>Performance of the 10-Year Treasury Note</w:t>
            </w:r>
            <w:r>
              <w:rPr>
                <w:noProof/>
                <w:webHidden/>
              </w:rPr>
              <w:tab/>
            </w:r>
            <w:r>
              <w:rPr>
                <w:noProof/>
                <w:webHidden/>
              </w:rPr>
              <w:fldChar w:fldCharType="begin"/>
            </w:r>
            <w:r>
              <w:rPr>
                <w:noProof/>
                <w:webHidden/>
              </w:rPr>
              <w:instrText xml:space="preserve"> PAGEREF _Toc175609887 \h </w:instrText>
            </w:r>
            <w:r>
              <w:rPr>
                <w:noProof/>
                <w:webHidden/>
              </w:rPr>
            </w:r>
            <w:r>
              <w:rPr>
                <w:noProof/>
                <w:webHidden/>
              </w:rPr>
              <w:fldChar w:fldCharType="separate"/>
            </w:r>
            <w:r>
              <w:rPr>
                <w:noProof/>
                <w:webHidden/>
              </w:rPr>
              <w:t>24</w:t>
            </w:r>
            <w:r>
              <w:rPr>
                <w:noProof/>
                <w:webHidden/>
              </w:rPr>
              <w:fldChar w:fldCharType="end"/>
            </w:r>
          </w:hyperlink>
        </w:p>
        <w:p w14:paraId="3350EACA" w14:textId="5613158D" w:rsidR="0069410F" w:rsidRDefault="0069410F">
          <w:pPr>
            <w:pStyle w:val="TOC2"/>
            <w:tabs>
              <w:tab w:val="right" w:leader="dot" w:pos="9016"/>
            </w:tabs>
            <w:rPr>
              <w:rFonts w:eastAsiaTheme="minorEastAsia" w:cstheme="minorBidi"/>
              <w:i w:val="0"/>
              <w:iCs w:val="0"/>
              <w:noProof/>
              <w:kern w:val="2"/>
              <w:sz w:val="24"/>
              <w:szCs w:val="24"/>
              <w14:ligatures w14:val="standardContextual"/>
            </w:rPr>
          </w:pPr>
          <w:hyperlink w:anchor="_Toc175609888" w:history="1">
            <w:r w:rsidRPr="00300B97">
              <w:rPr>
                <w:rStyle w:val="Hyperlink"/>
                <w:noProof/>
              </w:rPr>
              <w:t>4.2 Impact of Changes in the Yield on Consumer Debt</w:t>
            </w:r>
            <w:r>
              <w:rPr>
                <w:noProof/>
                <w:webHidden/>
              </w:rPr>
              <w:tab/>
            </w:r>
            <w:r>
              <w:rPr>
                <w:noProof/>
                <w:webHidden/>
              </w:rPr>
              <w:fldChar w:fldCharType="begin"/>
            </w:r>
            <w:r>
              <w:rPr>
                <w:noProof/>
                <w:webHidden/>
              </w:rPr>
              <w:instrText xml:space="preserve"> PAGEREF _Toc175609888 \h </w:instrText>
            </w:r>
            <w:r>
              <w:rPr>
                <w:noProof/>
                <w:webHidden/>
              </w:rPr>
            </w:r>
            <w:r>
              <w:rPr>
                <w:noProof/>
                <w:webHidden/>
              </w:rPr>
              <w:fldChar w:fldCharType="separate"/>
            </w:r>
            <w:r>
              <w:rPr>
                <w:noProof/>
                <w:webHidden/>
              </w:rPr>
              <w:t>27</w:t>
            </w:r>
            <w:r>
              <w:rPr>
                <w:noProof/>
                <w:webHidden/>
              </w:rPr>
              <w:fldChar w:fldCharType="end"/>
            </w:r>
          </w:hyperlink>
        </w:p>
        <w:p w14:paraId="424C262B" w14:textId="6D4C4BC2" w:rsidR="0069410F" w:rsidRDefault="0069410F">
          <w:pPr>
            <w:pStyle w:val="TOC1"/>
            <w:tabs>
              <w:tab w:val="right" w:leader="dot" w:pos="9016"/>
            </w:tabs>
            <w:rPr>
              <w:rFonts w:eastAsiaTheme="minorEastAsia" w:cstheme="minorBidi"/>
              <w:b w:val="0"/>
              <w:bCs w:val="0"/>
              <w:i w:val="0"/>
              <w:iCs w:val="0"/>
              <w:noProof/>
              <w:kern w:val="2"/>
              <w14:ligatures w14:val="standardContextual"/>
            </w:rPr>
          </w:pPr>
          <w:hyperlink w:anchor="_Toc175609889" w:history="1">
            <w:r w:rsidRPr="00300B97">
              <w:rPr>
                <w:rStyle w:val="Hyperlink"/>
                <w:noProof/>
              </w:rPr>
              <w:t>References</w:t>
            </w:r>
            <w:r>
              <w:rPr>
                <w:noProof/>
                <w:webHidden/>
              </w:rPr>
              <w:tab/>
            </w:r>
            <w:r>
              <w:rPr>
                <w:noProof/>
                <w:webHidden/>
              </w:rPr>
              <w:fldChar w:fldCharType="begin"/>
            </w:r>
            <w:r>
              <w:rPr>
                <w:noProof/>
                <w:webHidden/>
              </w:rPr>
              <w:instrText xml:space="preserve"> PAGEREF _Toc175609889 \h </w:instrText>
            </w:r>
            <w:r>
              <w:rPr>
                <w:noProof/>
                <w:webHidden/>
              </w:rPr>
            </w:r>
            <w:r>
              <w:rPr>
                <w:noProof/>
                <w:webHidden/>
              </w:rPr>
              <w:fldChar w:fldCharType="separate"/>
            </w:r>
            <w:r>
              <w:rPr>
                <w:noProof/>
                <w:webHidden/>
              </w:rPr>
              <w:t>28</w:t>
            </w:r>
            <w:r>
              <w:rPr>
                <w:noProof/>
                <w:webHidden/>
              </w:rPr>
              <w:fldChar w:fldCharType="end"/>
            </w:r>
          </w:hyperlink>
        </w:p>
        <w:p w14:paraId="7E6110D7" w14:textId="1206AF01" w:rsidR="0069410F" w:rsidRDefault="0069410F">
          <w:pPr>
            <w:pStyle w:val="TOC1"/>
            <w:tabs>
              <w:tab w:val="right" w:leader="dot" w:pos="9016"/>
            </w:tabs>
            <w:rPr>
              <w:rFonts w:eastAsiaTheme="minorEastAsia" w:cstheme="minorBidi"/>
              <w:b w:val="0"/>
              <w:bCs w:val="0"/>
              <w:i w:val="0"/>
              <w:iCs w:val="0"/>
              <w:noProof/>
              <w:kern w:val="2"/>
              <w14:ligatures w14:val="standardContextual"/>
            </w:rPr>
          </w:pPr>
          <w:hyperlink w:anchor="_Toc175609890" w:history="1">
            <w:r w:rsidRPr="00300B97">
              <w:rPr>
                <w:rStyle w:val="Hyperlink"/>
                <w:noProof/>
                <w:lang w:val="en-US"/>
              </w:rPr>
              <w:t>APPENDIX</w:t>
            </w:r>
            <w:r>
              <w:rPr>
                <w:noProof/>
                <w:webHidden/>
              </w:rPr>
              <w:tab/>
            </w:r>
            <w:r>
              <w:rPr>
                <w:noProof/>
                <w:webHidden/>
              </w:rPr>
              <w:fldChar w:fldCharType="begin"/>
            </w:r>
            <w:r>
              <w:rPr>
                <w:noProof/>
                <w:webHidden/>
              </w:rPr>
              <w:instrText xml:space="preserve"> PAGEREF _Toc175609890 \h </w:instrText>
            </w:r>
            <w:r>
              <w:rPr>
                <w:noProof/>
                <w:webHidden/>
              </w:rPr>
            </w:r>
            <w:r>
              <w:rPr>
                <w:noProof/>
                <w:webHidden/>
              </w:rPr>
              <w:fldChar w:fldCharType="separate"/>
            </w:r>
            <w:r>
              <w:rPr>
                <w:noProof/>
                <w:webHidden/>
              </w:rPr>
              <w:t>30</w:t>
            </w:r>
            <w:r>
              <w:rPr>
                <w:noProof/>
                <w:webHidden/>
              </w:rPr>
              <w:fldChar w:fldCharType="end"/>
            </w:r>
          </w:hyperlink>
        </w:p>
        <w:p w14:paraId="74F02A15" w14:textId="6CD00469" w:rsidR="0069410F" w:rsidRPr="0069410F" w:rsidRDefault="0069410F" w:rsidP="0069410F">
          <w:r>
            <w:rPr>
              <w:b/>
              <w:bCs/>
              <w:noProof/>
            </w:rPr>
            <w:fldChar w:fldCharType="end"/>
          </w:r>
        </w:p>
      </w:sdtContent>
    </w:sdt>
    <w:p w14:paraId="556A6947" w14:textId="7278F58D" w:rsidR="0069410F" w:rsidRDefault="0069410F" w:rsidP="0069410F">
      <w:pPr>
        <w:pStyle w:val="Heading1"/>
      </w:pPr>
      <w:bookmarkStart w:id="0" w:name="_Toc175609874"/>
      <w:r>
        <w:lastRenderedPageBreak/>
        <w:t>Introduction</w:t>
      </w:r>
      <w:bookmarkEnd w:id="0"/>
      <w:r>
        <w:t xml:space="preserve"> </w:t>
      </w:r>
    </w:p>
    <w:p w14:paraId="5758F6BA" w14:textId="2F21820F" w:rsidR="0069410F" w:rsidRPr="0069410F" w:rsidRDefault="0069410F" w:rsidP="00626425">
      <w:pPr>
        <w:spacing w:line="360" w:lineRule="auto"/>
        <w:rPr>
          <w:rFonts w:ascii="Arial" w:hAnsi="Arial" w:cs="Arial"/>
          <w:sz w:val="22"/>
          <w:szCs w:val="22"/>
        </w:rPr>
      </w:pPr>
      <w:r w:rsidRPr="0069410F">
        <w:rPr>
          <w:rFonts w:ascii="Arial" w:hAnsi="Arial" w:cs="Arial"/>
          <w:sz w:val="22"/>
          <w:szCs w:val="22"/>
        </w:rPr>
        <w:t xml:space="preserve">This report </w:t>
      </w:r>
      <w:r w:rsidRPr="0069410F">
        <w:rPr>
          <w:rFonts w:ascii="Arial" w:hAnsi="Arial" w:cs="Arial"/>
          <w:sz w:val="22"/>
          <w:szCs w:val="22"/>
        </w:rPr>
        <w:t>analyses</w:t>
      </w:r>
      <w:r w:rsidRPr="0069410F">
        <w:rPr>
          <w:rFonts w:ascii="Arial" w:hAnsi="Arial" w:cs="Arial"/>
          <w:sz w:val="22"/>
          <w:szCs w:val="22"/>
        </w:rPr>
        <w:t xml:space="preserve"> the financial performance and strategic decisions of Just Eat Takeaway.com, a major player in the online food delivery industry, following its merger with Takeaway.com and IPO on the London Stock Exchange. It also compares Just Eat with </w:t>
      </w:r>
      <w:proofErr w:type="spellStart"/>
      <w:r w:rsidRPr="0069410F">
        <w:rPr>
          <w:rFonts w:ascii="Arial" w:hAnsi="Arial" w:cs="Arial"/>
          <w:sz w:val="22"/>
          <w:szCs w:val="22"/>
        </w:rPr>
        <w:t>DoorDash</w:t>
      </w:r>
      <w:proofErr w:type="spellEnd"/>
      <w:r w:rsidRPr="0069410F">
        <w:rPr>
          <w:rFonts w:ascii="Arial" w:hAnsi="Arial" w:cs="Arial"/>
          <w:sz w:val="22"/>
          <w:szCs w:val="22"/>
        </w:rPr>
        <w:t>, another key competitor in the industry. Additionally, the report examines the performance of the 10-Year U.S. Treasury Note (10Y) throughout 2023 and its impact on consumer debt, highlighting how changes in the 10Y yield influence borrowing costs and economic conditions. The analysis is supported by financial data and market insights to provide a clear understanding of these critical topics.</w:t>
      </w:r>
    </w:p>
    <w:p w14:paraId="3B4EBD94" w14:textId="7A4A5FA8" w:rsidR="00626425" w:rsidRPr="00946F33" w:rsidRDefault="00BF69F2" w:rsidP="0069410F">
      <w:pPr>
        <w:pStyle w:val="Heading1"/>
      </w:pPr>
      <w:bookmarkStart w:id="1" w:name="_Toc175609875"/>
      <w:r w:rsidRPr="00946F33">
        <w:t>Just Eat</w:t>
      </w:r>
      <w:bookmarkEnd w:id="1"/>
      <w:r w:rsidR="0069410F">
        <w:t xml:space="preserve"> </w:t>
      </w:r>
    </w:p>
    <w:p w14:paraId="166B5F7C" w14:textId="1819F5B0" w:rsidR="00BF69F2" w:rsidRPr="00946F33" w:rsidRDefault="00400A58" w:rsidP="0069410F">
      <w:pPr>
        <w:pStyle w:val="Heading2"/>
      </w:pPr>
      <w:bookmarkStart w:id="2" w:name="_Toc175609876"/>
      <w:r>
        <w:t xml:space="preserve">1.1 </w:t>
      </w:r>
      <w:r w:rsidR="00BF69F2" w:rsidRPr="00946F33">
        <w:t xml:space="preserve">Company </w:t>
      </w:r>
      <w:r>
        <w:t>Overview</w:t>
      </w:r>
      <w:bookmarkEnd w:id="2"/>
      <w:r>
        <w:t xml:space="preserve"> </w:t>
      </w:r>
    </w:p>
    <w:p w14:paraId="1B7606D0" w14:textId="113FB14C" w:rsidR="00946F33" w:rsidRDefault="00946F33" w:rsidP="00626425">
      <w:pPr>
        <w:spacing w:line="360" w:lineRule="auto"/>
        <w:rPr>
          <w:rFonts w:ascii="Arial" w:hAnsi="Arial" w:cs="Arial"/>
          <w:sz w:val="22"/>
          <w:szCs w:val="22"/>
        </w:rPr>
      </w:pPr>
      <w:r w:rsidRPr="00946F33">
        <w:rPr>
          <w:rFonts w:ascii="Arial" w:hAnsi="Arial" w:cs="Arial"/>
          <w:sz w:val="22"/>
          <w:szCs w:val="22"/>
        </w:rPr>
        <w:t>Just Eat was founded in 2001 in Denmark and later expanded to the UK, where it became one of the leading online food delivery platforms</w:t>
      </w:r>
      <w:r w:rsidR="0069410F" w:rsidRPr="0069410F">
        <w:t xml:space="preserve"> </w:t>
      </w:r>
      <w:r w:rsidR="0069410F" w:rsidRPr="0069410F">
        <w:rPr>
          <w:rFonts w:ascii="Arial" w:hAnsi="Arial" w:cs="Arial"/>
          <w:sz w:val="22"/>
          <w:szCs w:val="22"/>
        </w:rPr>
        <w:t>(Just Eat Takeaway.com, n.d.)</w:t>
      </w:r>
      <w:r w:rsidRPr="00946F33">
        <w:rPr>
          <w:rFonts w:ascii="Arial" w:hAnsi="Arial" w:cs="Arial"/>
          <w:sz w:val="22"/>
          <w:szCs w:val="22"/>
        </w:rPr>
        <w:t xml:space="preserve">. The company </w:t>
      </w:r>
      <w:r>
        <w:rPr>
          <w:rFonts w:ascii="Arial" w:hAnsi="Arial" w:cs="Arial"/>
          <w:sz w:val="22"/>
          <w:szCs w:val="22"/>
        </w:rPr>
        <w:t xml:space="preserve">makes possible </w:t>
      </w:r>
      <w:r w:rsidRPr="00946F33">
        <w:rPr>
          <w:rFonts w:ascii="Arial" w:hAnsi="Arial" w:cs="Arial"/>
          <w:sz w:val="22"/>
          <w:szCs w:val="22"/>
        </w:rPr>
        <w:t xml:space="preserve">online ordering and delivery of food from local restaurants and takeaways through its website and mobile app. Just </w:t>
      </w:r>
      <w:proofErr w:type="spellStart"/>
      <w:r w:rsidRPr="00946F33">
        <w:rPr>
          <w:rFonts w:ascii="Arial" w:hAnsi="Arial" w:cs="Arial"/>
          <w:sz w:val="22"/>
          <w:szCs w:val="22"/>
        </w:rPr>
        <w:t>Eat's</w:t>
      </w:r>
      <w:proofErr w:type="spellEnd"/>
      <w:r w:rsidRPr="00946F33">
        <w:rPr>
          <w:rFonts w:ascii="Arial" w:hAnsi="Arial" w:cs="Arial"/>
          <w:sz w:val="22"/>
          <w:szCs w:val="22"/>
        </w:rPr>
        <w:t xml:space="preserve"> business model initially focused on connecting customers with restaurants that handled their own deliveries, but the company has since expanded its services to include its own delivery logistics in some markets. In 2020, Just Eat merged with Takeaway.com, forming one of the largest food delivery companies in the world, known as Just Eat Takeaway.com.</w:t>
      </w:r>
      <w:r w:rsidR="0069410F">
        <w:rPr>
          <w:rFonts w:ascii="Arial" w:hAnsi="Arial" w:cs="Arial"/>
          <w:sz w:val="22"/>
          <w:szCs w:val="22"/>
        </w:rPr>
        <w:t xml:space="preserve"> </w:t>
      </w:r>
      <w:r w:rsidR="0069410F" w:rsidRPr="0069410F">
        <w:rPr>
          <w:rFonts w:ascii="Arial" w:hAnsi="Arial" w:cs="Arial"/>
          <w:sz w:val="22"/>
          <w:szCs w:val="22"/>
        </w:rPr>
        <w:t>(</w:t>
      </w:r>
      <w:r w:rsidR="0069410F" w:rsidRPr="0069410F">
        <w:rPr>
          <w:rFonts w:ascii="Arial" w:eastAsiaTheme="minorEastAsia" w:hAnsi="Arial" w:cs="Arial"/>
          <w:sz w:val="22"/>
          <w:szCs w:val="22"/>
          <w:lang w:val="en-US"/>
        </w:rPr>
        <w:t>Justeattakeaway.com (n.d.)</w:t>
      </w:r>
      <w:r w:rsidR="0069410F">
        <w:rPr>
          <w:rFonts w:ascii="Arial" w:eastAsiaTheme="minorEastAsia" w:hAnsi="Arial" w:cs="Arial"/>
          <w:sz w:val="22"/>
          <w:szCs w:val="22"/>
          <w:lang w:val="en-US"/>
        </w:rPr>
        <w:t>.</w:t>
      </w:r>
    </w:p>
    <w:p w14:paraId="526B1F9F" w14:textId="77777777" w:rsidR="00400A58" w:rsidRDefault="00400A58" w:rsidP="00626425">
      <w:pPr>
        <w:spacing w:line="360" w:lineRule="auto"/>
        <w:rPr>
          <w:rFonts w:ascii="Arial" w:hAnsi="Arial" w:cs="Arial"/>
          <w:sz w:val="22"/>
          <w:szCs w:val="22"/>
        </w:rPr>
      </w:pPr>
    </w:p>
    <w:p w14:paraId="54A1E6F2" w14:textId="5198C61C" w:rsidR="00400A58" w:rsidRDefault="00400A58" w:rsidP="00626425">
      <w:pPr>
        <w:spacing w:line="360" w:lineRule="auto"/>
        <w:rPr>
          <w:rFonts w:ascii="Arial" w:hAnsi="Arial" w:cs="Arial"/>
          <w:sz w:val="22"/>
          <w:szCs w:val="22"/>
        </w:rPr>
      </w:pPr>
      <w:r w:rsidRPr="00400A58">
        <w:rPr>
          <w:rFonts w:ascii="Arial" w:hAnsi="Arial" w:cs="Arial"/>
          <w:sz w:val="22"/>
          <w:szCs w:val="22"/>
        </w:rPr>
        <w:t xml:space="preserve">Following the merger, the company reported a combined revenue of approximately €2.4 billion in 2020, reflecting the increased scale and reach of its operations across multiple markets (Just Eat Takeaway.com Annual Report, 2021). By 2023, Just Eat </w:t>
      </w:r>
      <w:proofErr w:type="spellStart"/>
      <w:r w:rsidRPr="00400A58">
        <w:rPr>
          <w:rFonts w:ascii="Arial" w:hAnsi="Arial" w:cs="Arial"/>
          <w:sz w:val="22"/>
          <w:szCs w:val="22"/>
        </w:rPr>
        <w:t>Takeaway.com’s</w:t>
      </w:r>
      <w:proofErr w:type="spellEnd"/>
      <w:r w:rsidRPr="00400A58">
        <w:rPr>
          <w:rFonts w:ascii="Arial" w:hAnsi="Arial" w:cs="Arial"/>
          <w:sz w:val="22"/>
          <w:szCs w:val="22"/>
        </w:rPr>
        <w:t xml:space="preserve"> revenue had grown further, reaching €5.6 billion, driven by a surge in online food ordering and expanded delivery services. However, despite the revenue growth, the company faced challenges with profitability, reporting a net loss of €1.3 billion in 2023 due to high operational costs and investments in expanding its logistics network (Just Eat Takeaway.com Annual Report, 2024).</w:t>
      </w:r>
    </w:p>
    <w:p w14:paraId="4C88D6CA" w14:textId="77777777" w:rsidR="00400A58" w:rsidRPr="00946F33" w:rsidRDefault="00400A58" w:rsidP="00626425">
      <w:pPr>
        <w:spacing w:line="360" w:lineRule="auto"/>
        <w:rPr>
          <w:rFonts w:ascii="Arial" w:hAnsi="Arial" w:cs="Arial"/>
          <w:sz w:val="22"/>
          <w:szCs w:val="22"/>
        </w:rPr>
      </w:pPr>
    </w:p>
    <w:p w14:paraId="541F0650" w14:textId="1A31A87E" w:rsidR="00946F33" w:rsidRDefault="00946F33" w:rsidP="00626425">
      <w:pPr>
        <w:spacing w:line="360" w:lineRule="auto"/>
        <w:rPr>
          <w:rFonts w:ascii="Arial" w:hAnsi="Arial" w:cs="Arial"/>
          <w:sz w:val="22"/>
          <w:szCs w:val="22"/>
        </w:rPr>
      </w:pPr>
      <w:r w:rsidRPr="00946F33">
        <w:rPr>
          <w:rFonts w:ascii="Arial" w:hAnsi="Arial" w:cs="Arial"/>
          <w:sz w:val="22"/>
          <w:szCs w:val="22"/>
        </w:rPr>
        <w:t xml:space="preserve">Just Eat operates primarily as a marketplace platform. It partners with restaurants, offering them a platform to reach a broader customer base, while customers use the Just Eat website or app to browse menus, place orders, and pay online. Just Eat generates revenue through a commission on each order, along with delivery fees when it handles logistics. The </w:t>
      </w:r>
      <w:r w:rsidRPr="00946F33">
        <w:rPr>
          <w:rFonts w:ascii="Arial" w:hAnsi="Arial" w:cs="Arial"/>
          <w:sz w:val="22"/>
          <w:szCs w:val="22"/>
        </w:rPr>
        <w:lastRenderedPageBreak/>
        <w:t>platform benefits from network effects, where the value of the service increases as more restaurants and customers join</w:t>
      </w:r>
      <w:r>
        <w:rPr>
          <w:rFonts w:ascii="Arial" w:hAnsi="Arial" w:cs="Arial"/>
          <w:sz w:val="22"/>
          <w:szCs w:val="22"/>
        </w:rPr>
        <w:t xml:space="preserve"> (justeattakeaway.com 2024). </w:t>
      </w:r>
    </w:p>
    <w:p w14:paraId="2B1A7F1A" w14:textId="77777777" w:rsidR="00400A58" w:rsidRPr="00946F33" w:rsidRDefault="00400A58" w:rsidP="00626425">
      <w:pPr>
        <w:spacing w:line="360" w:lineRule="auto"/>
        <w:rPr>
          <w:rFonts w:ascii="Arial" w:hAnsi="Arial" w:cs="Arial"/>
          <w:sz w:val="22"/>
          <w:szCs w:val="22"/>
        </w:rPr>
      </w:pPr>
    </w:p>
    <w:p w14:paraId="61589F93" w14:textId="61BC1FFF" w:rsidR="00400A58" w:rsidRPr="0069410F" w:rsidRDefault="00946F33" w:rsidP="00946F33">
      <w:pPr>
        <w:spacing w:line="360" w:lineRule="auto"/>
        <w:rPr>
          <w:rFonts w:ascii="Arial" w:eastAsiaTheme="minorEastAsia" w:hAnsi="Arial" w:cs="Arial"/>
          <w:sz w:val="22"/>
          <w:szCs w:val="22"/>
          <w:lang w:val="en-US"/>
        </w:rPr>
      </w:pPr>
      <w:r w:rsidRPr="00946F33">
        <w:rPr>
          <w:rFonts w:ascii="Arial" w:hAnsi="Arial" w:cs="Arial"/>
          <w:sz w:val="22"/>
          <w:szCs w:val="22"/>
        </w:rPr>
        <w:t xml:space="preserve">Just Eat targets a wide demographic, including </w:t>
      </w:r>
      <w:r>
        <w:rPr>
          <w:rFonts w:ascii="Arial" w:hAnsi="Arial" w:cs="Arial"/>
          <w:sz w:val="22"/>
          <w:szCs w:val="22"/>
        </w:rPr>
        <w:t>big and small city people</w:t>
      </w:r>
      <w:r w:rsidRPr="00946F33">
        <w:rPr>
          <w:rFonts w:ascii="Arial" w:hAnsi="Arial" w:cs="Arial"/>
          <w:sz w:val="22"/>
          <w:szCs w:val="22"/>
        </w:rPr>
        <w:t>, families, students, and professionals who seek convenient meal solutions</w:t>
      </w:r>
      <w:r w:rsidR="0069410F">
        <w:rPr>
          <w:rFonts w:ascii="Arial" w:hAnsi="Arial" w:cs="Arial"/>
          <w:sz w:val="22"/>
          <w:szCs w:val="22"/>
        </w:rPr>
        <w:t xml:space="preserve"> </w:t>
      </w:r>
      <w:r w:rsidR="0069410F" w:rsidRPr="0069410F">
        <w:rPr>
          <w:rFonts w:ascii="Arial" w:hAnsi="Arial" w:cs="Arial"/>
          <w:sz w:val="22"/>
          <w:szCs w:val="22"/>
        </w:rPr>
        <w:t>(Just Eat Takeaway.com, n.d.)</w:t>
      </w:r>
      <w:r w:rsidR="0069410F">
        <w:rPr>
          <w:rFonts w:ascii="Arial" w:hAnsi="Arial" w:cs="Arial"/>
          <w:sz w:val="22"/>
          <w:szCs w:val="22"/>
        </w:rPr>
        <w:t xml:space="preserve">. </w:t>
      </w:r>
      <w:r w:rsidRPr="00946F33">
        <w:rPr>
          <w:rFonts w:ascii="Arial" w:hAnsi="Arial" w:cs="Arial"/>
          <w:sz w:val="22"/>
          <w:szCs w:val="22"/>
        </w:rPr>
        <w:t xml:space="preserve">The company appeals to customers who prefer the convenience of online ordering and delivery, as well as to those looking for a variety of dining options, from fast food to more </w:t>
      </w:r>
      <w:r>
        <w:rPr>
          <w:rFonts w:ascii="Arial" w:hAnsi="Arial" w:cs="Arial"/>
          <w:sz w:val="22"/>
          <w:szCs w:val="22"/>
        </w:rPr>
        <w:t>finer dining</w:t>
      </w:r>
      <w:r w:rsidR="0069410F" w:rsidRPr="0069410F">
        <w:t xml:space="preserve"> </w:t>
      </w:r>
      <w:r w:rsidR="0069410F" w:rsidRPr="0069410F">
        <w:rPr>
          <w:rFonts w:ascii="Arial" w:hAnsi="Arial" w:cs="Arial"/>
          <w:sz w:val="22"/>
          <w:szCs w:val="22"/>
        </w:rPr>
        <w:t>(Just Eat Takeaway.com, n.d.)</w:t>
      </w:r>
      <w:r w:rsidRPr="00946F33">
        <w:rPr>
          <w:rFonts w:ascii="Arial" w:hAnsi="Arial" w:cs="Arial"/>
          <w:sz w:val="22"/>
          <w:szCs w:val="22"/>
        </w:rPr>
        <w:t>. Its services are especially popular in densely populated areas where the demand for quick and convenient food delivery is high</w:t>
      </w:r>
      <w:r w:rsidR="0069410F" w:rsidRPr="0069410F">
        <w:t xml:space="preserve"> </w:t>
      </w:r>
      <w:r w:rsidR="0069410F" w:rsidRPr="0069410F">
        <w:rPr>
          <w:rFonts w:ascii="Arial" w:hAnsi="Arial" w:cs="Arial"/>
          <w:sz w:val="22"/>
          <w:szCs w:val="22"/>
        </w:rPr>
        <w:t>(Just Eat Takeaway.com, n.d.)</w:t>
      </w:r>
      <w:r w:rsidRPr="00946F33">
        <w:rPr>
          <w:rFonts w:ascii="Arial" w:hAnsi="Arial" w:cs="Arial"/>
          <w:sz w:val="22"/>
          <w:szCs w:val="22"/>
        </w:rPr>
        <w:t>.</w:t>
      </w:r>
      <w:r w:rsidR="00400A58">
        <w:rPr>
          <w:rFonts w:ascii="Arial" w:hAnsi="Arial" w:cs="Arial"/>
          <w:sz w:val="22"/>
          <w:szCs w:val="22"/>
        </w:rPr>
        <w:t xml:space="preserve"> </w:t>
      </w:r>
      <w:r w:rsidRPr="00946F33">
        <w:rPr>
          <w:rFonts w:ascii="Arial" w:eastAsiaTheme="minorEastAsia" w:hAnsi="Arial" w:cs="Arial"/>
          <w:sz w:val="22"/>
          <w:szCs w:val="22"/>
          <w:lang w:val="en-US"/>
        </w:rPr>
        <w:t xml:space="preserve">Just </w:t>
      </w:r>
      <w:proofErr w:type="spellStart"/>
      <w:r w:rsidRPr="00946F33">
        <w:rPr>
          <w:rFonts w:ascii="Arial" w:eastAsiaTheme="minorEastAsia" w:hAnsi="Arial" w:cs="Arial"/>
          <w:sz w:val="22"/>
          <w:szCs w:val="22"/>
          <w:lang w:val="en-US"/>
        </w:rPr>
        <w:t>Eat's</w:t>
      </w:r>
      <w:proofErr w:type="spellEnd"/>
      <w:r w:rsidRPr="00946F33">
        <w:rPr>
          <w:rFonts w:ascii="Arial" w:eastAsiaTheme="minorEastAsia" w:hAnsi="Arial" w:cs="Arial"/>
          <w:sz w:val="22"/>
          <w:szCs w:val="22"/>
          <w:lang w:val="en-US"/>
        </w:rPr>
        <w:t xml:space="preserve"> USP lies in its extensive range of restaurant partners, which include both small, independent eateries and large, well-known chains. This diversity allows Just Eat to offer a wide variety of food options to suit different tastes and budgets</w:t>
      </w:r>
      <w:r w:rsidR="0069410F" w:rsidRPr="0069410F">
        <w:t xml:space="preserve"> </w:t>
      </w:r>
      <w:r w:rsidR="0069410F" w:rsidRPr="0069410F">
        <w:rPr>
          <w:rFonts w:ascii="Arial" w:eastAsiaTheme="minorEastAsia" w:hAnsi="Arial" w:cs="Arial"/>
          <w:sz w:val="22"/>
          <w:szCs w:val="22"/>
          <w:lang w:val="en-US"/>
        </w:rPr>
        <w:t>(Just Eat Takeaway.com, n.d.)</w:t>
      </w:r>
      <w:r w:rsidRPr="00946F33">
        <w:rPr>
          <w:rFonts w:ascii="Arial" w:eastAsiaTheme="minorEastAsia" w:hAnsi="Arial" w:cs="Arial"/>
          <w:sz w:val="22"/>
          <w:szCs w:val="22"/>
          <w:lang w:val="en-US"/>
        </w:rPr>
        <w:t xml:space="preserve">. Additionally, Just </w:t>
      </w:r>
      <w:proofErr w:type="spellStart"/>
      <w:r w:rsidRPr="00946F33">
        <w:rPr>
          <w:rFonts w:ascii="Arial" w:eastAsiaTheme="minorEastAsia" w:hAnsi="Arial" w:cs="Arial"/>
          <w:sz w:val="22"/>
          <w:szCs w:val="22"/>
          <w:lang w:val="en-US"/>
        </w:rPr>
        <w:t>Eat's</w:t>
      </w:r>
      <w:proofErr w:type="spellEnd"/>
      <w:r w:rsidRPr="00946F33">
        <w:rPr>
          <w:rFonts w:ascii="Arial" w:eastAsiaTheme="minorEastAsia" w:hAnsi="Arial" w:cs="Arial"/>
          <w:sz w:val="22"/>
          <w:szCs w:val="22"/>
          <w:lang w:val="en-US"/>
        </w:rPr>
        <w:t xml:space="preserve"> user-friendly platform and strong brand recognition make it a go-to choice for many customers looking for reliable and convenient food delivery services. The company's focus on partnering with </w:t>
      </w:r>
      <w:r>
        <w:rPr>
          <w:rFonts w:ascii="Arial" w:eastAsiaTheme="minorEastAsia" w:hAnsi="Arial" w:cs="Arial"/>
          <w:sz w:val="22"/>
          <w:szCs w:val="22"/>
          <w:lang w:val="en-US"/>
        </w:rPr>
        <w:t>a wide range</w:t>
      </w:r>
      <w:r w:rsidRPr="00946F33">
        <w:rPr>
          <w:rFonts w:ascii="Arial" w:eastAsiaTheme="minorEastAsia" w:hAnsi="Arial" w:cs="Arial"/>
          <w:sz w:val="22"/>
          <w:szCs w:val="22"/>
          <w:lang w:val="en-US"/>
        </w:rPr>
        <w:t xml:space="preserve"> of restaurants, combined with its efforts to integrate delivery logistics, further strengthens its competitive position in the market</w:t>
      </w:r>
      <w:r w:rsidR="0069410F" w:rsidRPr="0069410F">
        <w:t xml:space="preserve"> </w:t>
      </w:r>
      <w:r w:rsidR="0069410F" w:rsidRPr="0069410F">
        <w:rPr>
          <w:rFonts w:ascii="Arial" w:eastAsiaTheme="minorEastAsia" w:hAnsi="Arial" w:cs="Arial"/>
          <w:sz w:val="22"/>
          <w:szCs w:val="22"/>
          <w:lang w:val="en-US"/>
        </w:rPr>
        <w:t>(Just Eat Takeaway.com, n.d.)</w:t>
      </w:r>
      <w:r w:rsidRPr="00946F33">
        <w:rPr>
          <w:rFonts w:ascii="Arial" w:eastAsiaTheme="minorEastAsia" w:hAnsi="Arial" w:cs="Arial"/>
          <w:sz w:val="22"/>
          <w:szCs w:val="22"/>
          <w:lang w:val="en-US"/>
        </w:rPr>
        <w:t>.</w:t>
      </w:r>
    </w:p>
    <w:p w14:paraId="68173C88" w14:textId="633574FD" w:rsidR="00E615F4" w:rsidRPr="00400A58" w:rsidRDefault="00400A58" w:rsidP="0069410F">
      <w:pPr>
        <w:pStyle w:val="Heading2"/>
        <w:rPr>
          <w:rFonts w:eastAsiaTheme="minorEastAsia"/>
          <w:lang w:val="en-US"/>
        </w:rPr>
      </w:pPr>
      <w:bookmarkStart w:id="3" w:name="_Toc175609877"/>
      <w:r w:rsidRPr="00400A58">
        <w:rPr>
          <w:rFonts w:eastAsiaTheme="minorEastAsia"/>
          <w:lang w:val="en-US"/>
        </w:rPr>
        <w:t xml:space="preserve">1.2 </w:t>
      </w:r>
      <w:r w:rsidR="00E615F4" w:rsidRPr="00400A58">
        <w:rPr>
          <w:rFonts w:eastAsiaTheme="minorEastAsia"/>
          <w:lang w:val="en-US"/>
        </w:rPr>
        <w:t>Key Reasons Why Just Eat Went Public</w:t>
      </w:r>
      <w:bookmarkEnd w:id="3"/>
    </w:p>
    <w:p w14:paraId="7D94C18C" w14:textId="54E7FD57" w:rsidR="00946F33" w:rsidRDefault="00E615F4" w:rsidP="00E615F4">
      <w:pPr>
        <w:spacing w:line="360" w:lineRule="auto"/>
        <w:rPr>
          <w:rFonts w:ascii="Arial" w:eastAsiaTheme="minorEastAsia" w:hAnsi="Arial" w:cs="Arial"/>
          <w:sz w:val="22"/>
          <w:szCs w:val="22"/>
          <w:lang w:val="en-US"/>
        </w:rPr>
      </w:pPr>
      <w:r w:rsidRPr="00E615F4">
        <w:rPr>
          <w:rFonts w:ascii="Arial" w:eastAsiaTheme="minorEastAsia" w:hAnsi="Arial" w:cs="Arial"/>
          <w:sz w:val="22"/>
          <w:szCs w:val="22"/>
          <w:lang w:val="en-US"/>
        </w:rPr>
        <w:t xml:space="preserve">Just Eat went public through an Initial Public Offering (IPO) on the London Stock Exchange in </w:t>
      </w:r>
      <w:r w:rsidR="00400A58">
        <w:rPr>
          <w:rFonts w:ascii="Arial" w:eastAsiaTheme="minorEastAsia" w:hAnsi="Arial" w:cs="Arial"/>
          <w:sz w:val="22"/>
          <w:szCs w:val="22"/>
          <w:lang w:val="en-US"/>
        </w:rPr>
        <w:t>April 2024</w:t>
      </w:r>
      <w:r w:rsidRPr="00E615F4">
        <w:rPr>
          <w:rFonts w:ascii="Arial" w:eastAsiaTheme="minorEastAsia" w:hAnsi="Arial" w:cs="Arial"/>
          <w:sz w:val="22"/>
          <w:szCs w:val="22"/>
          <w:lang w:val="en-US"/>
        </w:rPr>
        <w:t>. The decision to go public was driven by several strategic reasons aimed at supporting the company’s growth and enhancing its market position.</w:t>
      </w:r>
    </w:p>
    <w:p w14:paraId="6248C3F0" w14:textId="77777777" w:rsidR="00400A58" w:rsidRDefault="00400A58" w:rsidP="00E615F4">
      <w:pPr>
        <w:spacing w:line="360" w:lineRule="auto"/>
        <w:rPr>
          <w:rFonts w:ascii="Arial" w:eastAsiaTheme="minorEastAsia" w:hAnsi="Arial" w:cs="Arial"/>
          <w:sz w:val="22"/>
          <w:szCs w:val="22"/>
          <w:lang w:val="en-US"/>
        </w:rPr>
      </w:pPr>
    </w:p>
    <w:p w14:paraId="1C49764F" w14:textId="12D30364" w:rsidR="00400A58" w:rsidRDefault="00400A58" w:rsidP="00E615F4">
      <w:pPr>
        <w:spacing w:line="360" w:lineRule="auto"/>
        <w:rPr>
          <w:rFonts w:ascii="Arial" w:eastAsiaTheme="minorEastAsia" w:hAnsi="Arial" w:cs="Arial"/>
          <w:sz w:val="22"/>
          <w:szCs w:val="22"/>
          <w:lang w:val="en-US"/>
        </w:rPr>
      </w:pPr>
      <w:r w:rsidRPr="00400A58">
        <w:rPr>
          <w:rFonts w:ascii="Arial" w:eastAsiaTheme="minorEastAsia" w:hAnsi="Arial" w:cs="Arial"/>
          <w:sz w:val="22"/>
          <w:szCs w:val="22"/>
          <w:lang w:val="en-US"/>
        </w:rPr>
        <w:t>One of the primary reasons Just Eat chose to go public was to raise capital to fund its expansion efforts.</w:t>
      </w:r>
      <w:r>
        <w:rPr>
          <w:rFonts w:ascii="Arial" w:eastAsiaTheme="minorEastAsia" w:hAnsi="Arial" w:cs="Arial"/>
          <w:sz w:val="22"/>
          <w:szCs w:val="22"/>
          <w:lang w:val="en-US"/>
        </w:rPr>
        <w:t xml:space="preserve"> </w:t>
      </w:r>
      <w:r w:rsidRPr="00400A58">
        <w:rPr>
          <w:rFonts w:ascii="Arial" w:eastAsiaTheme="minorEastAsia" w:hAnsi="Arial" w:cs="Arial"/>
          <w:sz w:val="22"/>
          <w:szCs w:val="22"/>
          <w:lang w:val="en-US"/>
        </w:rPr>
        <w:t xml:space="preserve">The market for online meal delivery was expanding quickly, and Just Eat required substantial funding to expand its business. </w:t>
      </w:r>
      <w:proofErr w:type="gramStart"/>
      <w:r w:rsidRPr="00400A58">
        <w:rPr>
          <w:rFonts w:ascii="Arial" w:eastAsiaTheme="minorEastAsia" w:hAnsi="Arial" w:cs="Arial"/>
          <w:sz w:val="22"/>
          <w:szCs w:val="22"/>
          <w:lang w:val="en-US"/>
        </w:rPr>
        <w:t>In order to</w:t>
      </w:r>
      <w:proofErr w:type="gramEnd"/>
      <w:r w:rsidRPr="00400A58">
        <w:rPr>
          <w:rFonts w:ascii="Arial" w:eastAsiaTheme="minorEastAsia" w:hAnsi="Arial" w:cs="Arial"/>
          <w:sz w:val="22"/>
          <w:szCs w:val="22"/>
          <w:lang w:val="en-US"/>
        </w:rPr>
        <w:t xml:space="preserve"> boost its market share, the company planned to improve its technological platform, grow into new areas, and step up its marketing initiatives with the money it obtained from the IPO. Just Eat was able to speed up its expansion plan through possible additions as well as organic growth thanks to the financial resources made available by becoming public (Just Eat Takeaway.com, 2014).</w:t>
      </w:r>
    </w:p>
    <w:p w14:paraId="17BA84AE" w14:textId="77777777" w:rsidR="00400A58" w:rsidRDefault="00400A58" w:rsidP="00E615F4">
      <w:pPr>
        <w:spacing w:line="360" w:lineRule="auto"/>
        <w:rPr>
          <w:rFonts w:ascii="Arial" w:eastAsiaTheme="minorEastAsia" w:hAnsi="Arial" w:cs="Arial"/>
          <w:sz w:val="22"/>
          <w:szCs w:val="22"/>
          <w:lang w:val="en-US"/>
        </w:rPr>
      </w:pPr>
    </w:p>
    <w:p w14:paraId="5DA5A3AE" w14:textId="31011387" w:rsidR="00400A58" w:rsidRDefault="00400A58" w:rsidP="00E615F4">
      <w:pPr>
        <w:spacing w:line="360" w:lineRule="auto"/>
        <w:rPr>
          <w:rFonts w:ascii="Arial" w:eastAsiaTheme="minorEastAsia" w:hAnsi="Arial" w:cs="Arial"/>
          <w:sz w:val="22"/>
          <w:szCs w:val="22"/>
          <w:lang w:val="en-US"/>
        </w:rPr>
      </w:pPr>
      <w:r w:rsidRPr="00400A58">
        <w:rPr>
          <w:rFonts w:ascii="Arial" w:eastAsiaTheme="minorEastAsia" w:hAnsi="Arial" w:cs="Arial"/>
          <w:sz w:val="22"/>
          <w:szCs w:val="22"/>
          <w:lang w:val="en-US"/>
        </w:rPr>
        <w:t xml:space="preserve">Going public also allowed Just Eat to strengthen its position in the increasingly competitive online food delivery market. By becoming a publicly traded company, Just Eat was able to </w:t>
      </w:r>
      <w:r>
        <w:rPr>
          <w:rFonts w:ascii="Arial" w:eastAsiaTheme="minorEastAsia" w:hAnsi="Arial" w:cs="Arial"/>
          <w:sz w:val="22"/>
          <w:szCs w:val="22"/>
          <w:lang w:val="en-US"/>
        </w:rPr>
        <w:t xml:space="preserve">improve </w:t>
      </w:r>
      <w:r w:rsidRPr="00400A58">
        <w:rPr>
          <w:rFonts w:ascii="Arial" w:eastAsiaTheme="minorEastAsia" w:hAnsi="Arial" w:cs="Arial"/>
          <w:sz w:val="22"/>
          <w:szCs w:val="22"/>
          <w:lang w:val="en-US"/>
        </w:rPr>
        <w:t>its brand visibility and credibility, which was crucial for securing partnerships with more restaurants and attracting a larger customer base.</w:t>
      </w:r>
      <w:r>
        <w:rPr>
          <w:rFonts w:ascii="Arial" w:eastAsiaTheme="minorEastAsia" w:hAnsi="Arial" w:cs="Arial"/>
          <w:sz w:val="22"/>
          <w:szCs w:val="22"/>
          <w:lang w:val="en-US"/>
        </w:rPr>
        <w:t xml:space="preserve"> </w:t>
      </w:r>
      <w:r w:rsidRPr="00400A58">
        <w:rPr>
          <w:rFonts w:ascii="Arial" w:eastAsiaTheme="minorEastAsia" w:hAnsi="Arial" w:cs="Arial"/>
          <w:sz w:val="22"/>
          <w:szCs w:val="22"/>
          <w:lang w:val="en-US"/>
        </w:rPr>
        <w:t xml:space="preserve">By providing access to financial markets for future fundraising—which would be required to invest in new technology and </w:t>
      </w:r>
      <w:r w:rsidRPr="00400A58">
        <w:rPr>
          <w:rFonts w:ascii="Arial" w:eastAsiaTheme="minorEastAsia" w:hAnsi="Arial" w:cs="Arial"/>
          <w:sz w:val="22"/>
          <w:szCs w:val="22"/>
          <w:lang w:val="en-US"/>
        </w:rPr>
        <w:lastRenderedPageBreak/>
        <w:t>services, including its own delivery logistics—the IPO also put Just Eat in a stronger position to compete with competitors like Uber Eats and Deliveroo (Financial Times, 2014).</w:t>
      </w:r>
      <w:r>
        <w:rPr>
          <w:rFonts w:ascii="Arial" w:eastAsiaTheme="minorEastAsia" w:hAnsi="Arial" w:cs="Arial"/>
          <w:sz w:val="22"/>
          <w:szCs w:val="22"/>
          <w:lang w:val="en-US"/>
        </w:rPr>
        <w:t xml:space="preserve"> </w:t>
      </w:r>
    </w:p>
    <w:p w14:paraId="4915725E" w14:textId="77777777" w:rsidR="00400A58" w:rsidRDefault="00400A58" w:rsidP="00E615F4">
      <w:pPr>
        <w:spacing w:line="360" w:lineRule="auto"/>
        <w:rPr>
          <w:rFonts w:ascii="Arial" w:eastAsiaTheme="minorEastAsia" w:hAnsi="Arial" w:cs="Arial"/>
          <w:sz w:val="22"/>
          <w:szCs w:val="22"/>
          <w:lang w:val="en-US"/>
        </w:rPr>
      </w:pPr>
    </w:p>
    <w:p w14:paraId="20802519" w14:textId="1AB07A26" w:rsidR="00400A58" w:rsidRDefault="00400A58" w:rsidP="00E615F4">
      <w:pPr>
        <w:spacing w:line="360" w:lineRule="auto"/>
        <w:rPr>
          <w:rFonts w:ascii="Arial" w:eastAsiaTheme="minorEastAsia" w:hAnsi="Arial" w:cs="Arial"/>
          <w:sz w:val="22"/>
          <w:szCs w:val="22"/>
          <w:lang w:val="en-US"/>
        </w:rPr>
      </w:pPr>
      <w:r>
        <w:rPr>
          <w:rFonts w:ascii="Arial" w:eastAsiaTheme="minorEastAsia" w:hAnsi="Arial" w:cs="Arial"/>
          <w:sz w:val="22"/>
          <w:szCs w:val="22"/>
          <w:lang w:val="en-US"/>
        </w:rPr>
        <w:t xml:space="preserve">Another important reason was liquidity. </w:t>
      </w:r>
      <w:r w:rsidRPr="00400A58">
        <w:rPr>
          <w:rFonts w:ascii="Arial" w:eastAsiaTheme="minorEastAsia" w:hAnsi="Arial" w:cs="Arial"/>
          <w:sz w:val="22"/>
          <w:szCs w:val="22"/>
          <w:lang w:val="en-US"/>
        </w:rPr>
        <w:t>The IPO provided an opportunity for early investors, founders, and employees to realize the value of their equity in the company.</w:t>
      </w:r>
      <w:r>
        <w:rPr>
          <w:rFonts w:ascii="Arial" w:eastAsiaTheme="minorEastAsia" w:hAnsi="Arial" w:cs="Arial"/>
          <w:sz w:val="22"/>
          <w:szCs w:val="22"/>
          <w:lang w:val="en-US"/>
        </w:rPr>
        <w:t xml:space="preserve"> </w:t>
      </w:r>
      <w:r w:rsidRPr="00400A58">
        <w:rPr>
          <w:rFonts w:ascii="Arial" w:eastAsiaTheme="minorEastAsia" w:hAnsi="Arial" w:cs="Arial"/>
          <w:sz w:val="22"/>
          <w:szCs w:val="22"/>
          <w:lang w:val="en-US"/>
        </w:rPr>
        <w:t xml:space="preserve">Going public created a liquid market for Just </w:t>
      </w:r>
      <w:proofErr w:type="spellStart"/>
      <w:r w:rsidRPr="00400A58">
        <w:rPr>
          <w:rFonts w:ascii="Arial" w:eastAsiaTheme="minorEastAsia" w:hAnsi="Arial" w:cs="Arial"/>
          <w:sz w:val="22"/>
          <w:szCs w:val="22"/>
          <w:lang w:val="en-US"/>
        </w:rPr>
        <w:t>Eat’s</w:t>
      </w:r>
      <w:proofErr w:type="spellEnd"/>
      <w:r w:rsidRPr="00400A58">
        <w:rPr>
          <w:rFonts w:ascii="Arial" w:eastAsiaTheme="minorEastAsia" w:hAnsi="Arial" w:cs="Arial"/>
          <w:sz w:val="22"/>
          <w:szCs w:val="22"/>
          <w:lang w:val="en-US"/>
        </w:rPr>
        <w:t xml:space="preserve"> shares, allowing these stakeholders to sell some or </w:t>
      </w:r>
      <w:proofErr w:type="gramStart"/>
      <w:r w:rsidRPr="00400A58">
        <w:rPr>
          <w:rFonts w:ascii="Arial" w:eastAsiaTheme="minorEastAsia" w:hAnsi="Arial" w:cs="Arial"/>
          <w:sz w:val="22"/>
          <w:szCs w:val="22"/>
          <w:lang w:val="en-US"/>
        </w:rPr>
        <w:t>all of</w:t>
      </w:r>
      <w:proofErr w:type="gramEnd"/>
      <w:r w:rsidRPr="00400A58">
        <w:rPr>
          <w:rFonts w:ascii="Arial" w:eastAsiaTheme="minorEastAsia" w:hAnsi="Arial" w:cs="Arial"/>
          <w:sz w:val="22"/>
          <w:szCs w:val="22"/>
          <w:lang w:val="en-US"/>
        </w:rPr>
        <w:t xml:space="preserve"> their shares and realize returns on their investments.</w:t>
      </w:r>
      <w:r>
        <w:rPr>
          <w:rFonts w:ascii="Arial" w:eastAsiaTheme="minorEastAsia" w:hAnsi="Arial" w:cs="Arial"/>
          <w:sz w:val="22"/>
          <w:szCs w:val="22"/>
          <w:lang w:val="en-US"/>
        </w:rPr>
        <w:t xml:space="preserve"> </w:t>
      </w:r>
      <w:r w:rsidRPr="00400A58">
        <w:rPr>
          <w:rFonts w:ascii="Arial" w:eastAsiaTheme="minorEastAsia" w:hAnsi="Arial" w:cs="Arial"/>
          <w:sz w:val="22"/>
          <w:szCs w:val="22"/>
          <w:lang w:val="en-US"/>
        </w:rPr>
        <w:t>Private equity investors who had funded Just Eat in its early stages and were hoping to withdraw their investment with significant profits found this liquidity event very appealing (London Stock Exchange, 2014).</w:t>
      </w:r>
      <w:r>
        <w:rPr>
          <w:rFonts w:ascii="Arial" w:eastAsiaTheme="minorEastAsia" w:hAnsi="Arial" w:cs="Arial"/>
          <w:sz w:val="22"/>
          <w:szCs w:val="22"/>
          <w:lang w:val="en-US"/>
        </w:rPr>
        <w:t xml:space="preserve"> </w:t>
      </w:r>
    </w:p>
    <w:p w14:paraId="7012BA93" w14:textId="77777777" w:rsidR="00400A58" w:rsidRDefault="00400A58" w:rsidP="00E615F4">
      <w:pPr>
        <w:spacing w:line="360" w:lineRule="auto"/>
        <w:rPr>
          <w:rFonts w:ascii="Arial" w:eastAsiaTheme="minorEastAsia" w:hAnsi="Arial" w:cs="Arial"/>
          <w:sz w:val="22"/>
          <w:szCs w:val="22"/>
          <w:lang w:val="en-US"/>
        </w:rPr>
      </w:pPr>
    </w:p>
    <w:p w14:paraId="4288DA12" w14:textId="66C65718" w:rsidR="00400A58" w:rsidRDefault="00400A58" w:rsidP="00E615F4">
      <w:pPr>
        <w:spacing w:line="360" w:lineRule="auto"/>
        <w:rPr>
          <w:rFonts w:ascii="Arial" w:eastAsiaTheme="minorEastAsia" w:hAnsi="Arial" w:cs="Arial"/>
          <w:sz w:val="22"/>
          <w:szCs w:val="22"/>
          <w:lang w:val="en-US"/>
        </w:rPr>
      </w:pPr>
      <w:r w:rsidRPr="00400A58">
        <w:rPr>
          <w:rFonts w:ascii="Arial" w:eastAsiaTheme="minorEastAsia" w:hAnsi="Arial" w:cs="Arial"/>
          <w:sz w:val="22"/>
          <w:szCs w:val="22"/>
          <w:lang w:val="en-US"/>
        </w:rPr>
        <w:t>Just Eat was likewise subject to more responsibility and transparency after becoming public.</w:t>
      </w:r>
      <w:r>
        <w:rPr>
          <w:rFonts w:ascii="Arial" w:eastAsiaTheme="minorEastAsia" w:hAnsi="Arial" w:cs="Arial"/>
          <w:sz w:val="22"/>
          <w:szCs w:val="22"/>
          <w:lang w:val="en-US"/>
        </w:rPr>
        <w:t xml:space="preserve"> </w:t>
      </w:r>
      <w:r w:rsidRPr="00400A58">
        <w:rPr>
          <w:rFonts w:ascii="Arial" w:eastAsiaTheme="minorEastAsia" w:hAnsi="Arial" w:cs="Arial"/>
          <w:sz w:val="22"/>
          <w:szCs w:val="22"/>
          <w:lang w:val="en-US"/>
        </w:rPr>
        <w:t>As a public company, Just Eat was required to adhere to strict regulatory requirements, including regular financial reporting and corporate governance standards.</w:t>
      </w:r>
      <w:r>
        <w:rPr>
          <w:rFonts w:ascii="Arial" w:eastAsiaTheme="minorEastAsia" w:hAnsi="Arial" w:cs="Arial"/>
          <w:sz w:val="22"/>
          <w:szCs w:val="22"/>
          <w:lang w:val="en-US"/>
        </w:rPr>
        <w:t xml:space="preserve"> </w:t>
      </w:r>
      <w:r w:rsidRPr="00400A58">
        <w:rPr>
          <w:rFonts w:ascii="Arial" w:eastAsiaTheme="minorEastAsia" w:hAnsi="Arial" w:cs="Arial"/>
          <w:sz w:val="22"/>
          <w:szCs w:val="22"/>
          <w:lang w:val="en-US"/>
        </w:rPr>
        <w:t xml:space="preserve">The goal of this more transparent approach was to gain the trust of partners, consumers, and investors </w:t>
      </w:r>
      <w:proofErr w:type="gramStart"/>
      <w:r w:rsidRPr="00400A58">
        <w:rPr>
          <w:rFonts w:ascii="Arial" w:eastAsiaTheme="minorEastAsia" w:hAnsi="Arial" w:cs="Arial"/>
          <w:sz w:val="22"/>
          <w:szCs w:val="22"/>
          <w:lang w:val="en-US"/>
        </w:rPr>
        <w:t>in order to</w:t>
      </w:r>
      <w:proofErr w:type="gramEnd"/>
      <w:r w:rsidRPr="00400A58">
        <w:rPr>
          <w:rFonts w:ascii="Arial" w:eastAsiaTheme="minorEastAsia" w:hAnsi="Arial" w:cs="Arial"/>
          <w:sz w:val="22"/>
          <w:szCs w:val="22"/>
          <w:lang w:val="en-US"/>
        </w:rPr>
        <w:t xml:space="preserve"> improve the company's long-term reputation and stability in the marketplace (Just Eat Takeaway.com, 2014).</w:t>
      </w:r>
    </w:p>
    <w:p w14:paraId="33A8EED8" w14:textId="77777777" w:rsidR="00417480" w:rsidRPr="00400A58" w:rsidRDefault="00417480"/>
    <w:p w14:paraId="75C1D154" w14:textId="255DA9AE" w:rsidR="00E615F4" w:rsidRDefault="00400A58" w:rsidP="00E615F4">
      <w:pPr>
        <w:rPr>
          <w:rFonts w:ascii="Arial" w:hAnsi="Arial" w:cs="Arial"/>
          <w:b/>
          <w:bCs/>
          <w:sz w:val="22"/>
          <w:szCs w:val="22"/>
        </w:rPr>
      </w:pPr>
      <w:r>
        <w:rPr>
          <w:rFonts w:ascii="Arial" w:hAnsi="Arial" w:cs="Arial"/>
          <w:b/>
          <w:bCs/>
          <w:sz w:val="22"/>
          <w:szCs w:val="22"/>
        </w:rPr>
        <w:t xml:space="preserve">1.3 </w:t>
      </w:r>
      <w:r w:rsidR="00E615F4" w:rsidRPr="00400A58">
        <w:rPr>
          <w:rFonts w:ascii="Arial" w:hAnsi="Arial" w:cs="Arial"/>
          <w:b/>
          <w:bCs/>
          <w:sz w:val="22"/>
          <w:szCs w:val="22"/>
        </w:rPr>
        <w:t xml:space="preserve">Key Risks from Just </w:t>
      </w:r>
      <w:proofErr w:type="spellStart"/>
      <w:r w:rsidR="00E615F4" w:rsidRPr="00400A58">
        <w:rPr>
          <w:rFonts w:ascii="Arial" w:hAnsi="Arial" w:cs="Arial"/>
          <w:b/>
          <w:bCs/>
          <w:sz w:val="22"/>
          <w:szCs w:val="22"/>
        </w:rPr>
        <w:t>Eat’s</w:t>
      </w:r>
      <w:proofErr w:type="spellEnd"/>
      <w:r w:rsidR="00E615F4" w:rsidRPr="00400A58">
        <w:rPr>
          <w:rFonts w:ascii="Arial" w:hAnsi="Arial" w:cs="Arial"/>
          <w:b/>
          <w:bCs/>
          <w:sz w:val="22"/>
          <w:szCs w:val="22"/>
        </w:rPr>
        <w:t xml:space="preserve"> </w:t>
      </w:r>
      <w:r w:rsidR="0069410F">
        <w:rPr>
          <w:rFonts w:ascii="Arial" w:hAnsi="Arial" w:cs="Arial"/>
          <w:b/>
          <w:bCs/>
          <w:sz w:val="22"/>
          <w:szCs w:val="22"/>
        </w:rPr>
        <w:t xml:space="preserve">Published </w:t>
      </w:r>
      <w:r>
        <w:rPr>
          <w:rFonts w:ascii="Arial" w:hAnsi="Arial" w:cs="Arial"/>
          <w:b/>
          <w:bCs/>
          <w:sz w:val="22"/>
          <w:szCs w:val="22"/>
        </w:rPr>
        <w:t xml:space="preserve">Prospectus </w:t>
      </w:r>
      <w:r w:rsidR="00E615F4" w:rsidRPr="00400A58">
        <w:rPr>
          <w:rFonts w:ascii="Arial" w:hAnsi="Arial" w:cs="Arial"/>
          <w:b/>
          <w:bCs/>
          <w:sz w:val="22"/>
          <w:szCs w:val="22"/>
        </w:rPr>
        <w:t>Filing and Valuation Context</w:t>
      </w:r>
      <w:r w:rsidR="0069410F">
        <w:rPr>
          <w:rFonts w:ascii="Arial" w:hAnsi="Arial" w:cs="Arial"/>
          <w:b/>
          <w:bCs/>
          <w:sz w:val="22"/>
          <w:szCs w:val="22"/>
        </w:rPr>
        <w:t xml:space="preserve">  </w:t>
      </w:r>
    </w:p>
    <w:p w14:paraId="51A15A8D" w14:textId="0840F916" w:rsidR="0069410F" w:rsidRPr="0069410F" w:rsidRDefault="0069410F" w:rsidP="00E615F4">
      <w:pPr>
        <w:rPr>
          <w:rFonts w:ascii="Arial" w:hAnsi="Arial" w:cs="Arial"/>
          <w:sz w:val="22"/>
          <w:szCs w:val="22"/>
        </w:rPr>
      </w:pPr>
      <w:r>
        <w:rPr>
          <w:rFonts w:ascii="Arial" w:hAnsi="Arial" w:cs="Arial"/>
          <w:sz w:val="22"/>
          <w:szCs w:val="22"/>
        </w:rPr>
        <w:t xml:space="preserve">(Just Eat did not fill S-1 when becoming public, Prospectus used as </w:t>
      </w:r>
      <w:proofErr w:type="gramStart"/>
      <w:r>
        <w:rPr>
          <w:rFonts w:ascii="Arial" w:hAnsi="Arial" w:cs="Arial"/>
          <w:sz w:val="22"/>
          <w:szCs w:val="22"/>
        </w:rPr>
        <w:t>an</w:t>
      </w:r>
      <w:proofErr w:type="gramEnd"/>
      <w:r>
        <w:rPr>
          <w:rFonts w:ascii="Arial" w:hAnsi="Arial" w:cs="Arial"/>
          <w:sz w:val="22"/>
          <w:szCs w:val="22"/>
        </w:rPr>
        <w:t xml:space="preserve"> substitute, providing same or similar data) </w:t>
      </w:r>
    </w:p>
    <w:p w14:paraId="7E977B67" w14:textId="77777777" w:rsidR="00400A58" w:rsidRDefault="00400A58" w:rsidP="00E615F4">
      <w:pPr>
        <w:rPr>
          <w:rFonts w:ascii="Arial" w:hAnsi="Arial" w:cs="Arial"/>
          <w:sz w:val="22"/>
          <w:szCs w:val="22"/>
        </w:rPr>
      </w:pPr>
    </w:p>
    <w:p w14:paraId="63C463FB" w14:textId="2E80DEE7" w:rsidR="00400A58" w:rsidRDefault="00400A58" w:rsidP="00400A58">
      <w:pPr>
        <w:spacing w:line="360" w:lineRule="auto"/>
        <w:rPr>
          <w:rFonts w:ascii="Arial" w:hAnsi="Arial" w:cs="Arial"/>
          <w:sz w:val="22"/>
          <w:szCs w:val="22"/>
        </w:rPr>
      </w:pPr>
      <w:r w:rsidRPr="00400A58">
        <w:rPr>
          <w:rFonts w:ascii="Arial" w:hAnsi="Arial" w:cs="Arial"/>
          <w:sz w:val="22"/>
          <w:szCs w:val="22"/>
        </w:rPr>
        <w:t>When Just Eat filed for its IPO in 201</w:t>
      </w:r>
      <w:r>
        <w:rPr>
          <w:rFonts w:ascii="Arial" w:hAnsi="Arial" w:cs="Arial"/>
          <w:sz w:val="22"/>
          <w:szCs w:val="22"/>
        </w:rPr>
        <w:t>4</w:t>
      </w:r>
      <w:r w:rsidRPr="00400A58">
        <w:rPr>
          <w:rFonts w:ascii="Arial" w:hAnsi="Arial" w:cs="Arial"/>
          <w:sz w:val="22"/>
          <w:szCs w:val="22"/>
        </w:rPr>
        <w:t xml:space="preserve">, it outlined several critical risks that could significantly influence its operations and valuation. One of the primary concerns was regulatory risk, as Just Eat operates within a heavily regulated environment, dealing with stringent rules around food safety, data protection, and </w:t>
      </w:r>
      <w:r w:rsidRPr="00400A58">
        <w:rPr>
          <w:rFonts w:ascii="Arial" w:hAnsi="Arial" w:cs="Arial"/>
          <w:sz w:val="22"/>
          <w:szCs w:val="22"/>
        </w:rPr>
        <w:t>labour</w:t>
      </w:r>
      <w:r w:rsidRPr="00400A58">
        <w:rPr>
          <w:rFonts w:ascii="Arial" w:hAnsi="Arial" w:cs="Arial"/>
          <w:sz w:val="22"/>
          <w:szCs w:val="22"/>
        </w:rPr>
        <w:t xml:space="preserve"> laws</w:t>
      </w:r>
      <w:r>
        <w:rPr>
          <w:rFonts w:ascii="Arial" w:hAnsi="Arial" w:cs="Arial"/>
          <w:sz w:val="22"/>
          <w:szCs w:val="22"/>
        </w:rPr>
        <w:t xml:space="preserve"> as well as competitors. </w:t>
      </w:r>
    </w:p>
    <w:p w14:paraId="601DAFF3" w14:textId="77777777" w:rsidR="0069410F" w:rsidRDefault="0069410F" w:rsidP="00400A58">
      <w:pPr>
        <w:spacing w:line="360" w:lineRule="auto"/>
        <w:rPr>
          <w:rFonts w:ascii="Arial" w:hAnsi="Arial" w:cs="Arial"/>
          <w:sz w:val="22"/>
          <w:szCs w:val="22"/>
        </w:rPr>
      </w:pPr>
    </w:p>
    <w:p w14:paraId="199D63B9" w14:textId="627CFB21" w:rsidR="0069410F" w:rsidRDefault="0069410F" w:rsidP="00400A58">
      <w:pPr>
        <w:spacing w:line="360" w:lineRule="auto"/>
        <w:rPr>
          <w:rFonts w:ascii="Arial" w:hAnsi="Arial" w:cs="Arial"/>
          <w:sz w:val="22"/>
          <w:szCs w:val="22"/>
        </w:rPr>
      </w:pPr>
      <w:r>
        <w:rPr>
          <w:rFonts w:ascii="Arial" w:hAnsi="Arial" w:cs="Arial"/>
          <w:sz w:val="22"/>
          <w:szCs w:val="22"/>
        </w:rPr>
        <w:t xml:space="preserve">This graph is based on Just Eat published Prospectus Filling (since Just eat never filled S-1 when becoming public) - </w:t>
      </w:r>
      <w:r w:rsidRPr="0069410F">
        <w:rPr>
          <w:rFonts w:ascii="Arial" w:hAnsi="Arial" w:cs="Arial"/>
          <w:sz w:val="22"/>
          <w:szCs w:val="22"/>
        </w:rPr>
        <w:t xml:space="preserve">graph illustrating the probability of key risks affecting Just Eat. The risk categories include Regulatory Risks, Competition, and Technology &amp; Data Security Risks. The probabilities reflect moderate to high risks for these categories, impacting Just </w:t>
      </w:r>
      <w:proofErr w:type="spellStart"/>
      <w:r w:rsidRPr="0069410F">
        <w:rPr>
          <w:rFonts w:ascii="Arial" w:hAnsi="Arial" w:cs="Arial"/>
          <w:sz w:val="22"/>
          <w:szCs w:val="22"/>
        </w:rPr>
        <w:t>Eat's</w:t>
      </w:r>
      <w:proofErr w:type="spellEnd"/>
      <w:r w:rsidRPr="0069410F">
        <w:rPr>
          <w:rFonts w:ascii="Arial" w:hAnsi="Arial" w:cs="Arial"/>
          <w:sz w:val="22"/>
          <w:szCs w:val="22"/>
        </w:rPr>
        <w:t xml:space="preserve"> operations and valuation.</w:t>
      </w:r>
      <w:r>
        <w:rPr>
          <w:rFonts w:ascii="Arial" w:hAnsi="Arial" w:cs="Arial"/>
          <w:sz w:val="22"/>
          <w:szCs w:val="22"/>
        </w:rPr>
        <w:t xml:space="preserve"> </w:t>
      </w:r>
    </w:p>
    <w:p w14:paraId="1F8028AA" w14:textId="6F49D3AA" w:rsidR="0069410F" w:rsidRDefault="0069410F" w:rsidP="0069410F">
      <w:pPr>
        <w:pStyle w:val="Caption"/>
        <w:keepNext/>
      </w:pPr>
      <w:r>
        <w:lastRenderedPageBreak/>
        <w:t xml:space="preserve">Figure </w:t>
      </w:r>
      <w:r>
        <w:fldChar w:fldCharType="begin"/>
      </w:r>
      <w:r>
        <w:instrText xml:space="preserve"> SEQ Figure \* ARABIC </w:instrText>
      </w:r>
      <w:r>
        <w:fldChar w:fldCharType="separate"/>
      </w:r>
      <w:r>
        <w:rPr>
          <w:noProof/>
        </w:rPr>
        <w:t>1</w:t>
      </w:r>
      <w:r>
        <w:fldChar w:fldCharType="end"/>
      </w:r>
      <w:r>
        <w:t xml:space="preserve"> </w:t>
      </w:r>
      <w:r w:rsidRPr="00C16A66">
        <w:t xml:space="preserve">graph  based on Just Eat published Prospectus Filling </w:t>
      </w:r>
      <w:r>
        <w:t>(source: Author)</w:t>
      </w:r>
    </w:p>
    <w:p w14:paraId="24D3CC16" w14:textId="506CA5B0" w:rsidR="0069410F" w:rsidRDefault="0069410F" w:rsidP="00400A58">
      <w:pPr>
        <w:spacing w:line="360" w:lineRule="auto"/>
        <w:rPr>
          <w:rFonts w:ascii="Arial" w:hAnsi="Arial" w:cs="Arial"/>
          <w:sz w:val="22"/>
          <w:szCs w:val="22"/>
        </w:rPr>
      </w:pPr>
      <w:r>
        <w:rPr>
          <w:rFonts w:ascii="Arial" w:hAnsi="Arial" w:cs="Arial"/>
          <w:noProof/>
          <w:sz w:val="22"/>
          <w:szCs w:val="22"/>
          <w14:ligatures w14:val="standardContextual"/>
        </w:rPr>
        <w:drawing>
          <wp:inline distT="0" distB="0" distL="0" distR="0" wp14:anchorId="731D43F3" wp14:editId="7BE53A49">
            <wp:extent cx="5019261" cy="3242557"/>
            <wp:effectExtent l="0" t="0" r="0" b="0"/>
            <wp:docPr id="837563049" name="Picture 23" descr="A graph of a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563049" name="Picture 23" descr="A graph of a bar 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55863" cy="3266203"/>
                    </a:xfrm>
                    <a:prstGeom prst="rect">
                      <a:avLst/>
                    </a:prstGeom>
                  </pic:spPr>
                </pic:pic>
              </a:graphicData>
            </a:graphic>
          </wp:inline>
        </w:drawing>
      </w:r>
    </w:p>
    <w:p w14:paraId="142E2EB7" w14:textId="673DEB0A" w:rsidR="00400A58" w:rsidRDefault="00400A58" w:rsidP="00400A58">
      <w:pPr>
        <w:spacing w:line="360" w:lineRule="auto"/>
        <w:rPr>
          <w:rFonts w:ascii="Arial" w:hAnsi="Arial" w:cs="Arial"/>
          <w:sz w:val="22"/>
          <w:szCs w:val="22"/>
        </w:rPr>
      </w:pPr>
    </w:p>
    <w:p w14:paraId="2C9660E5" w14:textId="73240643" w:rsidR="00400A58" w:rsidRPr="00400A58" w:rsidRDefault="00400A58" w:rsidP="00400A58">
      <w:pPr>
        <w:spacing w:line="360" w:lineRule="auto"/>
        <w:rPr>
          <w:rFonts w:ascii="Arial" w:hAnsi="Arial" w:cs="Arial"/>
          <w:sz w:val="22"/>
          <w:szCs w:val="22"/>
          <w:u w:val="single"/>
        </w:rPr>
      </w:pPr>
      <w:r w:rsidRPr="00400A58">
        <w:rPr>
          <w:rFonts w:ascii="Arial" w:hAnsi="Arial" w:cs="Arial"/>
          <w:sz w:val="22"/>
          <w:szCs w:val="22"/>
          <w:u w:val="single"/>
        </w:rPr>
        <w:t xml:space="preserve">Regulatory Risks </w:t>
      </w:r>
    </w:p>
    <w:p w14:paraId="56B8E96B" w14:textId="3251ACAD" w:rsidR="00400A58" w:rsidRDefault="00400A58" w:rsidP="00400A58">
      <w:pPr>
        <w:spacing w:line="360" w:lineRule="auto"/>
        <w:rPr>
          <w:rFonts w:ascii="Arial" w:hAnsi="Arial" w:cs="Arial"/>
          <w:sz w:val="22"/>
          <w:szCs w:val="22"/>
        </w:rPr>
      </w:pPr>
      <w:r w:rsidRPr="00400A58">
        <w:rPr>
          <w:rFonts w:ascii="Arial" w:hAnsi="Arial" w:cs="Arial"/>
          <w:sz w:val="22"/>
          <w:szCs w:val="22"/>
        </w:rPr>
        <w:t>Probability of Occurrence: Moderate to High</w:t>
      </w:r>
    </w:p>
    <w:p w14:paraId="598CA4D4" w14:textId="378F7383" w:rsidR="00400A58" w:rsidRDefault="00400A58" w:rsidP="00400A58">
      <w:pPr>
        <w:spacing w:line="360" w:lineRule="auto"/>
        <w:rPr>
          <w:rFonts w:ascii="Arial" w:hAnsi="Arial" w:cs="Arial"/>
          <w:sz w:val="22"/>
          <w:szCs w:val="22"/>
        </w:rPr>
      </w:pPr>
      <w:r w:rsidRPr="00400A58">
        <w:rPr>
          <w:rFonts w:ascii="Arial" w:hAnsi="Arial" w:cs="Arial"/>
          <w:sz w:val="22"/>
          <w:szCs w:val="22"/>
        </w:rPr>
        <w:t>The probability of this risk materializing is moderate to high.</w:t>
      </w:r>
      <w:r>
        <w:rPr>
          <w:rFonts w:ascii="Arial" w:hAnsi="Arial" w:cs="Arial"/>
          <w:sz w:val="22"/>
          <w:szCs w:val="22"/>
        </w:rPr>
        <w:t xml:space="preserve"> </w:t>
      </w:r>
      <w:r w:rsidRPr="00400A58">
        <w:rPr>
          <w:rFonts w:ascii="Arial" w:hAnsi="Arial" w:cs="Arial"/>
          <w:sz w:val="22"/>
          <w:szCs w:val="22"/>
        </w:rPr>
        <w:t>Just Eat works in a highly regulated industry, especially when it comes to employment rules, data privacy, and food safety. The main source of regulatory concerns is the constantly changing and frequently strict nature of these laws in the many areas where Just Eat is present. Changes in labour regulations, particularly those targeted at giving gig workers additional benefits and protections, might result in a major rise in operating expenses for the platform because of its dependence on gig economy workers.</w:t>
      </w:r>
      <w:r>
        <w:rPr>
          <w:rFonts w:ascii="Arial" w:hAnsi="Arial" w:cs="Arial"/>
          <w:sz w:val="22"/>
          <w:szCs w:val="22"/>
        </w:rPr>
        <w:t xml:space="preserve"> </w:t>
      </w:r>
    </w:p>
    <w:p w14:paraId="635BC576" w14:textId="77777777" w:rsidR="00400A58" w:rsidRDefault="00400A58" w:rsidP="00400A58">
      <w:pPr>
        <w:spacing w:line="360" w:lineRule="auto"/>
        <w:rPr>
          <w:rFonts w:ascii="Arial" w:hAnsi="Arial" w:cs="Arial"/>
          <w:sz w:val="22"/>
          <w:szCs w:val="22"/>
        </w:rPr>
      </w:pPr>
    </w:p>
    <w:p w14:paraId="1BD32ED7" w14:textId="76F6565B" w:rsidR="00400A58" w:rsidRDefault="00400A58" w:rsidP="00400A58">
      <w:pPr>
        <w:spacing w:line="360" w:lineRule="auto"/>
        <w:rPr>
          <w:rFonts w:ascii="Arial" w:hAnsi="Arial" w:cs="Arial"/>
          <w:sz w:val="22"/>
          <w:szCs w:val="22"/>
        </w:rPr>
      </w:pPr>
      <w:r w:rsidRPr="00400A58">
        <w:rPr>
          <w:rFonts w:ascii="Arial" w:hAnsi="Arial" w:cs="Arial"/>
          <w:sz w:val="22"/>
          <w:szCs w:val="22"/>
        </w:rPr>
        <w:t>The increasing international review of gig economy activities, especially in North America and Europe, indicates that changes to regulations are not only possible but could happen soon. Legislative organisations throughout the world are exploring more and more ways to change the position of gig economy workers in their employment. This might mean that businesses like Just Eat will have to offer more benefits like paid time off, minimum wage, and healthcare.</w:t>
      </w:r>
    </w:p>
    <w:p w14:paraId="3E386C0B" w14:textId="77777777" w:rsidR="00400A58" w:rsidRDefault="00400A58" w:rsidP="00400A58">
      <w:pPr>
        <w:spacing w:line="360" w:lineRule="auto"/>
        <w:rPr>
          <w:rFonts w:ascii="Arial" w:hAnsi="Arial" w:cs="Arial"/>
          <w:sz w:val="22"/>
          <w:szCs w:val="22"/>
        </w:rPr>
      </w:pPr>
    </w:p>
    <w:p w14:paraId="2CC10D80" w14:textId="57F03277" w:rsidR="00400A58" w:rsidRDefault="00400A58" w:rsidP="00400A58">
      <w:pPr>
        <w:spacing w:line="360" w:lineRule="auto"/>
        <w:rPr>
          <w:rFonts w:ascii="Arial" w:hAnsi="Arial" w:cs="Arial"/>
          <w:sz w:val="22"/>
          <w:szCs w:val="22"/>
        </w:rPr>
      </w:pPr>
      <w:r w:rsidRPr="00400A58">
        <w:rPr>
          <w:rFonts w:ascii="Arial" w:hAnsi="Arial" w:cs="Arial"/>
          <w:sz w:val="22"/>
          <w:szCs w:val="22"/>
        </w:rPr>
        <w:t xml:space="preserve">Impact on Valuation: The implementation of these regulatory changes may result in a significant rise in operational costs for Just Eat. The </w:t>
      </w:r>
      <w:proofErr w:type="gramStart"/>
      <w:r w:rsidRPr="00400A58">
        <w:rPr>
          <w:rFonts w:ascii="Arial" w:hAnsi="Arial" w:cs="Arial"/>
          <w:sz w:val="22"/>
          <w:szCs w:val="22"/>
        </w:rPr>
        <w:t>company  may</w:t>
      </w:r>
      <w:proofErr w:type="gramEnd"/>
      <w:r w:rsidRPr="00400A58">
        <w:rPr>
          <w:rFonts w:ascii="Arial" w:hAnsi="Arial" w:cs="Arial"/>
          <w:sz w:val="22"/>
          <w:szCs w:val="22"/>
        </w:rPr>
        <w:t xml:space="preserve"> have to change its pricing strategies in response to this increase in expenses, which might reduce profit margins and make the platform less appealing to partners and customers. since of this, </w:t>
      </w:r>
      <w:r w:rsidRPr="00400A58">
        <w:rPr>
          <w:rFonts w:ascii="Arial" w:hAnsi="Arial" w:cs="Arial"/>
          <w:sz w:val="22"/>
          <w:szCs w:val="22"/>
        </w:rPr>
        <w:lastRenderedPageBreak/>
        <w:t>investors can use a lower value multiple for Just Eat since they believe it to be a riskier and less profitable investment. As a result, the company's total worth may decrease.</w:t>
      </w:r>
    </w:p>
    <w:p w14:paraId="6E1C8AAA" w14:textId="77777777" w:rsidR="00400A58" w:rsidRDefault="00400A58" w:rsidP="00400A58">
      <w:pPr>
        <w:spacing w:line="360" w:lineRule="auto"/>
        <w:rPr>
          <w:rFonts w:ascii="Arial" w:hAnsi="Arial" w:cs="Arial"/>
          <w:sz w:val="22"/>
          <w:szCs w:val="22"/>
        </w:rPr>
      </w:pPr>
    </w:p>
    <w:p w14:paraId="25CE9332" w14:textId="393F5DFD" w:rsidR="00400A58" w:rsidRDefault="00400A58" w:rsidP="00400A58">
      <w:pPr>
        <w:spacing w:line="360" w:lineRule="auto"/>
        <w:rPr>
          <w:rFonts w:ascii="Arial" w:hAnsi="Arial" w:cs="Arial"/>
          <w:sz w:val="22"/>
          <w:szCs w:val="22"/>
          <w:u w:val="single"/>
        </w:rPr>
      </w:pPr>
      <w:r w:rsidRPr="00400A58">
        <w:rPr>
          <w:rFonts w:ascii="Arial" w:hAnsi="Arial" w:cs="Arial"/>
          <w:sz w:val="22"/>
          <w:szCs w:val="22"/>
          <w:u w:val="single"/>
        </w:rPr>
        <w:t>Competition</w:t>
      </w:r>
    </w:p>
    <w:p w14:paraId="2376CD9B" w14:textId="02EABAC7" w:rsidR="00400A58" w:rsidRDefault="00400A58" w:rsidP="00400A58">
      <w:pPr>
        <w:spacing w:line="360" w:lineRule="auto"/>
        <w:rPr>
          <w:rFonts w:ascii="Arial" w:hAnsi="Arial" w:cs="Arial"/>
          <w:sz w:val="22"/>
          <w:szCs w:val="22"/>
        </w:rPr>
      </w:pPr>
      <w:r w:rsidRPr="00400A58">
        <w:rPr>
          <w:rFonts w:ascii="Arial" w:hAnsi="Arial" w:cs="Arial"/>
          <w:sz w:val="22"/>
          <w:szCs w:val="22"/>
        </w:rPr>
        <w:t>The probability of competitive pressures impacting Just Eat is high</w:t>
      </w:r>
      <w:r>
        <w:rPr>
          <w:rFonts w:ascii="Arial" w:hAnsi="Arial" w:cs="Arial"/>
          <w:sz w:val="22"/>
          <w:szCs w:val="22"/>
        </w:rPr>
        <w:t xml:space="preserve">. </w:t>
      </w:r>
      <w:r w:rsidRPr="00400A58">
        <w:rPr>
          <w:rFonts w:ascii="Arial" w:hAnsi="Arial" w:cs="Arial"/>
          <w:sz w:val="22"/>
          <w:szCs w:val="22"/>
        </w:rPr>
        <w:t>The market for food delivery services online is characterised by strong competition.  Other major competitors like Uber Eats and Deliveroo or American Door Dash create a serious threat to Just Eat. The relatively low barriers to entry in the digital marketplace and the potential for new entrants to deliver innovative concepts that might upend the industry cause pressure from competition.</w:t>
      </w:r>
    </w:p>
    <w:p w14:paraId="066DAEFB" w14:textId="77777777" w:rsidR="00400A58" w:rsidRPr="00400A58" w:rsidRDefault="00400A58" w:rsidP="00400A58">
      <w:pPr>
        <w:spacing w:line="360" w:lineRule="auto"/>
        <w:rPr>
          <w:rFonts w:ascii="Arial" w:hAnsi="Arial" w:cs="Arial"/>
          <w:sz w:val="22"/>
          <w:szCs w:val="22"/>
        </w:rPr>
      </w:pPr>
    </w:p>
    <w:p w14:paraId="397F052F" w14:textId="50D63E64" w:rsidR="00400A58" w:rsidRPr="00400A58" w:rsidRDefault="00400A58" w:rsidP="00400A58">
      <w:pPr>
        <w:spacing w:line="360" w:lineRule="auto"/>
        <w:rPr>
          <w:rFonts w:ascii="Arial" w:hAnsi="Arial" w:cs="Arial"/>
          <w:sz w:val="22"/>
          <w:szCs w:val="22"/>
        </w:rPr>
      </w:pPr>
      <w:r w:rsidRPr="00400A58">
        <w:rPr>
          <w:rFonts w:ascii="Arial" w:hAnsi="Arial" w:cs="Arial"/>
          <w:sz w:val="22"/>
          <w:szCs w:val="22"/>
        </w:rPr>
        <w:t xml:space="preserve">The market is not only saturated with competitors but is also highly dynamic, with companies constantly seeking to innovate </w:t>
      </w:r>
      <w:proofErr w:type="gramStart"/>
      <w:r w:rsidRPr="00400A58">
        <w:rPr>
          <w:rFonts w:ascii="Arial" w:hAnsi="Arial" w:cs="Arial"/>
          <w:sz w:val="22"/>
          <w:szCs w:val="22"/>
        </w:rPr>
        <w:t>in order to</w:t>
      </w:r>
      <w:proofErr w:type="gramEnd"/>
      <w:r w:rsidRPr="00400A58">
        <w:rPr>
          <w:rFonts w:ascii="Arial" w:hAnsi="Arial" w:cs="Arial"/>
          <w:sz w:val="22"/>
          <w:szCs w:val="22"/>
        </w:rPr>
        <w:t xml:space="preserve"> capture or defend market share.</w:t>
      </w:r>
      <w:r>
        <w:rPr>
          <w:rFonts w:ascii="Arial" w:hAnsi="Arial" w:cs="Arial"/>
          <w:sz w:val="22"/>
          <w:szCs w:val="22"/>
        </w:rPr>
        <w:t xml:space="preserve"> </w:t>
      </w:r>
      <w:r w:rsidRPr="00400A58">
        <w:rPr>
          <w:rFonts w:ascii="Arial" w:hAnsi="Arial" w:cs="Arial"/>
          <w:sz w:val="22"/>
          <w:szCs w:val="22"/>
        </w:rPr>
        <w:t>The merging of competing firms, or the emergence of new, well-funded entrants, could further heighten competitive pressures.</w:t>
      </w:r>
      <w:r>
        <w:rPr>
          <w:rFonts w:ascii="Arial" w:hAnsi="Arial" w:cs="Arial"/>
          <w:sz w:val="22"/>
          <w:szCs w:val="22"/>
        </w:rPr>
        <w:t xml:space="preserve"> I</w:t>
      </w:r>
      <w:r w:rsidRPr="00400A58">
        <w:rPr>
          <w:rFonts w:ascii="Arial" w:hAnsi="Arial" w:cs="Arial"/>
          <w:sz w:val="22"/>
          <w:szCs w:val="22"/>
        </w:rPr>
        <w:t>f new companies with significant financial better position enter the market, they could quickly take a market share by offering better services, lower prices, or more innovative solutions.</w:t>
      </w:r>
      <w:r>
        <w:rPr>
          <w:rFonts w:ascii="Arial" w:hAnsi="Arial" w:cs="Arial"/>
          <w:sz w:val="22"/>
          <w:szCs w:val="22"/>
        </w:rPr>
        <w:t xml:space="preserve"> </w:t>
      </w:r>
      <w:r w:rsidRPr="00400A58">
        <w:rPr>
          <w:rFonts w:ascii="Arial" w:hAnsi="Arial" w:cs="Arial"/>
          <w:sz w:val="22"/>
          <w:szCs w:val="22"/>
        </w:rPr>
        <w:t xml:space="preserve">Both scenarios would increase the competition Just Eat faces, making it more challenging to maintain its market position and potentially </w:t>
      </w:r>
      <w:r>
        <w:rPr>
          <w:rFonts w:ascii="Arial" w:hAnsi="Arial" w:cs="Arial"/>
          <w:color w:val="000000" w:themeColor="text1"/>
          <w:sz w:val="22"/>
          <w:szCs w:val="22"/>
        </w:rPr>
        <w:t>pressed</w:t>
      </w:r>
      <w:r w:rsidRPr="00400A58">
        <w:rPr>
          <w:rFonts w:ascii="Arial" w:hAnsi="Arial" w:cs="Arial"/>
          <w:color w:val="FF0000"/>
          <w:sz w:val="22"/>
          <w:szCs w:val="22"/>
        </w:rPr>
        <w:t xml:space="preserve"> </w:t>
      </w:r>
      <w:r w:rsidRPr="00400A58">
        <w:rPr>
          <w:rFonts w:ascii="Arial" w:hAnsi="Arial" w:cs="Arial"/>
          <w:sz w:val="22"/>
          <w:szCs w:val="22"/>
        </w:rPr>
        <w:t>its profit margins even further.</w:t>
      </w:r>
    </w:p>
    <w:p w14:paraId="05400FC4" w14:textId="77777777" w:rsidR="00400A58" w:rsidRDefault="00400A58" w:rsidP="00400A58">
      <w:pPr>
        <w:spacing w:line="360" w:lineRule="auto"/>
        <w:rPr>
          <w:rFonts w:ascii="Arial" w:hAnsi="Arial" w:cs="Arial"/>
          <w:sz w:val="22"/>
          <w:szCs w:val="22"/>
        </w:rPr>
      </w:pPr>
    </w:p>
    <w:p w14:paraId="7967D19A" w14:textId="195E9B30" w:rsidR="00400A58" w:rsidRDefault="00400A58" w:rsidP="00400A58">
      <w:pPr>
        <w:spacing w:line="360" w:lineRule="auto"/>
        <w:rPr>
          <w:rFonts w:ascii="Arial" w:hAnsi="Arial" w:cs="Arial"/>
          <w:sz w:val="22"/>
          <w:szCs w:val="22"/>
        </w:rPr>
      </w:pPr>
      <w:r w:rsidRPr="00400A58">
        <w:rPr>
          <w:rFonts w:ascii="Arial" w:hAnsi="Arial" w:cs="Arial"/>
          <w:sz w:val="22"/>
          <w:szCs w:val="22"/>
        </w:rPr>
        <w:t>Impact on Valuation:</w:t>
      </w:r>
      <w:r>
        <w:rPr>
          <w:rFonts w:ascii="Arial" w:hAnsi="Arial" w:cs="Arial"/>
          <w:sz w:val="22"/>
          <w:szCs w:val="22"/>
        </w:rPr>
        <w:t xml:space="preserve"> </w:t>
      </w:r>
      <w:r w:rsidRPr="00400A58">
        <w:rPr>
          <w:rFonts w:ascii="Arial" w:hAnsi="Arial" w:cs="Arial"/>
          <w:sz w:val="22"/>
          <w:szCs w:val="22"/>
        </w:rPr>
        <w:t xml:space="preserve">Increased marketing costs, pricing battles, and the need for ongoing technology advancements might all result from increased competition and reduce Just </w:t>
      </w:r>
      <w:proofErr w:type="spellStart"/>
      <w:r w:rsidRPr="00400A58">
        <w:rPr>
          <w:rFonts w:ascii="Arial" w:hAnsi="Arial" w:cs="Arial"/>
          <w:sz w:val="22"/>
          <w:szCs w:val="22"/>
        </w:rPr>
        <w:t>Eat's</w:t>
      </w:r>
      <w:proofErr w:type="spellEnd"/>
      <w:r w:rsidRPr="00400A58">
        <w:rPr>
          <w:rFonts w:ascii="Arial" w:hAnsi="Arial" w:cs="Arial"/>
          <w:sz w:val="22"/>
          <w:szCs w:val="22"/>
        </w:rPr>
        <w:t xml:space="preserve"> profit margins. Just Eat may see slower revenue growth and, as a result, a reduced valuation if it is unable to hold onto or increase its market share. Investors might choose a more conservative approach to valuing </w:t>
      </w:r>
      <w:proofErr w:type="gramStart"/>
      <w:r w:rsidRPr="00400A58">
        <w:rPr>
          <w:rFonts w:ascii="Arial" w:hAnsi="Arial" w:cs="Arial"/>
          <w:sz w:val="22"/>
          <w:szCs w:val="22"/>
        </w:rPr>
        <w:t>as a result of</w:t>
      </w:r>
      <w:proofErr w:type="gramEnd"/>
      <w:r w:rsidRPr="00400A58">
        <w:rPr>
          <w:rFonts w:ascii="Arial" w:hAnsi="Arial" w:cs="Arial"/>
          <w:sz w:val="22"/>
          <w:szCs w:val="22"/>
        </w:rPr>
        <w:t xml:space="preserve"> taking into account the growing uncertainty around future profitability.</w:t>
      </w:r>
    </w:p>
    <w:p w14:paraId="7F40A923" w14:textId="77777777" w:rsidR="00400A58" w:rsidRDefault="00400A58" w:rsidP="00400A58">
      <w:pPr>
        <w:spacing w:line="360" w:lineRule="auto"/>
        <w:rPr>
          <w:rFonts w:ascii="Arial" w:hAnsi="Arial" w:cs="Arial"/>
          <w:sz w:val="22"/>
          <w:szCs w:val="22"/>
        </w:rPr>
      </w:pPr>
    </w:p>
    <w:p w14:paraId="65460C41" w14:textId="4E399687" w:rsidR="00400A58" w:rsidRDefault="00400A58" w:rsidP="00400A58">
      <w:pPr>
        <w:spacing w:line="360" w:lineRule="auto"/>
        <w:rPr>
          <w:rFonts w:ascii="Arial" w:hAnsi="Arial" w:cs="Arial"/>
          <w:sz w:val="22"/>
          <w:szCs w:val="22"/>
          <w:u w:val="single"/>
        </w:rPr>
      </w:pPr>
      <w:r w:rsidRPr="00400A58">
        <w:rPr>
          <w:rFonts w:ascii="Arial" w:hAnsi="Arial" w:cs="Arial"/>
          <w:sz w:val="22"/>
          <w:szCs w:val="22"/>
          <w:u w:val="single"/>
        </w:rPr>
        <w:t>Technology and Data Security Risks</w:t>
      </w:r>
    </w:p>
    <w:p w14:paraId="36AA0A96" w14:textId="1DF14746" w:rsidR="00400A58" w:rsidRDefault="00400A58" w:rsidP="00400A58">
      <w:pPr>
        <w:spacing w:line="360" w:lineRule="auto"/>
        <w:rPr>
          <w:rFonts w:ascii="Arial" w:hAnsi="Arial" w:cs="Arial"/>
          <w:sz w:val="22"/>
          <w:szCs w:val="22"/>
        </w:rPr>
      </w:pPr>
      <w:r w:rsidRPr="00400A58">
        <w:rPr>
          <w:rFonts w:ascii="Arial" w:hAnsi="Arial" w:cs="Arial"/>
          <w:sz w:val="22"/>
          <w:szCs w:val="22"/>
        </w:rPr>
        <w:t>The probability of a significant cybersecurity threat is moderate.</w:t>
      </w:r>
      <w:r w:rsidRPr="00400A58">
        <w:rPr>
          <w:rFonts w:ascii="Arial" w:hAnsi="Arial" w:cs="Arial"/>
          <w:sz w:val="22"/>
          <w:szCs w:val="22"/>
        </w:rPr>
        <w:t xml:space="preserve"> </w:t>
      </w:r>
      <w:r w:rsidRPr="00400A58">
        <w:rPr>
          <w:rFonts w:ascii="Arial" w:hAnsi="Arial" w:cs="Arial"/>
          <w:sz w:val="22"/>
          <w:szCs w:val="22"/>
        </w:rPr>
        <w:t>Just Eat is mainly an online business, therefore its technological infrastructure is essential. Because of this, the business is more vulnerable to cybersecurity risks including hacking, data breaches, and other violent attacks.  Any large breach has the potential to put at risk customer data, which might result in a decline in consumer confidence and perhaps legal action.</w:t>
      </w:r>
    </w:p>
    <w:p w14:paraId="3CEA2804" w14:textId="77777777" w:rsidR="00400A58" w:rsidRDefault="00400A58" w:rsidP="00400A58">
      <w:pPr>
        <w:spacing w:line="360" w:lineRule="auto"/>
        <w:rPr>
          <w:rFonts w:ascii="Arial" w:hAnsi="Arial" w:cs="Arial"/>
          <w:sz w:val="22"/>
          <w:szCs w:val="22"/>
        </w:rPr>
      </w:pPr>
    </w:p>
    <w:p w14:paraId="7A8AD11D" w14:textId="6FAB59F9" w:rsidR="00400A58" w:rsidRDefault="00400A58" w:rsidP="00400A58">
      <w:pPr>
        <w:spacing w:line="360" w:lineRule="auto"/>
        <w:rPr>
          <w:rFonts w:ascii="Arial" w:hAnsi="Arial" w:cs="Arial"/>
          <w:sz w:val="22"/>
          <w:szCs w:val="22"/>
        </w:rPr>
      </w:pPr>
      <w:r w:rsidRPr="00400A58">
        <w:rPr>
          <w:rFonts w:ascii="Arial" w:hAnsi="Arial" w:cs="Arial"/>
          <w:sz w:val="22"/>
          <w:szCs w:val="22"/>
        </w:rPr>
        <w:t xml:space="preserve">No system can be completely immune to cyberattacks, even with Just </w:t>
      </w:r>
      <w:proofErr w:type="spellStart"/>
      <w:r w:rsidRPr="00400A58">
        <w:rPr>
          <w:rFonts w:ascii="Arial" w:hAnsi="Arial" w:cs="Arial"/>
          <w:sz w:val="22"/>
          <w:szCs w:val="22"/>
        </w:rPr>
        <w:t>Eat's</w:t>
      </w:r>
      <w:proofErr w:type="spellEnd"/>
      <w:r w:rsidRPr="00400A58">
        <w:rPr>
          <w:rFonts w:ascii="Arial" w:hAnsi="Arial" w:cs="Arial"/>
          <w:sz w:val="22"/>
          <w:szCs w:val="22"/>
        </w:rPr>
        <w:t xml:space="preserve"> probably strong cybersecurity protections in place. This is especially true given how sophisticated these threats are becoming all around the world. Because internet risks are always changing, </w:t>
      </w:r>
      <w:r w:rsidRPr="00400A58">
        <w:rPr>
          <w:rFonts w:ascii="Arial" w:hAnsi="Arial" w:cs="Arial"/>
          <w:sz w:val="22"/>
          <w:szCs w:val="22"/>
        </w:rPr>
        <w:lastRenderedPageBreak/>
        <w:t>cybersecurity is an ongoing worry that is only going to get bigger. For protection against such breaches, cybersecurity requires continual attention to detail and adaptability.</w:t>
      </w:r>
    </w:p>
    <w:p w14:paraId="72080DA7" w14:textId="77777777" w:rsidR="00400A58" w:rsidRDefault="00400A58" w:rsidP="00400A58">
      <w:pPr>
        <w:spacing w:line="360" w:lineRule="auto"/>
        <w:rPr>
          <w:rFonts w:ascii="Arial" w:hAnsi="Arial" w:cs="Arial"/>
          <w:sz w:val="22"/>
          <w:szCs w:val="22"/>
        </w:rPr>
      </w:pPr>
    </w:p>
    <w:p w14:paraId="0541078C" w14:textId="5B053DAE" w:rsidR="00400A58" w:rsidRPr="00400A58" w:rsidRDefault="00400A58" w:rsidP="00400A58">
      <w:pPr>
        <w:spacing w:line="360" w:lineRule="auto"/>
        <w:rPr>
          <w:rFonts w:ascii="Arial" w:hAnsi="Arial" w:cs="Arial"/>
          <w:sz w:val="22"/>
          <w:szCs w:val="22"/>
        </w:rPr>
      </w:pPr>
      <w:r w:rsidRPr="00400A58">
        <w:rPr>
          <w:rFonts w:ascii="Arial" w:hAnsi="Arial" w:cs="Arial"/>
          <w:sz w:val="22"/>
          <w:szCs w:val="22"/>
        </w:rPr>
        <w:t>Impact on Valuation:</w:t>
      </w:r>
      <w:r>
        <w:rPr>
          <w:rFonts w:ascii="Arial" w:hAnsi="Arial" w:cs="Arial"/>
          <w:sz w:val="22"/>
          <w:szCs w:val="22"/>
        </w:rPr>
        <w:t xml:space="preserve"> </w:t>
      </w:r>
      <w:r w:rsidRPr="00400A58">
        <w:rPr>
          <w:rFonts w:ascii="Arial" w:hAnsi="Arial" w:cs="Arial"/>
          <w:sz w:val="22"/>
          <w:szCs w:val="22"/>
        </w:rPr>
        <w:t xml:space="preserve">A significant cybersecurity breach could have a devastating impact on Just </w:t>
      </w:r>
      <w:proofErr w:type="spellStart"/>
      <w:r w:rsidRPr="00400A58">
        <w:rPr>
          <w:rFonts w:ascii="Arial" w:hAnsi="Arial" w:cs="Arial"/>
          <w:sz w:val="22"/>
          <w:szCs w:val="22"/>
        </w:rPr>
        <w:t>Eat’s</w:t>
      </w:r>
      <w:proofErr w:type="spellEnd"/>
      <w:r w:rsidRPr="00400A58">
        <w:rPr>
          <w:rFonts w:ascii="Arial" w:hAnsi="Arial" w:cs="Arial"/>
          <w:sz w:val="22"/>
          <w:szCs w:val="22"/>
        </w:rPr>
        <w:t xml:space="preserve"> reputation, causing customers to lose trust in the company and potentially driving them to competitors.</w:t>
      </w:r>
      <w:r>
        <w:rPr>
          <w:rFonts w:ascii="Arial" w:hAnsi="Arial" w:cs="Arial"/>
          <w:sz w:val="22"/>
          <w:szCs w:val="22"/>
        </w:rPr>
        <w:t xml:space="preserve"> </w:t>
      </w:r>
      <w:r w:rsidRPr="00400A58">
        <w:rPr>
          <w:rFonts w:ascii="Arial" w:hAnsi="Arial" w:cs="Arial"/>
          <w:sz w:val="22"/>
          <w:szCs w:val="22"/>
        </w:rPr>
        <w:t xml:space="preserve">For failing to secure client data, Just Eat may be subject to severe financial fines from regulatory organisations in addition to the immediate loss of business. The business's stock price and total market valuation would probably drop </w:t>
      </w:r>
      <w:proofErr w:type="gramStart"/>
      <w:r w:rsidRPr="00400A58">
        <w:rPr>
          <w:rFonts w:ascii="Arial" w:hAnsi="Arial" w:cs="Arial"/>
          <w:sz w:val="22"/>
          <w:szCs w:val="22"/>
        </w:rPr>
        <w:t>as a result of</w:t>
      </w:r>
      <w:proofErr w:type="gramEnd"/>
      <w:r w:rsidRPr="00400A58">
        <w:rPr>
          <w:rFonts w:ascii="Arial" w:hAnsi="Arial" w:cs="Arial"/>
          <w:sz w:val="22"/>
          <w:szCs w:val="22"/>
        </w:rPr>
        <w:t xml:space="preserve"> the combination of lost income and legal obligations, which would also make the company less appealing to investors. Due to the increased operational weaknesses, investors may also consider the company as a higher-risk investment and demand a larger risk premium, which might further reduce the company's value.</w:t>
      </w:r>
    </w:p>
    <w:p w14:paraId="37C80E35" w14:textId="77777777" w:rsidR="00400A58" w:rsidRDefault="00400A58" w:rsidP="00400A58">
      <w:pPr>
        <w:spacing w:line="360" w:lineRule="auto"/>
        <w:rPr>
          <w:rFonts w:ascii="Arial" w:hAnsi="Arial" w:cs="Arial"/>
          <w:sz w:val="22"/>
          <w:szCs w:val="22"/>
        </w:rPr>
      </w:pPr>
    </w:p>
    <w:p w14:paraId="304EC40B" w14:textId="60E059B1" w:rsidR="0069410F" w:rsidRDefault="0069410F" w:rsidP="0069410F">
      <w:pPr>
        <w:pStyle w:val="Heading1"/>
      </w:pPr>
      <w:bookmarkStart w:id="4" w:name="_Toc175609878"/>
      <w:r w:rsidRPr="0069410F">
        <w:t>Quantitative review of the share price performance Just Eat</w:t>
      </w:r>
      <w:bookmarkEnd w:id="4"/>
      <w:r w:rsidRPr="0069410F">
        <w:t xml:space="preserve">  </w:t>
      </w:r>
    </w:p>
    <w:p w14:paraId="298A0DFD" w14:textId="5EA5D01E" w:rsidR="00400A58" w:rsidRPr="00400A58" w:rsidRDefault="00400A58" w:rsidP="00400A58">
      <w:pPr>
        <w:pStyle w:val="NormalWeb"/>
        <w:rPr>
          <w:rFonts w:ascii="ArialMT" w:hAnsi="ArialMT"/>
          <w:color w:val="000000" w:themeColor="text1"/>
          <w:sz w:val="22"/>
          <w:szCs w:val="22"/>
        </w:rPr>
      </w:pPr>
      <w:bookmarkStart w:id="5" w:name="_Toc175609879"/>
      <w:r w:rsidRPr="0069410F">
        <w:rPr>
          <w:rStyle w:val="Heading2Char"/>
        </w:rPr>
        <w:t>2.1 Descriptive Statistic</w:t>
      </w:r>
      <w:bookmarkEnd w:id="5"/>
      <w:r w:rsidRPr="00400A58">
        <w:rPr>
          <w:rFonts w:ascii="ArialMT" w:hAnsi="ArialMT"/>
          <w:b/>
          <w:bCs/>
          <w:color w:val="000000" w:themeColor="text1"/>
          <w:sz w:val="22"/>
          <w:szCs w:val="22"/>
        </w:rPr>
        <w:t xml:space="preserve"> </w:t>
      </w:r>
      <w:r w:rsidRPr="00400A58">
        <w:rPr>
          <w:rFonts w:ascii="ArialMT" w:hAnsi="ArialMT"/>
          <w:color w:val="000000" w:themeColor="text1"/>
          <w:sz w:val="22"/>
          <w:szCs w:val="22"/>
        </w:rPr>
        <w:t>(calculated from JET.L Yahoofinance.com</w:t>
      </w:r>
      <w:r w:rsidR="0069410F">
        <w:rPr>
          <w:rFonts w:ascii="ArialMT" w:hAnsi="ArialMT"/>
          <w:color w:val="000000" w:themeColor="text1"/>
          <w:sz w:val="22"/>
          <w:szCs w:val="22"/>
        </w:rPr>
        <w:t xml:space="preserve"> – vis. APPENDIX</w:t>
      </w:r>
      <w:r w:rsidRPr="00400A58">
        <w:rPr>
          <w:rFonts w:ascii="ArialMT" w:hAnsi="ArialMT"/>
          <w:color w:val="000000" w:themeColor="text1"/>
          <w:sz w:val="22"/>
          <w:szCs w:val="22"/>
        </w:rPr>
        <w:t>)</w:t>
      </w:r>
    </w:p>
    <w:p w14:paraId="2AA94DCF" w14:textId="476EF675" w:rsidR="00400A58" w:rsidRPr="00400A58" w:rsidRDefault="00400A58" w:rsidP="00400A58">
      <w:pPr>
        <w:pStyle w:val="NormalWeb"/>
        <w:rPr>
          <w:rFonts w:ascii="ArialMT" w:hAnsi="ArialMT"/>
          <w:color w:val="262626" w:themeColor="text1" w:themeTint="D9"/>
          <w:sz w:val="22"/>
          <w:szCs w:val="22"/>
          <w:u w:val="single"/>
        </w:rPr>
      </w:pPr>
      <w:r w:rsidRPr="00400A58">
        <w:rPr>
          <w:rFonts w:ascii="ArialMT" w:hAnsi="ArialMT"/>
          <w:color w:val="262626" w:themeColor="text1" w:themeTint="D9"/>
          <w:sz w:val="22"/>
          <w:szCs w:val="22"/>
          <w:u w:val="single"/>
        </w:rPr>
        <w:t xml:space="preserve">Average/ Mean Share </w:t>
      </w:r>
      <w:r w:rsidRPr="00400A58">
        <w:rPr>
          <w:rFonts w:ascii="ArialMT" w:hAnsi="ArialMT"/>
          <w:color w:val="262626" w:themeColor="text1" w:themeTint="D9"/>
          <w:sz w:val="22"/>
          <w:szCs w:val="22"/>
          <w:u w:val="single"/>
        </w:rPr>
        <w:t>Price:</w:t>
      </w:r>
    </w:p>
    <w:p w14:paraId="13B07311" w14:textId="1D35C8D9" w:rsidR="00400A58" w:rsidRPr="00400A58" w:rsidRDefault="00400A58" w:rsidP="00400A58">
      <w:pPr>
        <w:pStyle w:val="NormalWeb"/>
        <w:spacing w:line="360" w:lineRule="auto"/>
        <w:rPr>
          <w:rFonts w:ascii="ArialMT" w:hAnsi="ArialMT"/>
          <w:color w:val="262626" w:themeColor="text1" w:themeTint="D9"/>
          <w:sz w:val="22"/>
          <w:szCs w:val="22"/>
        </w:rPr>
      </w:pPr>
      <w:r w:rsidRPr="00400A58">
        <w:rPr>
          <w:rFonts w:ascii="ArialMT" w:hAnsi="ArialMT"/>
          <w:color w:val="262626" w:themeColor="text1" w:themeTint="D9"/>
          <w:sz w:val="22"/>
          <w:szCs w:val="22"/>
        </w:rPr>
        <w:t xml:space="preserve"> </w:t>
      </w:r>
      <w:r w:rsidRPr="00400A58">
        <w:rPr>
          <w:rFonts w:ascii="ArialMT" w:hAnsi="ArialMT"/>
          <w:color w:val="262626" w:themeColor="text1" w:themeTint="D9"/>
          <w:sz w:val="22"/>
          <w:szCs w:val="22"/>
        </w:rPr>
        <w:t>The mean is the average of all the adjusted closing prices. It is calculated by summing up all the data points and then dividing by the number of data points</w:t>
      </w:r>
      <w:r w:rsidR="0069410F">
        <w:rPr>
          <w:rFonts w:ascii="ArialMT" w:hAnsi="ArialMT"/>
          <w:color w:val="262626" w:themeColor="text1" w:themeTint="D9"/>
          <w:sz w:val="22"/>
          <w:szCs w:val="22"/>
        </w:rPr>
        <w:t xml:space="preserve"> (ncetm.org.uk n.d.)</w:t>
      </w:r>
      <w:r w:rsidRPr="00400A58">
        <w:rPr>
          <w:rFonts w:ascii="ArialMT" w:hAnsi="ArialMT"/>
          <w:color w:val="262626" w:themeColor="text1" w:themeTint="D9"/>
          <w:sz w:val="22"/>
          <w:szCs w:val="22"/>
        </w:rPr>
        <w:t>.</w:t>
      </w:r>
    </w:p>
    <w:p w14:paraId="0D789156" w14:textId="49507290" w:rsidR="0069410F" w:rsidRDefault="0069410F" w:rsidP="0069410F">
      <w:pPr>
        <w:pStyle w:val="Caption"/>
        <w:keepNext/>
      </w:pPr>
      <w:r>
        <w:t xml:space="preserve">Figure </w:t>
      </w:r>
      <w:r>
        <w:fldChar w:fldCharType="begin"/>
      </w:r>
      <w:r>
        <w:instrText xml:space="preserve"> SEQ Figure \* ARABIC </w:instrText>
      </w:r>
      <w:r>
        <w:fldChar w:fldCharType="separate"/>
      </w:r>
      <w:r>
        <w:rPr>
          <w:noProof/>
        </w:rPr>
        <w:t>2</w:t>
      </w:r>
      <w:r>
        <w:fldChar w:fldCharType="end"/>
      </w:r>
      <w:r>
        <w:t xml:space="preserve">- Just Eat share Adj. Close prices - </w:t>
      </w:r>
      <w:proofErr w:type="spellStart"/>
      <w:r>
        <w:t>Avarage</w:t>
      </w:r>
      <w:proofErr w:type="spellEnd"/>
      <w:r>
        <w:t xml:space="preserve"> (source: Author)</w:t>
      </w:r>
    </w:p>
    <w:tbl>
      <w:tblPr>
        <w:tblStyle w:val="TableGrid"/>
        <w:tblpPr w:leftFromText="180" w:rightFromText="180" w:vertAnchor="text" w:horzAnchor="margin" w:tblpY="-18"/>
        <w:tblOverlap w:val="never"/>
        <w:tblW w:w="0" w:type="auto"/>
        <w:tblLook w:val="04A0" w:firstRow="1" w:lastRow="0" w:firstColumn="1" w:lastColumn="0" w:noHBand="0" w:noVBand="1"/>
      </w:tblPr>
      <w:tblGrid>
        <w:gridCol w:w="1300"/>
        <w:gridCol w:w="1400"/>
      </w:tblGrid>
      <w:tr w:rsidR="00400A58" w:rsidRPr="00400A58" w14:paraId="0A8C9712" w14:textId="77777777" w:rsidTr="00400A58">
        <w:trPr>
          <w:trHeight w:val="320"/>
        </w:trPr>
        <w:tc>
          <w:tcPr>
            <w:tcW w:w="1300" w:type="dxa"/>
            <w:noWrap/>
            <w:hideMark/>
          </w:tcPr>
          <w:p w14:paraId="2A695EDE" w14:textId="77777777" w:rsidR="00400A58" w:rsidRPr="00400A58" w:rsidRDefault="00400A58" w:rsidP="00400A58">
            <w:pPr>
              <w:pStyle w:val="NormalWeb"/>
              <w:rPr>
                <w:rFonts w:ascii="ArialMT" w:hAnsi="ArialMT"/>
                <w:color w:val="262626" w:themeColor="text1" w:themeTint="D9"/>
                <w:sz w:val="22"/>
                <w:szCs w:val="22"/>
              </w:rPr>
            </w:pPr>
            <w:r w:rsidRPr="00400A58">
              <w:rPr>
                <w:rFonts w:ascii="ArialMT" w:hAnsi="ArialMT"/>
                <w:color w:val="262626" w:themeColor="text1" w:themeTint="D9"/>
                <w:sz w:val="22"/>
                <w:szCs w:val="22"/>
              </w:rPr>
              <w:t xml:space="preserve">Year </w:t>
            </w:r>
          </w:p>
        </w:tc>
        <w:tc>
          <w:tcPr>
            <w:tcW w:w="1400" w:type="dxa"/>
            <w:noWrap/>
            <w:hideMark/>
          </w:tcPr>
          <w:p w14:paraId="276937C0" w14:textId="77777777" w:rsidR="00400A58" w:rsidRPr="00400A58" w:rsidRDefault="00400A58" w:rsidP="00400A58">
            <w:pPr>
              <w:pStyle w:val="NormalWeb"/>
              <w:rPr>
                <w:rFonts w:ascii="ArialMT" w:hAnsi="ArialMT"/>
                <w:color w:val="262626" w:themeColor="text1" w:themeTint="D9"/>
                <w:sz w:val="22"/>
                <w:szCs w:val="22"/>
              </w:rPr>
            </w:pPr>
            <w:r w:rsidRPr="00400A58">
              <w:rPr>
                <w:rFonts w:ascii="ArialMT" w:hAnsi="ArialMT"/>
                <w:color w:val="262626" w:themeColor="text1" w:themeTint="D9"/>
                <w:sz w:val="22"/>
                <w:szCs w:val="22"/>
              </w:rPr>
              <w:t>Adj</w:t>
            </w:r>
            <w:r>
              <w:rPr>
                <w:rFonts w:ascii="ArialMT" w:hAnsi="ArialMT"/>
                <w:color w:val="262626" w:themeColor="text1" w:themeTint="D9"/>
                <w:sz w:val="22"/>
                <w:szCs w:val="22"/>
              </w:rPr>
              <w:t>.</w:t>
            </w:r>
            <w:r w:rsidRPr="00400A58">
              <w:rPr>
                <w:rFonts w:ascii="ArialMT" w:hAnsi="ArialMT"/>
                <w:color w:val="262626" w:themeColor="text1" w:themeTint="D9"/>
                <w:sz w:val="22"/>
                <w:szCs w:val="22"/>
              </w:rPr>
              <w:t xml:space="preserve"> close </w:t>
            </w:r>
          </w:p>
        </w:tc>
      </w:tr>
      <w:tr w:rsidR="00400A58" w:rsidRPr="00400A58" w14:paraId="47247F05" w14:textId="77777777" w:rsidTr="00400A58">
        <w:trPr>
          <w:trHeight w:val="320"/>
        </w:trPr>
        <w:tc>
          <w:tcPr>
            <w:tcW w:w="1300" w:type="dxa"/>
            <w:noWrap/>
            <w:hideMark/>
          </w:tcPr>
          <w:p w14:paraId="4E8C4A9B" w14:textId="77777777" w:rsidR="00400A58" w:rsidRPr="00400A58" w:rsidRDefault="00400A58" w:rsidP="00400A58">
            <w:pPr>
              <w:pStyle w:val="NormalWeb"/>
              <w:rPr>
                <w:rFonts w:ascii="ArialMT" w:hAnsi="ArialMT"/>
                <w:color w:val="262626" w:themeColor="text1" w:themeTint="D9"/>
                <w:sz w:val="22"/>
                <w:szCs w:val="22"/>
              </w:rPr>
            </w:pPr>
            <w:r w:rsidRPr="00400A58">
              <w:rPr>
                <w:rFonts w:ascii="ArialMT" w:hAnsi="ArialMT"/>
                <w:color w:val="262626" w:themeColor="text1" w:themeTint="D9"/>
                <w:sz w:val="22"/>
                <w:szCs w:val="22"/>
              </w:rPr>
              <w:t>2016</w:t>
            </w:r>
          </w:p>
        </w:tc>
        <w:tc>
          <w:tcPr>
            <w:tcW w:w="1400" w:type="dxa"/>
            <w:noWrap/>
            <w:hideMark/>
          </w:tcPr>
          <w:p w14:paraId="7716F791" w14:textId="77777777" w:rsidR="00400A58" w:rsidRPr="00400A58" w:rsidRDefault="00400A58" w:rsidP="00400A58">
            <w:pPr>
              <w:pStyle w:val="NormalWeb"/>
              <w:rPr>
                <w:rFonts w:ascii="ArialMT" w:hAnsi="ArialMT"/>
                <w:color w:val="262626" w:themeColor="text1" w:themeTint="D9"/>
                <w:sz w:val="22"/>
                <w:szCs w:val="22"/>
              </w:rPr>
            </w:pPr>
            <w:r w:rsidRPr="00400A58">
              <w:rPr>
                <w:rFonts w:ascii="ArialMT" w:hAnsi="ArialMT"/>
                <w:color w:val="262626" w:themeColor="text1" w:themeTint="D9"/>
                <w:sz w:val="22"/>
                <w:szCs w:val="22"/>
              </w:rPr>
              <w:t>2316</w:t>
            </w:r>
          </w:p>
        </w:tc>
      </w:tr>
      <w:tr w:rsidR="00400A58" w:rsidRPr="00400A58" w14:paraId="6B12F39F" w14:textId="77777777" w:rsidTr="00400A58">
        <w:trPr>
          <w:trHeight w:val="320"/>
        </w:trPr>
        <w:tc>
          <w:tcPr>
            <w:tcW w:w="1300" w:type="dxa"/>
            <w:noWrap/>
            <w:hideMark/>
          </w:tcPr>
          <w:p w14:paraId="5E29BAB5" w14:textId="77777777" w:rsidR="00400A58" w:rsidRPr="00400A58" w:rsidRDefault="00400A58" w:rsidP="00400A58">
            <w:pPr>
              <w:pStyle w:val="NormalWeb"/>
              <w:rPr>
                <w:rFonts w:ascii="ArialMT" w:hAnsi="ArialMT"/>
                <w:color w:val="262626" w:themeColor="text1" w:themeTint="D9"/>
                <w:sz w:val="22"/>
                <w:szCs w:val="22"/>
              </w:rPr>
            </w:pPr>
            <w:r w:rsidRPr="00400A58">
              <w:rPr>
                <w:rFonts w:ascii="ArialMT" w:hAnsi="ArialMT"/>
                <w:color w:val="262626" w:themeColor="text1" w:themeTint="D9"/>
                <w:sz w:val="22"/>
                <w:szCs w:val="22"/>
              </w:rPr>
              <w:t>2017</w:t>
            </w:r>
          </w:p>
        </w:tc>
        <w:tc>
          <w:tcPr>
            <w:tcW w:w="1400" w:type="dxa"/>
            <w:noWrap/>
            <w:hideMark/>
          </w:tcPr>
          <w:p w14:paraId="01EC8E12" w14:textId="77777777" w:rsidR="00400A58" w:rsidRPr="00400A58" w:rsidRDefault="00400A58" w:rsidP="00400A58">
            <w:pPr>
              <w:pStyle w:val="NormalWeb"/>
              <w:rPr>
                <w:rFonts w:ascii="ArialMT" w:hAnsi="ArialMT"/>
                <w:color w:val="262626" w:themeColor="text1" w:themeTint="D9"/>
                <w:sz w:val="22"/>
                <w:szCs w:val="22"/>
              </w:rPr>
            </w:pPr>
            <w:r w:rsidRPr="00400A58">
              <w:rPr>
                <w:rFonts w:ascii="ArialMT" w:hAnsi="ArialMT"/>
                <w:color w:val="262626" w:themeColor="text1" w:themeTint="D9"/>
                <w:sz w:val="22"/>
                <w:szCs w:val="22"/>
              </w:rPr>
              <w:t>4979</w:t>
            </w:r>
          </w:p>
        </w:tc>
      </w:tr>
      <w:tr w:rsidR="00400A58" w:rsidRPr="00400A58" w14:paraId="3BCD8923" w14:textId="77777777" w:rsidTr="00400A58">
        <w:trPr>
          <w:trHeight w:val="320"/>
        </w:trPr>
        <w:tc>
          <w:tcPr>
            <w:tcW w:w="1300" w:type="dxa"/>
            <w:noWrap/>
            <w:hideMark/>
          </w:tcPr>
          <w:p w14:paraId="5119059C" w14:textId="77777777" w:rsidR="00400A58" w:rsidRPr="00400A58" w:rsidRDefault="00400A58" w:rsidP="00400A58">
            <w:pPr>
              <w:pStyle w:val="NormalWeb"/>
              <w:rPr>
                <w:rFonts w:ascii="ArialMT" w:hAnsi="ArialMT"/>
                <w:color w:val="262626" w:themeColor="text1" w:themeTint="D9"/>
                <w:sz w:val="22"/>
                <w:szCs w:val="22"/>
              </w:rPr>
            </w:pPr>
            <w:r w:rsidRPr="00400A58">
              <w:rPr>
                <w:rFonts w:ascii="ArialMT" w:hAnsi="ArialMT"/>
                <w:color w:val="262626" w:themeColor="text1" w:themeTint="D9"/>
                <w:sz w:val="22"/>
                <w:szCs w:val="22"/>
              </w:rPr>
              <w:t>2018</w:t>
            </w:r>
          </w:p>
        </w:tc>
        <w:tc>
          <w:tcPr>
            <w:tcW w:w="1400" w:type="dxa"/>
            <w:noWrap/>
            <w:hideMark/>
          </w:tcPr>
          <w:p w14:paraId="47F92357" w14:textId="77777777" w:rsidR="00400A58" w:rsidRPr="00400A58" w:rsidRDefault="00400A58" w:rsidP="00400A58">
            <w:pPr>
              <w:pStyle w:val="NormalWeb"/>
              <w:rPr>
                <w:rFonts w:ascii="ArialMT" w:hAnsi="ArialMT"/>
                <w:color w:val="262626" w:themeColor="text1" w:themeTint="D9"/>
                <w:sz w:val="22"/>
                <w:szCs w:val="22"/>
              </w:rPr>
            </w:pPr>
            <w:r w:rsidRPr="00400A58">
              <w:rPr>
                <w:rFonts w:ascii="ArialMT" w:hAnsi="ArialMT"/>
                <w:color w:val="262626" w:themeColor="text1" w:themeTint="D9"/>
                <w:sz w:val="22"/>
                <w:szCs w:val="22"/>
              </w:rPr>
              <w:t>5805</w:t>
            </w:r>
          </w:p>
        </w:tc>
      </w:tr>
      <w:tr w:rsidR="00400A58" w:rsidRPr="00400A58" w14:paraId="4BF3F0FD" w14:textId="77777777" w:rsidTr="00400A58">
        <w:trPr>
          <w:trHeight w:val="320"/>
        </w:trPr>
        <w:tc>
          <w:tcPr>
            <w:tcW w:w="1300" w:type="dxa"/>
            <w:noWrap/>
            <w:hideMark/>
          </w:tcPr>
          <w:p w14:paraId="5712D6F6" w14:textId="77777777" w:rsidR="00400A58" w:rsidRPr="00400A58" w:rsidRDefault="00400A58" w:rsidP="00400A58">
            <w:pPr>
              <w:pStyle w:val="NormalWeb"/>
              <w:rPr>
                <w:rFonts w:ascii="ArialMT" w:hAnsi="ArialMT"/>
                <w:color w:val="262626" w:themeColor="text1" w:themeTint="D9"/>
                <w:sz w:val="22"/>
                <w:szCs w:val="22"/>
              </w:rPr>
            </w:pPr>
            <w:r w:rsidRPr="00400A58">
              <w:rPr>
                <w:rFonts w:ascii="ArialMT" w:hAnsi="ArialMT"/>
                <w:color w:val="262626" w:themeColor="text1" w:themeTint="D9"/>
                <w:sz w:val="22"/>
                <w:szCs w:val="22"/>
              </w:rPr>
              <w:t>2019</w:t>
            </w:r>
          </w:p>
        </w:tc>
        <w:tc>
          <w:tcPr>
            <w:tcW w:w="1400" w:type="dxa"/>
            <w:noWrap/>
            <w:hideMark/>
          </w:tcPr>
          <w:p w14:paraId="08CD6DA4" w14:textId="77777777" w:rsidR="00400A58" w:rsidRPr="00400A58" w:rsidRDefault="00400A58" w:rsidP="00400A58">
            <w:pPr>
              <w:pStyle w:val="NormalWeb"/>
              <w:rPr>
                <w:rFonts w:ascii="ArialMT" w:hAnsi="ArialMT"/>
                <w:color w:val="262626" w:themeColor="text1" w:themeTint="D9"/>
                <w:sz w:val="22"/>
                <w:szCs w:val="22"/>
              </w:rPr>
            </w:pPr>
            <w:r w:rsidRPr="00400A58">
              <w:rPr>
                <w:rFonts w:ascii="ArialMT" w:hAnsi="ArialMT"/>
                <w:color w:val="262626" w:themeColor="text1" w:themeTint="D9"/>
                <w:sz w:val="22"/>
                <w:szCs w:val="22"/>
              </w:rPr>
              <w:t>8200</w:t>
            </w:r>
          </w:p>
        </w:tc>
      </w:tr>
      <w:tr w:rsidR="00400A58" w:rsidRPr="00400A58" w14:paraId="15E459B4" w14:textId="77777777" w:rsidTr="00400A58">
        <w:trPr>
          <w:trHeight w:val="320"/>
        </w:trPr>
        <w:tc>
          <w:tcPr>
            <w:tcW w:w="1300" w:type="dxa"/>
            <w:noWrap/>
            <w:hideMark/>
          </w:tcPr>
          <w:p w14:paraId="6870ED87" w14:textId="77777777" w:rsidR="00400A58" w:rsidRPr="00400A58" w:rsidRDefault="00400A58" w:rsidP="00400A58">
            <w:pPr>
              <w:pStyle w:val="NormalWeb"/>
              <w:rPr>
                <w:rFonts w:ascii="ArialMT" w:hAnsi="ArialMT"/>
                <w:color w:val="262626" w:themeColor="text1" w:themeTint="D9"/>
                <w:sz w:val="22"/>
                <w:szCs w:val="22"/>
              </w:rPr>
            </w:pPr>
            <w:r w:rsidRPr="00400A58">
              <w:rPr>
                <w:rFonts w:ascii="ArialMT" w:hAnsi="ArialMT"/>
                <w:color w:val="262626" w:themeColor="text1" w:themeTint="D9"/>
                <w:sz w:val="22"/>
                <w:szCs w:val="22"/>
              </w:rPr>
              <w:t>2020</w:t>
            </w:r>
          </w:p>
        </w:tc>
        <w:tc>
          <w:tcPr>
            <w:tcW w:w="1400" w:type="dxa"/>
            <w:noWrap/>
            <w:hideMark/>
          </w:tcPr>
          <w:p w14:paraId="4F554928" w14:textId="77777777" w:rsidR="00400A58" w:rsidRPr="00400A58" w:rsidRDefault="00400A58" w:rsidP="00400A58">
            <w:pPr>
              <w:pStyle w:val="NormalWeb"/>
              <w:rPr>
                <w:rFonts w:ascii="ArialMT" w:hAnsi="ArialMT"/>
                <w:color w:val="262626" w:themeColor="text1" w:themeTint="D9"/>
                <w:sz w:val="22"/>
                <w:szCs w:val="22"/>
              </w:rPr>
            </w:pPr>
            <w:r w:rsidRPr="00400A58">
              <w:rPr>
                <w:rFonts w:ascii="ArialMT" w:hAnsi="ArialMT"/>
                <w:color w:val="262626" w:themeColor="text1" w:themeTint="D9"/>
                <w:sz w:val="22"/>
                <w:szCs w:val="22"/>
              </w:rPr>
              <w:t>8260</w:t>
            </w:r>
          </w:p>
        </w:tc>
      </w:tr>
      <w:tr w:rsidR="00400A58" w:rsidRPr="00400A58" w14:paraId="7446EC84" w14:textId="77777777" w:rsidTr="00400A58">
        <w:trPr>
          <w:trHeight w:val="320"/>
        </w:trPr>
        <w:tc>
          <w:tcPr>
            <w:tcW w:w="1300" w:type="dxa"/>
            <w:noWrap/>
            <w:hideMark/>
          </w:tcPr>
          <w:p w14:paraId="7451FD85" w14:textId="77777777" w:rsidR="00400A58" w:rsidRPr="00400A58" w:rsidRDefault="00400A58" w:rsidP="00400A58">
            <w:pPr>
              <w:pStyle w:val="NormalWeb"/>
              <w:rPr>
                <w:rFonts w:ascii="ArialMT" w:hAnsi="ArialMT"/>
                <w:color w:val="262626" w:themeColor="text1" w:themeTint="D9"/>
                <w:sz w:val="22"/>
                <w:szCs w:val="22"/>
              </w:rPr>
            </w:pPr>
            <w:r w:rsidRPr="00400A58">
              <w:rPr>
                <w:rFonts w:ascii="ArialMT" w:hAnsi="ArialMT"/>
                <w:color w:val="262626" w:themeColor="text1" w:themeTint="D9"/>
                <w:sz w:val="22"/>
                <w:szCs w:val="22"/>
              </w:rPr>
              <w:t>2021</w:t>
            </w:r>
          </w:p>
        </w:tc>
        <w:tc>
          <w:tcPr>
            <w:tcW w:w="1400" w:type="dxa"/>
            <w:noWrap/>
            <w:hideMark/>
          </w:tcPr>
          <w:p w14:paraId="0877BAD3" w14:textId="77777777" w:rsidR="00400A58" w:rsidRPr="00400A58" w:rsidRDefault="00400A58" w:rsidP="00400A58">
            <w:pPr>
              <w:pStyle w:val="NormalWeb"/>
              <w:rPr>
                <w:rFonts w:ascii="ArialMT" w:hAnsi="ArialMT"/>
                <w:color w:val="262626" w:themeColor="text1" w:themeTint="D9"/>
                <w:sz w:val="22"/>
                <w:szCs w:val="22"/>
              </w:rPr>
            </w:pPr>
            <w:r w:rsidRPr="00400A58">
              <w:rPr>
                <w:rFonts w:ascii="ArialMT" w:hAnsi="ArialMT"/>
                <w:color w:val="262626" w:themeColor="text1" w:themeTint="D9"/>
                <w:sz w:val="22"/>
                <w:szCs w:val="22"/>
              </w:rPr>
              <w:t>4076</w:t>
            </w:r>
          </w:p>
        </w:tc>
      </w:tr>
      <w:tr w:rsidR="00400A58" w:rsidRPr="00400A58" w14:paraId="02654EB3" w14:textId="77777777" w:rsidTr="00400A58">
        <w:trPr>
          <w:trHeight w:val="320"/>
        </w:trPr>
        <w:tc>
          <w:tcPr>
            <w:tcW w:w="1300" w:type="dxa"/>
            <w:noWrap/>
            <w:hideMark/>
          </w:tcPr>
          <w:p w14:paraId="5FEC892D" w14:textId="77777777" w:rsidR="00400A58" w:rsidRPr="00400A58" w:rsidRDefault="00400A58" w:rsidP="00400A58">
            <w:pPr>
              <w:pStyle w:val="NormalWeb"/>
              <w:rPr>
                <w:rFonts w:ascii="ArialMT" w:hAnsi="ArialMT"/>
                <w:color w:val="262626" w:themeColor="text1" w:themeTint="D9"/>
                <w:sz w:val="22"/>
                <w:szCs w:val="22"/>
              </w:rPr>
            </w:pPr>
            <w:r w:rsidRPr="00400A58">
              <w:rPr>
                <w:rFonts w:ascii="ArialMT" w:hAnsi="ArialMT"/>
                <w:color w:val="262626" w:themeColor="text1" w:themeTint="D9"/>
                <w:sz w:val="22"/>
                <w:szCs w:val="22"/>
              </w:rPr>
              <w:t>2022</w:t>
            </w:r>
          </w:p>
        </w:tc>
        <w:tc>
          <w:tcPr>
            <w:tcW w:w="1400" w:type="dxa"/>
            <w:noWrap/>
            <w:hideMark/>
          </w:tcPr>
          <w:p w14:paraId="10575BB1" w14:textId="77777777" w:rsidR="00400A58" w:rsidRPr="00400A58" w:rsidRDefault="00400A58" w:rsidP="00400A58">
            <w:pPr>
              <w:pStyle w:val="NormalWeb"/>
              <w:rPr>
                <w:rFonts w:ascii="ArialMT" w:hAnsi="ArialMT"/>
                <w:color w:val="262626" w:themeColor="text1" w:themeTint="D9"/>
                <w:sz w:val="22"/>
                <w:szCs w:val="22"/>
              </w:rPr>
            </w:pPr>
            <w:r w:rsidRPr="00400A58">
              <w:rPr>
                <w:rFonts w:ascii="ArialMT" w:hAnsi="ArialMT"/>
                <w:color w:val="262626" w:themeColor="text1" w:themeTint="D9"/>
                <w:sz w:val="22"/>
                <w:szCs w:val="22"/>
              </w:rPr>
              <w:t>1738</w:t>
            </w:r>
          </w:p>
        </w:tc>
      </w:tr>
      <w:tr w:rsidR="00400A58" w:rsidRPr="00400A58" w14:paraId="5794F67F" w14:textId="77777777" w:rsidTr="00400A58">
        <w:trPr>
          <w:trHeight w:val="320"/>
        </w:trPr>
        <w:tc>
          <w:tcPr>
            <w:tcW w:w="1300" w:type="dxa"/>
            <w:noWrap/>
            <w:hideMark/>
          </w:tcPr>
          <w:p w14:paraId="0388E1C1" w14:textId="77777777" w:rsidR="00400A58" w:rsidRPr="00400A58" w:rsidRDefault="00400A58" w:rsidP="00400A58">
            <w:pPr>
              <w:pStyle w:val="NormalWeb"/>
              <w:rPr>
                <w:rFonts w:ascii="ArialMT" w:hAnsi="ArialMT"/>
                <w:color w:val="262626" w:themeColor="text1" w:themeTint="D9"/>
                <w:sz w:val="22"/>
                <w:szCs w:val="22"/>
              </w:rPr>
            </w:pPr>
            <w:r w:rsidRPr="00400A58">
              <w:rPr>
                <w:rFonts w:ascii="ArialMT" w:hAnsi="ArialMT"/>
                <w:color w:val="262626" w:themeColor="text1" w:themeTint="D9"/>
                <w:sz w:val="22"/>
                <w:szCs w:val="22"/>
              </w:rPr>
              <w:t>2023</w:t>
            </w:r>
          </w:p>
        </w:tc>
        <w:tc>
          <w:tcPr>
            <w:tcW w:w="1400" w:type="dxa"/>
            <w:noWrap/>
            <w:hideMark/>
          </w:tcPr>
          <w:p w14:paraId="3549497C" w14:textId="77777777" w:rsidR="00400A58" w:rsidRPr="00400A58" w:rsidRDefault="00400A58" w:rsidP="00400A58">
            <w:pPr>
              <w:pStyle w:val="NormalWeb"/>
              <w:rPr>
                <w:rFonts w:ascii="ArialMT" w:hAnsi="ArialMT"/>
                <w:color w:val="262626" w:themeColor="text1" w:themeTint="D9"/>
                <w:sz w:val="22"/>
                <w:szCs w:val="22"/>
              </w:rPr>
            </w:pPr>
            <w:r w:rsidRPr="00400A58">
              <w:rPr>
                <w:rFonts w:ascii="ArialMT" w:hAnsi="ArialMT"/>
                <w:color w:val="262626" w:themeColor="text1" w:themeTint="D9"/>
                <w:sz w:val="22"/>
                <w:szCs w:val="22"/>
              </w:rPr>
              <w:t>1219</w:t>
            </w:r>
          </w:p>
        </w:tc>
      </w:tr>
      <w:tr w:rsidR="00400A58" w:rsidRPr="00400A58" w14:paraId="43852168" w14:textId="77777777" w:rsidTr="00400A58">
        <w:trPr>
          <w:trHeight w:val="320"/>
        </w:trPr>
        <w:tc>
          <w:tcPr>
            <w:tcW w:w="1300" w:type="dxa"/>
            <w:noWrap/>
            <w:hideMark/>
          </w:tcPr>
          <w:p w14:paraId="08C15CA4" w14:textId="77777777" w:rsidR="00400A58" w:rsidRPr="00400A58" w:rsidRDefault="00400A58" w:rsidP="00400A58">
            <w:pPr>
              <w:pStyle w:val="NormalWeb"/>
              <w:rPr>
                <w:rFonts w:ascii="ArialMT" w:hAnsi="ArialMT"/>
                <w:b/>
                <w:bCs/>
                <w:color w:val="77206D" w:themeColor="accent5" w:themeShade="BF"/>
                <w:sz w:val="22"/>
                <w:szCs w:val="22"/>
              </w:rPr>
            </w:pPr>
            <w:r w:rsidRPr="00400A58">
              <w:rPr>
                <w:rFonts w:ascii="ArialMT" w:hAnsi="ArialMT"/>
                <w:b/>
                <w:bCs/>
                <w:color w:val="77206D" w:themeColor="accent5" w:themeShade="BF"/>
                <w:sz w:val="22"/>
                <w:szCs w:val="22"/>
              </w:rPr>
              <w:t>Average</w:t>
            </w:r>
          </w:p>
        </w:tc>
        <w:tc>
          <w:tcPr>
            <w:tcW w:w="1400" w:type="dxa"/>
            <w:noWrap/>
            <w:hideMark/>
          </w:tcPr>
          <w:p w14:paraId="7D0BA9FC" w14:textId="77777777" w:rsidR="00400A58" w:rsidRPr="00400A58" w:rsidRDefault="00400A58" w:rsidP="00400A58">
            <w:pPr>
              <w:pStyle w:val="NormalWeb"/>
              <w:rPr>
                <w:rFonts w:ascii="ArialMT" w:hAnsi="ArialMT"/>
                <w:b/>
                <w:bCs/>
                <w:color w:val="77206D" w:themeColor="accent5" w:themeShade="BF"/>
                <w:sz w:val="22"/>
                <w:szCs w:val="22"/>
              </w:rPr>
            </w:pPr>
            <w:r w:rsidRPr="00400A58">
              <w:rPr>
                <w:rFonts w:ascii="ArialMT" w:hAnsi="ArialMT"/>
                <w:b/>
                <w:bCs/>
                <w:color w:val="77206D" w:themeColor="accent5" w:themeShade="BF"/>
                <w:sz w:val="22"/>
                <w:szCs w:val="22"/>
              </w:rPr>
              <w:t>4574</w:t>
            </w:r>
          </w:p>
        </w:tc>
      </w:tr>
    </w:tbl>
    <w:p w14:paraId="263F3F4A" w14:textId="3D438E3B" w:rsidR="00400A58" w:rsidRPr="00400A58" w:rsidRDefault="00400A58" w:rsidP="00400A58">
      <w:pPr>
        <w:pStyle w:val="NormalWeb"/>
        <w:rPr>
          <w:rFonts w:ascii="ArialMT" w:hAnsi="ArialMT"/>
          <w:color w:val="215E99" w:themeColor="text2" w:themeTint="BF"/>
          <w:sz w:val="22"/>
          <w:szCs w:val="22"/>
        </w:rPr>
      </w:pPr>
      <w:r>
        <w:rPr>
          <w:rFonts w:ascii="ArialMT" w:hAnsi="ArialMT"/>
          <w:color w:val="215E99" w:themeColor="text2" w:themeTint="BF"/>
          <w:sz w:val="22"/>
          <w:szCs w:val="22"/>
        </w:rPr>
        <w:br w:type="textWrapping" w:clear="all"/>
      </w:r>
    </w:p>
    <w:p w14:paraId="1697D4AC" w14:textId="04F36FD8" w:rsid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lastRenderedPageBreak/>
        <w:t xml:space="preserve">From the </w:t>
      </w:r>
      <w:r>
        <w:rPr>
          <w:rFonts w:ascii="ArialMT" w:hAnsi="ArialMT"/>
          <w:color w:val="000000" w:themeColor="text1"/>
          <w:sz w:val="22"/>
          <w:szCs w:val="22"/>
        </w:rPr>
        <w:t>tables</w:t>
      </w:r>
      <w:r w:rsidRPr="00400A58">
        <w:rPr>
          <w:rFonts w:ascii="ArialMT" w:hAnsi="ArialMT"/>
          <w:color w:val="000000" w:themeColor="text1"/>
          <w:sz w:val="22"/>
          <w:szCs w:val="22"/>
        </w:rPr>
        <w:t xml:space="preserve">, it can be observed that Just </w:t>
      </w:r>
      <w:proofErr w:type="spellStart"/>
      <w:r w:rsidRPr="00400A58">
        <w:rPr>
          <w:rFonts w:ascii="ArialMT" w:hAnsi="ArialMT"/>
          <w:color w:val="000000" w:themeColor="text1"/>
          <w:sz w:val="22"/>
          <w:szCs w:val="22"/>
        </w:rPr>
        <w:t>Eat's</w:t>
      </w:r>
      <w:proofErr w:type="spellEnd"/>
      <w:r w:rsidRPr="00400A58">
        <w:rPr>
          <w:rFonts w:ascii="ArialMT" w:hAnsi="ArialMT"/>
          <w:color w:val="000000" w:themeColor="text1"/>
          <w:sz w:val="22"/>
          <w:szCs w:val="22"/>
        </w:rPr>
        <w:t xml:space="preserve"> share price reached high levels, particularly around 2019 and 2020</w:t>
      </w:r>
      <w:r>
        <w:rPr>
          <w:rFonts w:ascii="ArialMT" w:hAnsi="ArialMT"/>
          <w:color w:val="000000" w:themeColor="text1"/>
          <w:sz w:val="22"/>
          <w:szCs w:val="22"/>
        </w:rPr>
        <w:t xml:space="preserve"> to 2021 </w:t>
      </w:r>
      <w:r w:rsidRPr="00400A58">
        <w:rPr>
          <w:rFonts w:ascii="ArialMT" w:hAnsi="ArialMT"/>
          <w:color w:val="000000" w:themeColor="text1"/>
          <w:sz w:val="22"/>
          <w:szCs w:val="22"/>
        </w:rPr>
        <w:t>before experiencing a sharp decline. Th</w:t>
      </w:r>
      <w:r>
        <w:rPr>
          <w:rFonts w:ascii="ArialMT" w:hAnsi="ArialMT"/>
          <w:color w:val="000000" w:themeColor="text1"/>
          <w:sz w:val="22"/>
          <w:szCs w:val="22"/>
        </w:rPr>
        <w:t xml:space="preserve">e </w:t>
      </w:r>
      <w:r w:rsidRPr="00400A58">
        <w:rPr>
          <w:rFonts w:ascii="ArialMT" w:hAnsi="ArialMT"/>
          <w:color w:val="000000" w:themeColor="text1"/>
          <w:sz w:val="22"/>
          <w:szCs w:val="22"/>
        </w:rPr>
        <w:t>period's mean price represents a range between these highs and the more recent lows, providing an average number which helps in putting overall performance in perspective.</w:t>
      </w:r>
    </w:p>
    <w:p w14:paraId="706AB6E3" w14:textId="0A1E9347" w:rsidR="00400A58" w:rsidRPr="00400A58" w:rsidRDefault="00400A58" w:rsidP="00400A58">
      <w:pPr>
        <w:pStyle w:val="NormalWeb"/>
        <w:spacing w:line="360" w:lineRule="auto"/>
        <w:rPr>
          <w:rFonts w:ascii="ArialMT" w:hAnsi="ArialMT"/>
          <w:color w:val="000000" w:themeColor="text1"/>
          <w:sz w:val="22"/>
          <w:szCs w:val="22"/>
          <w:u w:val="single"/>
        </w:rPr>
      </w:pPr>
      <w:r w:rsidRPr="00400A58">
        <w:rPr>
          <w:rFonts w:ascii="ArialMT" w:hAnsi="ArialMT"/>
          <w:color w:val="000000" w:themeColor="text1"/>
          <w:sz w:val="22"/>
          <w:szCs w:val="22"/>
          <w:u w:val="single"/>
        </w:rPr>
        <w:t>Median Share Price</w:t>
      </w:r>
      <w:r w:rsidRPr="00400A58">
        <w:rPr>
          <w:rFonts w:ascii="ArialMT" w:hAnsi="ArialMT"/>
          <w:color w:val="000000" w:themeColor="text1"/>
          <w:sz w:val="22"/>
          <w:szCs w:val="22"/>
          <w:u w:val="single"/>
        </w:rPr>
        <w:t>:</w:t>
      </w:r>
    </w:p>
    <w:p w14:paraId="521A5743" w14:textId="60785FA1" w:rsid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 xml:space="preserve">The median is the middle value of the share prices when ordered from lowest to highest, which helps in understanding the central tendency of the data without being skewed by extreme </w:t>
      </w:r>
      <w:proofErr w:type="gramStart"/>
      <w:r w:rsidRPr="00400A58">
        <w:rPr>
          <w:rFonts w:ascii="ArialMT" w:hAnsi="ArialMT"/>
          <w:color w:val="000000" w:themeColor="text1"/>
          <w:sz w:val="22"/>
          <w:szCs w:val="22"/>
        </w:rPr>
        <w:t>values</w:t>
      </w:r>
      <w:r w:rsidR="0069410F">
        <w:rPr>
          <w:rFonts w:ascii="ArialMT" w:hAnsi="ArialMT"/>
          <w:color w:val="262626" w:themeColor="text1" w:themeTint="D9"/>
          <w:sz w:val="22"/>
          <w:szCs w:val="22"/>
        </w:rPr>
        <w:t>(</w:t>
      </w:r>
      <w:proofErr w:type="gramEnd"/>
      <w:r w:rsidR="0069410F">
        <w:rPr>
          <w:rFonts w:ascii="ArialMT" w:hAnsi="ArialMT"/>
          <w:color w:val="262626" w:themeColor="text1" w:themeTint="D9"/>
          <w:sz w:val="22"/>
          <w:szCs w:val="22"/>
        </w:rPr>
        <w:t>ncetm.org.uk n.d.)</w:t>
      </w:r>
      <w:r w:rsidRPr="00400A58">
        <w:rPr>
          <w:rFonts w:ascii="ArialMT" w:hAnsi="ArialMT"/>
          <w:color w:val="000000" w:themeColor="text1"/>
          <w:sz w:val="22"/>
          <w:szCs w:val="22"/>
        </w:rPr>
        <w:t>.</w:t>
      </w:r>
    </w:p>
    <w:p w14:paraId="44B6E9D9" w14:textId="42414B20" w:rsidR="0069410F" w:rsidRDefault="0069410F" w:rsidP="0069410F">
      <w:pPr>
        <w:pStyle w:val="Caption"/>
        <w:keepNext/>
      </w:pPr>
      <w:r>
        <w:t xml:space="preserve">Figure </w:t>
      </w:r>
      <w:r>
        <w:fldChar w:fldCharType="begin"/>
      </w:r>
      <w:r>
        <w:instrText xml:space="preserve"> SEQ Figure \* ARABIC </w:instrText>
      </w:r>
      <w:r>
        <w:fldChar w:fldCharType="separate"/>
      </w:r>
      <w:r>
        <w:rPr>
          <w:noProof/>
        </w:rPr>
        <w:t>3</w:t>
      </w:r>
      <w:r>
        <w:fldChar w:fldCharType="end"/>
      </w:r>
      <w:r>
        <w:t xml:space="preserve"> </w:t>
      </w:r>
      <w:r w:rsidRPr="005F26D1">
        <w:t xml:space="preserve">Figure 1- Just Eat share Adj. Close </w:t>
      </w:r>
      <w:proofErr w:type="gramStart"/>
      <w:r w:rsidRPr="005F26D1">
        <w:t>prices</w:t>
      </w:r>
      <w:proofErr w:type="gramEnd"/>
      <w:r>
        <w:t>-Median</w:t>
      </w:r>
      <w:r w:rsidRPr="005F26D1">
        <w:t xml:space="preserve"> (source: Author)</w:t>
      </w:r>
    </w:p>
    <w:tbl>
      <w:tblPr>
        <w:tblStyle w:val="TableGrid"/>
        <w:tblW w:w="0" w:type="auto"/>
        <w:tblLook w:val="04A0" w:firstRow="1" w:lastRow="0" w:firstColumn="1" w:lastColumn="0" w:noHBand="0" w:noVBand="1"/>
      </w:tblPr>
      <w:tblGrid>
        <w:gridCol w:w="1300"/>
        <w:gridCol w:w="1300"/>
      </w:tblGrid>
      <w:tr w:rsidR="00400A58" w:rsidRPr="00400A58" w14:paraId="08973E84" w14:textId="77777777" w:rsidTr="00400A58">
        <w:trPr>
          <w:trHeight w:val="320"/>
        </w:trPr>
        <w:tc>
          <w:tcPr>
            <w:tcW w:w="1300" w:type="dxa"/>
            <w:noWrap/>
            <w:hideMark/>
          </w:tcPr>
          <w:p w14:paraId="410E81B9"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 xml:space="preserve">Year </w:t>
            </w:r>
          </w:p>
        </w:tc>
        <w:tc>
          <w:tcPr>
            <w:tcW w:w="1300" w:type="dxa"/>
            <w:noWrap/>
            <w:hideMark/>
          </w:tcPr>
          <w:p w14:paraId="64937909" w14:textId="77777777" w:rsidR="00400A58" w:rsidRPr="00400A58" w:rsidRDefault="00400A58" w:rsidP="00400A58">
            <w:pPr>
              <w:pStyle w:val="NormalWeb"/>
              <w:spacing w:line="360" w:lineRule="auto"/>
              <w:rPr>
                <w:rFonts w:ascii="ArialMT" w:hAnsi="ArialMT"/>
                <w:color w:val="000000" w:themeColor="text1"/>
                <w:sz w:val="22"/>
                <w:szCs w:val="22"/>
              </w:rPr>
            </w:pPr>
            <w:proofErr w:type="spellStart"/>
            <w:r w:rsidRPr="00400A58">
              <w:rPr>
                <w:rFonts w:ascii="ArialMT" w:hAnsi="ArialMT"/>
                <w:color w:val="000000" w:themeColor="text1"/>
                <w:sz w:val="22"/>
                <w:szCs w:val="22"/>
              </w:rPr>
              <w:t>Adj</w:t>
            </w:r>
            <w:proofErr w:type="spellEnd"/>
            <w:r w:rsidRPr="00400A58">
              <w:rPr>
                <w:rFonts w:ascii="ArialMT" w:hAnsi="ArialMT"/>
                <w:color w:val="000000" w:themeColor="text1"/>
                <w:sz w:val="22"/>
                <w:szCs w:val="22"/>
              </w:rPr>
              <w:t xml:space="preserve"> close </w:t>
            </w:r>
          </w:p>
        </w:tc>
      </w:tr>
      <w:tr w:rsidR="00400A58" w:rsidRPr="00400A58" w14:paraId="51AC90C6" w14:textId="77777777" w:rsidTr="00400A58">
        <w:trPr>
          <w:trHeight w:val="320"/>
        </w:trPr>
        <w:tc>
          <w:tcPr>
            <w:tcW w:w="1300" w:type="dxa"/>
            <w:noWrap/>
            <w:hideMark/>
          </w:tcPr>
          <w:p w14:paraId="2D46052D"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2016</w:t>
            </w:r>
          </w:p>
        </w:tc>
        <w:tc>
          <w:tcPr>
            <w:tcW w:w="1300" w:type="dxa"/>
            <w:noWrap/>
            <w:hideMark/>
          </w:tcPr>
          <w:p w14:paraId="7241642A"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1219</w:t>
            </w:r>
          </w:p>
        </w:tc>
      </w:tr>
      <w:tr w:rsidR="00400A58" w:rsidRPr="00400A58" w14:paraId="293B8B0E" w14:textId="77777777" w:rsidTr="00400A58">
        <w:trPr>
          <w:trHeight w:val="320"/>
        </w:trPr>
        <w:tc>
          <w:tcPr>
            <w:tcW w:w="1300" w:type="dxa"/>
            <w:noWrap/>
            <w:hideMark/>
          </w:tcPr>
          <w:p w14:paraId="643ADCF6"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2017</w:t>
            </w:r>
          </w:p>
        </w:tc>
        <w:tc>
          <w:tcPr>
            <w:tcW w:w="1300" w:type="dxa"/>
            <w:noWrap/>
            <w:hideMark/>
          </w:tcPr>
          <w:p w14:paraId="413BABD3"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1738</w:t>
            </w:r>
          </w:p>
        </w:tc>
      </w:tr>
      <w:tr w:rsidR="00400A58" w:rsidRPr="00400A58" w14:paraId="540F9F7A" w14:textId="77777777" w:rsidTr="00400A58">
        <w:trPr>
          <w:trHeight w:val="320"/>
        </w:trPr>
        <w:tc>
          <w:tcPr>
            <w:tcW w:w="1300" w:type="dxa"/>
            <w:noWrap/>
            <w:hideMark/>
          </w:tcPr>
          <w:p w14:paraId="6C5263E9"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2018</w:t>
            </w:r>
          </w:p>
        </w:tc>
        <w:tc>
          <w:tcPr>
            <w:tcW w:w="1300" w:type="dxa"/>
            <w:noWrap/>
            <w:hideMark/>
          </w:tcPr>
          <w:p w14:paraId="2FCFDAF4"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2316</w:t>
            </w:r>
          </w:p>
        </w:tc>
      </w:tr>
      <w:tr w:rsidR="00400A58" w:rsidRPr="00400A58" w14:paraId="6E08EA30" w14:textId="77777777" w:rsidTr="00400A58">
        <w:trPr>
          <w:trHeight w:val="320"/>
        </w:trPr>
        <w:tc>
          <w:tcPr>
            <w:tcW w:w="1300" w:type="dxa"/>
            <w:noWrap/>
            <w:hideMark/>
          </w:tcPr>
          <w:p w14:paraId="7665E72E"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2019</w:t>
            </w:r>
          </w:p>
        </w:tc>
        <w:tc>
          <w:tcPr>
            <w:tcW w:w="1300" w:type="dxa"/>
            <w:noWrap/>
            <w:hideMark/>
          </w:tcPr>
          <w:p w14:paraId="3E62C413"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4076</w:t>
            </w:r>
          </w:p>
        </w:tc>
      </w:tr>
      <w:tr w:rsidR="00400A58" w:rsidRPr="00400A58" w14:paraId="1EEE96A4" w14:textId="77777777" w:rsidTr="00400A58">
        <w:trPr>
          <w:trHeight w:val="320"/>
        </w:trPr>
        <w:tc>
          <w:tcPr>
            <w:tcW w:w="1300" w:type="dxa"/>
            <w:noWrap/>
            <w:hideMark/>
          </w:tcPr>
          <w:p w14:paraId="670D12BF"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2020</w:t>
            </w:r>
          </w:p>
        </w:tc>
        <w:tc>
          <w:tcPr>
            <w:tcW w:w="1300" w:type="dxa"/>
            <w:noWrap/>
            <w:hideMark/>
          </w:tcPr>
          <w:p w14:paraId="7B950505"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4979</w:t>
            </w:r>
          </w:p>
        </w:tc>
      </w:tr>
      <w:tr w:rsidR="00400A58" w:rsidRPr="00400A58" w14:paraId="69294BAF" w14:textId="77777777" w:rsidTr="00400A58">
        <w:trPr>
          <w:trHeight w:val="320"/>
        </w:trPr>
        <w:tc>
          <w:tcPr>
            <w:tcW w:w="1300" w:type="dxa"/>
            <w:noWrap/>
            <w:hideMark/>
          </w:tcPr>
          <w:p w14:paraId="4215D4F0"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2021</w:t>
            </w:r>
          </w:p>
        </w:tc>
        <w:tc>
          <w:tcPr>
            <w:tcW w:w="1300" w:type="dxa"/>
            <w:noWrap/>
            <w:hideMark/>
          </w:tcPr>
          <w:p w14:paraId="5A96E057"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5805</w:t>
            </w:r>
          </w:p>
        </w:tc>
      </w:tr>
      <w:tr w:rsidR="00400A58" w:rsidRPr="00400A58" w14:paraId="7A6D1334" w14:textId="77777777" w:rsidTr="00400A58">
        <w:trPr>
          <w:trHeight w:val="320"/>
        </w:trPr>
        <w:tc>
          <w:tcPr>
            <w:tcW w:w="1300" w:type="dxa"/>
            <w:noWrap/>
            <w:hideMark/>
          </w:tcPr>
          <w:p w14:paraId="70496FDC"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2022</w:t>
            </w:r>
          </w:p>
        </w:tc>
        <w:tc>
          <w:tcPr>
            <w:tcW w:w="1300" w:type="dxa"/>
            <w:noWrap/>
            <w:hideMark/>
          </w:tcPr>
          <w:p w14:paraId="4C552B5B"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8200</w:t>
            </w:r>
          </w:p>
        </w:tc>
      </w:tr>
      <w:tr w:rsidR="00400A58" w:rsidRPr="00400A58" w14:paraId="401DDF50" w14:textId="77777777" w:rsidTr="00400A58">
        <w:trPr>
          <w:trHeight w:val="320"/>
        </w:trPr>
        <w:tc>
          <w:tcPr>
            <w:tcW w:w="1300" w:type="dxa"/>
            <w:noWrap/>
            <w:hideMark/>
          </w:tcPr>
          <w:p w14:paraId="4586A73A"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2023</w:t>
            </w:r>
          </w:p>
        </w:tc>
        <w:tc>
          <w:tcPr>
            <w:tcW w:w="1300" w:type="dxa"/>
            <w:noWrap/>
            <w:hideMark/>
          </w:tcPr>
          <w:p w14:paraId="59CA474B"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8260</w:t>
            </w:r>
          </w:p>
        </w:tc>
      </w:tr>
      <w:tr w:rsidR="00400A58" w:rsidRPr="00400A58" w14:paraId="557E3E87" w14:textId="77777777" w:rsidTr="00400A58">
        <w:trPr>
          <w:trHeight w:val="320"/>
        </w:trPr>
        <w:tc>
          <w:tcPr>
            <w:tcW w:w="1300" w:type="dxa"/>
            <w:noWrap/>
            <w:hideMark/>
          </w:tcPr>
          <w:p w14:paraId="550CDC73" w14:textId="77777777" w:rsidR="00400A58" w:rsidRPr="00400A58" w:rsidRDefault="00400A58" w:rsidP="00400A58">
            <w:pPr>
              <w:pStyle w:val="NormalWeb"/>
              <w:spacing w:line="360" w:lineRule="auto"/>
              <w:rPr>
                <w:rFonts w:ascii="ArialMT" w:hAnsi="ArialMT"/>
                <w:b/>
                <w:bCs/>
                <w:color w:val="77206D" w:themeColor="accent5" w:themeShade="BF"/>
                <w:sz w:val="22"/>
                <w:szCs w:val="22"/>
              </w:rPr>
            </w:pPr>
            <w:r w:rsidRPr="00400A58">
              <w:rPr>
                <w:rFonts w:ascii="ArialMT" w:hAnsi="ArialMT"/>
                <w:b/>
                <w:bCs/>
                <w:color w:val="77206D" w:themeColor="accent5" w:themeShade="BF"/>
                <w:sz w:val="22"/>
                <w:szCs w:val="22"/>
              </w:rPr>
              <w:t xml:space="preserve">Median </w:t>
            </w:r>
          </w:p>
        </w:tc>
        <w:tc>
          <w:tcPr>
            <w:tcW w:w="1300" w:type="dxa"/>
            <w:noWrap/>
            <w:hideMark/>
          </w:tcPr>
          <w:p w14:paraId="69720031" w14:textId="77777777" w:rsidR="00400A58" w:rsidRPr="00400A58" w:rsidRDefault="00400A58" w:rsidP="00400A58">
            <w:pPr>
              <w:pStyle w:val="NormalWeb"/>
              <w:spacing w:line="360" w:lineRule="auto"/>
              <w:rPr>
                <w:rFonts w:ascii="ArialMT" w:hAnsi="ArialMT"/>
                <w:b/>
                <w:bCs/>
                <w:color w:val="77206D" w:themeColor="accent5" w:themeShade="BF"/>
                <w:sz w:val="22"/>
                <w:szCs w:val="22"/>
              </w:rPr>
            </w:pPr>
            <w:r w:rsidRPr="00400A58">
              <w:rPr>
                <w:rFonts w:ascii="ArialMT" w:hAnsi="ArialMT"/>
                <w:b/>
                <w:bCs/>
                <w:color w:val="77206D" w:themeColor="accent5" w:themeShade="BF"/>
                <w:sz w:val="22"/>
                <w:szCs w:val="22"/>
              </w:rPr>
              <w:t>4527.5</w:t>
            </w:r>
          </w:p>
        </w:tc>
      </w:tr>
    </w:tbl>
    <w:p w14:paraId="069E3FD5" w14:textId="0BFCFDF7" w:rsid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The fact that the median price is lower than the mean suggests that there have been more years where the stock traded below the average value, but the few years with high prices (especially 2022 and 2023) are pulling the mean upwards. This indicates that while the stock experienced substantial growth towards the later years, most of its history has seen it trading at lower prices.</w:t>
      </w:r>
      <w:r>
        <w:rPr>
          <w:rFonts w:ascii="ArialMT" w:hAnsi="ArialMT"/>
          <w:color w:val="000000" w:themeColor="text1"/>
          <w:sz w:val="22"/>
          <w:szCs w:val="22"/>
        </w:rPr>
        <w:t xml:space="preserve"> </w:t>
      </w:r>
    </w:p>
    <w:p w14:paraId="3DF74187" w14:textId="142F7F61" w:rsid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The stock</w:t>
      </w:r>
      <w:r w:rsidR="0069410F">
        <w:rPr>
          <w:rFonts w:ascii="ArialMT" w:hAnsi="ArialMT"/>
          <w:color w:val="000000" w:themeColor="text1"/>
          <w:sz w:val="22"/>
          <w:szCs w:val="22"/>
        </w:rPr>
        <w:t xml:space="preserve"> price</w:t>
      </w:r>
      <w:r w:rsidRPr="00400A58">
        <w:rPr>
          <w:rFonts w:ascii="ArialMT" w:hAnsi="ArialMT"/>
          <w:color w:val="000000" w:themeColor="text1"/>
          <w:sz w:val="22"/>
          <w:szCs w:val="22"/>
        </w:rPr>
        <w:t xml:space="preserve"> </w:t>
      </w:r>
      <w:r w:rsidR="0069410F">
        <w:rPr>
          <w:rFonts w:ascii="ArialMT" w:hAnsi="ArialMT"/>
          <w:color w:val="000000" w:themeColor="text1"/>
          <w:sz w:val="22"/>
          <w:szCs w:val="22"/>
        </w:rPr>
        <w:t>notably increased</w:t>
      </w:r>
      <w:r w:rsidRPr="00400A58">
        <w:rPr>
          <w:rFonts w:ascii="ArialMT" w:hAnsi="ArialMT"/>
          <w:color w:val="000000" w:themeColor="text1"/>
          <w:sz w:val="22"/>
          <w:szCs w:val="22"/>
        </w:rPr>
        <w:t xml:space="preserve"> in 2022 and 2023, 8200 and 8260 pence, respectively, indicating substantial success throughout these years. Nevertheless, the price distribution </w:t>
      </w:r>
      <w:r w:rsidR="0069410F" w:rsidRPr="00400A58">
        <w:rPr>
          <w:rFonts w:ascii="ArialMT" w:hAnsi="ArialMT"/>
          <w:color w:val="000000" w:themeColor="text1"/>
          <w:sz w:val="22"/>
          <w:szCs w:val="22"/>
        </w:rPr>
        <w:t>indicates</w:t>
      </w:r>
      <w:r w:rsidRPr="00400A58">
        <w:rPr>
          <w:rFonts w:ascii="ArialMT" w:hAnsi="ArialMT"/>
          <w:color w:val="000000" w:themeColor="text1"/>
          <w:sz w:val="22"/>
          <w:szCs w:val="22"/>
        </w:rPr>
        <w:t xml:space="preserve"> that these high values are abnormalities rather than the typical range for Just </w:t>
      </w:r>
      <w:proofErr w:type="spellStart"/>
      <w:r w:rsidRPr="00400A58">
        <w:rPr>
          <w:rFonts w:ascii="ArialMT" w:hAnsi="ArialMT"/>
          <w:color w:val="000000" w:themeColor="text1"/>
          <w:sz w:val="22"/>
          <w:szCs w:val="22"/>
        </w:rPr>
        <w:t>Eat's</w:t>
      </w:r>
      <w:proofErr w:type="spellEnd"/>
      <w:r w:rsidRPr="00400A58">
        <w:rPr>
          <w:rFonts w:ascii="ArialMT" w:hAnsi="ArialMT"/>
          <w:color w:val="000000" w:themeColor="text1"/>
          <w:sz w:val="22"/>
          <w:szCs w:val="22"/>
        </w:rPr>
        <w:t xml:space="preserve"> trading activity.</w:t>
      </w:r>
    </w:p>
    <w:p w14:paraId="2793354A" w14:textId="56D00A71" w:rsidR="0069410F" w:rsidRDefault="0069410F" w:rsidP="00400A58">
      <w:pPr>
        <w:pStyle w:val="NormalWeb"/>
        <w:spacing w:line="360" w:lineRule="auto"/>
        <w:rPr>
          <w:rFonts w:ascii="ArialMT" w:hAnsi="ArialMT"/>
          <w:color w:val="000000" w:themeColor="text1"/>
          <w:sz w:val="22"/>
          <w:szCs w:val="22"/>
        </w:rPr>
      </w:pPr>
      <w:r w:rsidRPr="0069410F">
        <w:rPr>
          <w:rFonts w:ascii="ArialMT" w:hAnsi="ArialMT"/>
          <w:color w:val="000000" w:themeColor="text1"/>
          <w:sz w:val="22"/>
          <w:szCs w:val="22"/>
        </w:rPr>
        <w:t>The following graph provides a visual representation of Just Eat Takeaway.com share price performance from 2017 to August 2024. It highlights the significant fluctuations in the stock's value, illustrating periods of rapid growth followed by a sharp decline.</w:t>
      </w:r>
    </w:p>
    <w:p w14:paraId="1E676A08" w14:textId="37D48724" w:rsidR="0069410F" w:rsidRDefault="0069410F" w:rsidP="0069410F">
      <w:pPr>
        <w:pStyle w:val="Caption"/>
        <w:keepNext/>
      </w:pPr>
      <w:r>
        <w:lastRenderedPageBreak/>
        <w:t xml:space="preserve">Figure </w:t>
      </w:r>
      <w:r>
        <w:fldChar w:fldCharType="begin"/>
      </w:r>
      <w:r>
        <w:instrText xml:space="preserve"> SEQ Figure \* ARABIC </w:instrText>
      </w:r>
      <w:r>
        <w:fldChar w:fldCharType="separate"/>
      </w:r>
      <w:r>
        <w:rPr>
          <w:noProof/>
        </w:rPr>
        <w:t>4</w:t>
      </w:r>
      <w:r>
        <w:fldChar w:fldCharType="end"/>
      </w:r>
      <w:r>
        <w:t xml:space="preserve"> </w:t>
      </w:r>
      <w:r w:rsidRPr="00CB299A">
        <w:t>visual representation of Just Eat Takeaway.</w:t>
      </w:r>
      <w:r>
        <w:t xml:space="preserve">com </w:t>
      </w:r>
      <w:r w:rsidRPr="00CB299A">
        <w:t>share price performance from 2017 to August 2024</w:t>
      </w:r>
      <w:r>
        <w:t xml:space="preserve"> (source: Yahoofinance.com)</w:t>
      </w:r>
    </w:p>
    <w:p w14:paraId="52C225F2" w14:textId="0A46BEB3" w:rsidR="00400A58" w:rsidRDefault="00400A58" w:rsidP="00400A58">
      <w:pPr>
        <w:pStyle w:val="NormalWeb"/>
        <w:spacing w:line="360" w:lineRule="auto"/>
        <w:rPr>
          <w:rFonts w:ascii="ArialMT" w:hAnsi="ArialMT"/>
          <w:color w:val="000000" w:themeColor="text1"/>
          <w:sz w:val="22"/>
          <w:szCs w:val="22"/>
        </w:rPr>
      </w:pPr>
      <w:r>
        <w:rPr>
          <w:rFonts w:ascii="ArialMT" w:hAnsi="ArialMT"/>
          <w:noProof/>
          <w:color w:val="000000" w:themeColor="text1"/>
          <w:sz w:val="22"/>
          <w:szCs w:val="22"/>
          <w14:ligatures w14:val="standardContextual"/>
        </w:rPr>
        <w:drawing>
          <wp:inline distT="0" distB="0" distL="0" distR="0" wp14:anchorId="570E9006" wp14:editId="44B274BA">
            <wp:extent cx="5731510" cy="2661285"/>
            <wp:effectExtent l="0" t="0" r="0" b="5715"/>
            <wp:docPr id="1858356248" name="Picture 2" descr="A graph on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286844" name="Picture 2" descr="A graph on a scree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661285"/>
                    </a:xfrm>
                    <a:prstGeom prst="rect">
                      <a:avLst/>
                    </a:prstGeom>
                  </pic:spPr>
                </pic:pic>
              </a:graphicData>
            </a:graphic>
          </wp:inline>
        </w:drawing>
      </w:r>
    </w:p>
    <w:p w14:paraId="1FAF94F0" w14:textId="5C573B40" w:rsid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The chart visually confirms several key trends that were highlighted in the statistical analysis</w:t>
      </w:r>
      <w:r>
        <w:rPr>
          <w:rFonts w:ascii="ArialMT" w:hAnsi="ArialMT"/>
          <w:color w:val="000000" w:themeColor="text1"/>
          <w:sz w:val="22"/>
          <w:szCs w:val="22"/>
        </w:rPr>
        <w:t xml:space="preserve">. </w:t>
      </w:r>
      <w:r w:rsidRPr="00400A58">
        <w:rPr>
          <w:rFonts w:ascii="ArialMT" w:hAnsi="ArialMT"/>
          <w:color w:val="000000" w:themeColor="text1"/>
          <w:sz w:val="22"/>
          <w:szCs w:val="22"/>
        </w:rPr>
        <w:t>From 2017 through 2020, the stock experienced significant growth, reaching its peak around 2020. This period is reflected in the higher adjusted closing prices in the data (e.g., 8200 pence in 2019 and 8260 pence in 2020).</w:t>
      </w:r>
      <w:r>
        <w:rPr>
          <w:rFonts w:ascii="ArialMT" w:hAnsi="ArialMT"/>
          <w:color w:val="000000" w:themeColor="text1"/>
          <w:sz w:val="22"/>
          <w:szCs w:val="22"/>
        </w:rPr>
        <w:t xml:space="preserve"> </w:t>
      </w:r>
      <w:r w:rsidRPr="00400A58">
        <w:rPr>
          <w:rFonts w:ascii="ArialMT" w:hAnsi="ArialMT"/>
          <w:color w:val="000000" w:themeColor="text1"/>
          <w:sz w:val="22"/>
          <w:szCs w:val="22"/>
        </w:rPr>
        <w:t xml:space="preserve">The graph indicates that the stock price of Just Eat Takeaway.com began to significantly drop in 2021. The company had a significant decline during this time, which may be linked to several crucial </w:t>
      </w:r>
      <w:r w:rsidRPr="00400A58">
        <w:rPr>
          <w:rFonts w:ascii="ArialMT" w:hAnsi="ArialMT"/>
          <w:color w:val="000000" w:themeColor="text1"/>
          <w:sz w:val="22"/>
          <w:szCs w:val="22"/>
        </w:rPr>
        <w:t xml:space="preserve">causes. </w:t>
      </w:r>
      <w:r>
        <w:rPr>
          <w:rFonts w:ascii="ArialMT" w:hAnsi="ArialMT"/>
          <w:color w:val="000000" w:themeColor="text1"/>
          <w:sz w:val="22"/>
          <w:szCs w:val="22"/>
        </w:rPr>
        <w:t xml:space="preserve">And so, the </w:t>
      </w:r>
      <w:r w:rsidRPr="00400A58">
        <w:rPr>
          <w:rFonts w:ascii="ArialMT" w:hAnsi="ArialMT"/>
          <w:color w:val="000000" w:themeColor="text1"/>
          <w:sz w:val="22"/>
          <w:szCs w:val="22"/>
        </w:rPr>
        <w:t>chart indicates a sharp and ongoing decrease in the stock price after 2020, which is consistent with the adjusted closing prices falling to 1738 pence in 2022</w:t>
      </w:r>
      <w:r>
        <w:rPr>
          <w:rFonts w:ascii="ArialMT" w:hAnsi="ArialMT"/>
          <w:color w:val="000000" w:themeColor="text1"/>
          <w:sz w:val="22"/>
          <w:szCs w:val="22"/>
        </w:rPr>
        <w:t xml:space="preserve"> and </w:t>
      </w:r>
      <w:r w:rsidRPr="00400A58">
        <w:rPr>
          <w:rFonts w:ascii="ArialMT" w:hAnsi="ArialMT"/>
          <w:color w:val="000000" w:themeColor="text1"/>
          <w:sz w:val="22"/>
          <w:szCs w:val="22"/>
        </w:rPr>
        <w:t>pence in 2023</w:t>
      </w:r>
      <w:r>
        <w:rPr>
          <w:rFonts w:ascii="ArialMT" w:hAnsi="ArialMT"/>
          <w:color w:val="000000" w:themeColor="text1"/>
          <w:sz w:val="22"/>
          <w:szCs w:val="22"/>
        </w:rPr>
        <w:t xml:space="preserve">. </w:t>
      </w:r>
    </w:p>
    <w:p w14:paraId="5B34BFEB" w14:textId="7D9E668C" w:rsidR="00400A58" w:rsidRDefault="00400A58" w:rsidP="00400A58">
      <w:pPr>
        <w:pStyle w:val="NormalWeb"/>
        <w:spacing w:line="360" w:lineRule="auto"/>
        <w:rPr>
          <w:rFonts w:ascii="ArialMT" w:hAnsi="ArialMT"/>
          <w:color w:val="000000" w:themeColor="text1"/>
          <w:sz w:val="22"/>
          <w:szCs w:val="22"/>
        </w:rPr>
      </w:pPr>
      <w:r>
        <w:rPr>
          <w:rFonts w:ascii="ArialMT" w:hAnsi="ArialMT"/>
          <w:color w:val="000000" w:themeColor="text1"/>
          <w:sz w:val="22"/>
          <w:szCs w:val="22"/>
        </w:rPr>
        <w:t xml:space="preserve">Covid – 19 </w:t>
      </w:r>
      <w:proofErr w:type="gramStart"/>
      <w:r>
        <w:rPr>
          <w:rFonts w:ascii="ArialMT" w:hAnsi="ArialMT"/>
          <w:color w:val="000000" w:themeColor="text1"/>
          <w:sz w:val="22"/>
          <w:szCs w:val="22"/>
        </w:rPr>
        <w:t>cause</w:t>
      </w:r>
      <w:proofErr w:type="gramEnd"/>
      <w:r>
        <w:rPr>
          <w:rFonts w:ascii="ArialMT" w:hAnsi="ArialMT"/>
          <w:color w:val="000000" w:themeColor="text1"/>
          <w:sz w:val="22"/>
          <w:szCs w:val="22"/>
        </w:rPr>
        <w:t>:</w:t>
      </w:r>
    </w:p>
    <w:p w14:paraId="19044627" w14:textId="760C9712" w:rsidR="0069410F" w:rsidRDefault="0069410F" w:rsidP="00400A58">
      <w:pPr>
        <w:pStyle w:val="NormalWeb"/>
        <w:spacing w:line="360" w:lineRule="auto"/>
        <w:rPr>
          <w:rFonts w:ascii="ArialMT" w:hAnsi="ArialMT"/>
          <w:color w:val="000000" w:themeColor="text1"/>
          <w:sz w:val="22"/>
          <w:szCs w:val="22"/>
        </w:rPr>
      </w:pPr>
      <w:r w:rsidRPr="0069410F">
        <w:rPr>
          <w:rFonts w:ascii="ArialMT" w:hAnsi="ArialMT"/>
          <w:color w:val="000000" w:themeColor="text1"/>
          <w:sz w:val="22"/>
          <w:szCs w:val="22"/>
        </w:rPr>
        <w:t>The following graph shows the projected revenue growth in the global online food delivery market from 2018 to 2028, focusing on meal delivery, grocery delivery, and overall market performance.</w:t>
      </w:r>
    </w:p>
    <w:p w14:paraId="26FB0931" w14:textId="06F525E5" w:rsidR="0069410F" w:rsidRDefault="0069410F" w:rsidP="0069410F">
      <w:pPr>
        <w:pStyle w:val="Caption"/>
        <w:keepNext/>
      </w:pPr>
      <w:r>
        <w:lastRenderedPageBreak/>
        <w:t xml:space="preserve">Figure </w:t>
      </w:r>
      <w:r>
        <w:fldChar w:fldCharType="begin"/>
      </w:r>
      <w:r>
        <w:instrText xml:space="preserve"> SEQ Figure \* ARABIC </w:instrText>
      </w:r>
      <w:r>
        <w:fldChar w:fldCharType="separate"/>
      </w:r>
      <w:r>
        <w:rPr>
          <w:noProof/>
        </w:rPr>
        <w:t>5</w:t>
      </w:r>
      <w:r>
        <w:fldChar w:fldCharType="end"/>
      </w:r>
      <w:r w:rsidRPr="00A50023">
        <w:t>revenue growth in the global online food delivery market from 2018 to 2028</w:t>
      </w:r>
      <w:r>
        <w:t xml:space="preserve"> (</w:t>
      </w:r>
      <w:proofErr w:type="spellStart"/>
      <w:r>
        <w:t>sourse</w:t>
      </w:r>
      <w:proofErr w:type="spellEnd"/>
      <w:r>
        <w:t>: Ecommercedb.com)</w:t>
      </w:r>
    </w:p>
    <w:p w14:paraId="1B1D9CD7" w14:textId="1037CA06" w:rsidR="00400A58" w:rsidRDefault="00400A58" w:rsidP="00400A58">
      <w:pPr>
        <w:pStyle w:val="NormalWeb"/>
        <w:spacing w:line="360" w:lineRule="auto"/>
        <w:rPr>
          <w:rFonts w:ascii="ArialMT" w:hAnsi="ArialMT"/>
          <w:color w:val="000000" w:themeColor="text1"/>
          <w:sz w:val="22"/>
          <w:szCs w:val="22"/>
        </w:rPr>
      </w:pPr>
      <w:r>
        <w:fldChar w:fldCharType="begin"/>
      </w:r>
      <w:r>
        <w:instrText xml:space="preserve"> INCLUDEPICTURE "/Users/cex/Library/Group Containers/UBF8T346G9.ms/WebArchiveCopyPasteTempFiles/com.microsoft.Word/revenue-change-of-the-global-online-food-delivery-market-by-segment-2018-2028-12173.png" \* MERGEFORMATINET </w:instrText>
      </w:r>
      <w:r>
        <w:fldChar w:fldCharType="separate"/>
      </w:r>
      <w:r>
        <w:rPr>
          <w:noProof/>
        </w:rPr>
        <w:drawing>
          <wp:inline distT="0" distB="0" distL="0" distR="0" wp14:anchorId="66C33703" wp14:editId="2A5CC9B2">
            <wp:extent cx="5731510" cy="3620135"/>
            <wp:effectExtent l="0" t="0" r="0" b="0"/>
            <wp:docPr id="721337574" name="Picture 3" descr="Revenue Change of the Global Online Food Delivery Market by Segment, 2018–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venue Change of the Global Online Food Delivery Market by Segment, 2018–202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620135"/>
                    </a:xfrm>
                    <a:prstGeom prst="rect">
                      <a:avLst/>
                    </a:prstGeom>
                    <a:noFill/>
                    <a:ln>
                      <a:noFill/>
                    </a:ln>
                  </pic:spPr>
                </pic:pic>
              </a:graphicData>
            </a:graphic>
          </wp:inline>
        </w:drawing>
      </w:r>
      <w:r>
        <w:fldChar w:fldCharType="end"/>
      </w:r>
    </w:p>
    <w:p w14:paraId="2F2F6210" w14:textId="1A3BD5E5" w:rsid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 xml:space="preserve">Covid-19 was most likely one of the main causes of this rapid increase and decrease.  Lockdowns and social distancing regulations caused individuals to stay at home during the COVID-19 pandemic in 2020, which resulted in an extraordinary increase in demand for online meal delivery services. </w:t>
      </w:r>
      <w:proofErr w:type="gramStart"/>
      <w:r w:rsidRPr="00400A58">
        <w:rPr>
          <w:rFonts w:ascii="ArialMT" w:hAnsi="ArialMT"/>
          <w:color w:val="000000" w:themeColor="text1"/>
          <w:sz w:val="22"/>
          <w:szCs w:val="22"/>
        </w:rPr>
        <w:t>Similar to</w:t>
      </w:r>
      <w:proofErr w:type="gramEnd"/>
      <w:r w:rsidRPr="00400A58">
        <w:rPr>
          <w:rFonts w:ascii="ArialMT" w:hAnsi="ArialMT"/>
          <w:color w:val="000000" w:themeColor="text1"/>
          <w:sz w:val="22"/>
          <w:szCs w:val="22"/>
        </w:rPr>
        <w:t xml:space="preserve"> other delivery services, Just Eat profited from this dramatic boost in demand, as seen by the company's strong stock values in 2019 and 2020</w:t>
      </w:r>
      <w:r w:rsidR="0069410F">
        <w:rPr>
          <w:rFonts w:ascii="ArialMT" w:hAnsi="ArialMT"/>
          <w:color w:val="000000" w:themeColor="text1"/>
          <w:sz w:val="22"/>
          <w:szCs w:val="22"/>
        </w:rPr>
        <w:t xml:space="preserve"> (Ecommercedb.com 2024). </w:t>
      </w:r>
      <w:r w:rsidRPr="00400A58">
        <w:rPr>
          <w:rFonts w:ascii="ArialMT" w:hAnsi="ArialMT"/>
          <w:color w:val="000000" w:themeColor="text1"/>
          <w:sz w:val="22"/>
          <w:szCs w:val="22"/>
        </w:rPr>
        <w:t xml:space="preserve">However In 2021, when brick businesses started to reopen, the need for online food delivery services became started to go back to normal - to re-covid </w:t>
      </w:r>
      <w:proofErr w:type="gramStart"/>
      <w:r w:rsidRPr="00400A58">
        <w:rPr>
          <w:rFonts w:ascii="ArialMT" w:hAnsi="ArialMT"/>
          <w:color w:val="000000" w:themeColor="text1"/>
          <w:sz w:val="22"/>
          <w:szCs w:val="22"/>
        </w:rPr>
        <w:t>times</w:t>
      </w:r>
      <w:r w:rsidR="0069410F">
        <w:rPr>
          <w:rFonts w:ascii="ArialMT" w:hAnsi="ArialMT"/>
          <w:color w:val="000000" w:themeColor="text1"/>
          <w:sz w:val="22"/>
          <w:szCs w:val="22"/>
        </w:rPr>
        <w:t>(</w:t>
      </w:r>
      <w:proofErr w:type="spellStart"/>
      <w:proofErr w:type="gramEnd"/>
      <w:r w:rsidR="0069410F">
        <w:rPr>
          <w:rFonts w:ascii="ArialMT" w:hAnsi="ArialMT"/>
          <w:color w:val="000000" w:themeColor="text1"/>
          <w:sz w:val="22"/>
          <w:szCs w:val="22"/>
        </w:rPr>
        <w:t>Grandviewresearch</w:t>
      </w:r>
      <w:proofErr w:type="spellEnd"/>
      <w:r w:rsidR="0069410F">
        <w:rPr>
          <w:rFonts w:ascii="ArialMT" w:hAnsi="ArialMT"/>
          <w:color w:val="000000" w:themeColor="text1"/>
          <w:sz w:val="22"/>
          <w:szCs w:val="22"/>
        </w:rPr>
        <w:t xml:space="preserve"> n.d.) </w:t>
      </w:r>
      <w:r w:rsidR="0069410F">
        <w:rPr>
          <w:rFonts w:ascii="ArialMT" w:hAnsi="ArialMT"/>
          <w:color w:val="000000" w:themeColor="text1"/>
          <w:sz w:val="22"/>
          <w:szCs w:val="22"/>
        </w:rPr>
        <w:t>.</w:t>
      </w:r>
      <w:r w:rsidRPr="00400A58">
        <w:rPr>
          <w:rFonts w:ascii="ArialMT" w:hAnsi="ArialMT"/>
          <w:color w:val="000000" w:themeColor="text1"/>
          <w:sz w:val="22"/>
          <w:szCs w:val="22"/>
        </w:rPr>
        <w:t>There was a decrease in the number of orders placed on Just Eat and other similar sites as many customers went back to eating out.</w:t>
      </w:r>
      <w:r>
        <w:rPr>
          <w:rFonts w:ascii="ArialMT" w:hAnsi="ArialMT"/>
          <w:color w:val="000000" w:themeColor="text1"/>
          <w:sz w:val="22"/>
          <w:szCs w:val="22"/>
        </w:rPr>
        <w:t xml:space="preserve"> </w:t>
      </w:r>
      <w:r w:rsidRPr="00400A58">
        <w:rPr>
          <w:rFonts w:ascii="ArialMT" w:hAnsi="ArialMT"/>
          <w:color w:val="000000" w:themeColor="text1"/>
          <w:sz w:val="22"/>
          <w:szCs w:val="22"/>
        </w:rPr>
        <w:t xml:space="preserve">This transition back to pre-pandemic </w:t>
      </w:r>
      <w:r w:rsidRPr="00400A58">
        <w:rPr>
          <w:rFonts w:ascii="ArialMT" w:hAnsi="ArialMT"/>
          <w:color w:val="000000" w:themeColor="text1"/>
          <w:sz w:val="22"/>
          <w:szCs w:val="22"/>
        </w:rPr>
        <w:t>behaviour</w:t>
      </w:r>
      <w:r w:rsidRPr="00400A58">
        <w:rPr>
          <w:rFonts w:ascii="ArialMT" w:hAnsi="ArialMT"/>
          <w:color w:val="000000" w:themeColor="text1"/>
          <w:sz w:val="22"/>
          <w:szCs w:val="22"/>
        </w:rPr>
        <w:t xml:space="preserve"> </w:t>
      </w:r>
      <w:r>
        <w:rPr>
          <w:rFonts w:ascii="ArialMT" w:hAnsi="ArialMT"/>
          <w:color w:val="000000" w:themeColor="text1"/>
          <w:sz w:val="22"/>
          <w:szCs w:val="22"/>
        </w:rPr>
        <w:t xml:space="preserve">highly </w:t>
      </w:r>
      <w:r w:rsidRPr="00400A58">
        <w:rPr>
          <w:rFonts w:ascii="ArialMT" w:hAnsi="ArialMT"/>
          <w:color w:val="000000" w:themeColor="text1"/>
          <w:sz w:val="22"/>
          <w:szCs w:val="22"/>
        </w:rPr>
        <w:t>contributed to the decline in stock price</w:t>
      </w:r>
      <w:r>
        <w:rPr>
          <w:rFonts w:ascii="ArialMT" w:hAnsi="ArialMT"/>
          <w:color w:val="000000" w:themeColor="text1"/>
          <w:sz w:val="22"/>
          <w:szCs w:val="22"/>
        </w:rPr>
        <w:t xml:space="preserve">. </w:t>
      </w:r>
    </w:p>
    <w:p w14:paraId="441E750A" w14:textId="1D253E96" w:rsidR="00400A58" w:rsidRDefault="00400A58" w:rsidP="00400A58">
      <w:pPr>
        <w:pStyle w:val="NormalWeb"/>
        <w:spacing w:line="360" w:lineRule="auto"/>
        <w:rPr>
          <w:rFonts w:ascii="ArialMT" w:hAnsi="ArialMT"/>
          <w:color w:val="000000" w:themeColor="text1"/>
          <w:sz w:val="22"/>
          <w:szCs w:val="22"/>
        </w:rPr>
      </w:pPr>
      <w:r>
        <w:rPr>
          <w:rFonts w:ascii="ArialMT" w:hAnsi="ArialMT"/>
          <w:color w:val="000000" w:themeColor="text1"/>
          <w:sz w:val="22"/>
          <w:szCs w:val="22"/>
        </w:rPr>
        <w:t xml:space="preserve">Competitors: </w:t>
      </w:r>
    </w:p>
    <w:p w14:paraId="74F65EB8" w14:textId="127EE896" w:rsidR="0069410F" w:rsidRDefault="0069410F" w:rsidP="00400A58">
      <w:pPr>
        <w:pStyle w:val="NormalWeb"/>
        <w:spacing w:line="360" w:lineRule="auto"/>
        <w:rPr>
          <w:rFonts w:ascii="ArialMT" w:hAnsi="ArialMT"/>
          <w:color w:val="000000" w:themeColor="text1"/>
          <w:sz w:val="22"/>
          <w:szCs w:val="22"/>
        </w:rPr>
      </w:pPr>
      <w:r w:rsidRPr="0069410F">
        <w:rPr>
          <w:rFonts w:ascii="ArialMT" w:hAnsi="ArialMT"/>
          <w:color w:val="000000" w:themeColor="text1"/>
          <w:sz w:val="22"/>
          <w:szCs w:val="22"/>
        </w:rPr>
        <w:t xml:space="preserve">The graph below compares the stock price performance of Just Eat Takeaway.com (JET.L) with its competitors Deliveroo (DLEVY) and </w:t>
      </w:r>
      <w:proofErr w:type="spellStart"/>
      <w:r w:rsidRPr="0069410F">
        <w:rPr>
          <w:rFonts w:ascii="ArialMT" w:hAnsi="ArialMT"/>
          <w:color w:val="000000" w:themeColor="text1"/>
          <w:sz w:val="22"/>
          <w:szCs w:val="22"/>
        </w:rPr>
        <w:t>DoorDash</w:t>
      </w:r>
      <w:proofErr w:type="spellEnd"/>
      <w:r w:rsidRPr="0069410F">
        <w:rPr>
          <w:rFonts w:ascii="ArialMT" w:hAnsi="ArialMT"/>
          <w:color w:val="000000" w:themeColor="text1"/>
          <w:sz w:val="22"/>
          <w:szCs w:val="22"/>
        </w:rPr>
        <w:t xml:space="preserve"> (D2AS34.SA) from 2014 to 2024</w:t>
      </w:r>
    </w:p>
    <w:p w14:paraId="32E2786F" w14:textId="48661636" w:rsidR="0069410F" w:rsidRDefault="0069410F" w:rsidP="0069410F">
      <w:pPr>
        <w:pStyle w:val="Caption"/>
        <w:keepNext/>
      </w:pPr>
      <w:r>
        <w:lastRenderedPageBreak/>
        <w:t xml:space="preserve">Figure </w:t>
      </w:r>
      <w:r>
        <w:fldChar w:fldCharType="begin"/>
      </w:r>
      <w:r>
        <w:instrText xml:space="preserve"> SEQ Figure \* ARABIC </w:instrText>
      </w:r>
      <w:r>
        <w:fldChar w:fldCharType="separate"/>
      </w:r>
      <w:r>
        <w:rPr>
          <w:noProof/>
        </w:rPr>
        <w:t>6</w:t>
      </w:r>
      <w:r>
        <w:fldChar w:fldCharType="end"/>
      </w:r>
      <w:r w:rsidRPr="005437EB">
        <w:t xml:space="preserve">competitors Deliveroo (DLEVY) and </w:t>
      </w:r>
      <w:proofErr w:type="spellStart"/>
      <w:r w:rsidRPr="005437EB">
        <w:t>DoorDash</w:t>
      </w:r>
      <w:proofErr w:type="spellEnd"/>
      <w:r w:rsidRPr="005437EB">
        <w:t xml:space="preserve"> (D2AS34.SA) from 2014 to 2024</w:t>
      </w:r>
      <w:r>
        <w:t xml:space="preserve"> (source: Yahoofinance.com)</w:t>
      </w:r>
    </w:p>
    <w:p w14:paraId="562BDA6A" w14:textId="47971CFD" w:rsidR="00400A58" w:rsidRDefault="00400A58" w:rsidP="00400A58">
      <w:pPr>
        <w:pStyle w:val="NormalWeb"/>
        <w:spacing w:line="360" w:lineRule="auto"/>
      </w:pPr>
      <w:r>
        <w:rPr>
          <w:noProof/>
          <w14:ligatures w14:val="standardContextual"/>
        </w:rPr>
        <w:drawing>
          <wp:inline distT="0" distB="0" distL="0" distR="0" wp14:anchorId="0B3FEE41" wp14:editId="6AC533B0">
            <wp:extent cx="5731510" cy="2693035"/>
            <wp:effectExtent l="0" t="0" r="0" b="0"/>
            <wp:docPr id="15945078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507898" name="Picture 159450789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693035"/>
                    </a:xfrm>
                    <a:prstGeom prst="rect">
                      <a:avLst/>
                    </a:prstGeom>
                  </pic:spPr>
                </pic:pic>
              </a:graphicData>
            </a:graphic>
          </wp:inline>
        </w:drawing>
      </w:r>
    </w:p>
    <w:p w14:paraId="5EE78FD8" w14:textId="7424BF6F" w:rsid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 xml:space="preserve">The online food delivery market is highly competitive, with major players like Deliveroo, and </w:t>
      </w:r>
      <w:proofErr w:type="spellStart"/>
      <w:r w:rsidRPr="00400A58">
        <w:rPr>
          <w:rFonts w:ascii="ArialMT" w:hAnsi="ArialMT"/>
          <w:color w:val="000000" w:themeColor="text1"/>
          <w:sz w:val="22"/>
          <w:szCs w:val="22"/>
        </w:rPr>
        <w:t>DoorDash</w:t>
      </w:r>
      <w:proofErr w:type="spellEnd"/>
      <w:r w:rsidRPr="00400A58">
        <w:rPr>
          <w:rFonts w:ascii="ArialMT" w:hAnsi="ArialMT"/>
          <w:color w:val="000000" w:themeColor="text1"/>
          <w:sz w:val="22"/>
          <w:szCs w:val="22"/>
        </w:rPr>
        <w:t xml:space="preserve"> intensifying their efforts to capture market share</w:t>
      </w:r>
      <w:r w:rsidR="0069410F">
        <w:rPr>
          <w:rFonts w:ascii="ArialMT" w:hAnsi="ArialMT"/>
          <w:color w:val="000000" w:themeColor="text1"/>
          <w:sz w:val="22"/>
          <w:szCs w:val="22"/>
        </w:rPr>
        <w:t xml:space="preserve"> (Mordorinteligence.com n.d.).</w:t>
      </w:r>
      <w:r w:rsidRPr="00400A58">
        <w:rPr>
          <w:rFonts w:ascii="ArialMT" w:hAnsi="ArialMT"/>
          <w:color w:val="000000" w:themeColor="text1"/>
          <w:sz w:val="22"/>
          <w:szCs w:val="22"/>
        </w:rPr>
        <w:t xml:space="preserve"> </w:t>
      </w:r>
      <w:r w:rsidR="00491ABD" w:rsidRPr="00491ABD">
        <w:rPr>
          <w:rFonts w:ascii="ArialMT" w:hAnsi="ArialMT"/>
          <w:color w:val="000000" w:themeColor="text1"/>
          <w:sz w:val="22"/>
          <w:szCs w:val="22"/>
        </w:rPr>
        <w:t xml:space="preserve">The purple line representing </w:t>
      </w:r>
      <w:proofErr w:type="spellStart"/>
      <w:r w:rsidR="00491ABD" w:rsidRPr="00491ABD">
        <w:rPr>
          <w:rFonts w:ascii="ArialMT" w:hAnsi="ArialMT"/>
          <w:color w:val="000000" w:themeColor="text1"/>
          <w:sz w:val="22"/>
          <w:szCs w:val="22"/>
        </w:rPr>
        <w:t>DoorDash</w:t>
      </w:r>
      <w:proofErr w:type="spellEnd"/>
      <w:r w:rsidR="00491ABD" w:rsidRPr="00491ABD">
        <w:rPr>
          <w:rFonts w:ascii="ArialMT" w:hAnsi="ArialMT"/>
          <w:color w:val="000000" w:themeColor="text1"/>
          <w:sz w:val="22"/>
          <w:szCs w:val="22"/>
        </w:rPr>
        <w:t xml:space="preserve"> shows that despite the challenges in the food delivery industry, </w:t>
      </w:r>
      <w:proofErr w:type="spellStart"/>
      <w:r w:rsidR="00491ABD" w:rsidRPr="00491ABD">
        <w:rPr>
          <w:rFonts w:ascii="ArialMT" w:hAnsi="ArialMT"/>
          <w:color w:val="000000" w:themeColor="text1"/>
          <w:sz w:val="22"/>
          <w:szCs w:val="22"/>
        </w:rPr>
        <w:t>DoorDash</w:t>
      </w:r>
      <w:proofErr w:type="spellEnd"/>
      <w:r w:rsidR="00491ABD" w:rsidRPr="00491ABD">
        <w:rPr>
          <w:rFonts w:ascii="ArialMT" w:hAnsi="ArialMT"/>
          <w:color w:val="000000" w:themeColor="text1"/>
          <w:sz w:val="22"/>
          <w:szCs w:val="22"/>
        </w:rPr>
        <w:t xml:space="preserve"> has managed to perform relatively well compared to Just Eat.</w:t>
      </w:r>
      <w:r w:rsidR="00491ABD">
        <w:rPr>
          <w:rFonts w:ascii="ArialMT" w:hAnsi="ArialMT"/>
          <w:color w:val="000000" w:themeColor="text1"/>
          <w:sz w:val="22"/>
          <w:szCs w:val="22"/>
        </w:rPr>
        <w:t xml:space="preserve"> </w:t>
      </w:r>
      <w:r w:rsidRPr="00400A58">
        <w:rPr>
          <w:rFonts w:ascii="ArialMT" w:hAnsi="ArialMT"/>
          <w:color w:val="000000" w:themeColor="text1"/>
          <w:sz w:val="22"/>
          <w:szCs w:val="22"/>
        </w:rPr>
        <w:t xml:space="preserve">In 2021, competition became </w:t>
      </w:r>
      <w:r>
        <w:rPr>
          <w:rFonts w:ascii="ArialMT" w:hAnsi="ArialMT"/>
          <w:color w:val="000000" w:themeColor="text1"/>
          <w:sz w:val="22"/>
          <w:szCs w:val="22"/>
        </w:rPr>
        <w:t>stronger</w:t>
      </w:r>
      <w:r w:rsidRPr="00400A58">
        <w:rPr>
          <w:rFonts w:ascii="ArialMT" w:hAnsi="ArialMT"/>
          <w:color w:val="000000" w:themeColor="text1"/>
          <w:sz w:val="22"/>
          <w:szCs w:val="22"/>
        </w:rPr>
        <w:t>, particularly as companies expanded their services and offered aggressive discounts and promotions to attract customers</w:t>
      </w:r>
      <w:r w:rsidR="0069410F">
        <w:rPr>
          <w:rFonts w:ascii="ArialMT" w:hAnsi="ArialMT"/>
          <w:color w:val="000000" w:themeColor="text1"/>
          <w:sz w:val="22"/>
          <w:szCs w:val="22"/>
        </w:rPr>
        <w:t xml:space="preserve"> (Marketingweek.com 2023)</w:t>
      </w:r>
      <w:r w:rsidRPr="00400A58">
        <w:rPr>
          <w:rFonts w:ascii="ArialMT" w:hAnsi="ArialMT"/>
          <w:color w:val="000000" w:themeColor="text1"/>
          <w:sz w:val="22"/>
          <w:szCs w:val="22"/>
        </w:rPr>
        <w:t>.</w:t>
      </w:r>
      <w:r>
        <w:rPr>
          <w:rFonts w:ascii="ArialMT" w:hAnsi="ArialMT"/>
          <w:color w:val="000000" w:themeColor="text1"/>
          <w:sz w:val="22"/>
          <w:szCs w:val="22"/>
        </w:rPr>
        <w:t xml:space="preserve"> </w:t>
      </w:r>
      <w:r w:rsidRPr="00400A58">
        <w:rPr>
          <w:rFonts w:ascii="ArialMT" w:hAnsi="ArialMT"/>
          <w:color w:val="000000" w:themeColor="text1"/>
          <w:sz w:val="22"/>
          <w:szCs w:val="22"/>
        </w:rPr>
        <w:t xml:space="preserve">This competitive pressure likely </w:t>
      </w:r>
      <w:r>
        <w:rPr>
          <w:rFonts w:ascii="ArialMT" w:hAnsi="ArialMT"/>
          <w:color w:val="000000" w:themeColor="text1"/>
          <w:sz w:val="22"/>
          <w:szCs w:val="22"/>
        </w:rPr>
        <w:t xml:space="preserve">weakened </w:t>
      </w:r>
      <w:r w:rsidRPr="00400A58">
        <w:rPr>
          <w:rFonts w:ascii="ArialMT" w:hAnsi="ArialMT"/>
          <w:color w:val="000000" w:themeColor="text1"/>
          <w:sz w:val="22"/>
          <w:szCs w:val="22"/>
        </w:rPr>
        <w:t xml:space="preserve">Just </w:t>
      </w:r>
      <w:proofErr w:type="spellStart"/>
      <w:r w:rsidRPr="00400A58">
        <w:rPr>
          <w:rFonts w:ascii="ArialMT" w:hAnsi="ArialMT"/>
          <w:color w:val="000000" w:themeColor="text1"/>
          <w:sz w:val="22"/>
          <w:szCs w:val="22"/>
        </w:rPr>
        <w:t>Eat’s</w:t>
      </w:r>
      <w:proofErr w:type="spellEnd"/>
      <w:r w:rsidRPr="00400A58">
        <w:rPr>
          <w:rFonts w:ascii="ArialMT" w:hAnsi="ArialMT"/>
          <w:color w:val="000000" w:themeColor="text1"/>
          <w:sz w:val="22"/>
          <w:szCs w:val="22"/>
        </w:rPr>
        <w:t xml:space="preserve"> market share and profit margins, leading to investor concerns about the company’s ability to maintain its leading position.</w:t>
      </w:r>
    </w:p>
    <w:p w14:paraId="3DDBAC6C" w14:textId="016307BE" w:rsidR="0069410F" w:rsidRDefault="0069410F" w:rsidP="00400A58">
      <w:pPr>
        <w:pStyle w:val="NormalWeb"/>
        <w:spacing w:line="360" w:lineRule="auto"/>
        <w:rPr>
          <w:rFonts w:ascii="ArialMT" w:hAnsi="ArialMT"/>
          <w:color w:val="000000" w:themeColor="text1"/>
          <w:sz w:val="22"/>
          <w:szCs w:val="22"/>
        </w:rPr>
      </w:pPr>
      <w:r w:rsidRPr="0069410F">
        <w:rPr>
          <w:rFonts w:ascii="ArialMT" w:hAnsi="ArialMT"/>
          <w:color w:val="000000" w:themeColor="text1"/>
          <w:sz w:val="22"/>
          <w:szCs w:val="22"/>
        </w:rPr>
        <w:t>The following graph illustrates the projected average revenue per user (ARPU) in the global online food delivery market by segment from 2017 to 2028</w:t>
      </w:r>
      <w:r>
        <w:rPr>
          <w:rFonts w:ascii="ArialMT" w:hAnsi="ArialMT"/>
          <w:color w:val="000000" w:themeColor="text1"/>
          <w:sz w:val="22"/>
          <w:szCs w:val="22"/>
        </w:rPr>
        <w:t>.</w:t>
      </w:r>
    </w:p>
    <w:p w14:paraId="7EBF9B3E" w14:textId="77777777" w:rsidR="0069410F" w:rsidRDefault="0069410F" w:rsidP="00400A58">
      <w:pPr>
        <w:pStyle w:val="NormalWeb"/>
        <w:spacing w:line="360" w:lineRule="auto"/>
        <w:rPr>
          <w:rFonts w:ascii="ArialMT" w:hAnsi="ArialMT"/>
          <w:color w:val="000000" w:themeColor="text1"/>
          <w:sz w:val="22"/>
          <w:szCs w:val="22"/>
        </w:rPr>
      </w:pPr>
    </w:p>
    <w:p w14:paraId="30BAF177" w14:textId="45B45B60" w:rsidR="0069410F" w:rsidRDefault="0069410F" w:rsidP="0069410F">
      <w:pPr>
        <w:pStyle w:val="Caption"/>
        <w:keepNext/>
      </w:pPr>
      <w:r>
        <w:lastRenderedPageBreak/>
        <w:t xml:space="preserve">Figure </w:t>
      </w:r>
      <w:r>
        <w:fldChar w:fldCharType="begin"/>
      </w:r>
      <w:r>
        <w:instrText xml:space="preserve"> SEQ Figure \* ARABIC </w:instrText>
      </w:r>
      <w:r>
        <w:fldChar w:fldCharType="separate"/>
      </w:r>
      <w:r>
        <w:rPr>
          <w:noProof/>
        </w:rPr>
        <w:t>7</w:t>
      </w:r>
      <w:r>
        <w:fldChar w:fldCharType="end"/>
      </w:r>
      <w:r w:rsidRPr="006D568B">
        <w:t xml:space="preserve"> average revenue per user (ARPU) in the global online food delivery</w:t>
      </w:r>
      <w:r>
        <w:t xml:space="preserve"> (source: Ecommercedb.com)</w:t>
      </w:r>
    </w:p>
    <w:p w14:paraId="5F570C66" w14:textId="21A0F4E3" w:rsidR="00400A58" w:rsidRDefault="00400A58" w:rsidP="00400A58">
      <w:pPr>
        <w:pStyle w:val="NormalWeb"/>
        <w:spacing w:line="360" w:lineRule="auto"/>
        <w:rPr>
          <w:rFonts w:ascii="ArialMT" w:hAnsi="ArialMT"/>
          <w:color w:val="000000" w:themeColor="text1"/>
          <w:sz w:val="22"/>
          <w:szCs w:val="22"/>
        </w:rPr>
      </w:pPr>
      <w:r>
        <w:fldChar w:fldCharType="begin"/>
      </w:r>
      <w:r>
        <w:instrText xml:space="preserve"> INCLUDEPICTURE "/Users/cex/Library/Group Containers/UBF8T346G9.ms/WebArchiveCopyPasteTempFiles/com.microsoft.Word/average-revenue-per-user-of-the-global-online-food-delivery-market-by-segment-2017-2028-12175.png" \* MERGEFORMATINET </w:instrText>
      </w:r>
      <w:r>
        <w:fldChar w:fldCharType="separate"/>
      </w:r>
      <w:r>
        <w:rPr>
          <w:noProof/>
        </w:rPr>
        <w:drawing>
          <wp:inline distT="0" distB="0" distL="0" distR="0" wp14:anchorId="36DF61A3" wp14:editId="1511E685">
            <wp:extent cx="5731510" cy="3620135"/>
            <wp:effectExtent l="0" t="0" r="0" b="0"/>
            <wp:docPr id="114406052" name="Picture 5" descr="Average Revenue Per User of the Global Online Food Delivery Market by Segment, 2017–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verage Revenue Per User of the Global Online Food Delivery Market by Segment, 2017–202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620135"/>
                    </a:xfrm>
                    <a:prstGeom prst="rect">
                      <a:avLst/>
                    </a:prstGeom>
                    <a:noFill/>
                    <a:ln>
                      <a:noFill/>
                    </a:ln>
                  </pic:spPr>
                </pic:pic>
              </a:graphicData>
            </a:graphic>
          </wp:inline>
        </w:drawing>
      </w:r>
      <w:r>
        <w:fldChar w:fldCharType="end"/>
      </w:r>
    </w:p>
    <w:p w14:paraId="70EDBEF9" w14:textId="50FB76C0" w:rsid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 xml:space="preserve"> While the overall market for online food delivery continued to grow, benefiting from sustained consumer demand, Just </w:t>
      </w:r>
      <w:proofErr w:type="spellStart"/>
      <w:r w:rsidRPr="00400A58">
        <w:rPr>
          <w:rFonts w:ascii="ArialMT" w:hAnsi="ArialMT"/>
          <w:color w:val="000000" w:themeColor="text1"/>
          <w:sz w:val="22"/>
          <w:szCs w:val="22"/>
        </w:rPr>
        <w:t>Eat's</w:t>
      </w:r>
      <w:proofErr w:type="spellEnd"/>
      <w:r w:rsidRPr="00400A58">
        <w:rPr>
          <w:rFonts w:ascii="ArialMT" w:hAnsi="ArialMT"/>
          <w:color w:val="000000" w:themeColor="text1"/>
          <w:sz w:val="22"/>
          <w:szCs w:val="22"/>
        </w:rPr>
        <w:t xml:space="preserve"> performance did not keep pace with its competitors</w:t>
      </w:r>
      <w:r w:rsidR="0069410F">
        <w:rPr>
          <w:rFonts w:ascii="ArialMT" w:hAnsi="ArialMT"/>
          <w:color w:val="000000" w:themeColor="text1"/>
          <w:sz w:val="22"/>
          <w:szCs w:val="22"/>
        </w:rPr>
        <w:t xml:space="preserve"> (Ecommercedb.com n.d.)</w:t>
      </w:r>
      <w:r>
        <w:rPr>
          <w:rFonts w:ascii="ArialMT" w:hAnsi="ArialMT"/>
          <w:color w:val="000000" w:themeColor="text1"/>
          <w:sz w:val="22"/>
          <w:szCs w:val="22"/>
        </w:rPr>
        <w:t xml:space="preserve">. </w:t>
      </w:r>
      <w:r w:rsidRPr="00400A58">
        <w:rPr>
          <w:rFonts w:ascii="ArialMT" w:hAnsi="ArialMT"/>
          <w:color w:val="000000" w:themeColor="text1"/>
          <w:sz w:val="22"/>
          <w:szCs w:val="22"/>
        </w:rPr>
        <w:t>The fear of losing market dominance could have contributed to the sell-off in 2021.</w:t>
      </w:r>
    </w:p>
    <w:p w14:paraId="3D646F6C" w14:textId="1C7DA730" w:rsid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The combination of these factor</w:t>
      </w:r>
      <w:r>
        <w:rPr>
          <w:rFonts w:ascii="ArialMT" w:hAnsi="ArialMT"/>
          <w:color w:val="000000" w:themeColor="text1"/>
          <w:sz w:val="22"/>
          <w:szCs w:val="22"/>
        </w:rPr>
        <w:t xml:space="preserve">s </w:t>
      </w:r>
      <w:r w:rsidRPr="00400A58">
        <w:rPr>
          <w:rFonts w:ascii="ArialMT" w:hAnsi="ArialMT"/>
          <w:color w:val="000000" w:themeColor="text1"/>
          <w:sz w:val="22"/>
          <w:szCs w:val="22"/>
        </w:rPr>
        <w:t>normalizing demand, increased competition, and rising cost</w:t>
      </w:r>
      <w:r>
        <w:rPr>
          <w:rFonts w:ascii="ArialMT" w:hAnsi="ArialMT"/>
          <w:color w:val="000000" w:themeColor="text1"/>
          <w:sz w:val="22"/>
          <w:szCs w:val="22"/>
        </w:rPr>
        <w:t xml:space="preserve">s </w:t>
      </w:r>
      <w:r w:rsidRPr="00400A58">
        <w:rPr>
          <w:rFonts w:ascii="ArialMT" w:hAnsi="ArialMT"/>
          <w:color w:val="000000" w:themeColor="text1"/>
          <w:sz w:val="22"/>
          <w:szCs w:val="22"/>
        </w:rPr>
        <w:t xml:space="preserve">likely led to negative investor sentiment. As the market reassessed Just </w:t>
      </w:r>
      <w:proofErr w:type="spellStart"/>
      <w:r w:rsidRPr="00400A58">
        <w:rPr>
          <w:rFonts w:ascii="ArialMT" w:hAnsi="ArialMT"/>
          <w:color w:val="000000" w:themeColor="text1"/>
          <w:sz w:val="22"/>
          <w:szCs w:val="22"/>
        </w:rPr>
        <w:t>Eat’s</w:t>
      </w:r>
      <w:proofErr w:type="spellEnd"/>
      <w:r w:rsidRPr="00400A58">
        <w:rPr>
          <w:rFonts w:ascii="ArialMT" w:hAnsi="ArialMT"/>
          <w:color w:val="000000" w:themeColor="text1"/>
          <w:sz w:val="22"/>
          <w:szCs w:val="22"/>
        </w:rPr>
        <w:t xml:space="preserve"> growth prospects and profitability, many investors may have </w:t>
      </w:r>
      <w:r>
        <w:rPr>
          <w:rFonts w:ascii="ArialMT" w:hAnsi="ArialMT"/>
          <w:color w:val="000000" w:themeColor="text1"/>
          <w:sz w:val="22"/>
          <w:szCs w:val="22"/>
        </w:rPr>
        <w:t>chosen</w:t>
      </w:r>
      <w:r w:rsidRPr="00400A58">
        <w:rPr>
          <w:rFonts w:ascii="ArialMT" w:hAnsi="ArialMT"/>
          <w:color w:val="000000" w:themeColor="text1"/>
          <w:sz w:val="22"/>
          <w:szCs w:val="22"/>
        </w:rPr>
        <w:t xml:space="preserve"> to sell their shares, driving the price down.</w:t>
      </w:r>
    </w:p>
    <w:p w14:paraId="3D90368D" w14:textId="540AB1A2" w:rsidR="00400A58" w:rsidRDefault="00400A58" w:rsidP="0069410F">
      <w:pPr>
        <w:pStyle w:val="Heading2"/>
        <w:rPr>
          <w:rFonts w:ascii="Arial" w:hAnsi="Arial" w:cs="Arial"/>
          <w:b/>
          <w:bCs/>
          <w:sz w:val="22"/>
          <w:szCs w:val="22"/>
        </w:rPr>
      </w:pPr>
      <w:bookmarkStart w:id="6" w:name="_Toc175609880"/>
      <w:r w:rsidRPr="00400A58">
        <w:rPr>
          <w:rFonts w:ascii="Arial" w:hAnsi="Arial" w:cs="Arial"/>
          <w:b/>
          <w:bCs/>
          <w:sz w:val="22"/>
          <w:szCs w:val="22"/>
        </w:rPr>
        <w:t xml:space="preserve">2.2 </w:t>
      </w:r>
      <w:r w:rsidRPr="0069410F">
        <w:t>Compound Annual Growth Rate (CAGR) Estimation</w:t>
      </w:r>
      <w:r w:rsidRPr="0069410F">
        <w:t xml:space="preserve"> (Calculated from Yahoo finance data</w:t>
      </w:r>
      <w:r w:rsidR="0069410F">
        <w:t xml:space="preserve"> – vis. APPENDIX</w:t>
      </w:r>
      <w:r w:rsidRPr="0069410F">
        <w:t>)</w:t>
      </w:r>
      <w:bookmarkEnd w:id="6"/>
    </w:p>
    <w:p w14:paraId="2FEAE5B4" w14:textId="4AC5EE44" w:rsidR="00400A58" w:rsidRDefault="00400A58" w:rsidP="00400A58">
      <w:pPr>
        <w:pStyle w:val="NormalWeb"/>
        <w:spacing w:line="360" w:lineRule="auto"/>
        <w:rPr>
          <w:rFonts w:ascii="Arial" w:hAnsi="Arial" w:cs="Arial"/>
          <w:b/>
          <w:bCs/>
          <w:sz w:val="22"/>
          <w:szCs w:val="22"/>
        </w:rPr>
      </w:pPr>
      <w:r>
        <w:rPr>
          <w:rFonts w:ascii="Arial" w:hAnsi="Arial" w:cs="Arial"/>
          <w:noProof/>
          <w:sz w:val="22"/>
          <w:szCs w:val="22"/>
          <w14:ligatures w14:val="standardContextual"/>
        </w:rPr>
        <w:drawing>
          <wp:inline distT="0" distB="0" distL="0" distR="0" wp14:anchorId="26527202" wp14:editId="43EC7F42">
            <wp:extent cx="2123745" cy="655983"/>
            <wp:effectExtent l="0" t="0" r="0" b="4445"/>
            <wp:docPr id="159408430" name="Picture 10"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08430" name="Picture 10" descr="A black text on a white background&#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162970" cy="668099"/>
                    </a:xfrm>
                    <a:prstGeom prst="rect">
                      <a:avLst/>
                    </a:prstGeom>
                  </pic:spPr>
                </pic:pic>
              </a:graphicData>
            </a:graphic>
          </wp:inline>
        </w:drawing>
      </w:r>
    </w:p>
    <w:p w14:paraId="315193A0" w14:textId="68951FE2" w:rsid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 xml:space="preserve">The CAGR </w:t>
      </w:r>
      <w:r>
        <w:rPr>
          <w:rFonts w:ascii="Arial" w:hAnsi="Arial" w:cs="Arial"/>
          <w:sz w:val="22"/>
          <w:szCs w:val="22"/>
        </w:rPr>
        <w:t>provides</w:t>
      </w:r>
      <w:r w:rsidRPr="00400A58">
        <w:rPr>
          <w:rFonts w:ascii="Arial" w:hAnsi="Arial" w:cs="Arial"/>
          <w:sz w:val="22"/>
          <w:szCs w:val="22"/>
        </w:rPr>
        <w:t xml:space="preserve"> a clear measure of the annualized return on investment, reflecting how the stock has compounded over time (</w:t>
      </w:r>
      <w:proofErr w:type="spellStart"/>
      <w:r w:rsidRPr="00400A58">
        <w:rPr>
          <w:rFonts w:ascii="Arial" w:hAnsi="Arial" w:cs="Arial"/>
          <w:sz w:val="22"/>
          <w:szCs w:val="22"/>
        </w:rPr>
        <w:t>Jäger-Waldau</w:t>
      </w:r>
      <w:proofErr w:type="spellEnd"/>
      <w:r w:rsidRPr="00400A58">
        <w:rPr>
          <w:rFonts w:ascii="Arial" w:hAnsi="Arial" w:cs="Arial"/>
          <w:sz w:val="22"/>
          <w:szCs w:val="22"/>
        </w:rPr>
        <w:t>, 20</w:t>
      </w:r>
      <w:r w:rsidR="0069410F">
        <w:rPr>
          <w:rFonts w:ascii="Arial" w:hAnsi="Arial" w:cs="Arial"/>
          <w:sz w:val="22"/>
          <w:szCs w:val="22"/>
        </w:rPr>
        <w:t>23</w:t>
      </w:r>
      <w:r w:rsidRPr="00400A58">
        <w:rPr>
          <w:rFonts w:ascii="Arial" w:hAnsi="Arial" w:cs="Arial"/>
          <w:sz w:val="22"/>
          <w:szCs w:val="22"/>
        </w:rPr>
        <w:t>). This calculation provides</w:t>
      </w:r>
      <w:r>
        <w:rPr>
          <w:rFonts w:ascii="Arial" w:hAnsi="Arial" w:cs="Arial"/>
          <w:sz w:val="22"/>
          <w:szCs w:val="22"/>
        </w:rPr>
        <w:t xml:space="preserve"> </w:t>
      </w:r>
      <w:r>
        <w:rPr>
          <w:rFonts w:ascii="Arial" w:hAnsi="Arial" w:cs="Arial"/>
          <w:sz w:val="22"/>
          <w:szCs w:val="22"/>
        </w:rPr>
        <w:lastRenderedPageBreak/>
        <w:t>understanding</w:t>
      </w:r>
      <w:r w:rsidRPr="00400A58">
        <w:rPr>
          <w:rFonts w:ascii="Arial" w:hAnsi="Arial" w:cs="Arial"/>
          <w:sz w:val="22"/>
          <w:szCs w:val="22"/>
        </w:rPr>
        <w:t xml:space="preserve"> into Just </w:t>
      </w:r>
      <w:proofErr w:type="spellStart"/>
      <w:r w:rsidRPr="00400A58">
        <w:rPr>
          <w:rFonts w:ascii="Arial" w:hAnsi="Arial" w:cs="Arial"/>
          <w:sz w:val="22"/>
          <w:szCs w:val="22"/>
        </w:rPr>
        <w:t>Eat's</w:t>
      </w:r>
      <w:proofErr w:type="spellEnd"/>
      <w:r w:rsidRPr="00400A58">
        <w:rPr>
          <w:rFonts w:ascii="Arial" w:hAnsi="Arial" w:cs="Arial"/>
          <w:sz w:val="22"/>
          <w:szCs w:val="22"/>
        </w:rPr>
        <w:t xml:space="preserve"> annual stock performance since its IPO, offering a clearer view of its financial</w:t>
      </w:r>
      <w:r>
        <w:rPr>
          <w:rFonts w:ascii="Arial" w:hAnsi="Arial" w:cs="Arial"/>
          <w:sz w:val="22"/>
          <w:szCs w:val="22"/>
        </w:rPr>
        <w:t xml:space="preserve"> journey</w:t>
      </w:r>
      <w:r w:rsidRPr="00400A58">
        <w:rPr>
          <w:rFonts w:ascii="Arial" w:hAnsi="Arial" w:cs="Arial"/>
          <w:sz w:val="22"/>
          <w:szCs w:val="22"/>
        </w:rPr>
        <w:t>.</w:t>
      </w:r>
    </w:p>
    <w:p w14:paraId="64D07558" w14:textId="131AF63C" w:rsidR="0069410F" w:rsidRDefault="0069410F" w:rsidP="0069410F">
      <w:pPr>
        <w:pStyle w:val="Caption"/>
        <w:keepNext/>
      </w:pPr>
      <w:r>
        <w:t xml:space="preserve">Figure </w:t>
      </w:r>
      <w:r>
        <w:fldChar w:fldCharType="begin"/>
      </w:r>
      <w:r>
        <w:instrText xml:space="preserve"> SEQ Figure \* ARABIC </w:instrText>
      </w:r>
      <w:r>
        <w:fldChar w:fldCharType="separate"/>
      </w:r>
      <w:r>
        <w:rPr>
          <w:noProof/>
        </w:rPr>
        <w:t>8</w:t>
      </w:r>
      <w:r>
        <w:fldChar w:fldCharType="end"/>
      </w:r>
      <w:r>
        <w:t>Just Eat Adj. Closing price (source: Author)</w:t>
      </w:r>
    </w:p>
    <w:tbl>
      <w:tblPr>
        <w:tblStyle w:val="TableGrid"/>
        <w:tblW w:w="0" w:type="auto"/>
        <w:tblLook w:val="04A0" w:firstRow="1" w:lastRow="0" w:firstColumn="1" w:lastColumn="0" w:noHBand="0" w:noVBand="1"/>
      </w:tblPr>
      <w:tblGrid>
        <w:gridCol w:w="1940"/>
        <w:gridCol w:w="1400"/>
      </w:tblGrid>
      <w:tr w:rsidR="00400A58" w:rsidRPr="00400A58" w14:paraId="29AA7CC0" w14:textId="77777777" w:rsidTr="00400A58">
        <w:trPr>
          <w:trHeight w:val="320"/>
        </w:trPr>
        <w:tc>
          <w:tcPr>
            <w:tcW w:w="1940" w:type="dxa"/>
            <w:noWrap/>
            <w:hideMark/>
          </w:tcPr>
          <w:p w14:paraId="2F8199A5" w14:textId="77777777" w:rsidR="00400A58" w:rsidRPr="00400A58" w:rsidRDefault="00400A58" w:rsidP="00400A58">
            <w:pPr>
              <w:pStyle w:val="NormalWeb"/>
              <w:spacing w:line="360" w:lineRule="auto"/>
              <w:rPr>
                <w:rFonts w:ascii="Arial" w:hAnsi="Arial" w:cs="Arial"/>
                <w:b/>
                <w:bCs/>
                <w:sz w:val="22"/>
                <w:szCs w:val="22"/>
              </w:rPr>
            </w:pPr>
            <w:r w:rsidRPr="00400A58">
              <w:rPr>
                <w:rFonts w:ascii="Arial" w:hAnsi="Arial" w:cs="Arial"/>
                <w:b/>
                <w:bCs/>
                <w:sz w:val="22"/>
                <w:szCs w:val="22"/>
              </w:rPr>
              <w:t xml:space="preserve">Year </w:t>
            </w:r>
          </w:p>
        </w:tc>
        <w:tc>
          <w:tcPr>
            <w:tcW w:w="1400" w:type="dxa"/>
            <w:noWrap/>
            <w:hideMark/>
          </w:tcPr>
          <w:p w14:paraId="19F01035" w14:textId="77777777" w:rsidR="00400A58" w:rsidRPr="00400A58" w:rsidRDefault="00400A58" w:rsidP="00400A58">
            <w:pPr>
              <w:pStyle w:val="NormalWeb"/>
              <w:spacing w:line="360" w:lineRule="auto"/>
              <w:rPr>
                <w:rFonts w:ascii="Arial" w:hAnsi="Arial" w:cs="Arial"/>
                <w:b/>
                <w:bCs/>
                <w:sz w:val="22"/>
                <w:szCs w:val="22"/>
              </w:rPr>
            </w:pPr>
            <w:proofErr w:type="spellStart"/>
            <w:r w:rsidRPr="00400A58">
              <w:rPr>
                <w:rFonts w:ascii="Arial" w:hAnsi="Arial" w:cs="Arial"/>
                <w:b/>
                <w:bCs/>
                <w:sz w:val="22"/>
                <w:szCs w:val="22"/>
              </w:rPr>
              <w:t>Adj</w:t>
            </w:r>
            <w:proofErr w:type="spellEnd"/>
            <w:r w:rsidRPr="00400A58">
              <w:rPr>
                <w:rFonts w:ascii="Arial" w:hAnsi="Arial" w:cs="Arial"/>
                <w:b/>
                <w:bCs/>
                <w:sz w:val="22"/>
                <w:szCs w:val="22"/>
              </w:rPr>
              <w:t xml:space="preserve"> close </w:t>
            </w:r>
          </w:p>
        </w:tc>
      </w:tr>
      <w:tr w:rsidR="00400A58" w:rsidRPr="00400A58" w14:paraId="2CBA20F3" w14:textId="77777777" w:rsidTr="00400A58">
        <w:trPr>
          <w:trHeight w:val="320"/>
        </w:trPr>
        <w:tc>
          <w:tcPr>
            <w:tcW w:w="1940" w:type="dxa"/>
            <w:noWrap/>
            <w:hideMark/>
          </w:tcPr>
          <w:p w14:paraId="0C808DC5" w14:textId="77777777" w:rsidR="00400A58" w:rsidRPr="00400A58" w:rsidRDefault="00400A58" w:rsidP="00400A58">
            <w:pPr>
              <w:pStyle w:val="NormalWeb"/>
              <w:spacing w:line="360" w:lineRule="auto"/>
              <w:rPr>
                <w:rFonts w:ascii="Arial" w:hAnsi="Arial" w:cs="Arial"/>
                <w:b/>
                <w:bCs/>
                <w:sz w:val="22"/>
                <w:szCs w:val="22"/>
              </w:rPr>
            </w:pPr>
            <w:r w:rsidRPr="00400A58">
              <w:rPr>
                <w:rFonts w:ascii="Arial" w:hAnsi="Arial" w:cs="Arial"/>
                <w:b/>
                <w:bCs/>
                <w:sz w:val="22"/>
                <w:szCs w:val="22"/>
              </w:rPr>
              <w:t>2016</w:t>
            </w:r>
          </w:p>
        </w:tc>
        <w:tc>
          <w:tcPr>
            <w:tcW w:w="1400" w:type="dxa"/>
            <w:noWrap/>
            <w:hideMark/>
          </w:tcPr>
          <w:p w14:paraId="3ACB8500" w14:textId="77777777" w:rsidR="00400A58" w:rsidRPr="00400A58" w:rsidRDefault="00400A58" w:rsidP="00400A58">
            <w:pPr>
              <w:pStyle w:val="NormalWeb"/>
              <w:spacing w:line="360" w:lineRule="auto"/>
              <w:rPr>
                <w:rFonts w:ascii="Arial" w:hAnsi="Arial" w:cs="Arial"/>
                <w:b/>
                <w:bCs/>
                <w:sz w:val="22"/>
                <w:szCs w:val="22"/>
              </w:rPr>
            </w:pPr>
            <w:r w:rsidRPr="00400A58">
              <w:rPr>
                <w:rFonts w:ascii="Arial" w:hAnsi="Arial" w:cs="Arial"/>
                <w:b/>
                <w:bCs/>
                <w:sz w:val="22"/>
                <w:szCs w:val="22"/>
              </w:rPr>
              <w:t>2316</w:t>
            </w:r>
          </w:p>
        </w:tc>
      </w:tr>
      <w:tr w:rsidR="00400A58" w:rsidRPr="00400A58" w14:paraId="5723AF1C" w14:textId="77777777" w:rsidTr="00400A58">
        <w:trPr>
          <w:trHeight w:val="320"/>
        </w:trPr>
        <w:tc>
          <w:tcPr>
            <w:tcW w:w="1940" w:type="dxa"/>
            <w:noWrap/>
            <w:hideMark/>
          </w:tcPr>
          <w:p w14:paraId="7B8EDCD8" w14:textId="77777777" w:rsidR="00400A58" w:rsidRPr="00400A58" w:rsidRDefault="00400A58" w:rsidP="00400A58">
            <w:pPr>
              <w:pStyle w:val="NormalWeb"/>
              <w:spacing w:line="360" w:lineRule="auto"/>
              <w:rPr>
                <w:rFonts w:ascii="Arial" w:hAnsi="Arial" w:cs="Arial"/>
                <w:b/>
                <w:bCs/>
                <w:sz w:val="22"/>
                <w:szCs w:val="22"/>
              </w:rPr>
            </w:pPr>
            <w:r w:rsidRPr="00400A58">
              <w:rPr>
                <w:rFonts w:ascii="Arial" w:hAnsi="Arial" w:cs="Arial"/>
                <w:b/>
                <w:bCs/>
                <w:sz w:val="22"/>
                <w:szCs w:val="22"/>
              </w:rPr>
              <w:t>2017</w:t>
            </w:r>
          </w:p>
        </w:tc>
        <w:tc>
          <w:tcPr>
            <w:tcW w:w="1400" w:type="dxa"/>
            <w:noWrap/>
            <w:hideMark/>
          </w:tcPr>
          <w:p w14:paraId="32BB511E" w14:textId="77777777" w:rsidR="00400A58" w:rsidRPr="00400A58" w:rsidRDefault="00400A58" w:rsidP="00400A58">
            <w:pPr>
              <w:pStyle w:val="NormalWeb"/>
              <w:spacing w:line="360" w:lineRule="auto"/>
              <w:rPr>
                <w:rFonts w:ascii="Arial" w:hAnsi="Arial" w:cs="Arial"/>
                <w:b/>
                <w:bCs/>
                <w:sz w:val="22"/>
                <w:szCs w:val="22"/>
              </w:rPr>
            </w:pPr>
            <w:r w:rsidRPr="00400A58">
              <w:rPr>
                <w:rFonts w:ascii="Arial" w:hAnsi="Arial" w:cs="Arial"/>
                <w:b/>
                <w:bCs/>
                <w:sz w:val="22"/>
                <w:szCs w:val="22"/>
              </w:rPr>
              <w:t>4979</w:t>
            </w:r>
          </w:p>
        </w:tc>
      </w:tr>
      <w:tr w:rsidR="00400A58" w:rsidRPr="00400A58" w14:paraId="6F1C230E" w14:textId="77777777" w:rsidTr="00400A58">
        <w:trPr>
          <w:trHeight w:val="320"/>
        </w:trPr>
        <w:tc>
          <w:tcPr>
            <w:tcW w:w="1940" w:type="dxa"/>
            <w:noWrap/>
            <w:hideMark/>
          </w:tcPr>
          <w:p w14:paraId="0F019C64" w14:textId="77777777" w:rsidR="00400A58" w:rsidRPr="00400A58" w:rsidRDefault="00400A58" w:rsidP="00400A58">
            <w:pPr>
              <w:pStyle w:val="NormalWeb"/>
              <w:spacing w:line="360" w:lineRule="auto"/>
              <w:rPr>
                <w:rFonts w:ascii="Arial" w:hAnsi="Arial" w:cs="Arial"/>
                <w:b/>
                <w:bCs/>
                <w:sz w:val="22"/>
                <w:szCs w:val="22"/>
              </w:rPr>
            </w:pPr>
            <w:r w:rsidRPr="00400A58">
              <w:rPr>
                <w:rFonts w:ascii="Arial" w:hAnsi="Arial" w:cs="Arial"/>
                <w:b/>
                <w:bCs/>
                <w:sz w:val="22"/>
                <w:szCs w:val="22"/>
              </w:rPr>
              <w:t>2018</w:t>
            </w:r>
          </w:p>
        </w:tc>
        <w:tc>
          <w:tcPr>
            <w:tcW w:w="1400" w:type="dxa"/>
            <w:noWrap/>
            <w:hideMark/>
          </w:tcPr>
          <w:p w14:paraId="4BD96C4A" w14:textId="77777777" w:rsidR="00400A58" w:rsidRPr="00400A58" w:rsidRDefault="00400A58" w:rsidP="00400A58">
            <w:pPr>
              <w:pStyle w:val="NormalWeb"/>
              <w:spacing w:line="360" w:lineRule="auto"/>
              <w:rPr>
                <w:rFonts w:ascii="Arial" w:hAnsi="Arial" w:cs="Arial"/>
                <w:b/>
                <w:bCs/>
                <w:sz w:val="22"/>
                <w:szCs w:val="22"/>
              </w:rPr>
            </w:pPr>
            <w:r w:rsidRPr="00400A58">
              <w:rPr>
                <w:rFonts w:ascii="Arial" w:hAnsi="Arial" w:cs="Arial"/>
                <w:b/>
                <w:bCs/>
                <w:sz w:val="22"/>
                <w:szCs w:val="22"/>
              </w:rPr>
              <w:t>5805</w:t>
            </w:r>
          </w:p>
        </w:tc>
      </w:tr>
      <w:tr w:rsidR="00400A58" w:rsidRPr="00400A58" w14:paraId="63B418ED" w14:textId="77777777" w:rsidTr="00400A58">
        <w:trPr>
          <w:trHeight w:val="320"/>
        </w:trPr>
        <w:tc>
          <w:tcPr>
            <w:tcW w:w="1940" w:type="dxa"/>
            <w:noWrap/>
            <w:hideMark/>
          </w:tcPr>
          <w:p w14:paraId="2579B790" w14:textId="77777777" w:rsidR="00400A58" w:rsidRPr="00400A58" w:rsidRDefault="00400A58" w:rsidP="00400A58">
            <w:pPr>
              <w:pStyle w:val="NormalWeb"/>
              <w:spacing w:line="360" w:lineRule="auto"/>
              <w:rPr>
                <w:rFonts w:ascii="Arial" w:hAnsi="Arial" w:cs="Arial"/>
                <w:b/>
                <w:bCs/>
                <w:sz w:val="22"/>
                <w:szCs w:val="22"/>
              </w:rPr>
            </w:pPr>
            <w:r w:rsidRPr="00400A58">
              <w:rPr>
                <w:rFonts w:ascii="Arial" w:hAnsi="Arial" w:cs="Arial"/>
                <w:b/>
                <w:bCs/>
                <w:sz w:val="22"/>
                <w:szCs w:val="22"/>
              </w:rPr>
              <w:t>2019</w:t>
            </w:r>
          </w:p>
        </w:tc>
        <w:tc>
          <w:tcPr>
            <w:tcW w:w="1400" w:type="dxa"/>
            <w:noWrap/>
            <w:hideMark/>
          </w:tcPr>
          <w:p w14:paraId="4983E34F" w14:textId="77777777" w:rsidR="00400A58" w:rsidRPr="00400A58" w:rsidRDefault="00400A58" w:rsidP="00400A58">
            <w:pPr>
              <w:pStyle w:val="NormalWeb"/>
              <w:spacing w:line="360" w:lineRule="auto"/>
              <w:rPr>
                <w:rFonts w:ascii="Arial" w:hAnsi="Arial" w:cs="Arial"/>
                <w:b/>
                <w:bCs/>
                <w:sz w:val="22"/>
                <w:szCs w:val="22"/>
              </w:rPr>
            </w:pPr>
            <w:r w:rsidRPr="00400A58">
              <w:rPr>
                <w:rFonts w:ascii="Arial" w:hAnsi="Arial" w:cs="Arial"/>
                <w:b/>
                <w:bCs/>
                <w:sz w:val="22"/>
                <w:szCs w:val="22"/>
              </w:rPr>
              <w:t>8200</w:t>
            </w:r>
          </w:p>
        </w:tc>
      </w:tr>
      <w:tr w:rsidR="00400A58" w:rsidRPr="00400A58" w14:paraId="1332B9C2" w14:textId="77777777" w:rsidTr="00400A58">
        <w:trPr>
          <w:trHeight w:val="320"/>
        </w:trPr>
        <w:tc>
          <w:tcPr>
            <w:tcW w:w="1940" w:type="dxa"/>
            <w:noWrap/>
            <w:hideMark/>
          </w:tcPr>
          <w:p w14:paraId="0F2D2407" w14:textId="77777777" w:rsidR="00400A58" w:rsidRPr="00400A58" w:rsidRDefault="00400A58" w:rsidP="00400A58">
            <w:pPr>
              <w:pStyle w:val="NormalWeb"/>
              <w:spacing w:line="360" w:lineRule="auto"/>
              <w:rPr>
                <w:rFonts w:ascii="Arial" w:hAnsi="Arial" w:cs="Arial"/>
                <w:b/>
                <w:bCs/>
                <w:sz w:val="22"/>
                <w:szCs w:val="22"/>
              </w:rPr>
            </w:pPr>
            <w:r w:rsidRPr="00400A58">
              <w:rPr>
                <w:rFonts w:ascii="Arial" w:hAnsi="Arial" w:cs="Arial"/>
                <w:b/>
                <w:bCs/>
                <w:sz w:val="22"/>
                <w:szCs w:val="22"/>
              </w:rPr>
              <w:t>2020</w:t>
            </w:r>
          </w:p>
        </w:tc>
        <w:tc>
          <w:tcPr>
            <w:tcW w:w="1400" w:type="dxa"/>
            <w:noWrap/>
            <w:hideMark/>
          </w:tcPr>
          <w:p w14:paraId="51CBD18C" w14:textId="77777777" w:rsidR="00400A58" w:rsidRPr="00400A58" w:rsidRDefault="00400A58" w:rsidP="00400A58">
            <w:pPr>
              <w:pStyle w:val="NormalWeb"/>
              <w:spacing w:line="360" w:lineRule="auto"/>
              <w:rPr>
                <w:rFonts w:ascii="Arial" w:hAnsi="Arial" w:cs="Arial"/>
                <w:b/>
                <w:bCs/>
                <w:sz w:val="22"/>
                <w:szCs w:val="22"/>
              </w:rPr>
            </w:pPr>
            <w:r w:rsidRPr="00400A58">
              <w:rPr>
                <w:rFonts w:ascii="Arial" w:hAnsi="Arial" w:cs="Arial"/>
                <w:b/>
                <w:bCs/>
                <w:sz w:val="22"/>
                <w:szCs w:val="22"/>
              </w:rPr>
              <w:t>8260</w:t>
            </w:r>
          </w:p>
        </w:tc>
      </w:tr>
      <w:tr w:rsidR="00400A58" w:rsidRPr="00400A58" w14:paraId="0A6EA69B" w14:textId="77777777" w:rsidTr="00400A58">
        <w:trPr>
          <w:trHeight w:val="320"/>
        </w:trPr>
        <w:tc>
          <w:tcPr>
            <w:tcW w:w="1940" w:type="dxa"/>
            <w:noWrap/>
            <w:hideMark/>
          </w:tcPr>
          <w:p w14:paraId="1C0D0F69" w14:textId="77777777" w:rsidR="00400A58" w:rsidRPr="00400A58" w:rsidRDefault="00400A58" w:rsidP="00400A58">
            <w:pPr>
              <w:pStyle w:val="NormalWeb"/>
              <w:spacing w:line="360" w:lineRule="auto"/>
              <w:rPr>
                <w:rFonts w:ascii="Arial" w:hAnsi="Arial" w:cs="Arial"/>
                <w:b/>
                <w:bCs/>
                <w:sz w:val="22"/>
                <w:szCs w:val="22"/>
              </w:rPr>
            </w:pPr>
            <w:r w:rsidRPr="00400A58">
              <w:rPr>
                <w:rFonts w:ascii="Arial" w:hAnsi="Arial" w:cs="Arial"/>
                <w:b/>
                <w:bCs/>
                <w:sz w:val="22"/>
                <w:szCs w:val="22"/>
              </w:rPr>
              <w:t>2021</w:t>
            </w:r>
          </w:p>
        </w:tc>
        <w:tc>
          <w:tcPr>
            <w:tcW w:w="1400" w:type="dxa"/>
            <w:noWrap/>
            <w:hideMark/>
          </w:tcPr>
          <w:p w14:paraId="3C14F102" w14:textId="77777777" w:rsidR="00400A58" w:rsidRPr="00400A58" w:rsidRDefault="00400A58" w:rsidP="00400A58">
            <w:pPr>
              <w:pStyle w:val="NormalWeb"/>
              <w:spacing w:line="360" w:lineRule="auto"/>
              <w:rPr>
                <w:rFonts w:ascii="Arial" w:hAnsi="Arial" w:cs="Arial"/>
                <w:b/>
                <w:bCs/>
                <w:sz w:val="22"/>
                <w:szCs w:val="22"/>
              </w:rPr>
            </w:pPr>
            <w:r w:rsidRPr="00400A58">
              <w:rPr>
                <w:rFonts w:ascii="Arial" w:hAnsi="Arial" w:cs="Arial"/>
                <w:b/>
                <w:bCs/>
                <w:sz w:val="22"/>
                <w:szCs w:val="22"/>
              </w:rPr>
              <w:t>4076</w:t>
            </w:r>
          </w:p>
        </w:tc>
      </w:tr>
      <w:tr w:rsidR="00400A58" w:rsidRPr="00400A58" w14:paraId="1890D25B" w14:textId="77777777" w:rsidTr="00400A58">
        <w:trPr>
          <w:trHeight w:val="320"/>
        </w:trPr>
        <w:tc>
          <w:tcPr>
            <w:tcW w:w="1940" w:type="dxa"/>
            <w:noWrap/>
            <w:hideMark/>
          </w:tcPr>
          <w:p w14:paraId="51FA49B8" w14:textId="77777777" w:rsidR="00400A58" w:rsidRPr="00400A58" w:rsidRDefault="00400A58" w:rsidP="00400A58">
            <w:pPr>
              <w:pStyle w:val="NormalWeb"/>
              <w:spacing w:line="360" w:lineRule="auto"/>
              <w:rPr>
                <w:rFonts w:ascii="Arial" w:hAnsi="Arial" w:cs="Arial"/>
                <w:b/>
                <w:bCs/>
                <w:sz w:val="22"/>
                <w:szCs w:val="22"/>
              </w:rPr>
            </w:pPr>
            <w:r w:rsidRPr="00400A58">
              <w:rPr>
                <w:rFonts w:ascii="Arial" w:hAnsi="Arial" w:cs="Arial"/>
                <w:b/>
                <w:bCs/>
                <w:sz w:val="22"/>
                <w:szCs w:val="22"/>
              </w:rPr>
              <w:t>2022</w:t>
            </w:r>
          </w:p>
        </w:tc>
        <w:tc>
          <w:tcPr>
            <w:tcW w:w="1400" w:type="dxa"/>
            <w:noWrap/>
            <w:hideMark/>
          </w:tcPr>
          <w:p w14:paraId="09EB07A4" w14:textId="77777777" w:rsidR="00400A58" w:rsidRPr="00400A58" w:rsidRDefault="00400A58" w:rsidP="00400A58">
            <w:pPr>
              <w:pStyle w:val="NormalWeb"/>
              <w:spacing w:line="360" w:lineRule="auto"/>
              <w:rPr>
                <w:rFonts w:ascii="Arial" w:hAnsi="Arial" w:cs="Arial"/>
                <w:b/>
                <w:bCs/>
                <w:sz w:val="22"/>
                <w:szCs w:val="22"/>
              </w:rPr>
            </w:pPr>
            <w:r w:rsidRPr="00400A58">
              <w:rPr>
                <w:rFonts w:ascii="Arial" w:hAnsi="Arial" w:cs="Arial"/>
                <w:b/>
                <w:bCs/>
                <w:sz w:val="22"/>
                <w:szCs w:val="22"/>
              </w:rPr>
              <w:t>1738</w:t>
            </w:r>
          </w:p>
        </w:tc>
      </w:tr>
      <w:tr w:rsidR="00400A58" w:rsidRPr="00400A58" w14:paraId="4BD786AF" w14:textId="77777777" w:rsidTr="00400A58">
        <w:trPr>
          <w:trHeight w:val="320"/>
        </w:trPr>
        <w:tc>
          <w:tcPr>
            <w:tcW w:w="1940" w:type="dxa"/>
            <w:noWrap/>
            <w:hideMark/>
          </w:tcPr>
          <w:p w14:paraId="06E2B43F" w14:textId="77777777" w:rsidR="00400A58" w:rsidRPr="00400A58" w:rsidRDefault="00400A58" w:rsidP="00400A58">
            <w:pPr>
              <w:pStyle w:val="NormalWeb"/>
              <w:spacing w:line="360" w:lineRule="auto"/>
              <w:rPr>
                <w:rFonts w:ascii="Arial" w:hAnsi="Arial" w:cs="Arial"/>
                <w:b/>
                <w:bCs/>
                <w:sz w:val="22"/>
                <w:szCs w:val="22"/>
              </w:rPr>
            </w:pPr>
            <w:r w:rsidRPr="00400A58">
              <w:rPr>
                <w:rFonts w:ascii="Arial" w:hAnsi="Arial" w:cs="Arial"/>
                <w:b/>
                <w:bCs/>
                <w:sz w:val="22"/>
                <w:szCs w:val="22"/>
              </w:rPr>
              <w:t>2023</w:t>
            </w:r>
          </w:p>
        </w:tc>
        <w:tc>
          <w:tcPr>
            <w:tcW w:w="1400" w:type="dxa"/>
            <w:noWrap/>
            <w:hideMark/>
          </w:tcPr>
          <w:p w14:paraId="4229776E" w14:textId="77777777" w:rsidR="00400A58" w:rsidRPr="00400A58" w:rsidRDefault="00400A58" w:rsidP="00400A58">
            <w:pPr>
              <w:pStyle w:val="NormalWeb"/>
              <w:spacing w:line="360" w:lineRule="auto"/>
              <w:rPr>
                <w:rFonts w:ascii="Arial" w:hAnsi="Arial" w:cs="Arial"/>
                <w:b/>
                <w:bCs/>
                <w:sz w:val="22"/>
                <w:szCs w:val="22"/>
              </w:rPr>
            </w:pPr>
            <w:r w:rsidRPr="00400A58">
              <w:rPr>
                <w:rFonts w:ascii="Arial" w:hAnsi="Arial" w:cs="Arial"/>
                <w:b/>
                <w:bCs/>
                <w:sz w:val="22"/>
                <w:szCs w:val="22"/>
              </w:rPr>
              <w:t>1219</w:t>
            </w:r>
          </w:p>
        </w:tc>
      </w:tr>
    </w:tbl>
    <w:p w14:paraId="67BADEFB" w14:textId="59FBF511" w:rsidR="00400A58" w:rsidRDefault="00400A58" w:rsidP="00400A58">
      <w:pPr>
        <w:pStyle w:val="NormalWeb"/>
        <w:spacing w:line="360" w:lineRule="auto"/>
        <w:rPr>
          <w:rFonts w:ascii="Arial" w:hAnsi="Arial" w:cs="Arial"/>
          <w:sz w:val="22"/>
          <w:szCs w:val="22"/>
        </w:rPr>
      </w:pPr>
    </w:p>
    <w:p w14:paraId="47875741" w14:textId="46FEC700" w:rsidR="0069410F" w:rsidRDefault="0069410F" w:rsidP="0069410F">
      <w:pPr>
        <w:pStyle w:val="Caption"/>
        <w:keepNext/>
      </w:pPr>
      <w:r>
        <w:t xml:space="preserve">Figure </w:t>
      </w:r>
      <w:r>
        <w:fldChar w:fldCharType="begin"/>
      </w:r>
      <w:r>
        <w:instrText xml:space="preserve"> SEQ Figure \* ARABIC </w:instrText>
      </w:r>
      <w:r>
        <w:fldChar w:fldCharType="separate"/>
      </w:r>
      <w:r>
        <w:rPr>
          <w:noProof/>
        </w:rPr>
        <w:t>9</w:t>
      </w:r>
      <w:r>
        <w:fldChar w:fldCharType="end"/>
      </w:r>
      <w:r>
        <w:t>Just Eat CAGR (source: Author)</w:t>
      </w:r>
    </w:p>
    <w:tbl>
      <w:tblPr>
        <w:tblStyle w:val="TableGrid"/>
        <w:tblW w:w="0" w:type="auto"/>
        <w:tblLook w:val="04A0" w:firstRow="1" w:lastRow="0" w:firstColumn="1" w:lastColumn="0" w:noHBand="0" w:noVBand="1"/>
      </w:tblPr>
      <w:tblGrid>
        <w:gridCol w:w="1380"/>
        <w:gridCol w:w="1760"/>
        <w:gridCol w:w="1480"/>
      </w:tblGrid>
      <w:tr w:rsidR="00400A58" w:rsidRPr="00400A58" w14:paraId="70BDD130" w14:textId="77777777" w:rsidTr="00400A58">
        <w:trPr>
          <w:trHeight w:val="320"/>
        </w:trPr>
        <w:tc>
          <w:tcPr>
            <w:tcW w:w="1380" w:type="dxa"/>
            <w:noWrap/>
            <w:hideMark/>
          </w:tcPr>
          <w:p w14:paraId="6E92B290" w14:textId="77777777" w:rsidR="00400A58" w:rsidRP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 xml:space="preserve">Year </w:t>
            </w:r>
          </w:p>
        </w:tc>
        <w:tc>
          <w:tcPr>
            <w:tcW w:w="1760" w:type="dxa"/>
            <w:noWrap/>
            <w:hideMark/>
          </w:tcPr>
          <w:p w14:paraId="0CD931A1" w14:textId="77777777" w:rsidR="00400A58" w:rsidRPr="00400A58" w:rsidRDefault="00400A58" w:rsidP="00400A58">
            <w:pPr>
              <w:pStyle w:val="NormalWeb"/>
              <w:spacing w:line="360" w:lineRule="auto"/>
              <w:rPr>
                <w:rFonts w:ascii="Arial" w:hAnsi="Arial" w:cs="Arial"/>
                <w:sz w:val="22"/>
                <w:szCs w:val="22"/>
              </w:rPr>
            </w:pPr>
            <w:proofErr w:type="spellStart"/>
            <w:r w:rsidRPr="00400A58">
              <w:rPr>
                <w:rFonts w:ascii="Arial" w:hAnsi="Arial" w:cs="Arial"/>
                <w:sz w:val="22"/>
                <w:szCs w:val="22"/>
              </w:rPr>
              <w:t>Adj</w:t>
            </w:r>
            <w:proofErr w:type="spellEnd"/>
            <w:r w:rsidRPr="00400A58">
              <w:rPr>
                <w:rFonts w:ascii="Arial" w:hAnsi="Arial" w:cs="Arial"/>
                <w:sz w:val="22"/>
                <w:szCs w:val="22"/>
              </w:rPr>
              <w:t xml:space="preserve"> close </w:t>
            </w:r>
          </w:p>
        </w:tc>
        <w:tc>
          <w:tcPr>
            <w:tcW w:w="1480" w:type="dxa"/>
            <w:noWrap/>
            <w:hideMark/>
          </w:tcPr>
          <w:p w14:paraId="0351B5F3" w14:textId="77777777" w:rsidR="00400A58" w:rsidRP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 xml:space="preserve">CAGR </w:t>
            </w:r>
          </w:p>
        </w:tc>
      </w:tr>
      <w:tr w:rsidR="00400A58" w:rsidRPr="00400A58" w14:paraId="6F4F87E8" w14:textId="77777777" w:rsidTr="00400A58">
        <w:trPr>
          <w:trHeight w:val="320"/>
        </w:trPr>
        <w:tc>
          <w:tcPr>
            <w:tcW w:w="1380" w:type="dxa"/>
            <w:noWrap/>
            <w:hideMark/>
          </w:tcPr>
          <w:p w14:paraId="3D0F1B32" w14:textId="77777777" w:rsidR="00400A58" w:rsidRP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2016</w:t>
            </w:r>
          </w:p>
        </w:tc>
        <w:tc>
          <w:tcPr>
            <w:tcW w:w="1760" w:type="dxa"/>
            <w:noWrap/>
            <w:hideMark/>
          </w:tcPr>
          <w:p w14:paraId="07932835" w14:textId="77777777" w:rsidR="00400A58" w:rsidRP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2316</w:t>
            </w:r>
          </w:p>
        </w:tc>
        <w:tc>
          <w:tcPr>
            <w:tcW w:w="1480" w:type="dxa"/>
            <w:noWrap/>
            <w:hideMark/>
          </w:tcPr>
          <w:p w14:paraId="337A20F8" w14:textId="77777777" w:rsidR="00400A58" w:rsidRPr="00400A58" w:rsidRDefault="00400A58" w:rsidP="00400A58">
            <w:pPr>
              <w:pStyle w:val="NormalWeb"/>
              <w:spacing w:line="360" w:lineRule="auto"/>
              <w:rPr>
                <w:rFonts w:ascii="Arial" w:hAnsi="Arial" w:cs="Arial"/>
                <w:sz w:val="22"/>
                <w:szCs w:val="22"/>
              </w:rPr>
            </w:pPr>
          </w:p>
        </w:tc>
      </w:tr>
      <w:tr w:rsidR="00400A58" w:rsidRPr="00400A58" w14:paraId="39B3A9D1" w14:textId="77777777" w:rsidTr="00400A58">
        <w:trPr>
          <w:trHeight w:val="320"/>
        </w:trPr>
        <w:tc>
          <w:tcPr>
            <w:tcW w:w="1380" w:type="dxa"/>
            <w:noWrap/>
            <w:hideMark/>
          </w:tcPr>
          <w:p w14:paraId="591DC9DD" w14:textId="77777777" w:rsidR="00400A58" w:rsidRP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2017</w:t>
            </w:r>
          </w:p>
        </w:tc>
        <w:tc>
          <w:tcPr>
            <w:tcW w:w="1760" w:type="dxa"/>
            <w:noWrap/>
            <w:hideMark/>
          </w:tcPr>
          <w:p w14:paraId="66D6036B" w14:textId="77777777" w:rsidR="00400A58" w:rsidRP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4979</w:t>
            </w:r>
          </w:p>
        </w:tc>
        <w:tc>
          <w:tcPr>
            <w:tcW w:w="1480" w:type="dxa"/>
            <w:noWrap/>
            <w:hideMark/>
          </w:tcPr>
          <w:p w14:paraId="3B4DFB6F" w14:textId="77777777" w:rsidR="00400A58" w:rsidRP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115%</w:t>
            </w:r>
          </w:p>
        </w:tc>
      </w:tr>
      <w:tr w:rsidR="00400A58" w:rsidRPr="00400A58" w14:paraId="78D1CD58" w14:textId="77777777" w:rsidTr="00400A58">
        <w:trPr>
          <w:trHeight w:val="320"/>
        </w:trPr>
        <w:tc>
          <w:tcPr>
            <w:tcW w:w="1380" w:type="dxa"/>
            <w:noWrap/>
            <w:hideMark/>
          </w:tcPr>
          <w:p w14:paraId="3C867E42" w14:textId="77777777" w:rsidR="00400A58" w:rsidRP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2018</w:t>
            </w:r>
          </w:p>
        </w:tc>
        <w:tc>
          <w:tcPr>
            <w:tcW w:w="1760" w:type="dxa"/>
            <w:noWrap/>
            <w:hideMark/>
          </w:tcPr>
          <w:p w14:paraId="0EA680D2" w14:textId="77777777" w:rsidR="00400A58" w:rsidRP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5805</w:t>
            </w:r>
          </w:p>
        </w:tc>
        <w:tc>
          <w:tcPr>
            <w:tcW w:w="1480" w:type="dxa"/>
            <w:noWrap/>
            <w:hideMark/>
          </w:tcPr>
          <w:p w14:paraId="24A8BFC6" w14:textId="77777777" w:rsidR="00400A58" w:rsidRP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17%</w:t>
            </w:r>
          </w:p>
        </w:tc>
      </w:tr>
      <w:tr w:rsidR="00400A58" w:rsidRPr="00400A58" w14:paraId="3186B17B" w14:textId="77777777" w:rsidTr="00400A58">
        <w:trPr>
          <w:trHeight w:val="320"/>
        </w:trPr>
        <w:tc>
          <w:tcPr>
            <w:tcW w:w="1380" w:type="dxa"/>
            <w:noWrap/>
            <w:hideMark/>
          </w:tcPr>
          <w:p w14:paraId="23BF8E93" w14:textId="77777777" w:rsidR="00400A58" w:rsidRP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2019</w:t>
            </w:r>
          </w:p>
        </w:tc>
        <w:tc>
          <w:tcPr>
            <w:tcW w:w="1760" w:type="dxa"/>
            <w:noWrap/>
            <w:hideMark/>
          </w:tcPr>
          <w:p w14:paraId="06CD5C92" w14:textId="77777777" w:rsidR="00400A58" w:rsidRP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8200</w:t>
            </w:r>
          </w:p>
        </w:tc>
        <w:tc>
          <w:tcPr>
            <w:tcW w:w="1480" w:type="dxa"/>
            <w:noWrap/>
            <w:hideMark/>
          </w:tcPr>
          <w:p w14:paraId="0F65053D" w14:textId="77777777" w:rsidR="00400A58" w:rsidRP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41%</w:t>
            </w:r>
          </w:p>
        </w:tc>
      </w:tr>
      <w:tr w:rsidR="00400A58" w:rsidRPr="00400A58" w14:paraId="7920D676" w14:textId="77777777" w:rsidTr="00400A58">
        <w:trPr>
          <w:trHeight w:val="320"/>
        </w:trPr>
        <w:tc>
          <w:tcPr>
            <w:tcW w:w="1380" w:type="dxa"/>
            <w:noWrap/>
            <w:hideMark/>
          </w:tcPr>
          <w:p w14:paraId="175377A1" w14:textId="77777777" w:rsidR="00400A58" w:rsidRP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2020</w:t>
            </w:r>
          </w:p>
        </w:tc>
        <w:tc>
          <w:tcPr>
            <w:tcW w:w="1760" w:type="dxa"/>
            <w:noWrap/>
            <w:hideMark/>
          </w:tcPr>
          <w:p w14:paraId="78211AF3" w14:textId="77777777" w:rsidR="00400A58" w:rsidRP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8260</w:t>
            </w:r>
          </w:p>
        </w:tc>
        <w:tc>
          <w:tcPr>
            <w:tcW w:w="1480" w:type="dxa"/>
            <w:noWrap/>
            <w:hideMark/>
          </w:tcPr>
          <w:p w14:paraId="2913D6B6" w14:textId="77777777" w:rsidR="00400A58" w:rsidRP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1%</w:t>
            </w:r>
          </w:p>
        </w:tc>
      </w:tr>
      <w:tr w:rsidR="00400A58" w:rsidRPr="00400A58" w14:paraId="3452A979" w14:textId="77777777" w:rsidTr="00400A58">
        <w:trPr>
          <w:trHeight w:val="320"/>
        </w:trPr>
        <w:tc>
          <w:tcPr>
            <w:tcW w:w="1380" w:type="dxa"/>
            <w:noWrap/>
            <w:hideMark/>
          </w:tcPr>
          <w:p w14:paraId="7BD05E9B" w14:textId="77777777" w:rsidR="00400A58" w:rsidRP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2021</w:t>
            </w:r>
          </w:p>
        </w:tc>
        <w:tc>
          <w:tcPr>
            <w:tcW w:w="1760" w:type="dxa"/>
            <w:noWrap/>
            <w:hideMark/>
          </w:tcPr>
          <w:p w14:paraId="03CA5653" w14:textId="77777777" w:rsidR="00400A58" w:rsidRP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4076</w:t>
            </w:r>
          </w:p>
        </w:tc>
        <w:tc>
          <w:tcPr>
            <w:tcW w:w="1480" w:type="dxa"/>
            <w:noWrap/>
            <w:hideMark/>
          </w:tcPr>
          <w:p w14:paraId="045E64EE" w14:textId="77777777" w:rsidR="00400A58" w:rsidRP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49%</w:t>
            </w:r>
          </w:p>
        </w:tc>
      </w:tr>
      <w:tr w:rsidR="00400A58" w:rsidRPr="00400A58" w14:paraId="667012F0" w14:textId="77777777" w:rsidTr="00400A58">
        <w:trPr>
          <w:trHeight w:val="320"/>
        </w:trPr>
        <w:tc>
          <w:tcPr>
            <w:tcW w:w="1380" w:type="dxa"/>
            <w:noWrap/>
            <w:hideMark/>
          </w:tcPr>
          <w:p w14:paraId="623C4479" w14:textId="77777777" w:rsidR="00400A58" w:rsidRP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2022</w:t>
            </w:r>
          </w:p>
        </w:tc>
        <w:tc>
          <w:tcPr>
            <w:tcW w:w="1760" w:type="dxa"/>
            <w:noWrap/>
            <w:hideMark/>
          </w:tcPr>
          <w:p w14:paraId="3D1BB4AB" w14:textId="77777777" w:rsidR="00400A58" w:rsidRP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1738</w:t>
            </w:r>
          </w:p>
        </w:tc>
        <w:tc>
          <w:tcPr>
            <w:tcW w:w="1480" w:type="dxa"/>
            <w:noWrap/>
            <w:hideMark/>
          </w:tcPr>
          <w:p w14:paraId="6AEECE5F" w14:textId="77777777" w:rsidR="00400A58" w:rsidRP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-57%</w:t>
            </w:r>
          </w:p>
        </w:tc>
      </w:tr>
      <w:tr w:rsidR="00400A58" w:rsidRPr="00400A58" w14:paraId="4E3C1D5A" w14:textId="77777777" w:rsidTr="00400A58">
        <w:trPr>
          <w:trHeight w:val="320"/>
        </w:trPr>
        <w:tc>
          <w:tcPr>
            <w:tcW w:w="1380" w:type="dxa"/>
            <w:noWrap/>
            <w:hideMark/>
          </w:tcPr>
          <w:p w14:paraId="749367E9" w14:textId="77777777" w:rsidR="00400A58" w:rsidRP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2023</w:t>
            </w:r>
          </w:p>
        </w:tc>
        <w:tc>
          <w:tcPr>
            <w:tcW w:w="1760" w:type="dxa"/>
            <w:noWrap/>
            <w:hideMark/>
          </w:tcPr>
          <w:p w14:paraId="560656F8" w14:textId="77777777" w:rsidR="00400A58" w:rsidRP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1219</w:t>
            </w:r>
          </w:p>
        </w:tc>
        <w:tc>
          <w:tcPr>
            <w:tcW w:w="1480" w:type="dxa"/>
            <w:noWrap/>
            <w:hideMark/>
          </w:tcPr>
          <w:p w14:paraId="4C4355B7" w14:textId="77777777" w:rsidR="00400A58" w:rsidRPr="00400A58" w:rsidRDefault="00400A58" w:rsidP="00400A58">
            <w:pPr>
              <w:pStyle w:val="NormalWeb"/>
              <w:spacing w:line="360" w:lineRule="auto"/>
              <w:rPr>
                <w:rFonts w:ascii="Arial" w:hAnsi="Arial" w:cs="Arial"/>
                <w:sz w:val="22"/>
                <w:szCs w:val="22"/>
              </w:rPr>
            </w:pPr>
            <w:r w:rsidRPr="00400A58">
              <w:rPr>
                <w:rFonts w:ascii="Arial" w:hAnsi="Arial" w:cs="Arial"/>
                <w:sz w:val="22"/>
                <w:szCs w:val="22"/>
              </w:rPr>
              <w:t>-30%</w:t>
            </w:r>
          </w:p>
        </w:tc>
      </w:tr>
    </w:tbl>
    <w:p w14:paraId="6E472D82" w14:textId="77777777" w:rsidR="00400A58" w:rsidRDefault="00400A58" w:rsidP="00400A58">
      <w:pPr>
        <w:pStyle w:val="NormalWeb"/>
        <w:spacing w:line="360" w:lineRule="auto"/>
        <w:rPr>
          <w:rFonts w:ascii="Arial" w:hAnsi="Arial" w:cs="Arial"/>
          <w:sz w:val="22"/>
          <w:szCs w:val="22"/>
        </w:rPr>
      </w:pPr>
    </w:p>
    <w:p w14:paraId="3905B8F3" w14:textId="77777777" w:rsidR="00400A58" w:rsidRDefault="00400A58" w:rsidP="00400A58">
      <w:pPr>
        <w:pStyle w:val="NormalWeb"/>
        <w:spacing w:line="360" w:lineRule="auto"/>
        <w:rPr>
          <w:rFonts w:ascii="Arial" w:hAnsi="Arial" w:cs="Arial"/>
          <w:sz w:val="22"/>
          <w:szCs w:val="22"/>
        </w:rPr>
      </w:pPr>
    </w:p>
    <w:p w14:paraId="0556A1F4" w14:textId="678FC23D" w:rsidR="00400A58" w:rsidRDefault="00400A58" w:rsidP="00400A58">
      <w:pPr>
        <w:pStyle w:val="NormalWeb"/>
        <w:spacing w:line="360" w:lineRule="auto"/>
        <w:rPr>
          <w:rFonts w:ascii="ArialMT" w:hAnsi="ArialMT"/>
          <w:b/>
          <w:bCs/>
          <w:color w:val="000000" w:themeColor="text1"/>
          <w:sz w:val="22"/>
          <w:szCs w:val="22"/>
          <w:u w:val="single"/>
        </w:rPr>
      </w:pPr>
      <w:r w:rsidRPr="00400A58">
        <w:rPr>
          <w:rFonts w:ascii="ArialMT" w:hAnsi="ArialMT"/>
          <w:b/>
          <w:bCs/>
          <w:color w:val="000000" w:themeColor="text1"/>
          <w:sz w:val="22"/>
          <w:szCs w:val="22"/>
          <w:u w:val="single"/>
        </w:rPr>
        <w:t xml:space="preserve">Just Eat </w:t>
      </w:r>
    </w:p>
    <w:p w14:paraId="2F4D7BAB" w14:textId="46EA897F" w:rsidR="00400A58" w:rsidRPr="00400A58" w:rsidRDefault="00400A58" w:rsidP="00400A58">
      <w:pPr>
        <w:pStyle w:val="NormalWeb"/>
        <w:spacing w:line="360" w:lineRule="auto"/>
        <w:rPr>
          <w:rFonts w:ascii="ArialMT" w:hAnsi="ArialMT"/>
          <w:b/>
          <w:bCs/>
          <w:color w:val="000000" w:themeColor="text1"/>
          <w:sz w:val="22"/>
          <w:szCs w:val="22"/>
          <w:u w:val="single"/>
        </w:rPr>
      </w:pPr>
      <w:r>
        <w:rPr>
          <w:rFonts w:ascii="ArialMT" w:hAnsi="ArialMT"/>
          <w:b/>
          <w:bCs/>
          <w:noProof/>
          <w:color w:val="000000" w:themeColor="text1"/>
          <w:sz w:val="22"/>
          <w:szCs w:val="22"/>
          <w:u w:val="single"/>
          <w14:ligatures w14:val="standardContextual"/>
        </w:rPr>
        <w:drawing>
          <wp:inline distT="0" distB="0" distL="0" distR="0" wp14:anchorId="2EA9B98F" wp14:editId="78FBF559">
            <wp:extent cx="1850168" cy="725556"/>
            <wp:effectExtent l="0" t="0" r="4445" b="0"/>
            <wp:docPr id="1235372069" name="Picture 9" descr="A black numbers and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372069" name="Picture 9" descr="A black numbers and a white background&#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1876539" cy="735898"/>
                    </a:xfrm>
                    <a:prstGeom prst="rect">
                      <a:avLst/>
                    </a:prstGeom>
                  </pic:spPr>
                </pic:pic>
              </a:graphicData>
            </a:graphic>
          </wp:inline>
        </w:drawing>
      </w:r>
    </w:p>
    <w:p w14:paraId="76CBFE77" w14:textId="7B5E7B5C"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Beginning Value (2016): 2316</w:t>
      </w:r>
    </w:p>
    <w:p w14:paraId="0AEE0914"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lastRenderedPageBreak/>
        <w:t>Ending Value (2023): 1219</w:t>
      </w:r>
    </w:p>
    <w:p w14:paraId="0B6D830A" w14:textId="68DF02D4" w:rsid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Number of Years (n): 7 years</w:t>
      </w:r>
    </w:p>
    <w:p w14:paraId="25ABF4EE" w14:textId="79C7A19C" w:rsidR="00400A58" w:rsidRDefault="00400A58" w:rsidP="00400A58">
      <w:pPr>
        <w:pStyle w:val="NormalWeb"/>
        <w:spacing w:line="360" w:lineRule="auto"/>
        <w:rPr>
          <w:rFonts w:ascii="ArialMT" w:hAnsi="ArialMT"/>
          <w:b/>
          <w:bCs/>
          <w:color w:val="77206D" w:themeColor="accent5" w:themeShade="BF"/>
          <w:sz w:val="22"/>
          <w:szCs w:val="22"/>
        </w:rPr>
      </w:pPr>
      <w:r w:rsidRPr="00400A58">
        <w:rPr>
          <w:rFonts w:ascii="ArialMT" w:hAnsi="ArialMT"/>
          <w:b/>
          <w:bCs/>
          <w:color w:val="77206D" w:themeColor="accent5" w:themeShade="BF"/>
          <w:sz w:val="22"/>
          <w:szCs w:val="22"/>
        </w:rPr>
        <w:t>CAGR=0.9222−1≈−0.0778 or −7.78%</w:t>
      </w:r>
    </w:p>
    <w:p w14:paraId="53B5DDF5" w14:textId="17436418" w:rsid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The Compound Annual Growth Rate (CAGR) for Just Eat from 2016 to 2023 is approximately -7.78%. This negative CAGR indicates that the company's stock price has declined at an average annual rate of 7.78% over this period. This reflects a challenging period for Just Eat, with the stock losing value year over year during these years</w:t>
      </w:r>
      <w:r w:rsidR="0069410F">
        <w:rPr>
          <w:rFonts w:ascii="ArialMT" w:hAnsi="ArialMT"/>
          <w:color w:val="000000" w:themeColor="text1"/>
          <w:sz w:val="22"/>
          <w:szCs w:val="22"/>
        </w:rPr>
        <w:t xml:space="preserve"> (</w:t>
      </w:r>
      <w:proofErr w:type="spellStart"/>
      <w:r w:rsidR="0069410F">
        <w:rPr>
          <w:rFonts w:ascii="ArialMT" w:hAnsi="ArialMT"/>
          <w:color w:val="000000" w:themeColor="text1"/>
          <w:sz w:val="22"/>
          <w:szCs w:val="22"/>
        </w:rPr>
        <w:t>Finbox.xom</w:t>
      </w:r>
      <w:proofErr w:type="spellEnd"/>
      <w:r w:rsidR="0069410F">
        <w:rPr>
          <w:rFonts w:ascii="ArialMT" w:hAnsi="ArialMT"/>
          <w:color w:val="000000" w:themeColor="text1"/>
          <w:sz w:val="22"/>
          <w:szCs w:val="22"/>
        </w:rPr>
        <w:t xml:space="preserve"> n.d.)</w:t>
      </w:r>
      <w:r w:rsidRPr="00400A58">
        <w:rPr>
          <w:rFonts w:ascii="ArialMT" w:hAnsi="ArialMT"/>
          <w:color w:val="000000" w:themeColor="text1"/>
          <w:sz w:val="22"/>
          <w:szCs w:val="22"/>
        </w:rPr>
        <w:t>.</w:t>
      </w:r>
    </w:p>
    <w:p w14:paraId="27C3372E" w14:textId="77777777" w:rsidR="00400A58" w:rsidRDefault="00400A58" w:rsidP="00400A58">
      <w:pPr>
        <w:pStyle w:val="NormalWeb"/>
        <w:spacing w:line="360" w:lineRule="auto"/>
        <w:rPr>
          <w:rFonts w:ascii="ArialMT" w:hAnsi="ArialMT"/>
          <w:color w:val="000000" w:themeColor="text1"/>
          <w:sz w:val="22"/>
          <w:szCs w:val="22"/>
        </w:rPr>
      </w:pPr>
    </w:p>
    <w:p w14:paraId="3BD41C67" w14:textId="77777777" w:rsidR="00400A58" w:rsidRPr="00400A58" w:rsidRDefault="00400A58" w:rsidP="00400A58">
      <w:pPr>
        <w:pStyle w:val="NormalWeb"/>
        <w:spacing w:line="360" w:lineRule="auto"/>
        <w:rPr>
          <w:rFonts w:ascii="ArialMT" w:hAnsi="ArialMT"/>
          <w:color w:val="000000" w:themeColor="text1"/>
          <w:sz w:val="22"/>
          <w:szCs w:val="22"/>
        </w:rPr>
      </w:pPr>
    </w:p>
    <w:p w14:paraId="2B2C36F9" w14:textId="4FDFAACB" w:rsidR="00400A58" w:rsidRDefault="00400A58" w:rsidP="00400A58">
      <w:pPr>
        <w:pStyle w:val="NormalWeb"/>
        <w:spacing w:line="360" w:lineRule="auto"/>
        <w:rPr>
          <w:rFonts w:ascii="ArialMT" w:hAnsi="ArialMT"/>
          <w:b/>
          <w:bCs/>
          <w:color w:val="000000" w:themeColor="text1"/>
          <w:sz w:val="22"/>
          <w:szCs w:val="22"/>
          <w:u w:val="single"/>
        </w:rPr>
      </w:pPr>
      <w:r w:rsidRPr="00400A58">
        <w:rPr>
          <w:rFonts w:ascii="ArialMT" w:hAnsi="ArialMT"/>
          <w:b/>
          <w:bCs/>
          <w:color w:val="000000" w:themeColor="text1"/>
          <w:sz w:val="22"/>
          <w:szCs w:val="22"/>
          <w:u w:val="single"/>
        </w:rPr>
        <w:t xml:space="preserve">Door Dash </w:t>
      </w:r>
    </w:p>
    <w:p w14:paraId="390A4357" w14:textId="038B2620" w:rsidR="0069410F" w:rsidRDefault="0069410F" w:rsidP="0069410F">
      <w:pPr>
        <w:pStyle w:val="Caption"/>
        <w:keepNext/>
      </w:pPr>
      <w:r>
        <w:t xml:space="preserve">Figure </w:t>
      </w:r>
      <w:r>
        <w:fldChar w:fldCharType="begin"/>
      </w:r>
      <w:r>
        <w:instrText xml:space="preserve"> SEQ Figure \* ARABIC </w:instrText>
      </w:r>
      <w:r>
        <w:fldChar w:fldCharType="separate"/>
      </w:r>
      <w:r>
        <w:rPr>
          <w:noProof/>
        </w:rPr>
        <w:t>10</w:t>
      </w:r>
      <w:r>
        <w:fldChar w:fldCharType="end"/>
      </w:r>
      <w:r>
        <w:t xml:space="preserve">Adj. Closing price </w:t>
      </w:r>
      <w:proofErr w:type="spellStart"/>
      <w:r>
        <w:t>DoorDash</w:t>
      </w:r>
      <w:proofErr w:type="spellEnd"/>
      <w:r>
        <w:t xml:space="preserve"> (source: Author)</w:t>
      </w:r>
    </w:p>
    <w:tbl>
      <w:tblPr>
        <w:tblStyle w:val="TableGrid"/>
        <w:tblW w:w="0" w:type="auto"/>
        <w:tblLook w:val="04A0" w:firstRow="1" w:lastRow="0" w:firstColumn="1" w:lastColumn="0" w:noHBand="0" w:noVBand="1"/>
      </w:tblPr>
      <w:tblGrid>
        <w:gridCol w:w="1300"/>
        <w:gridCol w:w="1300"/>
      </w:tblGrid>
      <w:tr w:rsidR="00400A58" w:rsidRPr="00400A58" w14:paraId="7DB932A7" w14:textId="77777777" w:rsidTr="00400A58">
        <w:trPr>
          <w:trHeight w:val="320"/>
        </w:trPr>
        <w:tc>
          <w:tcPr>
            <w:tcW w:w="1300" w:type="dxa"/>
            <w:noWrap/>
            <w:hideMark/>
          </w:tcPr>
          <w:p w14:paraId="6036A028" w14:textId="77777777" w:rsidR="00400A58" w:rsidRPr="00400A58" w:rsidRDefault="00400A58" w:rsidP="00400A58">
            <w:pPr>
              <w:pStyle w:val="NormalWeb"/>
              <w:spacing w:line="360" w:lineRule="auto"/>
              <w:rPr>
                <w:rFonts w:ascii="ArialMT" w:hAnsi="ArialMT"/>
                <w:b/>
                <w:bCs/>
                <w:color w:val="000000" w:themeColor="text1"/>
                <w:sz w:val="22"/>
                <w:szCs w:val="22"/>
              </w:rPr>
            </w:pPr>
            <w:r w:rsidRPr="00400A58">
              <w:rPr>
                <w:rFonts w:ascii="ArialMT" w:hAnsi="ArialMT"/>
                <w:b/>
                <w:bCs/>
                <w:color w:val="000000" w:themeColor="text1"/>
                <w:sz w:val="22"/>
                <w:szCs w:val="22"/>
              </w:rPr>
              <w:t xml:space="preserve">Year </w:t>
            </w:r>
          </w:p>
        </w:tc>
        <w:tc>
          <w:tcPr>
            <w:tcW w:w="1300" w:type="dxa"/>
            <w:noWrap/>
            <w:hideMark/>
          </w:tcPr>
          <w:p w14:paraId="2AAB03B0" w14:textId="77777777" w:rsidR="00400A58" w:rsidRPr="00400A58" w:rsidRDefault="00400A58" w:rsidP="00400A58">
            <w:pPr>
              <w:pStyle w:val="NormalWeb"/>
              <w:spacing w:line="360" w:lineRule="auto"/>
              <w:rPr>
                <w:rFonts w:ascii="ArialMT" w:hAnsi="ArialMT"/>
                <w:b/>
                <w:bCs/>
                <w:color w:val="000000" w:themeColor="text1"/>
                <w:sz w:val="22"/>
                <w:szCs w:val="22"/>
              </w:rPr>
            </w:pPr>
            <w:proofErr w:type="spellStart"/>
            <w:r w:rsidRPr="00400A58">
              <w:rPr>
                <w:rFonts w:ascii="ArialMT" w:hAnsi="ArialMT"/>
                <w:b/>
                <w:bCs/>
                <w:color w:val="000000" w:themeColor="text1"/>
                <w:sz w:val="22"/>
                <w:szCs w:val="22"/>
              </w:rPr>
              <w:t>Adj</w:t>
            </w:r>
            <w:proofErr w:type="spellEnd"/>
            <w:r w:rsidRPr="00400A58">
              <w:rPr>
                <w:rFonts w:ascii="ArialMT" w:hAnsi="ArialMT"/>
                <w:b/>
                <w:bCs/>
                <w:color w:val="000000" w:themeColor="text1"/>
                <w:sz w:val="22"/>
                <w:szCs w:val="22"/>
              </w:rPr>
              <w:t xml:space="preserve"> Close </w:t>
            </w:r>
          </w:p>
        </w:tc>
      </w:tr>
      <w:tr w:rsidR="00400A58" w:rsidRPr="00400A58" w14:paraId="4C1655F9" w14:textId="77777777" w:rsidTr="00400A58">
        <w:trPr>
          <w:trHeight w:val="320"/>
        </w:trPr>
        <w:tc>
          <w:tcPr>
            <w:tcW w:w="1300" w:type="dxa"/>
            <w:noWrap/>
            <w:hideMark/>
          </w:tcPr>
          <w:p w14:paraId="44D927F4" w14:textId="77777777" w:rsidR="00400A58" w:rsidRPr="00400A58" w:rsidRDefault="00400A58" w:rsidP="00400A58">
            <w:pPr>
              <w:pStyle w:val="NormalWeb"/>
              <w:spacing w:line="360" w:lineRule="auto"/>
              <w:rPr>
                <w:rFonts w:ascii="ArialMT" w:hAnsi="ArialMT"/>
                <w:b/>
                <w:bCs/>
                <w:color w:val="000000" w:themeColor="text1"/>
                <w:sz w:val="22"/>
                <w:szCs w:val="22"/>
              </w:rPr>
            </w:pPr>
            <w:r w:rsidRPr="00400A58">
              <w:rPr>
                <w:rFonts w:ascii="ArialMT" w:hAnsi="ArialMT"/>
                <w:b/>
                <w:bCs/>
                <w:color w:val="000000" w:themeColor="text1"/>
                <w:sz w:val="22"/>
                <w:szCs w:val="22"/>
              </w:rPr>
              <w:t>2016</w:t>
            </w:r>
          </w:p>
        </w:tc>
        <w:tc>
          <w:tcPr>
            <w:tcW w:w="1300" w:type="dxa"/>
            <w:noWrap/>
            <w:hideMark/>
          </w:tcPr>
          <w:p w14:paraId="59DE9C12" w14:textId="77777777" w:rsidR="00400A58" w:rsidRPr="00400A58" w:rsidRDefault="00400A58" w:rsidP="00400A58">
            <w:pPr>
              <w:pStyle w:val="NormalWeb"/>
              <w:spacing w:line="360" w:lineRule="auto"/>
              <w:rPr>
                <w:rFonts w:ascii="ArialMT" w:hAnsi="ArialMT"/>
                <w:b/>
                <w:bCs/>
                <w:color w:val="000000" w:themeColor="text1"/>
                <w:sz w:val="22"/>
                <w:szCs w:val="22"/>
              </w:rPr>
            </w:pPr>
          </w:p>
        </w:tc>
      </w:tr>
      <w:tr w:rsidR="00400A58" w:rsidRPr="00400A58" w14:paraId="495ADD96" w14:textId="77777777" w:rsidTr="00400A58">
        <w:trPr>
          <w:trHeight w:val="320"/>
        </w:trPr>
        <w:tc>
          <w:tcPr>
            <w:tcW w:w="1300" w:type="dxa"/>
            <w:noWrap/>
            <w:hideMark/>
          </w:tcPr>
          <w:p w14:paraId="0FED1FD4" w14:textId="77777777" w:rsidR="00400A58" w:rsidRPr="00400A58" w:rsidRDefault="00400A58" w:rsidP="00400A58">
            <w:pPr>
              <w:pStyle w:val="NormalWeb"/>
              <w:spacing w:line="360" w:lineRule="auto"/>
              <w:rPr>
                <w:rFonts w:ascii="ArialMT" w:hAnsi="ArialMT"/>
                <w:b/>
                <w:bCs/>
                <w:color w:val="000000" w:themeColor="text1"/>
                <w:sz w:val="22"/>
                <w:szCs w:val="22"/>
              </w:rPr>
            </w:pPr>
            <w:r w:rsidRPr="00400A58">
              <w:rPr>
                <w:rFonts w:ascii="ArialMT" w:hAnsi="ArialMT"/>
                <w:b/>
                <w:bCs/>
                <w:color w:val="000000" w:themeColor="text1"/>
                <w:sz w:val="22"/>
                <w:szCs w:val="22"/>
              </w:rPr>
              <w:t>2017</w:t>
            </w:r>
          </w:p>
        </w:tc>
        <w:tc>
          <w:tcPr>
            <w:tcW w:w="1300" w:type="dxa"/>
            <w:noWrap/>
            <w:hideMark/>
          </w:tcPr>
          <w:p w14:paraId="16EAD0D9" w14:textId="77777777" w:rsidR="00400A58" w:rsidRPr="00400A58" w:rsidRDefault="00400A58" w:rsidP="00400A58">
            <w:pPr>
              <w:pStyle w:val="NormalWeb"/>
              <w:spacing w:line="360" w:lineRule="auto"/>
              <w:rPr>
                <w:rFonts w:ascii="ArialMT" w:hAnsi="ArialMT"/>
                <w:b/>
                <w:bCs/>
                <w:color w:val="000000" w:themeColor="text1"/>
                <w:sz w:val="22"/>
                <w:szCs w:val="22"/>
              </w:rPr>
            </w:pPr>
          </w:p>
        </w:tc>
      </w:tr>
      <w:tr w:rsidR="00400A58" w:rsidRPr="00400A58" w14:paraId="2736D6BB" w14:textId="77777777" w:rsidTr="00400A58">
        <w:trPr>
          <w:trHeight w:val="320"/>
        </w:trPr>
        <w:tc>
          <w:tcPr>
            <w:tcW w:w="1300" w:type="dxa"/>
            <w:noWrap/>
            <w:hideMark/>
          </w:tcPr>
          <w:p w14:paraId="3DF3ABA5" w14:textId="77777777" w:rsidR="00400A58" w:rsidRPr="00400A58" w:rsidRDefault="00400A58" w:rsidP="00400A58">
            <w:pPr>
              <w:pStyle w:val="NormalWeb"/>
              <w:spacing w:line="360" w:lineRule="auto"/>
              <w:rPr>
                <w:rFonts w:ascii="ArialMT" w:hAnsi="ArialMT"/>
                <w:b/>
                <w:bCs/>
                <w:color w:val="000000" w:themeColor="text1"/>
                <w:sz w:val="22"/>
                <w:szCs w:val="22"/>
              </w:rPr>
            </w:pPr>
            <w:r w:rsidRPr="00400A58">
              <w:rPr>
                <w:rFonts w:ascii="ArialMT" w:hAnsi="ArialMT"/>
                <w:b/>
                <w:bCs/>
                <w:color w:val="000000" w:themeColor="text1"/>
                <w:sz w:val="22"/>
                <w:szCs w:val="22"/>
              </w:rPr>
              <w:t>2018</w:t>
            </w:r>
          </w:p>
        </w:tc>
        <w:tc>
          <w:tcPr>
            <w:tcW w:w="1300" w:type="dxa"/>
            <w:noWrap/>
            <w:hideMark/>
          </w:tcPr>
          <w:p w14:paraId="480C9ED9" w14:textId="77777777" w:rsidR="00400A58" w:rsidRPr="00400A58" w:rsidRDefault="00400A58" w:rsidP="00400A58">
            <w:pPr>
              <w:pStyle w:val="NormalWeb"/>
              <w:spacing w:line="360" w:lineRule="auto"/>
              <w:rPr>
                <w:rFonts w:ascii="ArialMT" w:hAnsi="ArialMT"/>
                <w:b/>
                <w:bCs/>
                <w:color w:val="000000" w:themeColor="text1"/>
                <w:sz w:val="22"/>
                <w:szCs w:val="22"/>
              </w:rPr>
            </w:pPr>
          </w:p>
        </w:tc>
      </w:tr>
      <w:tr w:rsidR="00400A58" w:rsidRPr="00400A58" w14:paraId="2880F3FA" w14:textId="77777777" w:rsidTr="00400A58">
        <w:trPr>
          <w:trHeight w:val="320"/>
        </w:trPr>
        <w:tc>
          <w:tcPr>
            <w:tcW w:w="1300" w:type="dxa"/>
            <w:noWrap/>
            <w:hideMark/>
          </w:tcPr>
          <w:p w14:paraId="7DD88CFC" w14:textId="77777777" w:rsidR="00400A58" w:rsidRPr="00400A58" w:rsidRDefault="00400A58" w:rsidP="00400A58">
            <w:pPr>
              <w:pStyle w:val="NormalWeb"/>
              <w:spacing w:line="360" w:lineRule="auto"/>
              <w:rPr>
                <w:rFonts w:ascii="ArialMT" w:hAnsi="ArialMT"/>
                <w:b/>
                <w:bCs/>
                <w:color w:val="000000" w:themeColor="text1"/>
                <w:sz w:val="22"/>
                <w:szCs w:val="22"/>
              </w:rPr>
            </w:pPr>
            <w:r w:rsidRPr="00400A58">
              <w:rPr>
                <w:rFonts w:ascii="ArialMT" w:hAnsi="ArialMT"/>
                <w:b/>
                <w:bCs/>
                <w:color w:val="000000" w:themeColor="text1"/>
                <w:sz w:val="22"/>
                <w:szCs w:val="22"/>
              </w:rPr>
              <w:t>2019</w:t>
            </w:r>
          </w:p>
        </w:tc>
        <w:tc>
          <w:tcPr>
            <w:tcW w:w="1300" w:type="dxa"/>
            <w:noWrap/>
            <w:hideMark/>
          </w:tcPr>
          <w:p w14:paraId="77A5A391" w14:textId="77777777" w:rsidR="00400A58" w:rsidRPr="00400A58" w:rsidRDefault="00400A58" w:rsidP="00400A58">
            <w:pPr>
              <w:pStyle w:val="NormalWeb"/>
              <w:spacing w:line="360" w:lineRule="auto"/>
              <w:rPr>
                <w:rFonts w:ascii="ArialMT" w:hAnsi="ArialMT"/>
                <w:b/>
                <w:bCs/>
                <w:color w:val="000000" w:themeColor="text1"/>
                <w:sz w:val="22"/>
                <w:szCs w:val="22"/>
              </w:rPr>
            </w:pPr>
          </w:p>
        </w:tc>
      </w:tr>
      <w:tr w:rsidR="00400A58" w:rsidRPr="00400A58" w14:paraId="10BBECB7" w14:textId="77777777" w:rsidTr="00400A58">
        <w:trPr>
          <w:trHeight w:val="320"/>
        </w:trPr>
        <w:tc>
          <w:tcPr>
            <w:tcW w:w="1300" w:type="dxa"/>
            <w:noWrap/>
            <w:hideMark/>
          </w:tcPr>
          <w:p w14:paraId="761C92DC" w14:textId="77777777" w:rsidR="00400A58" w:rsidRPr="00400A58" w:rsidRDefault="00400A58" w:rsidP="00400A58">
            <w:pPr>
              <w:pStyle w:val="NormalWeb"/>
              <w:spacing w:line="360" w:lineRule="auto"/>
              <w:rPr>
                <w:rFonts w:ascii="ArialMT" w:hAnsi="ArialMT"/>
                <w:b/>
                <w:bCs/>
                <w:color w:val="000000" w:themeColor="text1"/>
                <w:sz w:val="22"/>
                <w:szCs w:val="22"/>
              </w:rPr>
            </w:pPr>
            <w:r w:rsidRPr="00400A58">
              <w:rPr>
                <w:rFonts w:ascii="ArialMT" w:hAnsi="ArialMT"/>
                <w:b/>
                <w:bCs/>
                <w:color w:val="000000" w:themeColor="text1"/>
                <w:sz w:val="22"/>
                <w:szCs w:val="22"/>
              </w:rPr>
              <w:t>2020</w:t>
            </w:r>
          </w:p>
        </w:tc>
        <w:tc>
          <w:tcPr>
            <w:tcW w:w="1300" w:type="dxa"/>
            <w:noWrap/>
            <w:hideMark/>
          </w:tcPr>
          <w:p w14:paraId="413B0858" w14:textId="77777777" w:rsidR="00400A58" w:rsidRPr="00400A58" w:rsidRDefault="00400A58" w:rsidP="00400A58">
            <w:pPr>
              <w:pStyle w:val="NormalWeb"/>
              <w:spacing w:line="360" w:lineRule="auto"/>
              <w:rPr>
                <w:rFonts w:ascii="ArialMT" w:hAnsi="ArialMT"/>
                <w:b/>
                <w:bCs/>
                <w:color w:val="000000" w:themeColor="text1"/>
                <w:sz w:val="22"/>
                <w:szCs w:val="22"/>
              </w:rPr>
            </w:pPr>
          </w:p>
        </w:tc>
      </w:tr>
      <w:tr w:rsidR="00400A58" w:rsidRPr="00400A58" w14:paraId="201A5EDB" w14:textId="77777777" w:rsidTr="00400A58">
        <w:trPr>
          <w:trHeight w:val="320"/>
        </w:trPr>
        <w:tc>
          <w:tcPr>
            <w:tcW w:w="1300" w:type="dxa"/>
            <w:noWrap/>
            <w:hideMark/>
          </w:tcPr>
          <w:p w14:paraId="1474ECAB" w14:textId="77777777" w:rsidR="00400A58" w:rsidRPr="00400A58" w:rsidRDefault="00400A58" w:rsidP="00400A58">
            <w:pPr>
              <w:pStyle w:val="NormalWeb"/>
              <w:spacing w:line="360" w:lineRule="auto"/>
              <w:rPr>
                <w:rFonts w:ascii="ArialMT" w:hAnsi="ArialMT"/>
                <w:b/>
                <w:bCs/>
                <w:color w:val="000000" w:themeColor="text1"/>
                <w:sz w:val="22"/>
                <w:szCs w:val="22"/>
              </w:rPr>
            </w:pPr>
            <w:r w:rsidRPr="00400A58">
              <w:rPr>
                <w:rFonts w:ascii="ArialMT" w:hAnsi="ArialMT"/>
                <w:b/>
                <w:bCs/>
                <w:color w:val="000000" w:themeColor="text1"/>
                <w:sz w:val="22"/>
                <w:szCs w:val="22"/>
              </w:rPr>
              <w:t>2021</w:t>
            </w:r>
          </w:p>
        </w:tc>
        <w:tc>
          <w:tcPr>
            <w:tcW w:w="1300" w:type="dxa"/>
            <w:noWrap/>
            <w:hideMark/>
          </w:tcPr>
          <w:p w14:paraId="64A81AD6" w14:textId="77777777" w:rsidR="00400A58" w:rsidRPr="00400A58" w:rsidRDefault="00400A58" w:rsidP="00400A58">
            <w:pPr>
              <w:pStyle w:val="NormalWeb"/>
              <w:spacing w:line="360" w:lineRule="auto"/>
              <w:rPr>
                <w:rFonts w:ascii="ArialMT" w:hAnsi="ArialMT"/>
                <w:b/>
                <w:bCs/>
                <w:color w:val="000000" w:themeColor="text1"/>
                <w:sz w:val="22"/>
                <w:szCs w:val="22"/>
              </w:rPr>
            </w:pPr>
            <w:r w:rsidRPr="00400A58">
              <w:rPr>
                <w:rFonts w:ascii="ArialMT" w:hAnsi="ArialMT"/>
                <w:b/>
                <w:bCs/>
                <w:color w:val="000000" w:themeColor="text1"/>
                <w:sz w:val="22"/>
                <w:szCs w:val="22"/>
              </w:rPr>
              <w:t>56.860001</w:t>
            </w:r>
          </w:p>
        </w:tc>
      </w:tr>
      <w:tr w:rsidR="00400A58" w:rsidRPr="00400A58" w14:paraId="65ADCAF5" w14:textId="77777777" w:rsidTr="00400A58">
        <w:trPr>
          <w:trHeight w:val="320"/>
        </w:trPr>
        <w:tc>
          <w:tcPr>
            <w:tcW w:w="1300" w:type="dxa"/>
            <w:noWrap/>
            <w:hideMark/>
          </w:tcPr>
          <w:p w14:paraId="2EB5CC9B" w14:textId="77777777" w:rsidR="00400A58" w:rsidRPr="00400A58" w:rsidRDefault="00400A58" w:rsidP="00400A58">
            <w:pPr>
              <w:pStyle w:val="NormalWeb"/>
              <w:spacing w:line="360" w:lineRule="auto"/>
              <w:rPr>
                <w:rFonts w:ascii="ArialMT" w:hAnsi="ArialMT"/>
                <w:b/>
                <w:bCs/>
                <w:color w:val="000000" w:themeColor="text1"/>
                <w:sz w:val="22"/>
                <w:szCs w:val="22"/>
              </w:rPr>
            </w:pPr>
            <w:r w:rsidRPr="00400A58">
              <w:rPr>
                <w:rFonts w:ascii="ArialMT" w:hAnsi="ArialMT"/>
                <w:b/>
                <w:bCs/>
                <w:color w:val="000000" w:themeColor="text1"/>
                <w:sz w:val="22"/>
                <w:szCs w:val="22"/>
              </w:rPr>
              <w:t>2022</w:t>
            </w:r>
          </w:p>
        </w:tc>
        <w:tc>
          <w:tcPr>
            <w:tcW w:w="1300" w:type="dxa"/>
            <w:noWrap/>
            <w:hideMark/>
          </w:tcPr>
          <w:p w14:paraId="0F771002" w14:textId="77777777" w:rsidR="00400A58" w:rsidRPr="00400A58" w:rsidRDefault="00400A58" w:rsidP="00400A58">
            <w:pPr>
              <w:pStyle w:val="NormalWeb"/>
              <w:spacing w:line="360" w:lineRule="auto"/>
              <w:rPr>
                <w:rFonts w:ascii="ArialMT" w:hAnsi="ArialMT"/>
                <w:b/>
                <w:bCs/>
                <w:color w:val="000000" w:themeColor="text1"/>
                <w:sz w:val="22"/>
                <w:szCs w:val="22"/>
              </w:rPr>
            </w:pPr>
            <w:r w:rsidRPr="00400A58">
              <w:rPr>
                <w:rFonts w:ascii="ArialMT" w:hAnsi="ArialMT"/>
                <w:b/>
                <w:bCs/>
                <w:color w:val="000000" w:themeColor="text1"/>
                <w:sz w:val="22"/>
                <w:szCs w:val="22"/>
              </w:rPr>
              <w:t>17.860001</w:t>
            </w:r>
          </w:p>
        </w:tc>
      </w:tr>
      <w:tr w:rsidR="00400A58" w:rsidRPr="00400A58" w14:paraId="4138FE6C" w14:textId="77777777" w:rsidTr="00400A58">
        <w:trPr>
          <w:trHeight w:val="320"/>
        </w:trPr>
        <w:tc>
          <w:tcPr>
            <w:tcW w:w="1300" w:type="dxa"/>
            <w:noWrap/>
            <w:hideMark/>
          </w:tcPr>
          <w:p w14:paraId="574FF59D" w14:textId="77777777" w:rsidR="00400A58" w:rsidRPr="00400A58" w:rsidRDefault="00400A58" w:rsidP="00400A58">
            <w:pPr>
              <w:pStyle w:val="NormalWeb"/>
              <w:spacing w:line="360" w:lineRule="auto"/>
              <w:rPr>
                <w:rFonts w:ascii="ArialMT" w:hAnsi="ArialMT"/>
                <w:b/>
                <w:bCs/>
                <w:color w:val="000000" w:themeColor="text1"/>
                <w:sz w:val="22"/>
                <w:szCs w:val="22"/>
              </w:rPr>
            </w:pPr>
            <w:r w:rsidRPr="00400A58">
              <w:rPr>
                <w:rFonts w:ascii="ArialMT" w:hAnsi="ArialMT"/>
                <w:b/>
                <w:bCs/>
                <w:color w:val="000000" w:themeColor="text1"/>
                <w:sz w:val="22"/>
                <w:szCs w:val="22"/>
              </w:rPr>
              <w:t>2023</w:t>
            </w:r>
          </w:p>
        </w:tc>
        <w:tc>
          <w:tcPr>
            <w:tcW w:w="1300" w:type="dxa"/>
            <w:noWrap/>
            <w:hideMark/>
          </w:tcPr>
          <w:p w14:paraId="318E755B" w14:textId="77777777" w:rsidR="00400A58" w:rsidRPr="00400A58" w:rsidRDefault="00400A58" w:rsidP="00400A58">
            <w:pPr>
              <w:pStyle w:val="NormalWeb"/>
              <w:spacing w:line="360" w:lineRule="auto"/>
              <w:rPr>
                <w:rFonts w:ascii="ArialMT" w:hAnsi="ArialMT"/>
                <w:b/>
                <w:bCs/>
                <w:color w:val="000000" w:themeColor="text1"/>
                <w:sz w:val="22"/>
                <w:szCs w:val="22"/>
              </w:rPr>
            </w:pPr>
            <w:r w:rsidRPr="00400A58">
              <w:rPr>
                <w:rFonts w:ascii="ArialMT" w:hAnsi="ArialMT"/>
                <w:b/>
                <w:bCs/>
                <w:color w:val="000000" w:themeColor="text1"/>
                <w:sz w:val="22"/>
                <w:szCs w:val="22"/>
              </w:rPr>
              <w:t>32.009998</w:t>
            </w:r>
          </w:p>
        </w:tc>
      </w:tr>
    </w:tbl>
    <w:p w14:paraId="64903ED8" w14:textId="77777777" w:rsidR="00400A58" w:rsidRDefault="00400A58" w:rsidP="00400A58">
      <w:pPr>
        <w:pStyle w:val="NormalWeb"/>
        <w:spacing w:line="360" w:lineRule="auto"/>
        <w:rPr>
          <w:rFonts w:ascii="ArialMT" w:hAnsi="ArialMT"/>
          <w:b/>
          <w:bCs/>
          <w:color w:val="000000" w:themeColor="text1"/>
          <w:sz w:val="22"/>
          <w:szCs w:val="22"/>
          <w:u w:val="single"/>
        </w:rPr>
      </w:pPr>
    </w:p>
    <w:p w14:paraId="0C2E5CC7" w14:textId="7B23A231" w:rsidR="0069410F" w:rsidRDefault="0069410F" w:rsidP="0069410F">
      <w:pPr>
        <w:pStyle w:val="Caption"/>
        <w:keepNext/>
      </w:pPr>
      <w:r>
        <w:t xml:space="preserve">Figure </w:t>
      </w:r>
      <w:r>
        <w:fldChar w:fldCharType="begin"/>
      </w:r>
      <w:r>
        <w:instrText xml:space="preserve"> SEQ Figure \* ARABIC </w:instrText>
      </w:r>
      <w:r>
        <w:fldChar w:fldCharType="separate"/>
      </w:r>
      <w:r>
        <w:rPr>
          <w:noProof/>
        </w:rPr>
        <w:t>11</w:t>
      </w:r>
      <w:r>
        <w:fldChar w:fldCharType="end"/>
      </w:r>
      <w:r>
        <w:t xml:space="preserve"> </w:t>
      </w:r>
      <w:proofErr w:type="spellStart"/>
      <w:r>
        <w:t>DoorDash</w:t>
      </w:r>
      <w:proofErr w:type="spellEnd"/>
      <w:r>
        <w:t xml:space="preserve"> CAGR (source: Author)</w:t>
      </w:r>
    </w:p>
    <w:tbl>
      <w:tblPr>
        <w:tblStyle w:val="TableGrid"/>
        <w:tblW w:w="0" w:type="auto"/>
        <w:tblLook w:val="04A0" w:firstRow="1" w:lastRow="0" w:firstColumn="1" w:lastColumn="0" w:noHBand="0" w:noVBand="1"/>
      </w:tblPr>
      <w:tblGrid>
        <w:gridCol w:w="1300"/>
        <w:gridCol w:w="1320"/>
        <w:gridCol w:w="1320"/>
      </w:tblGrid>
      <w:tr w:rsidR="00400A58" w:rsidRPr="00400A58" w14:paraId="43F5AE59" w14:textId="77777777" w:rsidTr="00400A58">
        <w:trPr>
          <w:trHeight w:val="320"/>
        </w:trPr>
        <w:tc>
          <w:tcPr>
            <w:tcW w:w="1300" w:type="dxa"/>
            <w:noWrap/>
            <w:hideMark/>
          </w:tcPr>
          <w:p w14:paraId="4F5FC380"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 xml:space="preserve">Year </w:t>
            </w:r>
          </w:p>
        </w:tc>
        <w:tc>
          <w:tcPr>
            <w:tcW w:w="1320" w:type="dxa"/>
            <w:noWrap/>
            <w:hideMark/>
          </w:tcPr>
          <w:p w14:paraId="27DBF6A5" w14:textId="77777777" w:rsidR="00400A58" w:rsidRPr="00400A58" w:rsidRDefault="00400A58" w:rsidP="00400A58">
            <w:pPr>
              <w:pStyle w:val="NormalWeb"/>
              <w:spacing w:line="360" w:lineRule="auto"/>
              <w:rPr>
                <w:rFonts w:ascii="ArialMT" w:hAnsi="ArialMT"/>
                <w:color w:val="000000" w:themeColor="text1"/>
                <w:sz w:val="22"/>
                <w:szCs w:val="22"/>
              </w:rPr>
            </w:pPr>
            <w:proofErr w:type="spellStart"/>
            <w:r w:rsidRPr="00400A58">
              <w:rPr>
                <w:rFonts w:ascii="ArialMT" w:hAnsi="ArialMT"/>
                <w:color w:val="000000" w:themeColor="text1"/>
                <w:sz w:val="22"/>
                <w:szCs w:val="22"/>
              </w:rPr>
              <w:t>Adj</w:t>
            </w:r>
            <w:proofErr w:type="spellEnd"/>
            <w:r w:rsidRPr="00400A58">
              <w:rPr>
                <w:rFonts w:ascii="ArialMT" w:hAnsi="ArialMT"/>
                <w:color w:val="000000" w:themeColor="text1"/>
                <w:sz w:val="22"/>
                <w:szCs w:val="22"/>
              </w:rPr>
              <w:t xml:space="preserve"> Close </w:t>
            </w:r>
          </w:p>
        </w:tc>
        <w:tc>
          <w:tcPr>
            <w:tcW w:w="1320" w:type="dxa"/>
            <w:noWrap/>
            <w:hideMark/>
          </w:tcPr>
          <w:p w14:paraId="3C91E472"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 xml:space="preserve">CAGR </w:t>
            </w:r>
          </w:p>
        </w:tc>
      </w:tr>
      <w:tr w:rsidR="00400A58" w:rsidRPr="00400A58" w14:paraId="64DD25D0" w14:textId="77777777" w:rsidTr="00400A58">
        <w:trPr>
          <w:trHeight w:val="320"/>
        </w:trPr>
        <w:tc>
          <w:tcPr>
            <w:tcW w:w="1300" w:type="dxa"/>
            <w:noWrap/>
            <w:hideMark/>
          </w:tcPr>
          <w:p w14:paraId="432E6A5E"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2016</w:t>
            </w:r>
          </w:p>
        </w:tc>
        <w:tc>
          <w:tcPr>
            <w:tcW w:w="1320" w:type="dxa"/>
            <w:noWrap/>
            <w:hideMark/>
          </w:tcPr>
          <w:p w14:paraId="66B37069" w14:textId="77777777" w:rsidR="00400A58" w:rsidRPr="00400A58" w:rsidRDefault="00400A58" w:rsidP="00400A58">
            <w:pPr>
              <w:pStyle w:val="NormalWeb"/>
              <w:spacing w:line="360" w:lineRule="auto"/>
              <w:rPr>
                <w:rFonts w:ascii="ArialMT" w:hAnsi="ArialMT"/>
                <w:color w:val="000000" w:themeColor="text1"/>
                <w:sz w:val="22"/>
                <w:szCs w:val="22"/>
              </w:rPr>
            </w:pPr>
          </w:p>
        </w:tc>
        <w:tc>
          <w:tcPr>
            <w:tcW w:w="1320" w:type="dxa"/>
            <w:noWrap/>
            <w:hideMark/>
          </w:tcPr>
          <w:p w14:paraId="0CEC6B4D" w14:textId="77777777" w:rsidR="00400A58" w:rsidRPr="00400A58" w:rsidRDefault="00400A58" w:rsidP="00400A58">
            <w:pPr>
              <w:pStyle w:val="NormalWeb"/>
              <w:spacing w:line="360" w:lineRule="auto"/>
              <w:rPr>
                <w:rFonts w:ascii="ArialMT" w:hAnsi="ArialMT"/>
                <w:color w:val="000000" w:themeColor="text1"/>
                <w:sz w:val="22"/>
                <w:szCs w:val="22"/>
              </w:rPr>
            </w:pPr>
          </w:p>
        </w:tc>
      </w:tr>
      <w:tr w:rsidR="00400A58" w:rsidRPr="00400A58" w14:paraId="3BB3F6B6" w14:textId="77777777" w:rsidTr="00400A58">
        <w:trPr>
          <w:trHeight w:val="320"/>
        </w:trPr>
        <w:tc>
          <w:tcPr>
            <w:tcW w:w="1300" w:type="dxa"/>
            <w:noWrap/>
            <w:hideMark/>
          </w:tcPr>
          <w:p w14:paraId="13008949"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2017</w:t>
            </w:r>
          </w:p>
        </w:tc>
        <w:tc>
          <w:tcPr>
            <w:tcW w:w="1320" w:type="dxa"/>
            <w:noWrap/>
            <w:hideMark/>
          </w:tcPr>
          <w:p w14:paraId="169F7E81" w14:textId="77777777" w:rsidR="00400A58" w:rsidRPr="00400A58" w:rsidRDefault="00400A58" w:rsidP="00400A58">
            <w:pPr>
              <w:pStyle w:val="NormalWeb"/>
              <w:spacing w:line="360" w:lineRule="auto"/>
              <w:rPr>
                <w:rFonts w:ascii="ArialMT" w:hAnsi="ArialMT"/>
                <w:color w:val="000000" w:themeColor="text1"/>
                <w:sz w:val="22"/>
                <w:szCs w:val="22"/>
              </w:rPr>
            </w:pPr>
          </w:p>
        </w:tc>
        <w:tc>
          <w:tcPr>
            <w:tcW w:w="1320" w:type="dxa"/>
            <w:noWrap/>
            <w:hideMark/>
          </w:tcPr>
          <w:p w14:paraId="7FC4CB30" w14:textId="77777777" w:rsidR="00400A58" w:rsidRPr="00400A58" w:rsidRDefault="00400A58" w:rsidP="00400A58">
            <w:pPr>
              <w:pStyle w:val="NormalWeb"/>
              <w:spacing w:line="360" w:lineRule="auto"/>
              <w:rPr>
                <w:rFonts w:ascii="ArialMT" w:hAnsi="ArialMT"/>
                <w:color w:val="000000" w:themeColor="text1"/>
                <w:sz w:val="22"/>
                <w:szCs w:val="22"/>
              </w:rPr>
            </w:pPr>
          </w:p>
        </w:tc>
      </w:tr>
      <w:tr w:rsidR="00400A58" w:rsidRPr="00400A58" w14:paraId="2371FC7B" w14:textId="77777777" w:rsidTr="00400A58">
        <w:trPr>
          <w:trHeight w:val="320"/>
        </w:trPr>
        <w:tc>
          <w:tcPr>
            <w:tcW w:w="1300" w:type="dxa"/>
            <w:noWrap/>
            <w:hideMark/>
          </w:tcPr>
          <w:p w14:paraId="020C6AC7"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2018</w:t>
            </w:r>
          </w:p>
        </w:tc>
        <w:tc>
          <w:tcPr>
            <w:tcW w:w="1320" w:type="dxa"/>
            <w:noWrap/>
            <w:hideMark/>
          </w:tcPr>
          <w:p w14:paraId="316912C9" w14:textId="77777777" w:rsidR="00400A58" w:rsidRPr="00400A58" w:rsidRDefault="00400A58" w:rsidP="00400A58">
            <w:pPr>
              <w:pStyle w:val="NormalWeb"/>
              <w:spacing w:line="360" w:lineRule="auto"/>
              <w:rPr>
                <w:rFonts w:ascii="ArialMT" w:hAnsi="ArialMT"/>
                <w:color w:val="000000" w:themeColor="text1"/>
                <w:sz w:val="22"/>
                <w:szCs w:val="22"/>
              </w:rPr>
            </w:pPr>
          </w:p>
        </w:tc>
        <w:tc>
          <w:tcPr>
            <w:tcW w:w="1320" w:type="dxa"/>
            <w:noWrap/>
            <w:hideMark/>
          </w:tcPr>
          <w:p w14:paraId="27026F3B" w14:textId="77777777" w:rsidR="00400A58" w:rsidRPr="00400A58" w:rsidRDefault="00400A58" w:rsidP="00400A58">
            <w:pPr>
              <w:pStyle w:val="NormalWeb"/>
              <w:spacing w:line="360" w:lineRule="auto"/>
              <w:rPr>
                <w:rFonts w:ascii="ArialMT" w:hAnsi="ArialMT"/>
                <w:color w:val="000000" w:themeColor="text1"/>
                <w:sz w:val="22"/>
                <w:szCs w:val="22"/>
              </w:rPr>
            </w:pPr>
          </w:p>
        </w:tc>
      </w:tr>
      <w:tr w:rsidR="00400A58" w:rsidRPr="00400A58" w14:paraId="7A8A7778" w14:textId="77777777" w:rsidTr="00400A58">
        <w:trPr>
          <w:trHeight w:val="320"/>
        </w:trPr>
        <w:tc>
          <w:tcPr>
            <w:tcW w:w="1300" w:type="dxa"/>
            <w:noWrap/>
            <w:hideMark/>
          </w:tcPr>
          <w:p w14:paraId="66EFD08D"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2019</w:t>
            </w:r>
          </w:p>
        </w:tc>
        <w:tc>
          <w:tcPr>
            <w:tcW w:w="1320" w:type="dxa"/>
            <w:noWrap/>
            <w:hideMark/>
          </w:tcPr>
          <w:p w14:paraId="19209135" w14:textId="77777777" w:rsidR="00400A58" w:rsidRPr="00400A58" w:rsidRDefault="00400A58" w:rsidP="00400A58">
            <w:pPr>
              <w:pStyle w:val="NormalWeb"/>
              <w:spacing w:line="360" w:lineRule="auto"/>
              <w:rPr>
                <w:rFonts w:ascii="ArialMT" w:hAnsi="ArialMT"/>
                <w:color w:val="000000" w:themeColor="text1"/>
                <w:sz w:val="22"/>
                <w:szCs w:val="22"/>
              </w:rPr>
            </w:pPr>
          </w:p>
        </w:tc>
        <w:tc>
          <w:tcPr>
            <w:tcW w:w="1320" w:type="dxa"/>
            <w:noWrap/>
            <w:hideMark/>
          </w:tcPr>
          <w:p w14:paraId="116F6BE2" w14:textId="77777777" w:rsidR="00400A58" w:rsidRPr="00400A58" w:rsidRDefault="00400A58" w:rsidP="00400A58">
            <w:pPr>
              <w:pStyle w:val="NormalWeb"/>
              <w:spacing w:line="360" w:lineRule="auto"/>
              <w:rPr>
                <w:rFonts w:ascii="ArialMT" w:hAnsi="ArialMT"/>
                <w:color w:val="000000" w:themeColor="text1"/>
                <w:sz w:val="22"/>
                <w:szCs w:val="22"/>
              </w:rPr>
            </w:pPr>
          </w:p>
        </w:tc>
      </w:tr>
      <w:tr w:rsidR="00400A58" w:rsidRPr="00400A58" w14:paraId="597FFD41" w14:textId="77777777" w:rsidTr="00400A58">
        <w:trPr>
          <w:trHeight w:val="320"/>
        </w:trPr>
        <w:tc>
          <w:tcPr>
            <w:tcW w:w="1300" w:type="dxa"/>
            <w:noWrap/>
            <w:hideMark/>
          </w:tcPr>
          <w:p w14:paraId="2D16238A"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2020</w:t>
            </w:r>
          </w:p>
        </w:tc>
        <w:tc>
          <w:tcPr>
            <w:tcW w:w="1320" w:type="dxa"/>
            <w:noWrap/>
            <w:hideMark/>
          </w:tcPr>
          <w:p w14:paraId="455E432B" w14:textId="77777777" w:rsidR="00400A58" w:rsidRPr="00400A58" w:rsidRDefault="00400A58" w:rsidP="00400A58">
            <w:pPr>
              <w:pStyle w:val="NormalWeb"/>
              <w:spacing w:line="360" w:lineRule="auto"/>
              <w:rPr>
                <w:rFonts w:ascii="ArialMT" w:hAnsi="ArialMT"/>
                <w:color w:val="000000" w:themeColor="text1"/>
                <w:sz w:val="22"/>
                <w:szCs w:val="22"/>
              </w:rPr>
            </w:pPr>
          </w:p>
        </w:tc>
        <w:tc>
          <w:tcPr>
            <w:tcW w:w="1320" w:type="dxa"/>
            <w:noWrap/>
            <w:hideMark/>
          </w:tcPr>
          <w:p w14:paraId="4C43A0E3" w14:textId="77777777" w:rsidR="00400A58" w:rsidRPr="00400A58" w:rsidRDefault="00400A58" w:rsidP="00400A58">
            <w:pPr>
              <w:pStyle w:val="NormalWeb"/>
              <w:spacing w:line="360" w:lineRule="auto"/>
              <w:rPr>
                <w:rFonts w:ascii="ArialMT" w:hAnsi="ArialMT"/>
                <w:color w:val="000000" w:themeColor="text1"/>
                <w:sz w:val="22"/>
                <w:szCs w:val="22"/>
              </w:rPr>
            </w:pPr>
          </w:p>
        </w:tc>
      </w:tr>
      <w:tr w:rsidR="00400A58" w:rsidRPr="00400A58" w14:paraId="15188737" w14:textId="77777777" w:rsidTr="00400A58">
        <w:trPr>
          <w:trHeight w:val="320"/>
        </w:trPr>
        <w:tc>
          <w:tcPr>
            <w:tcW w:w="1300" w:type="dxa"/>
            <w:noWrap/>
            <w:hideMark/>
          </w:tcPr>
          <w:p w14:paraId="1E2389D2"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lastRenderedPageBreak/>
              <w:t>2021</w:t>
            </w:r>
          </w:p>
        </w:tc>
        <w:tc>
          <w:tcPr>
            <w:tcW w:w="1320" w:type="dxa"/>
            <w:noWrap/>
            <w:hideMark/>
          </w:tcPr>
          <w:p w14:paraId="546B03A5"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56.86</w:t>
            </w:r>
          </w:p>
        </w:tc>
        <w:tc>
          <w:tcPr>
            <w:tcW w:w="1320" w:type="dxa"/>
            <w:noWrap/>
            <w:hideMark/>
          </w:tcPr>
          <w:p w14:paraId="2877C049" w14:textId="77777777" w:rsidR="00400A58" w:rsidRPr="00400A58" w:rsidRDefault="00400A58" w:rsidP="00400A58">
            <w:pPr>
              <w:pStyle w:val="NormalWeb"/>
              <w:spacing w:line="360" w:lineRule="auto"/>
              <w:rPr>
                <w:rFonts w:ascii="ArialMT" w:hAnsi="ArialMT"/>
                <w:color w:val="000000" w:themeColor="text1"/>
                <w:sz w:val="22"/>
                <w:szCs w:val="22"/>
              </w:rPr>
            </w:pPr>
          </w:p>
        </w:tc>
      </w:tr>
      <w:tr w:rsidR="00400A58" w:rsidRPr="00400A58" w14:paraId="3C24F276" w14:textId="77777777" w:rsidTr="00400A58">
        <w:trPr>
          <w:trHeight w:val="320"/>
        </w:trPr>
        <w:tc>
          <w:tcPr>
            <w:tcW w:w="1300" w:type="dxa"/>
            <w:noWrap/>
            <w:hideMark/>
          </w:tcPr>
          <w:p w14:paraId="69080286"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2022</w:t>
            </w:r>
          </w:p>
        </w:tc>
        <w:tc>
          <w:tcPr>
            <w:tcW w:w="1320" w:type="dxa"/>
            <w:noWrap/>
            <w:hideMark/>
          </w:tcPr>
          <w:p w14:paraId="7355BBB3"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17.86</w:t>
            </w:r>
          </w:p>
        </w:tc>
        <w:tc>
          <w:tcPr>
            <w:tcW w:w="1320" w:type="dxa"/>
            <w:noWrap/>
            <w:hideMark/>
          </w:tcPr>
          <w:p w14:paraId="3B0EA6E2"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-69%</w:t>
            </w:r>
          </w:p>
        </w:tc>
      </w:tr>
      <w:tr w:rsidR="00400A58" w:rsidRPr="00400A58" w14:paraId="333A4362" w14:textId="77777777" w:rsidTr="00400A58">
        <w:trPr>
          <w:trHeight w:val="320"/>
        </w:trPr>
        <w:tc>
          <w:tcPr>
            <w:tcW w:w="1300" w:type="dxa"/>
            <w:noWrap/>
            <w:hideMark/>
          </w:tcPr>
          <w:p w14:paraId="707661D8"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2023</w:t>
            </w:r>
          </w:p>
        </w:tc>
        <w:tc>
          <w:tcPr>
            <w:tcW w:w="1320" w:type="dxa"/>
            <w:noWrap/>
            <w:hideMark/>
          </w:tcPr>
          <w:p w14:paraId="08949887"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32.01</w:t>
            </w:r>
          </w:p>
        </w:tc>
        <w:tc>
          <w:tcPr>
            <w:tcW w:w="1320" w:type="dxa"/>
            <w:noWrap/>
            <w:hideMark/>
          </w:tcPr>
          <w:p w14:paraId="47AC2CAA" w14:textId="7777777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79%</w:t>
            </w:r>
          </w:p>
        </w:tc>
      </w:tr>
    </w:tbl>
    <w:p w14:paraId="1B7EB744" w14:textId="77777777" w:rsidR="00400A58" w:rsidRDefault="00400A58" w:rsidP="00400A58">
      <w:pPr>
        <w:pStyle w:val="NormalWeb"/>
        <w:spacing w:line="360" w:lineRule="auto"/>
        <w:rPr>
          <w:rFonts w:ascii="ArialMT" w:hAnsi="ArialMT"/>
          <w:b/>
          <w:bCs/>
          <w:color w:val="000000" w:themeColor="text1"/>
          <w:sz w:val="22"/>
          <w:szCs w:val="22"/>
          <w:u w:val="single"/>
        </w:rPr>
      </w:pPr>
    </w:p>
    <w:p w14:paraId="5D2B0AF2" w14:textId="099E5FA3" w:rsidR="00400A58" w:rsidRPr="00400A58" w:rsidRDefault="00400A58" w:rsidP="00400A58">
      <w:pPr>
        <w:pStyle w:val="NormalWeb"/>
        <w:spacing w:line="360" w:lineRule="auto"/>
        <w:rPr>
          <w:rFonts w:ascii="ArialMT" w:hAnsi="ArialMT"/>
          <w:b/>
          <w:bCs/>
          <w:color w:val="000000" w:themeColor="text1"/>
          <w:sz w:val="22"/>
          <w:szCs w:val="22"/>
          <w:u w:val="single"/>
        </w:rPr>
      </w:pPr>
      <w:r>
        <w:rPr>
          <w:rFonts w:ascii="ArialMT" w:hAnsi="ArialMT"/>
          <w:b/>
          <w:bCs/>
          <w:noProof/>
          <w:color w:val="000000" w:themeColor="text1"/>
          <w:sz w:val="22"/>
          <w:szCs w:val="22"/>
          <w:u w:val="single"/>
          <w14:ligatures w14:val="standardContextual"/>
        </w:rPr>
        <w:drawing>
          <wp:inline distT="0" distB="0" distL="0" distR="0" wp14:anchorId="1BC7A617" wp14:editId="2D5D915C">
            <wp:extent cx="1948070" cy="679987"/>
            <wp:effectExtent l="0" t="0" r="0" b="6350"/>
            <wp:docPr id="1415688100" name="Picture 8" descr="A black numbers and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688100" name="Picture 8" descr="A black numbers and a white background&#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984953" cy="692861"/>
                    </a:xfrm>
                    <a:prstGeom prst="rect">
                      <a:avLst/>
                    </a:prstGeom>
                  </pic:spPr>
                </pic:pic>
              </a:graphicData>
            </a:graphic>
          </wp:inline>
        </w:drawing>
      </w:r>
    </w:p>
    <w:p w14:paraId="32200F55" w14:textId="385CD22C"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Beginning Value (2021): 56.86</w:t>
      </w:r>
    </w:p>
    <w:p w14:paraId="12F8F3D8" w14:textId="5BF7B647" w:rsidR="00400A58" w:rsidRP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Ending Value (2023): 32.01</w:t>
      </w:r>
    </w:p>
    <w:p w14:paraId="6A22EF89" w14:textId="73AF4F47" w:rsid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Number of Years (n): 2 years</w:t>
      </w:r>
    </w:p>
    <w:p w14:paraId="243EB110" w14:textId="2A439E51" w:rsidR="00400A58" w:rsidRDefault="00400A58" w:rsidP="00400A58">
      <w:pPr>
        <w:pStyle w:val="NormalWeb"/>
        <w:spacing w:line="360" w:lineRule="auto"/>
        <w:rPr>
          <w:rFonts w:ascii="ArialMT" w:hAnsi="ArialMT"/>
          <w:b/>
          <w:bCs/>
          <w:color w:val="77206D" w:themeColor="accent5" w:themeShade="BF"/>
          <w:sz w:val="22"/>
          <w:szCs w:val="22"/>
        </w:rPr>
      </w:pPr>
      <w:r w:rsidRPr="00400A58">
        <w:rPr>
          <w:rFonts w:ascii="ArialMT" w:hAnsi="ArialMT"/>
          <w:b/>
          <w:bCs/>
          <w:color w:val="77206D" w:themeColor="accent5" w:themeShade="BF"/>
          <w:sz w:val="22"/>
          <w:szCs w:val="22"/>
        </w:rPr>
        <w:t>CAGR= 0.7503−1≈−0.2497−24.97%</w:t>
      </w:r>
    </w:p>
    <w:p w14:paraId="3C42A035" w14:textId="57992BA7" w:rsidR="00400A58" w:rsidRDefault="00400A58" w:rsidP="00400A58">
      <w:pPr>
        <w:pStyle w:val="NormalWeb"/>
        <w:spacing w:line="360" w:lineRule="auto"/>
        <w:rPr>
          <w:rFonts w:ascii="ArialMT" w:hAnsi="ArialMT"/>
          <w:color w:val="000000" w:themeColor="text1"/>
          <w:sz w:val="22"/>
          <w:szCs w:val="22"/>
        </w:rPr>
      </w:pPr>
      <w:proofErr w:type="spellStart"/>
      <w:r w:rsidRPr="00400A58">
        <w:rPr>
          <w:rFonts w:ascii="ArialMT" w:hAnsi="ArialMT"/>
          <w:color w:val="000000" w:themeColor="text1"/>
          <w:sz w:val="22"/>
          <w:szCs w:val="22"/>
        </w:rPr>
        <w:t>DoorDash’s</w:t>
      </w:r>
      <w:proofErr w:type="spellEnd"/>
      <w:r w:rsidRPr="00400A58">
        <w:rPr>
          <w:rFonts w:ascii="ArialMT" w:hAnsi="ArialMT"/>
          <w:color w:val="000000" w:themeColor="text1"/>
          <w:sz w:val="22"/>
          <w:szCs w:val="22"/>
        </w:rPr>
        <w:t xml:space="preserve"> CAGR of -24.97% over just two years indicates a much more severe and rapid decline in stock value. This sharp downturn suggests that </w:t>
      </w:r>
      <w:proofErr w:type="spellStart"/>
      <w:r w:rsidRPr="00400A58">
        <w:rPr>
          <w:rFonts w:ascii="ArialMT" w:hAnsi="ArialMT"/>
          <w:color w:val="000000" w:themeColor="text1"/>
          <w:sz w:val="22"/>
          <w:szCs w:val="22"/>
        </w:rPr>
        <w:t>DoorDash</w:t>
      </w:r>
      <w:proofErr w:type="spellEnd"/>
      <w:r w:rsidRPr="00400A58">
        <w:rPr>
          <w:rFonts w:ascii="ArialMT" w:hAnsi="ArialMT"/>
          <w:color w:val="000000" w:themeColor="text1"/>
          <w:sz w:val="22"/>
          <w:szCs w:val="22"/>
        </w:rPr>
        <w:t xml:space="preserve"> faced significant challenges in the short term, possibly due to a post-pandemic market correction, where the surge in food delivery demand could not be sustained</w:t>
      </w:r>
      <w:r w:rsidR="0069410F">
        <w:rPr>
          <w:rFonts w:ascii="ArialMT" w:hAnsi="ArialMT"/>
          <w:color w:val="000000" w:themeColor="text1"/>
          <w:sz w:val="22"/>
          <w:szCs w:val="22"/>
        </w:rPr>
        <w:t xml:space="preserve"> (Wallstreeoasis.com n.d.)</w:t>
      </w:r>
      <w:r w:rsidRPr="00400A58">
        <w:rPr>
          <w:rFonts w:ascii="ArialMT" w:hAnsi="ArialMT"/>
          <w:color w:val="000000" w:themeColor="text1"/>
          <w:sz w:val="22"/>
          <w:szCs w:val="22"/>
        </w:rPr>
        <w:t>.</w:t>
      </w:r>
    </w:p>
    <w:p w14:paraId="1BC48BF9" w14:textId="0714945F" w:rsid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 xml:space="preserve">In contrast, Just </w:t>
      </w:r>
      <w:proofErr w:type="spellStart"/>
      <w:r w:rsidRPr="00400A58">
        <w:rPr>
          <w:rFonts w:ascii="ArialMT" w:hAnsi="ArialMT"/>
          <w:color w:val="000000" w:themeColor="text1"/>
          <w:sz w:val="22"/>
          <w:szCs w:val="22"/>
        </w:rPr>
        <w:t>Eat’s</w:t>
      </w:r>
      <w:proofErr w:type="spellEnd"/>
      <w:r w:rsidRPr="00400A58">
        <w:rPr>
          <w:rFonts w:ascii="ArialMT" w:hAnsi="ArialMT"/>
          <w:color w:val="000000" w:themeColor="text1"/>
          <w:sz w:val="22"/>
          <w:szCs w:val="22"/>
        </w:rPr>
        <w:t xml:space="preserve"> slower but steady decline of -7.78% over seven years points to long-term challenges rather than a sudden market correction. This suggests that investor confidence and market position</w:t>
      </w:r>
      <w:r>
        <w:rPr>
          <w:rFonts w:ascii="ArialMT" w:hAnsi="ArialMT"/>
          <w:color w:val="000000" w:themeColor="text1"/>
          <w:sz w:val="22"/>
          <w:szCs w:val="22"/>
        </w:rPr>
        <w:t xml:space="preserve"> did</w:t>
      </w:r>
      <w:r w:rsidRPr="00400A58">
        <w:rPr>
          <w:rFonts w:ascii="ArialMT" w:hAnsi="ArialMT"/>
          <w:color w:val="000000" w:themeColor="text1"/>
          <w:sz w:val="22"/>
          <w:szCs w:val="22"/>
        </w:rPr>
        <w:t xml:space="preserve"> gradually decline over time</w:t>
      </w:r>
      <w:r w:rsidR="0069410F">
        <w:rPr>
          <w:rFonts w:ascii="ArialMT" w:hAnsi="ArialMT"/>
          <w:color w:val="000000" w:themeColor="text1"/>
          <w:sz w:val="22"/>
          <w:szCs w:val="22"/>
        </w:rPr>
        <w:t xml:space="preserve"> </w:t>
      </w:r>
      <w:r w:rsidR="0069410F">
        <w:rPr>
          <w:rFonts w:ascii="ArialMT" w:hAnsi="ArialMT"/>
          <w:color w:val="000000" w:themeColor="text1"/>
          <w:sz w:val="22"/>
          <w:szCs w:val="22"/>
        </w:rPr>
        <w:t>(Wallstreeoasis.com n.d.)</w:t>
      </w:r>
      <w:r w:rsidRPr="00400A58">
        <w:rPr>
          <w:rFonts w:ascii="ArialMT" w:hAnsi="ArialMT"/>
          <w:color w:val="000000" w:themeColor="text1"/>
          <w:sz w:val="22"/>
          <w:szCs w:val="22"/>
        </w:rPr>
        <w:t>.</w:t>
      </w:r>
      <w:r>
        <w:rPr>
          <w:rFonts w:ascii="ArialMT" w:hAnsi="ArialMT"/>
          <w:color w:val="000000" w:themeColor="text1"/>
          <w:sz w:val="22"/>
          <w:szCs w:val="22"/>
        </w:rPr>
        <w:t xml:space="preserve"> </w:t>
      </w:r>
      <w:r w:rsidRPr="00400A58">
        <w:rPr>
          <w:rFonts w:ascii="ArialMT" w:hAnsi="ArialMT"/>
          <w:color w:val="000000" w:themeColor="text1"/>
          <w:sz w:val="22"/>
          <w:szCs w:val="22"/>
        </w:rPr>
        <w:t xml:space="preserve">The state of Just Eat is typical of a longer-term battle to stay relevant and compete successfully in a competitive industry. The slow drop implies that Just Eat may not have been as fortunate as </w:t>
      </w:r>
      <w:proofErr w:type="spellStart"/>
      <w:r w:rsidRPr="00400A58">
        <w:rPr>
          <w:rFonts w:ascii="ArialMT" w:hAnsi="ArialMT"/>
          <w:color w:val="000000" w:themeColor="text1"/>
          <w:sz w:val="22"/>
          <w:szCs w:val="22"/>
        </w:rPr>
        <w:t>DoorDash</w:t>
      </w:r>
      <w:proofErr w:type="spellEnd"/>
      <w:r w:rsidRPr="00400A58">
        <w:rPr>
          <w:rFonts w:ascii="ArialMT" w:hAnsi="ArialMT"/>
          <w:color w:val="000000" w:themeColor="text1"/>
          <w:sz w:val="22"/>
          <w:szCs w:val="22"/>
        </w:rPr>
        <w:t xml:space="preserve"> to benefit from the same pandemic-driven expansion, and that it had difficulty recovering after the pandemic.</w:t>
      </w:r>
      <w:r>
        <w:rPr>
          <w:rFonts w:ascii="ArialMT" w:hAnsi="ArialMT"/>
          <w:color w:val="000000" w:themeColor="text1"/>
          <w:sz w:val="22"/>
          <w:szCs w:val="22"/>
        </w:rPr>
        <w:t xml:space="preserve"> </w:t>
      </w:r>
      <w:proofErr w:type="spellStart"/>
      <w:r w:rsidRPr="00400A58">
        <w:rPr>
          <w:rFonts w:ascii="ArialMT" w:hAnsi="ArialMT"/>
          <w:color w:val="000000" w:themeColor="text1"/>
          <w:sz w:val="22"/>
          <w:szCs w:val="22"/>
        </w:rPr>
        <w:t>DoorDash’s</w:t>
      </w:r>
      <w:proofErr w:type="spellEnd"/>
      <w:r w:rsidRPr="00400A58">
        <w:rPr>
          <w:rFonts w:ascii="ArialMT" w:hAnsi="ArialMT"/>
          <w:color w:val="000000" w:themeColor="text1"/>
          <w:sz w:val="22"/>
          <w:szCs w:val="22"/>
        </w:rPr>
        <w:t xml:space="preserve"> sharp decline could be a reaction to an inflated valuation during the pandemic, where expectations were set extremely high, not knowing the near future</w:t>
      </w:r>
      <w:r>
        <w:rPr>
          <w:rFonts w:ascii="ArialMT" w:hAnsi="ArialMT"/>
          <w:color w:val="000000" w:themeColor="text1"/>
          <w:sz w:val="22"/>
          <w:szCs w:val="22"/>
        </w:rPr>
        <w:t xml:space="preserve">. </w:t>
      </w:r>
      <w:r w:rsidRPr="00400A58">
        <w:rPr>
          <w:rFonts w:ascii="ArialMT" w:hAnsi="ArialMT"/>
          <w:color w:val="000000" w:themeColor="text1"/>
          <w:sz w:val="22"/>
          <w:szCs w:val="22"/>
        </w:rPr>
        <w:t>Just Eat</w:t>
      </w:r>
      <w:r>
        <w:rPr>
          <w:rFonts w:ascii="ArialMT" w:hAnsi="ArialMT"/>
          <w:color w:val="000000" w:themeColor="text1"/>
          <w:sz w:val="22"/>
          <w:szCs w:val="22"/>
        </w:rPr>
        <w:t xml:space="preserve"> probably will</w:t>
      </w:r>
      <w:r w:rsidRPr="00400A58">
        <w:rPr>
          <w:rFonts w:ascii="ArialMT" w:hAnsi="ArialMT"/>
          <w:color w:val="000000" w:themeColor="text1"/>
          <w:sz w:val="22"/>
          <w:szCs w:val="22"/>
        </w:rPr>
        <w:t xml:space="preserve"> need to reassess its long-term strategy to halt the ongoing decline. This could involve re-evaluating its competitive positioning, exploring new growth markets, or even restructuring operations to improve efficiency and profitability.</w:t>
      </w:r>
      <w:r>
        <w:rPr>
          <w:rFonts w:ascii="ArialMT" w:hAnsi="ArialMT"/>
          <w:color w:val="000000" w:themeColor="text1"/>
          <w:sz w:val="22"/>
          <w:szCs w:val="22"/>
        </w:rPr>
        <w:t xml:space="preserve"> </w:t>
      </w:r>
    </w:p>
    <w:p w14:paraId="56596CE0" w14:textId="54BC6F39" w:rsidR="00400A58" w:rsidRDefault="00400A58" w:rsidP="0069410F">
      <w:pPr>
        <w:pStyle w:val="Heading2"/>
      </w:pPr>
      <w:bookmarkStart w:id="7" w:name="_Toc175609881"/>
      <w:r w:rsidRPr="00400A58">
        <w:lastRenderedPageBreak/>
        <w:t>2.3</w:t>
      </w:r>
      <w:r w:rsidR="0069410F">
        <w:t xml:space="preserve"> </w:t>
      </w:r>
      <w:r w:rsidRPr="00400A58">
        <w:t>Sharpe and Treynor ratios</w:t>
      </w:r>
      <w:r w:rsidR="0069410F">
        <w:t xml:space="preserve"> Just Eat (From PorfoliosLab.com - vis. APPENDIX)</w:t>
      </w:r>
      <w:bookmarkEnd w:id="7"/>
    </w:p>
    <w:p w14:paraId="42EC72B7" w14:textId="249AEDC0" w:rsidR="00400A58" w:rsidRDefault="00400A58" w:rsidP="00400A58">
      <w:pPr>
        <w:pStyle w:val="NormalWeb"/>
        <w:spacing w:line="360" w:lineRule="auto"/>
        <w:rPr>
          <w:rFonts w:ascii="ArialMT" w:hAnsi="ArialMT"/>
          <w:b/>
          <w:bCs/>
          <w:color w:val="000000" w:themeColor="text1"/>
          <w:sz w:val="22"/>
          <w:szCs w:val="22"/>
        </w:rPr>
      </w:pPr>
      <w:r>
        <w:rPr>
          <w:rFonts w:ascii="ArialMT" w:hAnsi="ArialMT"/>
          <w:b/>
          <w:bCs/>
          <w:color w:val="000000" w:themeColor="text1"/>
          <w:sz w:val="22"/>
          <w:szCs w:val="22"/>
        </w:rPr>
        <w:t>Sharpe ratio</w:t>
      </w:r>
    </w:p>
    <w:p w14:paraId="12C7EC19" w14:textId="6D17FD6D" w:rsidR="00400A58" w:rsidRDefault="00400A58" w:rsidP="00400A58">
      <w:pPr>
        <w:pStyle w:val="NormalWeb"/>
        <w:spacing w:line="360" w:lineRule="auto"/>
        <w:rPr>
          <w:rFonts w:ascii="ArialMT" w:hAnsi="ArialMT"/>
          <w:color w:val="000000" w:themeColor="text1"/>
          <w:sz w:val="22"/>
          <w:szCs w:val="22"/>
        </w:rPr>
      </w:pPr>
      <w:r w:rsidRPr="00400A58">
        <w:rPr>
          <w:rFonts w:ascii="ArialMT" w:hAnsi="ArialMT"/>
          <w:color w:val="000000" w:themeColor="text1"/>
          <w:sz w:val="22"/>
          <w:szCs w:val="22"/>
        </w:rPr>
        <w:t xml:space="preserve">The Sharpe Ratio measures the risk-adjusted return of an investment. </w:t>
      </w:r>
      <w:r w:rsidR="00B15B52" w:rsidRPr="00B15B52">
        <w:rPr>
          <w:rFonts w:ascii="ArialMT" w:hAnsi="ArialMT"/>
          <w:color w:val="000000" w:themeColor="text1"/>
          <w:sz w:val="22"/>
          <w:szCs w:val="22"/>
        </w:rPr>
        <w:t>The Sharpe Ratio t allows investors to evaluate whether an investment’s returns are due to smart investment decisions or simply taking on risk</w:t>
      </w:r>
      <w:r w:rsidR="0069410F">
        <w:rPr>
          <w:rFonts w:ascii="ArialMT" w:hAnsi="ArialMT"/>
          <w:color w:val="000000" w:themeColor="text1"/>
          <w:sz w:val="22"/>
          <w:szCs w:val="22"/>
        </w:rPr>
        <w:t xml:space="preserve"> (Schwab., 2024)</w:t>
      </w:r>
      <w:r w:rsidR="00B15B52" w:rsidRPr="00B15B52">
        <w:rPr>
          <w:rFonts w:ascii="ArialMT" w:hAnsi="ArialMT"/>
          <w:color w:val="000000" w:themeColor="text1"/>
          <w:sz w:val="22"/>
          <w:szCs w:val="22"/>
        </w:rPr>
        <w:t>.</w:t>
      </w:r>
      <w:r w:rsidR="0050550C">
        <w:rPr>
          <w:rFonts w:ascii="ArialMT" w:hAnsi="ArialMT"/>
          <w:color w:val="000000" w:themeColor="text1"/>
          <w:sz w:val="22"/>
          <w:szCs w:val="22"/>
        </w:rPr>
        <w:t xml:space="preserve"> </w:t>
      </w:r>
    </w:p>
    <w:p w14:paraId="617572C7" w14:textId="76F988C3" w:rsidR="00400A58" w:rsidRDefault="0050550C" w:rsidP="00400A58">
      <w:pPr>
        <w:pStyle w:val="NormalWeb"/>
        <w:spacing w:line="360" w:lineRule="auto"/>
        <w:rPr>
          <w:rFonts w:ascii="ArialMT" w:hAnsi="ArialMT"/>
          <w:color w:val="000000" w:themeColor="text1"/>
          <w:sz w:val="22"/>
          <w:szCs w:val="22"/>
        </w:rPr>
      </w:pPr>
      <w:r>
        <w:rPr>
          <w:rFonts w:ascii="ArialMT" w:hAnsi="ArialMT"/>
          <w:color w:val="000000" w:themeColor="text1"/>
          <w:sz w:val="22"/>
          <w:szCs w:val="22"/>
        </w:rPr>
        <w:t xml:space="preserve">Sharpe Ratio = </w:t>
      </w:r>
      <w:r>
        <w:rPr>
          <w:rFonts w:ascii="ArialMT" w:hAnsi="ArialMT"/>
          <w:color w:val="000000" w:themeColor="text1"/>
          <w:sz w:val="22"/>
          <w:szCs w:val="22"/>
        </w:rPr>
        <w:t>(Return on the portfolio investment – Risk Free Rate)/</w:t>
      </w:r>
      <w:r w:rsidR="00AE6AF2">
        <w:rPr>
          <w:rFonts w:ascii="ArialMT" w:hAnsi="ArialMT"/>
          <w:color w:val="000000" w:themeColor="text1"/>
          <w:sz w:val="22"/>
          <w:szCs w:val="22"/>
        </w:rPr>
        <w:t xml:space="preserve"> Standard Deviation </w:t>
      </w:r>
    </w:p>
    <w:p w14:paraId="4490A74E" w14:textId="3ED04E0E" w:rsidR="00BC3BF0" w:rsidRDefault="00B270F6" w:rsidP="009B2DDF">
      <w:pPr>
        <w:pStyle w:val="NormalWeb"/>
        <w:spacing w:line="360" w:lineRule="auto"/>
        <w:rPr>
          <w:rFonts w:ascii="ArialMT" w:hAnsi="ArialMT"/>
          <w:b/>
          <w:bCs/>
          <w:color w:val="000000" w:themeColor="text1"/>
          <w:sz w:val="22"/>
          <w:szCs w:val="22"/>
        </w:rPr>
      </w:pPr>
      <w:r w:rsidRPr="00B270F6">
        <w:rPr>
          <w:rFonts w:ascii="ArialMT" w:hAnsi="ArialMT"/>
          <w:b/>
          <w:bCs/>
          <w:color w:val="000000" w:themeColor="text1"/>
          <w:sz w:val="22"/>
          <w:szCs w:val="22"/>
        </w:rPr>
        <w:t>Treynor ratio</w:t>
      </w:r>
    </w:p>
    <w:p w14:paraId="6300043B" w14:textId="7BED5290" w:rsidR="0061785E" w:rsidRDefault="009A0C1F" w:rsidP="009B2DDF">
      <w:pPr>
        <w:pStyle w:val="NormalWeb"/>
        <w:spacing w:line="360" w:lineRule="auto"/>
        <w:rPr>
          <w:rFonts w:ascii="ArialMT" w:hAnsi="ArialMT"/>
          <w:color w:val="000000" w:themeColor="text1"/>
          <w:sz w:val="22"/>
          <w:szCs w:val="22"/>
        </w:rPr>
      </w:pPr>
      <w:r w:rsidRPr="009A0C1F">
        <w:rPr>
          <w:rFonts w:ascii="ArialMT" w:hAnsi="ArialMT"/>
          <w:color w:val="000000" w:themeColor="text1"/>
          <w:sz w:val="22"/>
          <w:szCs w:val="22"/>
        </w:rPr>
        <w:t>Treynor</w:t>
      </w:r>
      <w:r>
        <w:rPr>
          <w:rFonts w:ascii="ArialMT" w:hAnsi="ArialMT"/>
          <w:color w:val="000000" w:themeColor="text1"/>
          <w:sz w:val="22"/>
          <w:szCs w:val="22"/>
        </w:rPr>
        <w:t xml:space="preserve"> </w:t>
      </w:r>
      <w:r w:rsidRPr="009A0C1F">
        <w:rPr>
          <w:rFonts w:ascii="ArialMT" w:hAnsi="ArialMT"/>
          <w:color w:val="000000" w:themeColor="text1"/>
          <w:sz w:val="22"/>
          <w:szCs w:val="22"/>
        </w:rPr>
        <w:t>is used to measure the performance of an investment, such as a stock or a portfolio, in relation to its risk.</w:t>
      </w:r>
      <w:r>
        <w:rPr>
          <w:rFonts w:ascii="ArialMT" w:hAnsi="ArialMT"/>
          <w:color w:val="000000" w:themeColor="text1"/>
          <w:sz w:val="22"/>
          <w:szCs w:val="22"/>
        </w:rPr>
        <w:t xml:space="preserve"> </w:t>
      </w:r>
      <w:r w:rsidR="00DB7223">
        <w:rPr>
          <w:rFonts w:ascii="ArialMT" w:hAnsi="ArialMT"/>
          <w:color w:val="000000" w:themeColor="text1"/>
          <w:sz w:val="22"/>
          <w:szCs w:val="22"/>
        </w:rPr>
        <w:t>T</w:t>
      </w:r>
      <w:r w:rsidR="00DB7223" w:rsidRPr="00DB7223">
        <w:rPr>
          <w:rFonts w:ascii="ArialMT" w:hAnsi="ArialMT"/>
          <w:color w:val="000000" w:themeColor="text1"/>
          <w:sz w:val="22"/>
          <w:szCs w:val="22"/>
        </w:rPr>
        <w:t>t is calculated by comparing the excess return of the investment to its beta, which measures the investment's sensitivity to market movements</w:t>
      </w:r>
      <w:r w:rsidR="0069410F">
        <w:rPr>
          <w:rFonts w:ascii="ArialMT" w:hAnsi="ArialMT"/>
          <w:color w:val="000000" w:themeColor="text1"/>
          <w:sz w:val="22"/>
          <w:szCs w:val="22"/>
        </w:rPr>
        <w:t xml:space="preserve"> (Mcmarkets.com 2022)</w:t>
      </w:r>
      <w:r w:rsidR="00DB7223" w:rsidRPr="00DB7223">
        <w:rPr>
          <w:rFonts w:ascii="ArialMT" w:hAnsi="ArialMT"/>
          <w:color w:val="000000" w:themeColor="text1"/>
          <w:sz w:val="22"/>
          <w:szCs w:val="22"/>
        </w:rPr>
        <w:t>.</w:t>
      </w:r>
      <w:r w:rsidR="00357997">
        <w:rPr>
          <w:rFonts w:ascii="ArialMT" w:hAnsi="ArialMT"/>
          <w:color w:val="000000" w:themeColor="text1"/>
          <w:sz w:val="22"/>
          <w:szCs w:val="22"/>
        </w:rPr>
        <w:t xml:space="preserve"> </w:t>
      </w:r>
    </w:p>
    <w:p w14:paraId="2615DE4E" w14:textId="0B05C50C" w:rsidR="001D4F54" w:rsidRDefault="001D4F54" w:rsidP="009B2DDF">
      <w:pPr>
        <w:pStyle w:val="NormalWeb"/>
        <w:spacing w:line="360" w:lineRule="auto"/>
        <w:rPr>
          <w:rFonts w:ascii="ArialMT" w:hAnsi="ArialMT"/>
          <w:color w:val="000000" w:themeColor="text1"/>
          <w:sz w:val="22"/>
          <w:szCs w:val="22"/>
        </w:rPr>
      </w:pPr>
      <w:r>
        <w:rPr>
          <w:rFonts w:ascii="ArialMT" w:hAnsi="ArialMT"/>
          <w:color w:val="000000" w:themeColor="text1"/>
          <w:sz w:val="22"/>
          <w:szCs w:val="22"/>
        </w:rPr>
        <w:t xml:space="preserve">Treynor Ratio = </w:t>
      </w:r>
      <w:r w:rsidR="001902A0">
        <w:rPr>
          <w:rFonts w:ascii="ArialMT" w:hAnsi="ArialMT"/>
          <w:color w:val="000000" w:themeColor="text1"/>
          <w:sz w:val="22"/>
          <w:szCs w:val="22"/>
        </w:rPr>
        <w:t>(</w:t>
      </w:r>
      <w:r>
        <w:rPr>
          <w:rFonts w:ascii="ArialMT" w:hAnsi="ArialMT"/>
          <w:color w:val="000000" w:themeColor="text1"/>
          <w:sz w:val="22"/>
          <w:szCs w:val="22"/>
        </w:rPr>
        <w:t xml:space="preserve">Return on the portfolio investment </w:t>
      </w:r>
      <w:r w:rsidR="001902A0">
        <w:rPr>
          <w:rFonts w:ascii="ArialMT" w:hAnsi="ArialMT"/>
          <w:color w:val="000000" w:themeColor="text1"/>
          <w:sz w:val="22"/>
          <w:szCs w:val="22"/>
        </w:rPr>
        <w:t xml:space="preserve">– Risk Free Rate)/ Beta </w:t>
      </w:r>
    </w:p>
    <w:p w14:paraId="435734AB" w14:textId="74D0306E" w:rsidR="0069410F" w:rsidRDefault="0069410F" w:rsidP="0069410F">
      <w:pPr>
        <w:pStyle w:val="Caption"/>
        <w:keepNext/>
      </w:pPr>
      <w:r>
        <w:t xml:space="preserve">Figure </w:t>
      </w:r>
      <w:r>
        <w:fldChar w:fldCharType="begin"/>
      </w:r>
      <w:r>
        <w:instrText xml:space="preserve"> SEQ Figure \* ARABIC </w:instrText>
      </w:r>
      <w:r>
        <w:fldChar w:fldCharType="separate"/>
      </w:r>
      <w:r>
        <w:rPr>
          <w:noProof/>
        </w:rPr>
        <w:t>12</w:t>
      </w:r>
      <w:r>
        <w:fldChar w:fldCharType="end"/>
      </w:r>
      <w:r w:rsidRPr="002C0A05">
        <w:t>Sharpe and Treynor ratios Just Eat</w:t>
      </w:r>
      <w:r>
        <w:t xml:space="preserve"> (source: Author)</w:t>
      </w:r>
    </w:p>
    <w:tbl>
      <w:tblPr>
        <w:tblStyle w:val="TableGrid"/>
        <w:tblW w:w="0" w:type="auto"/>
        <w:tblLook w:val="04A0" w:firstRow="1" w:lastRow="0" w:firstColumn="1" w:lastColumn="0" w:noHBand="0" w:noVBand="1"/>
      </w:tblPr>
      <w:tblGrid>
        <w:gridCol w:w="2060"/>
        <w:gridCol w:w="1300"/>
        <w:gridCol w:w="1360"/>
      </w:tblGrid>
      <w:tr w:rsidR="00104F41" w:rsidRPr="00104F41" w14:paraId="1C8BD212" w14:textId="77777777" w:rsidTr="00104F41">
        <w:trPr>
          <w:trHeight w:val="320"/>
        </w:trPr>
        <w:tc>
          <w:tcPr>
            <w:tcW w:w="2060" w:type="dxa"/>
            <w:noWrap/>
            <w:hideMark/>
          </w:tcPr>
          <w:p w14:paraId="193A6A56" w14:textId="77777777" w:rsidR="00104F41" w:rsidRPr="00104F41" w:rsidRDefault="00104F41" w:rsidP="00104F41">
            <w:pPr>
              <w:pStyle w:val="NormalWeb"/>
              <w:spacing w:line="360" w:lineRule="auto"/>
              <w:rPr>
                <w:rFonts w:ascii="ArialMT" w:hAnsi="ArialMT"/>
                <w:color w:val="000000" w:themeColor="text1"/>
                <w:sz w:val="22"/>
                <w:szCs w:val="22"/>
              </w:rPr>
            </w:pPr>
          </w:p>
        </w:tc>
        <w:tc>
          <w:tcPr>
            <w:tcW w:w="1300" w:type="dxa"/>
            <w:noWrap/>
            <w:hideMark/>
          </w:tcPr>
          <w:p w14:paraId="710E30FE" w14:textId="77777777" w:rsidR="00104F41" w:rsidRPr="00104F41" w:rsidRDefault="00104F41" w:rsidP="00104F41">
            <w:pPr>
              <w:pStyle w:val="NormalWeb"/>
              <w:spacing w:line="360" w:lineRule="auto"/>
              <w:rPr>
                <w:rFonts w:ascii="ArialMT" w:hAnsi="ArialMT"/>
                <w:color w:val="000000" w:themeColor="text1"/>
                <w:sz w:val="22"/>
                <w:szCs w:val="22"/>
              </w:rPr>
            </w:pPr>
            <w:r w:rsidRPr="00104F41">
              <w:rPr>
                <w:rFonts w:ascii="ArialMT" w:hAnsi="ArialMT"/>
                <w:color w:val="000000" w:themeColor="text1"/>
                <w:sz w:val="22"/>
                <w:szCs w:val="22"/>
              </w:rPr>
              <w:t>2021</w:t>
            </w:r>
          </w:p>
        </w:tc>
        <w:tc>
          <w:tcPr>
            <w:tcW w:w="1360" w:type="dxa"/>
            <w:noWrap/>
            <w:hideMark/>
          </w:tcPr>
          <w:p w14:paraId="487A729D" w14:textId="77777777" w:rsidR="00104F41" w:rsidRPr="00104F41" w:rsidRDefault="00104F41" w:rsidP="00104F41">
            <w:pPr>
              <w:pStyle w:val="NormalWeb"/>
              <w:spacing w:line="360" w:lineRule="auto"/>
              <w:rPr>
                <w:rFonts w:ascii="ArialMT" w:hAnsi="ArialMT"/>
                <w:color w:val="000000" w:themeColor="text1"/>
                <w:sz w:val="22"/>
                <w:szCs w:val="22"/>
              </w:rPr>
            </w:pPr>
            <w:r w:rsidRPr="00104F41">
              <w:rPr>
                <w:rFonts w:ascii="ArialMT" w:hAnsi="ArialMT"/>
                <w:color w:val="000000" w:themeColor="text1"/>
                <w:sz w:val="22"/>
                <w:szCs w:val="22"/>
              </w:rPr>
              <w:t>2022</w:t>
            </w:r>
          </w:p>
        </w:tc>
      </w:tr>
      <w:tr w:rsidR="00104F41" w:rsidRPr="00104F41" w14:paraId="7565D2FE" w14:textId="77777777" w:rsidTr="00104F41">
        <w:trPr>
          <w:trHeight w:val="320"/>
        </w:trPr>
        <w:tc>
          <w:tcPr>
            <w:tcW w:w="2060" w:type="dxa"/>
            <w:noWrap/>
            <w:hideMark/>
          </w:tcPr>
          <w:p w14:paraId="3B06B8A2" w14:textId="1E5745B0" w:rsidR="00104F41" w:rsidRPr="00104F41" w:rsidRDefault="00104F41" w:rsidP="00104F41">
            <w:pPr>
              <w:pStyle w:val="NormalWeb"/>
              <w:spacing w:line="360" w:lineRule="auto"/>
              <w:rPr>
                <w:rFonts w:ascii="ArialMT" w:hAnsi="ArialMT"/>
                <w:color w:val="000000" w:themeColor="text1"/>
                <w:sz w:val="22"/>
                <w:szCs w:val="22"/>
              </w:rPr>
            </w:pPr>
            <w:r w:rsidRPr="00104F41">
              <w:rPr>
                <w:rFonts w:ascii="ArialMT" w:hAnsi="ArialMT"/>
                <w:color w:val="000000" w:themeColor="text1"/>
                <w:sz w:val="22"/>
                <w:szCs w:val="22"/>
              </w:rPr>
              <w:t>Average</w:t>
            </w:r>
            <w:r w:rsidRPr="00104F41">
              <w:rPr>
                <w:rFonts w:ascii="ArialMT" w:hAnsi="ArialMT"/>
                <w:color w:val="000000" w:themeColor="text1"/>
                <w:sz w:val="22"/>
                <w:szCs w:val="22"/>
              </w:rPr>
              <w:t xml:space="preserve"> </w:t>
            </w:r>
            <w:r w:rsidRPr="00104F41">
              <w:rPr>
                <w:rFonts w:ascii="ArialMT" w:hAnsi="ArialMT"/>
                <w:color w:val="000000" w:themeColor="text1"/>
                <w:sz w:val="22"/>
                <w:szCs w:val="22"/>
              </w:rPr>
              <w:t>Return</w:t>
            </w:r>
            <w:r w:rsidRPr="00104F41">
              <w:rPr>
                <w:rFonts w:ascii="ArialMT" w:hAnsi="ArialMT"/>
                <w:color w:val="000000" w:themeColor="text1"/>
                <w:sz w:val="22"/>
                <w:szCs w:val="22"/>
              </w:rPr>
              <w:t xml:space="preserve"> </w:t>
            </w:r>
          </w:p>
        </w:tc>
        <w:tc>
          <w:tcPr>
            <w:tcW w:w="1300" w:type="dxa"/>
            <w:noWrap/>
            <w:hideMark/>
          </w:tcPr>
          <w:p w14:paraId="0BE5EC42" w14:textId="77777777" w:rsidR="00104F41" w:rsidRPr="00104F41" w:rsidRDefault="00104F41" w:rsidP="00104F41">
            <w:pPr>
              <w:pStyle w:val="NormalWeb"/>
              <w:spacing w:line="360" w:lineRule="auto"/>
              <w:rPr>
                <w:rFonts w:ascii="ArialMT" w:hAnsi="ArialMT"/>
                <w:color w:val="000000" w:themeColor="text1"/>
                <w:sz w:val="22"/>
                <w:szCs w:val="22"/>
              </w:rPr>
            </w:pPr>
            <w:r w:rsidRPr="00104F41">
              <w:rPr>
                <w:rFonts w:ascii="ArialMT" w:hAnsi="ArialMT"/>
                <w:color w:val="000000" w:themeColor="text1"/>
                <w:sz w:val="22"/>
                <w:szCs w:val="22"/>
              </w:rPr>
              <w:t>0.05</w:t>
            </w:r>
          </w:p>
        </w:tc>
        <w:tc>
          <w:tcPr>
            <w:tcW w:w="1360" w:type="dxa"/>
            <w:noWrap/>
            <w:hideMark/>
          </w:tcPr>
          <w:p w14:paraId="0EA54572" w14:textId="77777777" w:rsidR="00104F41" w:rsidRPr="00104F41" w:rsidRDefault="00104F41" w:rsidP="00104F41">
            <w:pPr>
              <w:pStyle w:val="NormalWeb"/>
              <w:spacing w:line="360" w:lineRule="auto"/>
              <w:rPr>
                <w:rFonts w:ascii="ArialMT" w:hAnsi="ArialMT"/>
                <w:color w:val="000000" w:themeColor="text1"/>
                <w:sz w:val="22"/>
                <w:szCs w:val="22"/>
              </w:rPr>
            </w:pPr>
            <w:r w:rsidRPr="00104F41">
              <w:rPr>
                <w:rFonts w:ascii="ArialMT" w:hAnsi="ArialMT"/>
                <w:color w:val="000000" w:themeColor="text1"/>
                <w:sz w:val="22"/>
                <w:szCs w:val="22"/>
              </w:rPr>
              <w:t>-0.1</w:t>
            </w:r>
          </w:p>
        </w:tc>
      </w:tr>
      <w:tr w:rsidR="00104F41" w:rsidRPr="00104F41" w14:paraId="7C655BAB" w14:textId="77777777" w:rsidTr="00104F41">
        <w:trPr>
          <w:trHeight w:val="320"/>
        </w:trPr>
        <w:tc>
          <w:tcPr>
            <w:tcW w:w="2060" w:type="dxa"/>
            <w:noWrap/>
            <w:hideMark/>
          </w:tcPr>
          <w:p w14:paraId="5E5C5D65" w14:textId="77777777" w:rsidR="00104F41" w:rsidRPr="00104F41" w:rsidRDefault="00104F41" w:rsidP="00104F41">
            <w:pPr>
              <w:pStyle w:val="NormalWeb"/>
              <w:spacing w:line="360" w:lineRule="auto"/>
              <w:rPr>
                <w:rFonts w:ascii="ArialMT" w:hAnsi="ArialMT"/>
                <w:color w:val="000000" w:themeColor="text1"/>
                <w:sz w:val="22"/>
                <w:szCs w:val="22"/>
              </w:rPr>
            </w:pPr>
            <w:r w:rsidRPr="00104F41">
              <w:rPr>
                <w:rFonts w:ascii="ArialMT" w:hAnsi="ArialMT"/>
                <w:color w:val="000000" w:themeColor="text1"/>
                <w:sz w:val="22"/>
                <w:szCs w:val="22"/>
              </w:rPr>
              <w:t>Risk-Free Rate</w:t>
            </w:r>
          </w:p>
        </w:tc>
        <w:tc>
          <w:tcPr>
            <w:tcW w:w="1300" w:type="dxa"/>
            <w:noWrap/>
            <w:hideMark/>
          </w:tcPr>
          <w:p w14:paraId="1877E71A" w14:textId="77777777" w:rsidR="00104F41" w:rsidRPr="00104F41" w:rsidRDefault="00104F41" w:rsidP="00104F41">
            <w:pPr>
              <w:pStyle w:val="NormalWeb"/>
              <w:spacing w:line="360" w:lineRule="auto"/>
              <w:rPr>
                <w:rFonts w:ascii="ArialMT" w:hAnsi="ArialMT"/>
                <w:color w:val="000000" w:themeColor="text1"/>
                <w:sz w:val="22"/>
                <w:szCs w:val="22"/>
              </w:rPr>
            </w:pPr>
            <w:r w:rsidRPr="00104F41">
              <w:rPr>
                <w:rFonts w:ascii="ArialMT" w:hAnsi="ArialMT"/>
                <w:color w:val="000000" w:themeColor="text1"/>
                <w:sz w:val="22"/>
                <w:szCs w:val="22"/>
              </w:rPr>
              <w:t>0.01</w:t>
            </w:r>
          </w:p>
        </w:tc>
        <w:tc>
          <w:tcPr>
            <w:tcW w:w="1360" w:type="dxa"/>
            <w:noWrap/>
            <w:hideMark/>
          </w:tcPr>
          <w:p w14:paraId="4AE98A24" w14:textId="77777777" w:rsidR="00104F41" w:rsidRPr="00104F41" w:rsidRDefault="00104F41" w:rsidP="00104F41">
            <w:pPr>
              <w:pStyle w:val="NormalWeb"/>
              <w:spacing w:line="360" w:lineRule="auto"/>
              <w:rPr>
                <w:rFonts w:ascii="ArialMT" w:hAnsi="ArialMT"/>
                <w:color w:val="000000" w:themeColor="text1"/>
                <w:sz w:val="22"/>
                <w:szCs w:val="22"/>
              </w:rPr>
            </w:pPr>
            <w:r w:rsidRPr="00104F41">
              <w:rPr>
                <w:rFonts w:ascii="ArialMT" w:hAnsi="ArialMT"/>
                <w:color w:val="000000" w:themeColor="text1"/>
                <w:sz w:val="22"/>
                <w:szCs w:val="22"/>
              </w:rPr>
              <w:t>0.01</w:t>
            </w:r>
          </w:p>
        </w:tc>
      </w:tr>
      <w:tr w:rsidR="00104F41" w:rsidRPr="00104F41" w14:paraId="43FC17B9" w14:textId="77777777" w:rsidTr="00104F41">
        <w:trPr>
          <w:trHeight w:val="320"/>
        </w:trPr>
        <w:tc>
          <w:tcPr>
            <w:tcW w:w="2060" w:type="dxa"/>
            <w:noWrap/>
            <w:hideMark/>
          </w:tcPr>
          <w:p w14:paraId="577AB218" w14:textId="0A909F04" w:rsidR="00104F41" w:rsidRPr="00104F41" w:rsidRDefault="00104F41" w:rsidP="00104F41">
            <w:pPr>
              <w:pStyle w:val="NormalWeb"/>
              <w:spacing w:line="360" w:lineRule="auto"/>
              <w:rPr>
                <w:rFonts w:ascii="ArialMT" w:hAnsi="ArialMT"/>
                <w:color w:val="000000" w:themeColor="text1"/>
                <w:sz w:val="22"/>
                <w:szCs w:val="22"/>
              </w:rPr>
            </w:pPr>
            <w:r w:rsidRPr="00104F41">
              <w:rPr>
                <w:rFonts w:ascii="ArialMT" w:hAnsi="ArialMT"/>
                <w:color w:val="000000" w:themeColor="text1"/>
                <w:sz w:val="22"/>
                <w:szCs w:val="22"/>
              </w:rPr>
              <w:t>Standard</w:t>
            </w:r>
            <w:r w:rsidRPr="00104F41">
              <w:rPr>
                <w:rFonts w:ascii="ArialMT" w:hAnsi="ArialMT"/>
                <w:color w:val="000000" w:themeColor="text1"/>
                <w:sz w:val="22"/>
                <w:szCs w:val="22"/>
              </w:rPr>
              <w:t xml:space="preserve"> De</w:t>
            </w:r>
            <w:r w:rsidR="008A079C">
              <w:rPr>
                <w:rFonts w:ascii="ArialMT" w:hAnsi="ArialMT"/>
                <w:color w:val="000000" w:themeColor="text1"/>
                <w:sz w:val="22"/>
                <w:szCs w:val="22"/>
              </w:rPr>
              <w:t>v.</w:t>
            </w:r>
          </w:p>
        </w:tc>
        <w:tc>
          <w:tcPr>
            <w:tcW w:w="1300" w:type="dxa"/>
            <w:noWrap/>
            <w:hideMark/>
          </w:tcPr>
          <w:p w14:paraId="190F300B" w14:textId="77777777" w:rsidR="00104F41" w:rsidRPr="00104F41" w:rsidRDefault="00104F41" w:rsidP="00104F41">
            <w:pPr>
              <w:pStyle w:val="NormalWeb"/>
              <w:spacing w:line="360" w:lineRule="auto"/>
              <w:rPr>
                <w:rFonts w:ascii="ArialMT" w:hAnsi="ArialMT"/>
                <w:color w:val="000000" w:themeColor="text1"/>
                <w:sz w:val="22"/>
                <w:szCs w:val="22"/>
              </w:rPr>
            </w:pPr>
            <w:r w:rsidRPr="00104F41">
              <w:rPr>
                <w:rFonts w:ascii="ArialMT" w:hAnsi="ArialMT"/>
                <w:color w:val="000000" w:themeColor="text1"/>
                <w:sz w:val="22"/>
                <w:szCs w:val="22"/>
              </w:rPr>
              <w:t>0.1</w:t>
            </w:r>
          </w:p>
        </w:tc>
        <w:tc>
          <w:tcPr>
            <w:tcW w:w="1360" w:type="dxa"/>
            <w:noWrap/>
            <w:hideMark/>
          </w:tcPr>
          <w:p w14:paraId="76B2C9FE" w14:textId="77777777" w:rsidR="00104F41" w:rsidRPr="00104F41" w:rsidRDefault="00104F41" w:rsidP="00104F41">
            <w:pPr>
              <w:pStyle w:val="NormalWeb"/>
              <w:spacing w:line="360" w:lineRule="auto"/>
              <w:rPr>
                <w:rFonts w:ascii="ArialMT" w:hAnsi="ArialMT"/>
                <w:color w:val="000000" w:themeColor="text1"/>
                <w:sz w:val="22"/>
                <w:szCs w:val="22"/>
              </w:rPr>
            </w:pPr>
            <w:r w:rsidRPr="00104F41">
              <w:rPr>
                <w:rFonts w:ascii="ArialMT" w:hAnsi="ArialMT"/>
                <w:color w:val="000000" w:themeColor="text1"/>
                <w:sz w:val="22"/>
                <w:szCs w:val="22"/>
              </w:rPr>
              <w:t>0.15</w:t>
            </w:r>
          </w:p>
        </w:tc>
      </w:tr>
      <w:tr w:rsidR="00104F41" w:rsidRPr="00104F41" w14:paraId="342B7A93" w14:textId="77777777" w:rsidTr="00104F41">
        <w:trPr>
          <w:trHeight w:val="320"/>
        </w:trPr>
        <w:tc>
          <w:tcPr>
            <w:tcW w:w="2060" w:type="dxa"/>
            <w:noWrap/>
            <w:hideMark/>
          </w:tcPr>
          <w:p w14:paraId="3926F730" w14:textId="77777777" w:rsidR="00104F41" w:rsidRPr="00104F41" w:rsidRDefault="00104F41" w:rsidP="00104F41">
            <w:pPr>
              <w:pStyle w:val="NormalWeb"/>
              <w:spacing w:line="360" w:lineRule="auto"/>
              <w:rPr>
                <w:rFonts w:ascii="ArialMT" w:hAnsi="ArialMT"/>
                <w:color w:val="000000" w:themeColor="text1"/>
                <w:sz w:val="22"/>
                <w:szCs w:val="22"/>
              </w:rPr>
            </w:pPr>
            <w:r w:rsidRPr="00104F41">
              <w:rPr>
                <w:rFonts w:ascii="ArialMT" w:hAnsi="ArialMT"/>
                <w:color w:val="000000" w:themeColor="text1"/>
                <w:sz w:val="22"/>
                <w:szCs w:val="22"/>
              </w:rPr>
              <w:t xml:space="preserve">Beta </w:t>
            </w:r>
          </w:p>
        </w:tc>
        <w:tc>
          <w:tcPr>
            <w:tcW w:w="1300" w:type="dxa"/>
            <w:noWrap/>
            <w:hideMark/>
          </w:tcPr>
          <w:p w14:paraId="26E5C441" w14:textId="77777777" w:rsidR="00104F41" w:rsidRPr="00104F41" w:rsidRDefault="00104F41" w:rsidP="00104F41">
            <w:pPr>
              <w:pStyle w:val="NormalWeb"/>
              <w:spacing w:line="360" w:lineRule="auto"/>
              <w:rPr>
                <w:rFonts w:ascii="ArialMT" w:hAnsi="ArialMT"/>
                <w:color w:val="000000" w:themeColor="text1"/>
                <w:sz w:val="22"/>
                <w:szCs w:val="22"/>
              </w:rPr>
            </w:pPr>
            <w:r w:rsidRPr="00104F41">
              <w:rPr>
                <w:rFonts w:ascii="ArialMT" w:hAnsi="ArialMT"/>
                <w:color w:val="000000" w:themeColor="text1"/>
                <w:sz w:val="22"/>
                <w:szCs w:val="22"/>
              </w:rPr>
              <w:t>1.17</w:t>
            </w:r>
          </w:p>
        </w:tc>
        <w:tc>
          <w:tcPr>
            <w:tcW w:w="1360" w:type="dxa"/>
            <w:noWrap/>
            <w:hideMark/>
          </w:tcPr>
          <w:p w14:paraId="57A6C6F5" w14:textId="77777777" w:rsidR="00104F41" w:rsidRPr="00104F41" w:rsidRDefault="00104F41" w:rsidP="00104F41">
            <w:pPr>
              <w:pStyle w:val="NormalWeb"/>
              <w:spacing w:line="360" w:lineRule="auto"/>
              <w:rPr>
                <w:rFonts w:ascii="ArialMT" w:hAnsi="ArialMT"/>
                <w:color w:val="000000" w:themeColor="text1"/>
                <w:sz w:val="22"/>
                <w:szCs w:val="22"/>
              </w:rPr>
            </w:pPr>
            <w:r w:rsidRPr="00104F41">
              <w:rPr>
                <w:rFonts w:ascii="ArialMT" w:hAnsi="ArialMT"/>
                <w:color w:val="000000" w:themeColor="text1"/>
                <w:sz w:val="22"/>
                <w:szCs w:val="22"/>
              </w:rPr>
              <w:t>1.17</w:t>
            </w:r>
          </w:p>
        </w:tc>
      </w:tr>
      <w:tr w:rsidR="00104F41" w:rsidRPr="00104F41" w14:paraId="450FE803" w14:textId="77777777" w:rsidTr="00104F41">
        <w:trPr>
          <w:trHeight w:val="320"/>
        </w:trPr>
        <w:tc>
          <w:tcPr>
            <w:tcW w:w="2060" w:type="dxa"/>
            <w:noWrap/>
            <w:hideMark/>
          </w:tcPr>
          <w:p w14:paraId="030A1D84" w14:textId="77777777" w:rsidR="00104F41" w:rsidRPr="00104F41" w:rsidRDefault="00104F41" w:rsidP="00104F41">
            <w:pPr>
              <w:pStyle w:val="NormalWeb"/>
              <w:spacing w:line="360" w:lineRule="auto"/>
              <w:rPr>
                <w:rFonts w:ascii="ArialMT" w:hAnsi="ArialMT"/>
                <w:b/>
                <w:bCs/>
                <w:color w:val="77206D" w:themeColor="accent5" w:themeShade="BF"/>
                <w:sz w:val="22"/>
                <w:szCs w:val="22"/>
              </w:rPr>
            </w:pPr>
            <w:r w:rsidRPr="00104F41">
              <w:rPr>
                <w:rFonts w:ascii="ArialMT" w:hAnsi="ArialMT"/>
                <w:b/>
                <w:bCs/>
                <w:color w:val="77206D" w:themeColor="accent5" w:themeShade="BF"/>
                <w:sz w:val="22"/>
                <w:szCs w:val="22"/>
              </w:rPr>
              <w:t>Sharpe Ratio</w:t>
            </w:r>
          </w:p>
        </w:tc>
        <w:tc>
          <w:tcPr>
            <w:tcW w:w="1300" w:type="dxa"/>
            <w:noWrap/>
            <w:hideMark/>
          </w:tcPr>
          <w:p w14:paraId="361B08B3" w14:textId="77777777" w:rsidR="00104F41" w:rsidRPr="00104F41" w:rsidRDefault="00104F41" w:rsidP="00104F41">
            <w:pPr>
              <w:pStyle w:val="NormalWeb"/>
              <w:spacing w:line="360" w:lineRule="auto"/>
              <w:rPr>
                <w:rFonts w:ascii="ArialMT" w:hAnsi="ArialMT"/>
                <w:b/>
                <w:bCs/>
                <w:color w:val="77206D" w:themeColor="accent5" w:themeShade="BF"/>
                <w:sz w:val="22"/>
                <w:szCs w:val="22"/>
              </w:rPr>
            </w:pPr>
            <w:r w:rsidRPr="00104F41">
              <w:rPr>
                <w:rFonts w:ascii="ArialMT" w:hAnsi="ArialMT"/>
                <w:b/>
                <w:bCs/>
                <w:color w:val="77206D" w:themeColor="accent5" w:themeShade="BF"/>
                <w:sz w:val="22"/>
                <w:szCs w:val="22"/>
              </w:rPr>
              <w:t>0.4</w:t>
            </w:r>
          </w:p>
        </w:tc>
        <w:tc>
          <w:tcPr>
            <w:tcW w:w="1360" w:type="dxa"/>
            <w:noWrap/>
            <w:hideMark/>
          </w:tcPr>
          <w:p w14:paraId="46299A43" w14:textId="77777777" w:rsidR="00104F41" w:rsidRPr="00104F41" w:rsidRDefault="00104F41" w:rsidP="00104F41">
            <w:pPr>
              <w:pStyle w:val="NormalWeb"/>
              <w:spacing w:line="360" w:lineRule="auto"/>
              <w:rPr>
                <w:rFonts w:ascii="ArialMT" w:hAnsi="ArialMT"/>
                <w:b/>
                <w:bCs/>
                <w:color w:val="77206D" w:themeColor="accent5" w:themeShade="BF"/>
                <w:sz w:val="22"/>
                <w:szCs w:val="22"/>
              </w:rPr>
            </w:pPr>
            <w:r w:rsidRPr="00104F41">
              <w:rPr>
                <w:rFonts w:ascii="ArialMT" w:hAnsi="ArialMT"/>
                <w:b/>
                <w:bCs/>
                <w:color w:val="77206D" w:themeColor="accent5" w:themeShade="BF"/>
                <w:sz w:val="22"/>
                <w:szCs w:val="22"/>
              </w:rPr>
              <w:t>-0.7333</w:t>
            </w:r>
          </w:p>
        </w:tc>
      </w:tr>
      <w:tr w:rsidR="00104F41" w:rsidRPr="00104F41" w14:paraId="37B6E639" w14:textId="77777777" w:rsidTr="00104F41">
        <w:trPr>
          <w:trHeight w:val="320"/>
        </w:trPr>
        <w:tc>
          <w:tcPr>
            <w:tcW w:w="2060" w:type="dxa"/>
            <w:noWrap/>
            <w:hideMark/>
          </w:tcPr>
          <w:p w14:paraId="0E44959B" w14:textId="77777777" w:rsidR="00104F41" w:rsidRPr="00104F41" w:rsidRDefault="00104F41" w:rsidP="00104F41">
            <w:pPr>
              <w:pStyle w:val="NormalWeb"/>
              <w:spacing w:line="360" w:lineRule="auto"/>
              <w:rPr>
                <w:rFonts w:ascii="ArialMT" w:hAnsi="ArialMT"/>
                <w:b/>
                <w:bCs/>
                <w:color w:val="77206D" w:themeColor="accent5" w:themeShade="BF"/>
                <w:sz w:val="22"/>
                <w:szCs w:val="22"/>
              </w:rPr>
            </w:pPr>
            <w:r w:rsidRPr="00104F41">
              <w:rPr>
                <w:rFonts w:ascii="ArialMT" w:hAnsi="ArialMT"/>
                <w:b/>
                <w:bCs/>
                <w:color w:val="77206D" w:themeColor="accent5" w:themeShade="BF"/>
                <w:sz w:val="22"/>
                <w:szCs w:val="22"/>
              </w:rPr>
              <w:t xml:space="preserve">Treynor Ratio </w:t>
            </w:r>
          </w:p>
        </w:tc>
        <w:tc>
          <w:tcPr>
            <w:tcW w:w="1300" w:type="dxa"/>
            <w:noWrap/>
            <w:hideMark/>
          </w:tcPr>
          <w:p w14:paraId="782C1EF7" w14:textId="77777777" w:rsidR="00104F41" w:rsidRPr="00104F41" w:rsidRDefault="00104F41" w:rsidP="00104F41">
            <w:pPr>
              <w:pStyle w:val="NormalWeb"/>
              <w:spacing w:line="360" w:lineRule="auto"/>
              <w:rPr>
                <w:rFonts w:ascii="ArialMT" w:hAnsi="ArialMT"/>
                <w:b/>
                <w:bCs/>
                <w:color w:val="77206D" w:themeColor="accent5" w:themeShade="BF"/>
                <w:sz w:val="22"/>
                <w:szCs w:val="22"/>
              </w:rPr>
            </w:pPr>
            <w:r w:rsidRPr="00104F41">
              <w:rPr>
                <w:rFonts w:ascii="ArialMT" w:hAnsi="ArialMT"/>
                <w:b/>
                <w:bCs/>
                <w:color w:val="77206D" w:themeColor="accent5" w:themeShade="BF"/>
                <w:sz w:val="22"/>
                <w:szCs w:val="22"/>
              </w:rPr>
              <w:t>0.0342</w:t>
            </w:r>
          </w:p>
        </w:tc>
        <w:tc>
          <w:tcPr>
            <w:tcW w:w="1360" w:type="dxa"/>
            <w:noWrap/>
            <w:hideMark/>
          </w:tcPr>
          <w:p w14:paraId="4FACEAC2" w14:textId="77777777" w:rsidR="00104F41" w:rsidRPr="00104F41" w:rsidRDefault="00104F41" w:rsidP="00104F41">
            <w:pPr>
              <w:pStyle w:val="NormalWeb"/>
              <w:spacing w:line="360" w:lineRule="auto"/>
              <w:rPr>
                <w:rFonts w:ascii="ArialMT" w:hAnsi="ArialMT"/>
                <w:b/>
                <w:bCs/>
                <w:color w:val="77206D" w:themeColor="accent5" w:themeShade="BF"/>
                <w:sz w:val="22"/>
                <w:szCs w:val="22"/>
              </w:rPr>
            </w:pPr>
            <w:r w:rsidRPr="00104F41">
              <w:rPr>
                <w:rFonts w:ascii="ArialMT" w:hAnsi="ArialMT"/>
                <w:b/>
                <w:bCs/>
                <w:color w:val="77206D" w:themeColor="accent5" w:themeShade="BF"/>
                <w:sz w:val="22"/>
                <w:szCs w:val="22"/>
              </w:rPr>
              <w:t>-0.0940</w:t>
            </w:r>
          </w:p>
        </w:tc>
      </w:tr>
    </w:tbl>
    <w:p w14:paraId="71D07EBF" w14:textId="567E2771" w:rsidR="00B270F6" w:rsidRDefault="00B270F6" w:rsidP="009B2DDF">
      <w:pPr>
        <w:pStyle w:val="NormalWeb"/>
        <w:spacing w:line="360" w:lineRule="auto"/>
        <w:rPr>
          <w:rFonts w:ascii="ArialMT" w:hAnsi="ArialMT"/>
          <w:b/>
          <w:bCs/>
          <w:color w:val="000000" w:themeColor="text1"/>
          <w:sz w:val="22"/>
          <w:szCs w:val="22"/>
        </w:rPr>
      </w:pPr>
    </w:p>
    <w:p w14:paraId="0EE16C46" w14:textId="2E949B19" w:rsidR="00460F94" w:rsidRDefault="009A45CE" w:rsidP="009B2DDF">
      <w:pPr>
        <w:pStyle w:val="NormalWeb"/>
        <w:spacing w:line="360" w:lineRule="auto"/>
        <w:rPr>
          <w:rFonts w:ascii="ArialMT" w:hAnsi="ArialMT"/>
          <w:b/>
          <w:bCs/>
          <w:color w:val="000000" w:themeColor="text1"/>
          <w:sz w:val="22"/>
          <w:szCs w:val="22"/>
        </w:rPr>
      </w:pPr>
      <w:r>
        <w:rPr>
          <w:rFonts w:ascii="ArialMT" w:hAnsi="ArialMT"/>
          <w:b/>
          <w:bCs/>
          <w:color w:val="000000" w:themeColor="text1"/>
          <w:sz w:val="22"/>
          <w:szCs w:val="22"/>
        </w:rPr>
        <w:t>2021: Mod</w:t>
      </w:r>
      <w:r w:rsidR="00433755">
        <w:rPr>
          <w:rFonts w:ascii="ArialMT" w:hAnsi="ArialMT"/>
          <w:b/>
          <w:bCs/>
          <w:color w:val="000000" w:themeColor="text1"/>
          <w:sz w:val="22"/>
          <w:szCs w:val="22"/>
        </w:rPr>
        <w:t>erate Risk</w:t>
      </w:r>
      <w:r w:rsidR="00051515">
        <w:rPr>
          <w:rFonts w:ascii="ArialMT" w:hAnsi="ArialMT"/>
          <w:b/>
          <w:bCs/>
          <w:color w:val="000000" w:themeColor="text1"/>
          <w:sz w:val="22"/>
          <w:szCs w:val="22"/>
        </w:rPr>
        <w:t xml:space="preserve">-Adjusted </w:t>
      </w:r>
    </w:p>
    <w:p w14:paraId="30E02EAB" w14:textId="6B198E2A" w:rsidR="00433755" w:rsidRPr="007C124C" w:rsidRDefault="0022028C" w:rsidP="009B2DDF">
      <w:pPr>
        <w:pStyle w:val="NormalWeb"/>
        <w:spacing w:line="360" w:lineRule="auto"/>
        <w:rPr>
          <w:rFonts w:ascii="ArialMT" w:hAnsi="ArialMT"/>
          <w:color w:val="000000" w:themeColor="text1"/>
          <w:sz w:val="22"/>
          <w:szCs w:val="22"/>
        </w:rPr>
      </w:pPr>
      <w:r w:rsidRPr="007C124C">
        <w:rPr>
          <w:rFonts w:ascii="ArialMT" w:hAnsi="ArialMT"/>
          <w:color w:val="000000" w:themeColor="text1"/>
          <w:sz w:val="22"/>
          <w:szCs w:val="22"/>
        </w:rPr>
        <w:t xml:space="preserve">Just </w:t>
      </w:r>
      <w:proofErr w:type="spellStart"/>
      <w:r w:rsidRPr="007C124C">
        <w:rPr>
          <w:rFonts w:ascii="ArialMT" w:hAnsi="ArialMT"/>
          <w:color w:val="000000" w:themeColor="text1"/>
          <w:sz w:val="22"/>
          <w:szCs w:val="22"/>
        </w:rPr>
        <w:t>Eat's</w:t>
      </w:r>
      <w:proofErr w:type="spellEnd"/>
      <w:r w:rsidRPr="007C124C">
        <w:rPr>
          <w:rFonts w:ascii="ArialMT" w:hAnsi="ArialMT"/>
          <w:color w:val="000000" w:themeColor="text1"/>
          <w:sz w:val="22"/>
          <w:szCs w:val="22"/>
        </w:rPr>
        <w:t xml:space="preserve"> 2021 Sharpe ratio of </w:t>
      </w:r>
      <w:r w:rsidRPr="007C124C">
        <w:rPr>
          <w:rFonts w:ascii="ArialMT" w:hAnsi="ArialMT"/>
          <w:b/>
          <w:bCs/>
          <w:color w:val="000000" w:themeColor="text1"/>
          <w:sz w:val="22"/>
          <w:szCs w:val="22"/>
        </w:rPr>
        <w:t>0.4</w:t>
      </w:r>
      <w:r w:rsidRPr="007C124C">
        <w:rPr>
          <w:rFonts w:ascii="ArialMT" w:hAnsi="ArialMT"/>
          <w:color w:val="000000" w:themeColor="text1"/>
          <w:sz w:val="22"/>
          <w:szCs w:val="22"/>
        </w:rPr>
        <w:t xml:space="preserve"> shows that the company delivered a reasonable return on investment, adjusted for risk. Even while this ratio isn't very high, given the degree of stock volatility, it implies that Just Eat was able to generate returns that were higher than the risk-free rate. This is a time when the business most likely kept investors' trust by managing both risks and rewards effectively.</w:t>
      </w:r>
      <w:r w:rsidR="00FA5E78" w:rsidRPr="007C124C">
        <w:rPr>
          <w:rFonts w:ascii="ArialMT" w:hAnsi="ArialMT"/>
          <w:color w:val="000000" w:themeColor="text1"/>
          <w:sz w:val="22"/>
          <w:szCs w:val="22"/>
        </w:rPr>
        <w:t xml:space="preserve"> </w:t>
      </w:r>
    </w:p>
    <w:p w14:paraId="4CB879D7" w14:textId="1C7D86D0" w:rsidR="009F34A6" w:rsidRPr="007C124C" w:rsidRDefault="009F34A6" w:rsidP="009B2DDF">
      <w:pPr>
        <w:pStyle w:val="NormalWeb"/>
        <w:spacing w:line="360" w:lineRule="auto"/>
        <w:rPr>
          <w:rFonts w:ascii="ArialMT" w:hAnsi="ArialMT"/>
          <w:color w:val="000000" w:themeColor="text1"/>
          <w:sz w:val="22"/>
          <w:szCs w:val="22"/>
        </w:rPr>
      </w:pPr>
      <w:r w:rsidRPr="007C124C">
        <w:rPr>
          <w:rFonts w:ascii="ArialMT" w:hAnsi="ArialMT"/>
          <w:color w:val="000000" w:themeColor="text1"/>
          <w:sz w:val="22"/>
          <w:szCs w:val="22"/>
        </w:rPr>
        <w:lastRenderedPageBreak/>
        <w:t xml:space="preserve">According to the Treynor ratio for 2021 which was </w:t>
      </w:r>
      <w:r w:rsidR="008A079C" w:rsidRPr="007C124C">
        <w:rPr>
          <w:rFonts w:ascii="ArialMT" w:hAnsi="ArialMT"/>
          <w:b/>
          <w:bCs/>
          <w:color w:val="000000" w:themeColor="text1"/>
          <w:sz w:val="22"/>
          <w:szCs w:val="22"/>
        </w:rPr>
        <w:t>0.0342</w:t>
      </w:r>
      <w:r w:rsidRPr="007C124C">
        <w:rPr>
          <w:rFonts w:ascii="ArialMT" w:hAnsi="ArialMT"/>
          <w:color w:val="000000" w:themeColor="text1"/>
          <w:sz w:val="22"/>
          <w:szCs w:val="22"/>
        </w:rPr>
        <w:t>, Just Eat provided a little extra return over the risk-free rate for each unit of market risk (as determined by beta). This shows that Just Eat showed a reasonable degree of market stability and provided investors with a little return in exchange for the risk they took.</w:t>
      </w:r>
      <w:r w:rsidR="000C4357" w:rsidRPr="007C124C">
        <w:rPr>
          <w:rFonts w:ascii="ArialMT" w:hAnsi="ArialMT"/>
          <w:color w:val="000000" w:themeColor="text1"/>
          <w:sz w:val="22"/>
          <w:szCs w:val="22"/>
        </w:rPr>
        <w:t xml:space="preserve"> </w:t>
      </w:r>
    </w:p>
    <w:p w14:paraId="0724BE94" w14:textId="0C80857D" w:rsidR="009A4965" w:rsidRPr="00433755" w:rsidRDefault="000C7C00" w:rsidP="009B2DDF">
      <w:pPr>
        <w:pStyle w:val="NormalWeb"/>
        <w:spacing w:line="360" w:lineRule="auto"/>
        <w:rPr>
          <w:rFonts w:ascii="ArialMT" w:hAnsi="ArialMT"/>
          <w:color w:val="000000" w:themeColor="text1"/>
          <w:sz w:val="22"/>
          <w:szCs w:val="22"/>
        </w:rPr>
      </w:pPr>
      <w:r>
        <w:rPr>
          <w:rFonts w:ascii="ArialMT" w:hAnsi="ArialMT"/>
          <w:color w:val="000000" w:themeColor="text1"/>
          <w:sz w:val="22"/>
          <w:szCs w:val="22"/>
        </w:rPr>
        <w:t xml:space="preserve">In conclusion </w:t>
      </w:r>
      <w:r w:rsidR="00E6685A">
        <w:rPr>
          <w:rFonts w:ascii="ArialMT" w:hAnsi="ArialMT"/>
          <w:color w:val="000000" w:themeColor="text1"/>
          <w:sz w:val="22"/>
          <w:szCs w:val="22"/>
        </w:rPr>
        <w:t>for 2021w</w:t>
      </w:r>
      <w:r w:rsidRPr="000C7C00">
        <w:rPr>
          <w:rFonts w:ascii="ArialMT" w:hAnsi="ArialMT"/>
          <w:color w:val="000000" w:themeColor="text1"/>
          <w:sz w:val="22"/>
          <w:szCs w:val="22"/>
        </w:rPr>
        <w:t xml:space="preserve">hile not overly outstanding, Just </w:t>
      </w:r>
      <w:proofErr w:type="spellStart"/>
      <w:r w:rsidRPr="000C7C00">
        <w:rPr>
          <w:rFonts w:ascii="ArialMT" w:hAnsi="ArialMT"/>
          <w:color w:val="000000" w:themeColor="text1"/>
          <w:sz w:val="22"/>
          <w:szCs w:val="22"/>
        </w:rPr>
        <w:t>Eat's</w:t>
      </w:r>
      <w:proofErr w:type="spellEnd"/>
      <w:r w:rsidRPr="000C7C00">
        <w:rPr>
          <w:rFonts w:ascii="ArialMT" w:hAnsi="ArialMT"/>
          <w:color w:val="000000" w:themeColor="text1"/>
          <w:sz w:val="22"/>
          <w:szCs w:val="22"/>
        </w:rPr>
        <w:t xml:space="preserve"> performance in 2021 was relatively steady and gave investors an acceptable return on their investment in risk. The company's initiatives were still providing value to shareholders during the time, as shown by the positive Sharpe and Treynor ratios.</w:t>
      </w:r>
    </w:p>
    <w:p w14:paraId="15EC3381" w14:textId="3FA8F116" w:rsidR="009B2DDF" w:rsidRDefault="00FA3BCA" w:rsidP="009B2DDF">
      <w:pPr>
        <w:pStyle w:val="NormalWeb"/>
        <w:spacing w:line="360" w:lineRule="auto"/>
        <w:rPr>
          <w:rFonts w:ascii="ArialMT" w:hAnsi="ArialMT"/>
          <w:b/>
          <w:bCs/>
          <w:color w:val="000000" w:themeColor="text1"/>
          <w:sz w:val="22"/>
          <w:szCs w:val="22"/>
        </w:rPr>
      </w:pPr>
      <w:r w:rsidRPr="00051515">
        <w:rPr>
          <w:rFonts w:ascii="ArialMT" w:hAnsi="ArialMT"/>
          <w:b/>
          <w:bCs/>
          <w:color w:val="000000" w:themeColor="text1"/>
          <w:sz w:val="22"/>
          <w:szCs w:val="22"/>
        </w:rPr>
        <w:t xml:space="preserve">2022: </w:t>
      </w:r>
      <w:r w:rsidR="00051515" w:rsidRPr="00051515">
        <w:rPr>
          <w:rFonts w:ascii="ArialMT" w:hAnsi="ArialMT"/>
          <w:b/>
          <w:bCs/>
          <w:color w:val="000000" w:themeColor="text1"/>
          <w:sz w:val="22"/>
          <w:szCs w:val="22"/>
        </w:rPr>
        <w:t xml:space="preserve">Negative Risk- Adjusted </w:t>
      </w:r>
    </w:p>
    <w:p w14:paraId="2FA896F9" w14:textId="18631FDD" w:rsidR="00A46B49" w:rsidRPr="007C124C" w:rsidRDefault="00545968" w:rsidP="009B2DDF">
      <w:pPr>
        <w:pStyle w:val="NormalWeb"/>
        <w:spacing w:line="360" w:lineRule="auto"/>
        <w:rPr>
          <w:rFonts w:ascii="ArialMT" w:hAnsi="ArialMT"/>
          <w:color w:val="000000" w:themeColor="text1"/>
          <w:sz w:val="22"/>
          <w:szCs w:val="22"/>
        </w:rPr>
      </w:pPr>
      <w:r w:rsidRPr="00545968">
        <w:rPr>
          <w:rFonts w:ascii="ArialMT" w:hAnsi="ArialMT"/>
          <w:color w:val="000000" w:themeColor="text1"/>
          <w:sz w:val="22"/>
          <w:szCs w:val="22"/>
        </w:rPr>
        <w:t xml:space="preserve">Sharpe Ratio </w:t>
      </w:r>
      <w:r w:rsidRPr="007C124C">
        <w:rPr>
          <w:rFonts w:ascii="ArialMT" w:hAnsi="ArialMT"/>
          <w:color w:val="000000" w:themeColor="text1"/>
          <w:sz w:val="22"/>
          <w:szCs w:val="22"/>
        </w:rPr>
        <w:t>being </w:t>
      </w:r>
      <w:r w:rsidRPr="007C124C">
        <w:rPr>
          <w:rFonts w:ascii="ArialMT" w:hAnsi="ArialMT"/>
          <w:b/>
          <w:bCs/>
          <w:color w:val="000000" w:themeColor="text1"/>
          <w:sz w:val="22"/>
          <w:szCs w:val="22"/>
        </w:rPr>
        <w:t>-0.7333</w:t>
      </w:r>
      <w:r w:rsidRPr="007C124C">
        <w:rPr>
          <w:rFonts w:ascii="ArialMT" w:hAnsi="ArialMT"/>
          <w:color w:val="000000" w:themeColor="text1"/>
          <w:sz w:val="22"/>
          <w:szCs w:val="22"/>
        </w:rPr>
        <w:t xml:space="preserve"> In 2022, Just </w:t>
      </w:r>
      <w:proofErr w:type="spellStart"/>
      <w:r w:rsidRPr="007C124C">
        <w:rPr>
          <w:rFonts w:ascii="ArialMT" w:hAnsi="ArialMT"/>
          <w:color w:val="000000" w:themeColor="text1"/>
          <w:sz w:val="22"/>
          <w:szCs w:val="22"/>
        </w:rPr>
        <w:t>Eat's</w:t>
      </w:r>
      <w:proofErr w:type="spellEnd"/>
      <w:r w:rsidRPr="007C124C">
        <w:rPr>
          <w:rFonts w:ascii="ArialMT" w:hAnsi="ArialMT"/>
          <w:color w:val="000000" w:themeColor="text1"/>
          <w:sz w:val="22"/>
          <w:szCs w:val="22"/>
        </w:rPr>
        <w:t xml:space="preserve"> performance dropped down dramatically, as seen by the highly negative Sharpe ratio. This measure shows that the company's stock volatility made losses worse in addition to failing to generate returns above the risk-free rate.</w:t>
      </w:r>
      <w:r w:rsidR="00341114" w:rsidRPr="007C124C">
        <w:rPr>
          <w:rFonts w:ascii="ArialMT" w:hAnsi="ArialMT"/>
          <w:color w:val="000000" w:themeColor="text1"/>
          <w:sz w:val="22"/>
          <w:szCs w:val="22"/>
        </w:rPr>
        <w:t xml:space="preserve"> </w:t>
      </w:r>
      <w:r w:rsidR="00341114" w:rsidRPr="007C124C">
        <w:rPr>
          <w:rFonts w:ascii="ArialMT" w:hAnsi="ArialMT"/>
          <w:color w:val="000000" w:themeColor="text1"/>
          <w:sz w:val="22"/>
          <w:szCs w:val="22"/>
        </w:rPr>
        <w:t xml:space="preserve">Investors faced a situation where the risk they took on was not </w:t>
      </w:r>
      <w:r w:rsidR="00341114" w:rsidRPr="007C124C">
        <w:rPr>
          <w:rFonts w:ascii="ArialMT" w:hAnsi="ArialMT"/>
          <w:color w:val="000000" w:themeColor="text1"/>
          <w:sz w:val="22"/>
          <w:szCs w:val="22"/>
        </w:rPr>
        <w:t xml:space="preserve">appropriately </w:t>
      </w:r>
      <w:r w:rsidR="00341114" w:rsidRPr="007C124C">
        <w:rPr>
          <w:rFonts w:ascii="ArialMT" w:hAnsi="ArialMT"/>
          <w:color w:val="000000" w:themeColor="text1"/>
          <w:sz w:val="22"/>
          <w:szCs w:val="22"/>
        </w:rPr>
        <w:t>compensated, resulting in a poor risk-adjusted return.</w:t>
      </w:r>
    </w:p>
    <w:p w14:paraId="3B633BD5" w14:textId="161A16BA" w:rsidR="00341114" w:rsidRPr="00545968" w:rsidRDefault="00B71692" w:rsidP="009B2DDF">
      <w:pPr>
        <w:pStyle w:val="NormalWeb"/>
        <w:spacing w:line="360" w:lineRule="auto"/>
        <w:rPr>
          <w:rFonts w:ascii="ArialMT" w:hAnsi="ArialMT"/>
          <w:color w:val="000000" w:themeColor="text1"/>
          <w:sz w:val="22"/>
          <w:szCs w:val="22"/>
        </w:rPr>
      </w:pPr>
      <w:r w:rsidRPr="007C124C">
        <w:rPr>
          <w:rFonts w:ascii="ArialMT" w:hAnsi="ArialMT"/>
          <w:color w:val="000000" w:themeColor="text1"/>
          <w:sz w:val="22"/>
          <w:szCs w:val="22"/>
        </w:rPr>
        <w:t xml:space="preserve">Likewise, the 2022 Treynor ratio of </w:t>
      </w:r>
      <w:r w:rsidR="007C124C" w:rsidRPr="007C124C">
        <w:rPr>
          <w:rFonts w:ascii="ArialMT" w:hAnsi="ArialMT"/>
          <w:b/>
          <w:bCs/>
          <w:color w:val="000000" w:themeColor="text1"/>
          <w:sz w:val="22"/>
          <w:szCs w:val="22"/>
        </w:rPr>
        <w:t>-0.0940</w:t>
      </w:r>
      <w:r w:rsidR="007C124C" w:rsidRPr="007C124C">
        <w:rPr>
          <w:rFonts w:ascii="ArialMT" w:hAnsi="ArialMT"/>
          <w:color w:val="000000" w:themeColor="text1"/>
          <w:sz w:val="22"/>
          <w:szCs w:val="22"/>
        </w:rPr>
        <w:t xml:space="preserve"> </w:t>
      </w:r>
      <w:r w:rsidRPr="007C124C">
        <w:rPr>
          <w:rFonts w:ascii="ArialMT" w:hAnsi="ArialMT"/>
          <w:color w:val="000000" w:themeColor="text1"/>
          <w:sz w:val="22"/>
          <w:szCs w:val="22"/>
        </w:rPr>
        <w:t xml:space="preserve">indicates that Just </w:t>
      </w:r>
      <w:proofErr w:type="spellStart"/>
      <w:r w:rsidRPr="007C124C">
        <w:rPr>
          <w:rFonts w:ascii="ArialMT" w:hAnsi="ArialMT"/>
          <w:color w:val="000000" w:themeColor="text1"/>
          <w:sz w:val="22"/>
          <w:szCs w:val="22"/>
        </w:rPr>
        <w:t>Eat's</w:t>
      </w:r>
      <w:proofErr w:type="spellEnd"/>
      <w:r w:rsidRPr="007C124C">
        <w:rPr>
          <w:rFonts w:ascii="ArialMT" w:hAnsi="ArialMT"/>
          <w:color w:val="000000" w:themeColor="text1"/>
          <w:sz w:val="22"/>
          <w:szCs w:val="22"/>
        </w:rPr>
        <w:t xml:space="preserve"> returns were not high enough to compensate for the risks brought on by volatility </w:t>
      </w:r>
      <w:r w:rsidRPr="00B71692">
        <w:rPr>
          <w:rFonts w:ascii="ArialMT" w:hAnsi="ArialMT"/>
          <w:color w:val="000000" w:themeColor="text1"/>
          <w:sz w:val="22"/>
          <w:szCs w:val="22"/>
        </w:rPr>
        <w:t xml:space="preserve">in the market. Given that investors suffered losses even after taking market-related risks into consideration, this reflects badly of the company's ability to manage </w:t>
      </w:r>
      <w:r w:rsidR="00066283">
        <w:rPr>
          <w:rFonts w:ascii="ArialMT" w:hAnsi="ArialMT"/>
          <w:color w:val="000000" w:themeColor="text1"/>
          <w:sz w:val="22"/>
          <w:szCs w:val="22"/>
        </w:rPr>
        <w:t>broad</w:t>
      </w:r>
      <w:r w:rsidRPr="00B71692">
        <w:rPr>
          <w:rFonts w:ascii="ArialMT" w:hAnsi="ArialMT"/>
          <w:color w:val="000000" w:themeColor="text1"/>
          <w:sz w:val="22"/>
          <w:szCs w:val="22"/>
        </w:rPr>
        <w:t xml:space="preserve"> risk.</w:t>
      </w:r>
    </w:p>
    <w:p w14:paraId="2B856EEA" w14:textId="30DD6772" w:rsidR="00400A58" w:rsidRDefault="00F95FCA" w:rsidP="00400A58">
      <w:pPr>
        <w:pStyle w:val="NormalWeb"/>
        <w:spacing w:line="360" w:lineRule="auto"/>
        <w:rPr>
          <w:rFonts w:ascii="ArialMT" w:hAnsi="ArialMT"/>
          <w:color w:val="000000" w:themeColor="text1"/>
          <w:sz w:val="22"/>
          <w:szCs w:val="22"/>
        </w:rPr>
      </w:pPr>
      <w:r w:rsidRPr="00F95FCA">
        <w:rPr>
          <w:rFonts w:ascii="ArialMT" w:hAnsi="ArialMT"/>
          <w:color w:val="000000" w:themeColor="text1"/>
          <w:sz w:val="22"/>
          <w:szCs w:val="22"/>
        </w:rPr>
        <w:t>Unfortunately, the low Treynor and Sharpe ratios show that 2022 was a very challenging year for Just Eat. The results show that the business experienced difficulties and gave investors negative returns that were not proportionate with the risks they were taking.</w:t>
      </w:r>
      <w:r>
        <w:rPr>
          <w:rFonts w:ascii="ArialMT" w:hAnsi="ArialMT"/>
          <w:color w:val="000000" w:themeColor="text1"/>
          <w:sz w:val="22"/>
          <w:szCs w:val="22"/>
        </w:rPr>
        <w:t xml:space="preserve"> Which </w:t>
      </w:r>
      <w:r w:rsidR="0036475A">
        <w:rPr>
          <w:rFonts w:ascii="ArialMT" w:hAnsi="ArialMT"/>
          <w:color w:val="000000" w:themeColor="text1"/>
          <w:sz w:val="22"/>
          <w:szCs w:val="22"/>
        </w:rPr>
        <w:t>was</w:t>
      </w:r>
      <w:r>
        <w:rPr>
          <w:rFonts w:ascii="ArialMT" w:hAnsi="ArialMT"/>
          <w:color w:val="000000" w:themeColor="text1"/>
          <w:sz w:val="22"/>
          <w:szCs w:val="22"/>
        </w:rPr>
        <w:t xml:space="preserve"> linked to the previously d</w:t>
      </w:r>
      <w:r w:rsidR="0036475A">
        <w:rPr>
          <w:rFonts w:ascii="ArialMT" w:hAnsi="ArialMT"/>
          <w:color w:val="000000" w:themeColor="text1"/>
          <w:sz w:val="22"/>
          <w:szCs w:val="22"/>
        </w:rPr>
        <w:t xml:space="preserve">iscussed issues such as </w:t>
      </w:r>
      <w:r w:rsidR="00217144" w:rsidRPr="00217144">
        <w:rPr>
          <w:rFonts w:ascii="ArialMT" w:hAnsi="ArialMT"/>
          <w:color w:val="000000" w:themeColor="text1"/>
          <w:sz w:val="22"/>
          <w:szCs w:val="22"/>
        </w:rPr>
        <w:t>increased competition, difficulties with operations, or general market circumstances</w:t>
      </w:r>
      <w:r w:rsidR="00217144">
        <w:rPr>
          <w:rFonts w:ascii="ArialMT" w:hAnsi="ArialMT"/>
          <w:color w:val="000000" w:themeColor="text1"/>
          <w:sz w:val="22"/>
          <w:szCs w:val="22"/>
        </w:rPr>
        <w:t xml:space="preserve"> around Covid-19</w:t>
      </w:r>
      <w:r w:rsidR="00217144" w:rsidRPr="00217144">
        <w:rPr>
          <w:rFonts w:ascii="ArialMT" w:hAnsi="ArialMT"/>
          <w:color w:val="000000" w:themeColor="text1"/>
          <w:sz w:val="22"/>
          <w:szCs w:val="22"/>
        </w:rPr>
        <w:t xml:space="preserve"> that Just Eat was unable to successfully manage.</w:t>
      </w:r>
    </w:p>
    <w:p w14:paraId="64A19DCC" w14:textId="6DF80137" w:rsidR="00CC63E4" w:rsidRDefault="00CC63E4" w:rsidP="0069410F">
      <w:pPr>
        <w:pStyle w:val="Heading1"/>
      </w:pPr>
      <w:bookmarkStart w:id="8" w:name="_Toc175609882"/>
      <w:r>
        <w:t xml:space="preserve">Second Listed company </w:t>
      </w:r>
      <w:proofErr w:type="spellStart"/>
      <w:r w:rsidR="00AB4C9C">
        <w:t>DoorDash</w:t>
      </w:r>
      <w:proofErr w:type="spellEnd"/>
      <w:r w:rsidR="00AB4C9C">
        <w:t>, Inc (DASH)</w:t>
      </w:r>
      <w:bookmarkEnd w:id="8"/>
      <w:r w:rsidR="00AB4C9C">
        <w:t xml:space="preserve"> </w:t>
      </w:r>
    </w:p>
    <w:p w14:paraId="414D6ADA" w14:textId="6261E2BD" w:rsidR="0069410F" w:rsidRPr="0069410F" w:rsidRDefault="0069410F" w:rsidP="0069410F">
      <w:pPr>
        <w:pStyle w:val="Heading2"/>
      </w:pPr>
      <w:bookmarkStart w:id="9" w:name="_Toc175609883"/>
      <w:r w:rsidRPr="0069410F">
        <w:t>3.1 Money call</w:t>
      </w:r>
      <w:bookmarkEnd w:id="9"/>
    </w:p>
    <w:p w14:paraId="1DC0F085" w14:textId="32B17432" w:rsidR="00AB4C9C" w:rsidRDefault="00AB4C9C" w:rsidP="00400A58">
      <w:pPr>
        <w:pStyle w:val="NormalWeb"/>
        <w:spacing w:line="360" w:lineRule="auto"/>
        <w:rPr>
          <w:rFonts w:ascii="ArialMT" w:hAnsi="ArialMT"/>
          <w:color w:val="000000" w:themeColor="text1"/>
          <w:sz w:val="22"/>
          <w:szCs w:val="22"/>
        </w:rPr>
      </w:pPr>
      <w:proofErr w:type="spellStart"/>
      <w:r w:rsidRPr="00AB4C9C">
        <w:rPr>
          <w:rFonts w:ascii="ArialMT" w:hAnsi="ArialMT"/>
          <w:color w:val="000000" w:themeColor="text1"/>
          <w:sz w:val="22"/>
          <w:szCs w:val="22"/>
        </w:rPr>
        <w:t>DoorDash</w:t>
      </w:r>
      <w:proofErr w:type="spellEnd"/>
      <w:r w:rsidRPr="00AB4C9C">
        <w:rPr>
          <w:rFonts w:ascii="ArialMT" w:hAnsi="ArialMT"/>
          <w:color w:val="000000" w:themeColor="text1"/>
          <w:sz w:val="22"/>
          <w:szCs w:val="22"/>
        </w:rPr>
        <w:t xml:space="preserve"> is a leading food delivery service based in the United States, and it has become one of the most </w:t>
      </w:r>
      <w:proofErr w:type="spellStart"/>
      <w:proofErr w:type="gramStart"/>
      <w:r w:rsidRPr="00AB4C9C">
        <w:rPr>
          <w:rFonts w:ascii="ArialMT" w:hAnsi="ArialMT"/>
          <w:color w:val="000000" w:themeColor="text1"/>
          <w:sz w:val="22"/>
          <w:szCs w:val="22"/>
        </w:rPr>
        <w:t>well known</w:t>
      </w:r>
      <w:proofErr w:type="spellEnd"/>
      <w:proofErr w:type="gramEnd"/>
      <w:r w:rsidRPr="00AB4C9C">
        <w:rPr>
          <w:rFonts w:ascii="ArialMT" w:hAnsi="ArialMT"/>
          <w:color w:val="000000" w:themeColor="text1"/>
          <w:sz w:val="22"/>
          <w:szCs w:val="22"/>
        </w:rPr>
        <w:t xml:space="preserve"> food delivery services since its founding in 2013.</w:t>
      </w:r>
      <w:r>
        <w:rPr>
          <w:rFonts w:ascii="ArialMT" w:hAnsi="ArialMT"/>
          <w:color w:val="000000" w:themeColor="text1"/>
          <w:sz w:val="22"/>
          <w:szCs w:val="22"/>
        </w:rPr>
        <w:t xml:space="preserve"> </w:t>
      </w:r>
      <w:r w:rsidRPr="00AB4C9C">
        <w:rPr>
          <w:rFonts w:ascii="ArialMT" w:hAnsi="ArialMT"/>
          <w:color w:val="000000" w:themeColor="text1"/>
          <w:sz w:val="22"/>
          <w:szCs w:val="22"/>
        </w:rPr>
        <w:t xml:space="preserve">After going public in December 2020, </w:t>
      </w:r>
      <w:proofErr w:type="spellStart"/>
      <w:r w:rsidRPr="00AB4C9C">
        <w:rPr>
          <w:rFonts w:ascii="ArialMT" w:hAnsi="ArialMT"/>
          <w:color w:val="000000" w:themeColor="text1"/>
          <w:sz w:val="22"/>
          <w:szCs w:val="22"/>
        </w:rPr>
        <w:t>DoorDash</w:t>
      </w:r>
      <w:proofErr w:type="spellEnd"/>
      <w:r w:rsidRPr="00AB4C9C">
        <w:rPr>
          <w:rFonts w:ascii="ArialMT" w:hAnsi="ArialMT"/>
          <w:color w:val="000000" w:themeColor="text1"/>
          <w:sz w:val="22"/>
          <w:szCs w:val="22"/>
        </w:rPr>
        <w:t xml:space="preserve"> is listed as a publicly traded company on the New York Stock Exchange, with the ticker "DASH."</w:t>
      </w:r>
      <w:r>
        <w:rPr>
          <w:rFonts w:ascii="ArialMT" w:hAnsi="ArialMT"/>
          <w:color w:val="000000" w:themeColor="text1"/>
          <w:sz w:val="22"/>
          <w:szCs w:val="22"/>
        </w:rPr>
        <w:t xml:space="preserve"> </w:t>
      </w:r>
      <w:r w:rsidR="0069410F">
        <w:rPr>
          <w:rFonts w:ascii="ArialMT" w:hAnsi="ArialMT"/>
          <w:color w:val="000000" w:themeColor="text1"/>
          <w:sz w:val="22"/>
          <w:szCs w:val="22"/>
        </w:rPr>
        <w:t xml:space="preserve">(Griffith, E. 2020) </w:t>
      </w:r>
    </w:p>
    <w:p w14:paraId="583AC336" w14:textId="65FFC7C5" w:rsidR="00AB4C9C" w:rsidRDefault="00AB4C9C" w:rsidP="00400A58">
      <w:pPr>
        <w:pStyle w:val="NormalWeb"/>
        <w:spacing w:line="360" w:lineRule="auto"/>
        <w:rPr>
          <w:rFonts w:ascii="ArialMT" w:hAnsi="ArialMT"/>
          <w:color w:val="000000" w:themeColor="text1"/>
          <w:sz w:val="22"/>
          <w:szCs w:val="22"/>
        </w:rPr>
      </w:pPr>
      <w:r w:rsidRPr="00AB4C9C">
        <w:rPr>
          <w:rFonts w:ascii="ArialMT" w:hAnsi="ArialMT"/>
          <w:color w:val="000000" w:themeColor="text1"/>
          <w:sz w:val="22"/>
          <w:szCs w:val="22"/>
        </w:rPr>
        <w:lastRenderedPageBreak/>
        <w:t xml:space="preserve">Choosing </w:t>
      </w:r>
      <w:proofErr w:type="spellStart"/>
      <w:r w:rsidRPr="00AB4C9C">
        <w:rPr>
          <w:rFonts w:ascii="ArialMT" w:hAnsi="ArialMT"/>
          <w:color w:val="000000" w:themeColor="text1"/>
          <w:sz w:val="22"/>
          <w:szCs w:val="22"/>
        </w:rPr>
        <w:t>DoorDash</w:t>
      </w:r>
      <w:proofErr w:type="spellEnd"/>
      <w:r w:rsidRPr="00AB4C9C">
        <w:rPr>
          <w:rFonts w:ascii="ArialMT" w:hAnsi="ArialMT"/>
          <w:color w:val="000000" w:themeColor="text1"/>
          <w:sz w:val="22"/>
          <w:szCs w:val="22"/>
        </w:rPr>
        <w:t xml:space="preserve"> as a second company for comparison is particularly relevant because, like Just Eat, it operates within the highly competitive and rapidly growing food delivery industry. Both companies face similar challenges and opportunities, such as the need to continuously innovate in response to changing consumer preferences and the increasing importance of digital infrastructure in their </w:t>
      </w:r>
      <w:proofErr w:type="spellStart"/>
      <w:proofErr w:type="gramStart"/>
      <w:r w:rsidRPr="00AB4C9C">
        <w:rPr>
          <w:rFonts w:ascii="ArialMT" w:hAnsi="ArialMT"/>
          <w:color w:val="000000" w:themeColor="text1"/>
          <w:sz w:val="22"/>
          <w:szCs w:val="22"/>
        </w:rPr>
        <w:t>operations.In</w:t>
      </w:r>
      <w:proofErr w:type="spellEnd"/>
      <w:proofErr w:type="gramEnd"/>
      <w:r w:rsidRPr="00AB4C9C">
        <w:rPr>
          <w:rFonts w:ascii="ArialMT" w:hAnsi="ArialMT"/>
          <w:color w:val="000000" w:themeColor="text1"/>
          <w:sz w:val="22"/>
          <w:szCs w:val="22"/>
        </w:rPr>
        <w:t xml:space="preserve"> addition, </w:t>
      </w:r>
      <w:proofErr w:type="spellStart"/>
      <w:r w:rsidRPr="00AB4C9C">
        <w:rPr>
          <w:rFonts w:ascii="ArialMT" w:hAnsi="ArialMT"/>
          <w:color w:val="000000" w:themeColor="text1"/>
          <w:sz w:val="22"/>
          <w:szCs w:val="22"/>
        </w:rPr>
        <w:t>DoorDash's</w:t>
      </w:r>
      <w:proofErr w:type="spellEnd"/>
      <w:r w:rsidRPr="00AB4C9C">
        <w:rPr>
          <w:rFonts w:ascii="ArialMT" w:hAnsi="ArialMT"/>
          <w:color w:val="000000" w:themeColor="text1"/>
          <w:sz w:val="22"/>
          <w:szCs w:val="22"/>
        </w:rPr>
        <w:t xml:space="preserve"> status as a publicly traded company with exchange-traded options</w:t>
      </w:r>
      <w:r>
        <w:rPr>
          <w:rFonts w:ascii="ArialMT" w:hAnsi="ArialMT"/>
          <w:color w:val="000000" w:themeColor="text1"/>
          <w:sz w:val="22"/>
          <w:szCs w:val="22"/>
        </w:rPr>
        <w:t xml:space="preserve">. </w:t>
      </w:r>
      <w:r w:rsidRPr="00AB4C9C">
        <w:rPr>
          <w:rFonts w:ascii="ArialMT" w:hAnsi="ArialMT"/>
          <w:color w:val="000000" w:themeColor="text1"/>
          <w:sz w:val="22"/>
          <w:szCs w:val="22"/>
        </w:rPr>
        <w:t>This makes it possible to thoroughly investigate risk management and investment strategies, which are crucial elements of any in-depth financial research.</w:t>
      </w:r>
      <w:r>
        <w:rPr>
          <w:rFonts w:ascii="ArialMT" w:hAnsi="ArialMT"/>
          <w:color w:val="000000" w:themeColor="text1"/>
          <w:sz w:val="22"/>
          <w:szCs w:val="22"/>
        </w:rPr>
        <w:t xml:space="preserve"> </w:t>
      </w:r>
    </w:p>
    <w:p w14:paraId="2BC8C1E2" w14:textId="66204857" w:rsidR="00AB4C9C" w:rsidRDefault="00AB4C9C" w:rsidP="00400A58">
      <w:pPr>
        <w:pStyle w:val="NormalWeb"/>
        <w:spacing w:line="360" w:lineRule="auto"/>
        <w:rPr>
          <w:rFonts w:ascii="ArialMT" w:hAnsi="ArialMT"/>
          <w:b/>
          <w:bCs/>
          <w:color w:val="000000" w:themeColor="text1"/>
          <w:sz w:val="22"/>
          <w:szCs w:val="22"/>
        </w:rPr>
      </w:pPr>
      <w:r w:rsidRPr="00AB4C9C">
        <w:rPr>
          <w:rFonts w:ascii="ArialMT" w:hAnsi="ArialMT"/>
          <w:b/>
          <w:bCs/>
          <w:color w:val="000000" w:themeColor="text1"/>
          <w:sz w:val="22"/>
          <w:szCs w:val="22"/>
        </w:rPr>
        <w:t>Payoff</w:t>
      </w:r>
    </w:p>
    <w:p w14:paraId="040386EB" w14:textId="67FF3821" w:rsidR="00AB4C9C" w:rsidRPr="00AB4C9C" w:rsidRDefault="00AB4C9C" w:rsidP="00400A58">
      <w:pPr>
        <w:pStyle w:val="NormalWeb"/>
        <w:spacing w:line="360" w:lineRule="auto"/>
        <w:rPr>
          <w:rFonts w:ascii="ArialMT" w:hAnsi="ArialMT"/>
          <w:color w:val="000000" w:themeColor="text1"/>
          <w:sz w:val="22"/>
          <w:szCs w:val="22"/>
        </w:rPr>
      </w:pPr>
      <w:r w:rsidRPr="00AB4C9C">
        <w:rPr>
          <w:rFonts w:ascii="ArialMT" w:hAnsi="ArialMT"/>
          <w:color w:val="000000" w:themeColor="text1"/>
          <w:sz w:val="22"/>
          <w:szCs w:val="22"/>
        </w:rPr>
        <w:t>Table</w:t>
      </w:r>
      <w:r w:rsidR="0069410F">
        <w:rPr>
          <w:rFonts w:ascii="ArialMT" w:hAnsi="ArialMT"/>
          <w:color w:val="000000" w:themeColor="text1"/>
          <w:sz w:val="22"/>
          <w:szCs w:val="22"/>
        </w:rPr>
        <w:t xml:space="preserve"> below</w:t>
      </w:r>
      <w:r w:rsidRPr="00AB4C9C">
        <w:rPr>
          <w:rFonts w:ascii="ArialMT" w:hAnsi="ArialMT"/>
          <w:color w:val="000000" w:themeColor="text1"/>
          <w:sz w:val="22"/>
          <w:szCs w:val="22"/>
        </w:rPr>
        <w:t xml:space="preserve"> </w:t>
      </w:r>
      <w:r w:rsidR="0069410F">
        <w:rPr>
          <w:rFonts w:ascii="ArialMT" w:hAnsi="ArialMT"/>
          <w:color w:val="000000" w:themeColor="text1"/>
          <w:sz w:val="22"/>
          <w:szCs w:val="22"/>
        </w:rPr>
        <w:t xml:space="preserve">is </w:t>
      </w:r>
      <w:r w:rsidRPr="00AB4C9C">
        <w:rPr>
          <w:rFonts w:ascii="ArialMT" w:hAnsi="ArialMT"/>
          <w:color w:val="000000" w:themeColor="text1"/>
          <w:sz w:val="22"/>
          <w:szCs w:val="22"/>
        </w:rPr>
        <w:t xml:space="preserve">of call options for </w:t>
      </w:r>
      <w:proofErr w:type="spellStart"/>
      <w:r w:rsidRPr="00AB4C9C">
        <w:rPr>
          <w:rFonts w:ascii="ArialMT" w:hAnsi="ArialMT"/>
          <w:color w:val="000000" w:themeColor="text1"/>
          <w:sz w:val="22"/>
          <w:szCs w:val="22"/>
        </w:rPr>
        <w:t>DoorDash</w:t>
      </w:r>
      <w:proofErr w:type="spellEnd"/>
      <w:r w:rsidRPr="00AB4C9C">
        <w:rPr>
          <w:rFonts w:ascii="ArialMT" w:hAnsi="ArialMT"/>
          <w:color w:val="000000" w:themeColor="text1"/>
          <w:sz w:val="22"/>
          <w:szCs w:val="22"/>
        </w:rPr>
        <w:t xml:space="preserve"> (DASH) with various strike prices, premiums (last price), bid/ask prices, and other relevant data such as volume, open interest, and implied volatility</w:t>
      </w:r>
      <w:r w:rsidR="0069410F">
        <w:rPr>
          <w:rFonts w:ascii="ArialMT" w:hAnsi="ArialMT"/>
          <w:color w:val="000000" w:themeColor="text1"/>
          <w:sz w:val="22"/>
          <w:szCs w:val="22"/>
        </w:rPr>
        <w:t xml:space="preserve"> (Marketchameleon.com 2024)</w:t>
      </w:r>
      <w:r w:rsidRPr="00AB4C9C">
        <w:rPr>
          <w:rFonts w:ascii="ArialMT" w:hAnsi="ArialMT"/>
          <w:color w:val="000000" w:themeColor="text1"/>
          <w:sz w:val="22"/>
          <w:szCs w:val="22"/>
        </w:rPr>
        <w:t>.</w:t>
      </w:r>
    </w:p>
    <w:p w14:paraId="0B3CD960" w14:textId="3925EF21" w:rsidR="0069410F" w:rsidRDefault="0069410F" w:rsidP="0069410F">
      <w:pPr>
        <w:pStyle w:val="Caption"/>
        <w:keepNext/>
      </w:pPr>
      <w:r>
        <w:t xml:space="preserve">Figure </w:t>
      </w:r>
      <w:r>
        <w:fldChar w:fldCharType="begin"/>
      </w:r>
      <w:r>
        <w:instrText xml:space="preserve"> SEQ Figure \* ARABIC </w:instrText>
      </w:r>
      <w:r>
        <w:fldChar w:fldCharType="separate"/>
      </w:r>
      <w:r>
        <w:rPr>
          <w:noProof/>
        </w:rPr>
        <w:t>13</w:t>
      </w:r>
      <w:r>
        <w:fldChar w:fldCharType="end"/>
      </w:r>
      <w:r>
        <w:t xml:space="preserve">Options-Calls </w:t>
      </w:r>
      <w:proofErr w:type="spellStart"/>
      <w:r>
        <w:t>DoorDash</w:t>
      </w:r>
      <w:proofErr w:type="spellEnd"/>
      <w:r>
        <w:t xml:space="preserve"> (source: Yahoofinance.com)</w:t>
      </w:r>
    </w:p>
    <w:p w14:paraId="4AA087BD" w14:textId="36842450" w:rsidR="00AB4C9C" w:rsidRDefault="00AB4C9C" w:rsidP="00AB4C9C">
      <w:pPr>
        <w:pStyle w:val="NormalWeb"/>
        <w:spacing w:line="360" w:lineRule="auto"/>
        <w:rPr>
          <w:rFonts w:ascii="ArialMT" w:hAnsi="ArialMT"/>
          <w:b/>
          <w:bCs/>
          <w:color w:val="000000" w:themeColor="text1"/>
          <w:sz w:val="22"/>
          <w:szCs w:val="22"/>
        </w:rPr>
      </w:pPr>
      <w:r>
        <w:rPr>
          <w:rFonts w:ascii="ArialMT" w:hAnsi="ArialMT"/>
          <w:b/>
          <w:bCs/>
          <w:noProof/>
          <w:color w:val="000000" w:themeColor="text1"/>
          <w:sz w:val="22"/>
          <w:szCs w:val="22"/>
          <w14:ligatures w14:val="standardContextual"/>
        </w:rPr>
        <w:drawing>
          <wp:inline distT="0" distB="0" distL="0" distR="0" wp14:anchorId="7616E0E8" wp14:editId="5B59F758">
            <wp:extent cx="5731510" cy="1635760"/>
            <wp:effectExtent l="0" t="0" r="0" b="2540"/>
            <wp:docPr id="828579893" name="Picture 1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579893" name="Picture 15" descr="A screenshot of a graph&#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1635760"/>
                    </a:xfrm>
                    <a:prstGeom prst="rect">
                      <a:avLst/>
                    </a:prstGeom>
                  </pic:spPr>
                </pic:pic>
              </a:graphicData>
            </a:graphic>
          </wp:inline>
        </w:drawing>
      </w:r>
    </w:p>
    <w:p w14:paraId="27470B24" w14:textId="62CAF18C" w:rsidR="00AB4C9C" w:rsidRDefault="00AB4C9C" w:rsidP="00AB4C9C">
      <w:pPr>
        <w:pStyle w:val="NormalWeb"/>
        <w:spacing w:line="360" w:lineRule="auto"/>
        <w:rPr>
          <w:rFonts w:ascii="ArialMT" w:hAnsi="ArialMT"/>
          <w:color w:val="000000" w:themeColor="text1"/>
          <w:sz w:val="22"/>
          <w:szCs w:val="22"/>
        </w:rPr>
      </w:pPr>
      <w:r w:rsidRPr="00AB4C9C">
        <w:rPr>
          <w:rFonts w:ascii="ArialMT" w:hAnsi="ArialMT"/>
          <w:color w:val="000000" w:themeColor="text1"/>
          <w:sz w:val="22"/>
          <w:szCs w:val="22"/>
        </w:rPr>
        <w:t xml:space="preserve">The set price at which the option holder can buy the underlying </w:t>
      </w:r>
      <w:proofErr w:type="spellStart"/>
      <w:r w:rsidRPr="00AB4C9C">
        <w:rPr>
          <w:rFonts w:ascii="ArialMT" w:hAnsi="ArialMT"/>
          <w:color w:val="000000" w:themeColor="text1"/>
          <w:sz w:val="22"/>
          <w:szCs w:val="22"/>
        </w:rPr>
        <w:t>DoorDash</w:t>
      </w:r>
      <w:proofErr w:type="spellEnd"/>
      <w:r w:rsidRPr="00AB4C9C">
        <w:rPr>
          <w:rFonts w:ascii="ArialMT" w:hAnsi="ArialMT"/>
          <w:color w:val="000000" w:themeColor="text1"/>
          <w:sz w:val="22"/>
          <w:szCs w:val="22"/>
        </w:rPr>
        <w:t xml:space="preserve"> shares is represented by the strike price in the table. The ATM option is determined by using the strike price that is closest to the current market price of </w:t>
      </w:r>
      <w:proofErr w:type="spellStart"/>
      <w:r w:rsidRPr="00AB4C9C">
        <w:rPr>
          <w:rFonts w:ascii="ArialMT" w:hAnsi="ArialMT"/>
          <w:color w:val="000000" w:themeColor="text1"/>
          <w:sz w:val="22"/>
          <w:szCs w:val="22"/>
        </w:rPr>
        <w:t>DoorDash</w:t>
      </w:r>
      <w:proofErr w:type="spellEnd"/>
      <w:r w:rsidRPr="00AB4C9C">
        <w:rPr>
          <w:rFonts w:ascii="ArialMT" w:hAnsi="ArialMT"/>
          <w:color w:val="000000" w:themeColor="text1"/>
          <w:sz w:val="22"/>
          <w:szCs w:val="22"/>
        </w:rPr>
        <w:t xml:space="preserve"> shares for the purposes of this study. An option with a $100 strike price, for instance, would be said to be at the money if the stock price is now at or near $100.</w:t>
      </w:r>
      <w:r>
        <w:rPr>
          <w:rFonts w:ascii="ArialMT" w:hAnsi="ArialMT"/>
          <w:color w:val="000000" w:themeColor="text1"/>
          <w:sz w:val="22"/>
          <w:szCs w:val="22"/>
        </w:rPr>
        <w:t xml:space="preserve"> </w:t>
      </w:r>
      <w:r w:rsidRPr="00AB4C9C">
        <w:rPr>
          <w:rFonts w:ascii="ArialMT" w:hAnsi="ArialMT"/>
          <w:color w:val="000000" w:themeColor="text1"/>
          <w:sz w:val="22"/>
          <w:szCs w:val="22"/>
        </w:rPr>
        <w:t>The premium is the price paid to acquire the option and is a critical factor in the payoff calculation. The table provides the last traded price of the option, as well as the bid and ask prices</w:t>
      </w:r>
      <w:r w:rsidR="0069410F">
        <w:rPr>
          <w:rFonts w:ascii="ArialMT" w:hAnsi="ArialMT"/>
          <w:color w:val="000000" w:themeColor="text1"/>
          <w:sz w:val="22"/>
          <w:szCs w:val="22"/>
        </w:rPr>
        <w:t xml:space="preserve"> (Chegg, 2024)</w:t>
      </w:r>
      <w:r w:rsidRPr="00AB4C9C">
        <w:rPr>
          <w:rFonts w:ascii="ArialMT" w:hAnsi="ArialMT"/>
          <w:color w:val="000000" w:themeColor="text1"/>
          <w:sz w:val="22"/>
          <w:szCs w:val="22"/>
        </w:rPr>
        <w:t>.</w:t>
      </w:r>
    </w:p>
    <w:p w14:paraId="599892F4" w14:textId="10CFBC7A" w:rsidR="0069410F" w:rsidRPr="00AB4C9C" w:rsidRDefault="0069410F" w:rsidP="00AB4C9C">
      <w:pPr>
        <w:pStyle w:val="NormalWeb"/>
        <w:spacing w:line="360" w:lineRule="auto"/>
        <w:rPr>
          <w:rFonts w:ascii="ArialMT" w:hAnsi="ArialMT"/>
          <w:color w:val="000000" w:themeColor="text1"/>
          <w:sz w:val="22"/>
          <w:szCs w:val="22"/>
        </w:rPr>
      </w:pPr>
      <w:r w:rsidRPr="0069410F">
        <w:rPr>
          <w:rFonts w:ascii="ArialMT" w:hAnsi="ArialMT"/>
          <w:color w:val="000000" w:themeColor="text1"/>
          <w:sz w:val="22"/>
          <w:szCs w:val="22"/>
        </w:rPr>
        <w:t>The graph below depicts the payoff diagram for a call option with a strike price of $70 and a premium of $59.67</w:t>
      </w:r>
      <w:r>
        <w:rPr>
          <w:rFonts w:ascii="ArialMT" w:hAnsi="ArialMT"/>
          <w:color w:val="000000" w:themeColor="text1"/>
          <w:sz w:val="22"/>
          <w:szCs w:val="22"/>
        </w:rPr>
        <w:t xml:space="preserve">. </w:t>
      </w:r>
    </w:p>
    <w:p w14:paraId="701A5E4F" w14:textId="0E12A65F" w:rsidR="0069410F" w:rsidRDefault="0069410F" w:rsidP="0069410F">
      <w:pPr>
        <w:pStyle w:val="Caption"/>
        <w:keepNext/>
      </w:pPr>
      <w:r>
        <w:lastRenderedPageBreak/>
        <w:t xml:space="preserve">Figure </w:t>
      </w:r>
      <w:r>
        <w:fldChar w:fldCharType="begin"/>
      </w:r>
      <w:r>
        <w:instrText xml:space="preserve"> SEQ Figure \* ARABIC </w:instrText>
      </w:r>
      <w:r>
        <w:fldChar w:fldCharType="separate"/>
      </w:r>
      <w:r>
        <w:rPr>
          <w:noProof/>
        </w:rPr>
        <w:t>14</w:t>
      </w:r>
      <w:r>
        <w:fldChar w:fldCharType="end"/>
      </w:r>
      <w:r>
        <w:t xml:space="preserve"> Payoff Diagram (source: Author)</w:t>
      </w:r>
    </w:p>
    <w:p w14:paraId="5ACC1768" w14:textId="51E630FD" w:rsidR="00AB4C9C" w:rsidRDefault="00AB4C9C" w:rsidP="00AB4C9C">
      <w:pPr>
        <w:pStyle w:val="NormalWeb"/>
        <w:spacing w:line="360" w:lineRule="auto"/>
        <w:rPr>
          <w:rFonts w:ascii="ArialMT" w:hAnsi="ArialMT"/>
          <w:color w:val="000000" w:themeColor="text1"/>
          <w:sz w:val="22"/>
          <w:szCs w:val="22"/>
        </w:rPr>
      </w:pPr>
      <w:r>
        <w:rPr>
          <w:rFonts w:ascii="ArialMT" w:hAnsi="ArialMT"/>
          <w:noProof/>
          <w:color w:val="000000" w:themeColor="text1"/>
          <w:sz w:val="22"/>
          <w:szCs w:val="22"/>
          <w14:ligatures w14:val="standardContextual"/>
        </w:rPr>
        <w:drawing>
          <wp:inline distT="0" distB="0" distL="0" distR="0" wp14:anchorId="06F22AB0" wp14:editId="70E6A522">
            <wp:extent cx="5731510" cy="3688080"/>
            <wp:effectExtent l="0" t="0" r="0" b="0"/>
            <wp:docPr id="392293587" name="Picture 17" descr="A graph of a pri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293587" name="Picture 17" descr="A graph of a price&#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688080"/>
                    </a:xfrm>
                    <a:prstGeom prst="rect">
                      <a:avLst/>
                    </a:prstGeom>
                  </pic:spPr>
                </pic:pic>
              </a:graphicData>
            </a:graphic>
          </wp:inline>
        </w:drawing>
      </w:r>
    </w:p>
    <w:p w14:paraId="63D1424F" w14:textId="7864F124" w:rsidR="00AB4C9C" w:rsidRDefault="00AB4C9C" w:rsidP="00AB4C9C">
      <w:pPr>
        <w:pStyle w:val="NormalWeb"/>
        <w:spacing w:line="360" w:lineRule="auto"/>
        <w:rPr>
          <w:rFonts w:ascii="ArialMT" w:hAnsi="ArialMT"/>
          <w:color w:val="000000" w:themeColor="text1"/>
          <w:sz w:val="22"/>
          <w:szCs w:val="22"/>
        </w:rPr>
      </w:pPr>
      <w:r>
        <w:rPr>
          <w:rFonts w:ascii="ArialMT" w:hAnsi="ArialMT"/>
          <w:color w:val="000000" w:themeColor="text1"/>
          <w:sz w:val="22"/>
          <w:szCs w:val="22"/>
        </w:rPr>
        <w:t>8/9/2024</w:t>
      </w:r>
    </w:p>
    <w:p w14:paraId="0C8A467C" w14:textId="7033FE88" w:rsidR="00AB4C9C" w:rsidRDefault="00AB4C9C" w:rsidP="00AB4C9C">
      <w:pPr>
        <w:pStyle w:val="NormalWeb"/>
        <w:spacing w:line="360" w:lineRule="auto"/>
        <w:rPr>
          <w:rFonts w:ascii="ArialMT" w:hAnsi="ArialMT"/>
          <w:color w:val="000000" w:themeColor="text1"/>
          <w:sz w:val="22"/>
          <w:szCs w:val="22"/>
        </w:rPr>
      </w:pPr>
      <w:r>
        <w:rPr>
          <w:rFonts w:ascii="ArialMT" w:hAnsi="ArialMT"/>
          <w:color w:val="000000" w:themeColor="text1"/>
          <w:sz w:val="22"/>
          <w:szCs w:val="22"/>
        </w:rPr>
        <w:t>Strike Price: $70</w:t>
      </w:r>
    </w:p>
    <w:p w14:paraId="64BB832E" w14:textId="326998A2" w:rsidR="00AB4C9C" w:rsidRDefault="00AB4C9C" w:rsidP="00AB4C9C">
      <w:pPr>
        <w:pStyle w:val="NormalWeb"/>
        <w:spacing w:line="360" w:lineRule="auto"/>
        <w:rPr>
          <w:rFonts w:ascii="ArialMT" w:hAnsi="ArialMT"/>
          <w:color w:val="000000" w:themeColor="text1"/>
          <w:sz w:val="22"/>
          <w:szCs w:val="22"/>
        </w:rPr>
      </w:pPr>
      <w:r>
        <w:rPr>
          <w:rFonts w:ascii="ArialMT" w:hAnsi="ArialMT"/>
          <w:color w:val="000000" w:themeColor="text1"/>
          <w:sz w:val="22"/>
          <w:szCs w:val="22"/>
        </w:rPr>
        <w:t>Last Price: $59.67</w:t>
      </w:r>
    </w:p>
    <w:p w14:paraId="694E34F5" w14:textId="315D7922" w:rsidR="00AB4C9C" w:rsidRDefault="00AB4C9C" w:rsidP="00AB4C9C">
      <w:pPr>
        <w:pStyle w:val="NormalWeb"/>
        <w:spacing w:line="360" w:lineRule="auto"/>
        <w:rPr>
          <w:rFonts w:ascii="ArialMT" w:hAnsi="ArialMT"/>
          <w:color w:val="000000" w:themeColor="text1"/>
          <w:sz w:val="22"/>
          <w:szCs w:val="22"/>
        </w:rPr>
      </w:pPr>
      <w:r>
        <w:rPr>
          <w:rFonts w:ascii="ArialMT" w:hAnsi="ArialMT"/>
          <w:color w:val="000000" w:themeColor="text1"/>
          <w:sz w:val="22"/>
          <w:szCs w:val="22"/>
        </w:rPr>
        <w:t xml:space="preserve">$70: </w:t>
      </w:r>
    </w:p>
    <w:p w14:paraId="254C9F57" w14:textId="321F2089" w:rsidR="00AB4C9C" w:rsidRDefault="00AB4C9C" w:rsidP="00AB4C9C">
      <w:pPr>
        <w:pStyle w:val="NormalWeb"/>
        <w:spacing w:line="360" w:lineRule="auto"/>
        <w:rPr>
          <w:rFonts w:ascii="ArialMT" w:hAnsi="ArialMT"/>
          <w:color w:val="000000" w:themeColor="text1"/>
          <w:sz w:val="22"/>
          <w:szCs w:val="22"/>
        </w:rPr>
      </w:pPr>
      <w:r>
        <w:rPr>
          <w:rFonts w:ascii="ArialMT" w:hAnsi="ArialMT"/>
          <w:color w:val="000000" w:themeColor="text1"/>
          <w:sz w:val="22"/>
          <w:szCs w:val="22"/>
        </w:rPr>
        <w:t xml:space="preserve">Payoff = </w:t>
      </w:r>
      <w:proofErr w:type="gramStart"/>
      <w:r>
        <w:rPr>
          <w:rFonts w:ascii="ArialMT" w:hAnsi="ArialMT"/>
          <w:color w:val="000000" w:themeColor="text1"/>
          <w:sz w:val="22"/>
          <w:szCs w:val="22"/>
        </w:rPr>
        <w:t>max(</w:t>
      </w:r>
      <w:proofErr w:type="gramEnd"/>
      <w:r>
        <w:rPr>
          <w:rFonts w:ascii="ArialMT" w:hAnsi="ArialMT"/>
          <w:color w:val="000000" w:themeColor="text1"/>
          <w:sz w:val="22"/>
          <w:szCs w:val="22"/>
        </w:rPr>
        <w:t>7o – 70, 0) – 59,67= 0 – 59,67 = - 59,67</w:t>
      </w:r>
    </w:p>
    <w:p w14:paraId="1F44B4A6" w14:textId="7F2C0183" w:rsidR="00AB4C9C" w:rsidRDefault="00AB4C9C" w:rsidP="00AB4C9C">
      <w:pPr>
        <w:pStyle w:val="NormalWeb"/>
        <w:spacing w:line="360" w:lineRule="auto"/>
        <w:rPr>
          <w:rFonts w:ascii="ArialMT" w:hAnsi="ArialMT"/>
          <w:color w:val="000000" w:themeColor="text1"/>
          <w:sz w:val="22"/>
          <w:szCs w:val="22"/>
        </w:rPr>
      </w:pPr>
      <w:r>
        <w:rPr>
          <w:rFonts w:ascii="ArialMT" w:hAnsi="ArialMT"/>
          <w:color w:val="000000" w:themeColor="text1"/>
          <w:sz w:val="22"/>
          <w:szCs w:val="22"/>
        </w:rPr>
        <w:t>$100:</w:t>
      </w:r>
    </w:p>
    <w:p w14:paraId="640759FA" w14:textId="05BE46DF" w:rsidR="00AB4C9C" w:rsidRDefault="00AB4C9C" w:rsidP="00AB4C9C">
      <w:pPr>
        <w:pStyle w:val="NormalWeb"/>
        <w:spacing w:line="360" w:lineRule="auto"/>
        <w:rPr>
          <w:rFonts w:ascii="ArialMT" w:hAnsi="ArialMT"/>
          <w:color w:val="000000" w:themeColor="text1"/>
          <w:sz w:val="22"/>
          <w:szCs w:val="22"/>
        </w:rPr>
      </w:pPr>
      <w:r>
        <w:rPr>
          <w:rFonts w:ascii="ArialMT" w:hAnsi="ArialMT"/>
          <w:color w:val="000000" w:themeColor="text1"/>
          <w:sz w:val="22"/>
          <w:szCs w:val="22"/>
        </w:rPr>
        <w:t xml:space="preserve">Payoff = </w:t>
      </w:r>
      <w:proofErr w:type="gramStart"/>
      <w:r>
        <w:rPr>
          <w:rFonts w:ascii="ArialMT" w:hAnsi="ArialMT"/>
          <w:color w:val="000000" w:themeColor="text1"/>
          <w:sz w:val="22"/>
          <w:szCs w:val="22"/>
        </w:rPr>
        <w:t>max(</w:t>
      </w:r>
      <w:proofErr w:type="gramEnd"/>
      <w:r>
        <w:rPr>
          <w:rFonts w:ascii="ArialMT" w:hAnsi="ArialMT"/>
          <w:color w:val="000000" w:themeColor="text1"/>
          <w:sz w:val="22"/>
          <w:szCs w:val="22"/>
        </w:rPr>
        <w:t>100 – 70, 0) – 59,67 = 30 – 59,67 = - 29,67</w:t>
      </w:r>
    </w:p>
    <w:p w14:paraId="1D2E54EF" w14:textId="175976CA" w:rsidR="00AB4C9C" w:rsidRDefault="00AB4C9C" w:rsidP="00AB4C9C">
      <w:pPr>
        <w:pStyle w:val="NormalWeb"/>
        <w:spacing w:line="360" w:lineRule="auto"/>
        <w:rPr>
          <w:rFonts w:ascii="ArialMT" w:hAnsi="ArialMT"/>
          <w:color w:val="000000" w:themeColor="text1"/>
          <w:sz w:val="22"/>
          <w:szCs w:val="22"/>
        </w:rPr>
      </w:pPr>
      <w:r>
        <w:rPr>
          <w:rFonts w:ascii="ArialMT" w:hAnsi="ArialMT"/>
          <w:color w:val="000000" w:themeColor="text1"/>
          <w:sz w:val="22"/>
          <w:szCs w:val="22"/>
        </w:rPr>
        <w:t>$130:</w:t>
      </w:r>
    </w:p>
    <w:p w14:paraId="466E4229" w14:textId="0B1E9E85" w:rsidR="00AB4C9C" w:rsidRDefault="00AB4C9C" w:rsidP="00AB4C9C">
      <w:pPr>
        <w:pStyle w:val="NormalWeb"/>
        <w:spacing w:line="360" w:lineRule="auto"/>
        <w:rPr>
          <w:rFonts w:ascii="ArialMT" w:hAnsi="ArialMT"/>
          <w:color w:val="000000" w:themeColor="text1"/>
          <w:sz w:val="22"/>
          <w:szCs w:val="22"/>
        </w:rPr>
      </w:pPr>
      <w:r>
        <w:rPr>
          <w:rFonts w:ascii="ArialMT" w:hAnsi="ArialMT"/>
          <w:color w:val="000000" w:themeColor="text1"/>
          <w:sz w:val="22"/>
          <w:szCs w:val="22"/>
        </w:rPr>
        <w:t xml:space="preserve">Payoff = </w:t>
      </w:r>
      <w:proofErr w:type="gramStart"/>
      <w:r>
        <w:rPr>
          <w:rFonts w:ascii="ArialMT" w:hAnsi="ArialMT"/>
          <w:color w:val="000000" w:themeColor="text1"/>
          <w:sz w:val="22"/>
          <w:szCs w:val="22"/>
        </w:rPr>
        <w:t>max(</w:t>
      </w:r>
      <w:proofErr w:type="gramEnd"/>
      <w:r>
        <w:rPr>
          <w:rFonts w:ascii="ArialMT" w:hAnsi="ArialMT"/>
          <w:color w:val="000000" w:themeColor="text1"/>
          <w:sz w:val="22"/>
          <w:szCs w:val="22"/>
        </w:rPr>
        <w:t>130 – 70, 0) – 59,67 = 60 – 59,67 = 0.33</w:t>
      </w:r>
    </w:p>
    <w:p w14:paraId="6A73A28B" w14:textId="60EE17D5" w:rsidR="00AB4C9C" w:rsidRDefault="00AB4C9C" w:rsidP="00AB4C9C">
      <w:pPr>
        <w:pStyle w:val="NormalWeb"/>
        <w:spacing w:line="360" w:lineRule="auto"/>
        <w:rPr>
          <w:rFonts w:ascii="ArialMT" w:hAnsi="ArialMT"/>
          <w:color w:val="000000" w:themeColor="text1"/>
          <w:sz w:val="22"/>
          <w:szCs w:val="22"/>
        </w:rPr>
      </w:pPr>
      <w:r w:rsidRPr="00AB4C9C">
        <w:rPr>
          <w:rFonts w:ascii="ArialMT" w:hAnsi="ArialMT"/>
          <w:color w:val="000000" w:themeColor="text1"/>
          <w:sz w:val="22"/>
          <w:szCs w:val="22"/>
        </w:rPr>
        <w:t>Below the Strike Price ($70): The option payoff remains negative, reflecting the loss of the premium, which is -$59.67.</w:t>
      </w:r>
      <w:r>
        <w:rPr>
          <w:rFonts w:ascii="ArialMT" w:hAnsi="ArialMT"/>
          <w:color w:val="000000" w:themeColor="text1"/>
          <w:sz w:val="22"/>
          <w:szCs w:val="22"/>
        </w:rPr>
        <w:t xml:space="preserve"> </w:t>
      </w:r>
      <w:r w:rsidRPr="00AB4C9C">
        <w:rPr>
          <w:rFonts w:ascii="ArialMT" w:hAnsi="ArialMT"/>
          <w:color w:val="000000" w:themeColor="text1"/>
          <w:sz w:val="22"/>
          <w:szCs w:val="22"/>
        </w:rPr>
        <w:t xml:space="preserve">At or Above the Strike Price ($70 and above): The payoff starts to increase as the stock price rises above $70. However, it remains negative until the stock </w:t>
      </w:r>
      <w:r w:rsidRPr="00AB4C9C">
        <w:rPr>
          <w:rFonts w:ascii="ArialMT" w:hAnsi="ArialMT"/>
          <w:color w:val="000000" w:themeColor="text1"/>
          <w:sz w:val="22"/>
          <w:szCs w:val="22"/>
        </w:rPr>
        <w:lastRenderedPageBreak/>
        <w:t>price exceeds $129.67, which is the break-even point considering the high premium</w:t>
      </w:r>
      <w:r w:rsidR="0069410F">
        <w:rPr>
          <w:rFonts w:ascii="ArialMT" w:hAnsi="ArialMT"/>
          <w:color w:val="000000" w:themeColor="text1"/>
          <w:sz w:val="22"/>
          <w:szCs w:val="22"/>
        </w:rPr>
        <w:t xml:space="preserve"> (Study.com 2024)</w:t>
      </w:r>
      <w:r w:rsidRPr="00AB4C9C">
        <w:rPr>
          <w:rFonts w:ascii="ArialMT" w:hAnsi="ArialMT"/>
          <w:color w:val="000000" w:themeColor="text1"/>
          <w:sz w:val="22"/>
          <w:szCs w:val="22"/>
        </w:rPr>
        <w:t>.</w:t>
      </w:r>
      <w:r>
        <w:rPr>
          <w:rFonts w:ascii="ArialMT" w:hAnsi="ArialMT"/>
          <w:color w:val="000000" w:themeColor="text1"/>
          <w:sz w:val="22"/>
          <w:szCs w:val="22"/>
        </w:rPr>
        <w:t xml:space="preserve"> </w:t>
      </w:r>
    </w:p>
    <w:p w14:paraId="6FB2F6F4" w14:textId="63C96069" w:rsidR="00AB4C9C" w:rsidRDefault="00AB4C9C" w:rsidP="00AB4C9C">
      <w:pPr>
        <w:pStyle w:val="NormalWeb"/>
        <w:spacing w:line="360" w:lineRule="auto"/>
        <w:rPr>
          <w:rFonts w:ascii="ArialMT" w:hAnsi="ArialMT"/>
          <w:color w:val="000000" w:themeColor="text1"/>
          <w:sz w:val="22"/>
          <w:szCs w:val="22"/>
        </w:rPr>
      </w:pPr>
      <w:r w:rsidRPr="00AB4C9C">
        <w:rPr>
          <w:rFonts w:ascii="ArialMT" w:hAnsi="ArialMT"/>
          <w:color w:val="000000" w:themeColor="text1"/>
          <w:sz w:val="22"/>
          <w:szCs w:val="22"/>
        </w:rPr>
        <w:t xml:space="preserve">Given the low strike price in relation to the current stock price, this graph makes it evident that even if the option is deep in the money, the large premium means that the stock </w:t>
      </w:r>
      <w:proofErr w:type="gramStart"/>
      <w:r w:rsidRPr="00AB4C9C">
        <w:rPr>
          <w:rFonts w:ascii="ArialMT" w:hAnsi="ArialMT"/>
          <w:color w:val="000000" w:themeColor="text1"/>
          <w:sz w:val="22"/>
          <w:szCs w:val="22"/>
        </w:rPr>
        <w:t>has to</w:t>
      </w:r>
      <w:proofErr w:type="gramEnd"/>
      <w:r w:rsidRPr="00AB4C9C">
        <w:rPr>
          <w:rFonts w:ascii="ArialMT" w:hAnsi="ArialMT"/>
          <w:color w:val="000000" w:themeColor="text1"/>
          <w:sz w:val="22"/>
          <w:szCs w:val="22"/>
        </w:rPr>
        <w:t xml:space="preserve"> increase significantly before the option becomes profitable. This demonstrates how crucial it is to </w:t>
      </w:r>
      <w:proofErr w:type="gramStart"/>
      <w:r w:rsidRPr="00AB4C9C">
        <w:rPr>
          <w:rFonts w:ascii="ArialMT" w:hAnsi="ArialMT"/>
          <w:color w:val="000000" w:themeColor="text1"/>
          <w:sz w:val="22"/>
          <w:szCs w:val="22"/>
        </w:rPr>
        <w:t>take into account</w:t>
      </w:r>
      <w:proofErr w:type="gramEnd"/>
      <w:r w:rsidRPr="00AB4C9C">
        <w:rPr>
          <w:rFonts w:ascii="ArialMT" w:hAnsi="ArialMT"/>
          <w:color w:val="000000" w:themeColor="text1"/>
          <w:sz w:val="22"/>
          <w:szCs w:val="22"/>
        </w:rPr>
        <w:t xml:space="preserve"> both the strike price and the premium when assessing the profitability of an option</w:t>
      </w:r>
      <w:r w:rsidR="0069410F">
        <w:rPr>
          <w:rFonts w:ascii="ArialMT" w:hAnsi="ArialMT"/>
          <w:color w:val="000000" w:themeColor="text1"/>
          <w:sz w:val="22"/>
          <w:szCs w:val="22"/>
        </w:rPr>
        <w:t xml:space="preserve"> (Tastylive.com n.d.)</w:t>
      </w:r>
      <w:r w:rsidRPr="00AB4C9C">
        <w:rPr>
          <w:rFonts w:ascii="ArialMT" w:hAnsi="ArialMT"/>
          <w:color w:val="000000" w:themeColor="text1"/>
          <w:sz w:val="22"/>
          <w:szCs w:val="22"/>
        </w:rPr>
        <w:t>.</w:t>
      </w:r>
    </w:p>
    <w:p w14:paraId="5CF2310E" w14:textId="3F0FA15D" w:rsidR="0069410F" w:rsidRPr="00AB4C9C" w:rsidRDefault="0069410F" w:rsidP="00AB4C9C">
      <w:pPr>
        <w:pStyle w:val="NormalWeb"/>
        <w:spacing w:line="360" w:lineRule="auto"/>
        <w:rPr>
          <w:rFonts w:ascii="ArialMT" w:hAnsi="ArialMT"/>
          <w:color w:val="000000" w:themeColor="text1"/>
          <w:sz w:val="22"/>
          <w:szCs w:val="22"/>
        </w:rPr>
      </w:pPr>
      <w:r w:rsidRPr="0069410F">
        <w:rPr>
          <w:rFonts w:ascii="ArialMT" w:hAnsi="ArialMT"/>
          <w:color w:val="000000" w:themeColor="text1"/>
          <w:sz w:val="22"/>
          <w:szCs w:val="22"/>
        </w:rPr>
        <w:t>The graph below illustrates the payoff diagram for a call option with a strike price of $100 and a premium of $28.82</w:t>
      </w:r>
      <w:r>
        <w:rPr>
          <w:rFonts w:ascii="ArialMT" w:hAnsi="ArialMT"/>
          <w:color w:val="000000" w:themeColor="text1"/>
          <w:sz w:val="22"/>
          <w:szCs w:val="22"/>
        </w:rPr>
        <w:t>.</w:t>
      </w:r>
    </w:p>
    <w:p w14:paraId="328BB0F7" w14:textId="220EF2A5" w:rsidR="0069410F" w:rsidRDefault="0069410F" w:rsidP="0069410F">
      <w:pPr>
        <w:pStyle w:val="Caption"/>
        <w:keepNext/>
      </w:pPr>
      <w:r>
        <w:t xml:space="preserve">Figure </w:t>
      </w:r>
      <w:r>
        <w:fldChar w:fldCharType="begin"/>
      </w:r>
      <w:r>
        <w:instrText xml:space="preserve"> SEQ Figure \* ARABIC </w:instrText>
      </w:r>
      <w:r>
        <w:fldChar w:fldCharType="separate"/>
      </w:r>
      <w:r>
        <w:rPr>
          <w:noProof/>
        </w:rPr>
        <w:t>15</w:t>
      </w:r>
      <w:r>
        <w:fldChar w:fldCharType="end"/>
      </w:r>
      <w:r>
        <w:t xml:space="preserve"> Payoff Diagram (source: Author)</w:t>
      </w:r>
    </w:p>
    <w:p w14:paraId="215E444B" w14:textId="5740FD4A" w:rsidR="00AB4C9C" w:rsidRPr="00AB4C9C" w:rsidRDefault="00AB4C9C" w:rsidP="00400A58">
      <w:pPr>
        <w:pStyle w:val="NormalWeb"/>
        <w:spacing w:line="360" w:lineRule="auto"/>
        <w:rPr>
          <w:rFonts w:ascii="ArialMT" w:hAnsi="ArialMT"/>
          <w:color w:val="000000" w:themeColor="text1"/>
          <w:sz w:val="22"/>
          <w:szCs w:val="22"/>
        </w:rPr>
      </w:pPr>
      <w:r>
        <w:rPr>
          <w:rFonts w:ascii="ArialMT" w:hAnsi="ArialMT"/>
          <w:noProof/>
          <w:color w:val="000000" w:themeColor="text1"/>
          <w:sz w:val="22"/>
          <w:szCs w:val="22"/>
          <w14:ligatures w14:val="standardContextual"/>
        </w:rPr>
        <w:drawing>
          <wp:inline distT="0" distB="0" distL="0" distR="0" wp14:anchorId="7341E628" wp14:editId="17C80EA6">
            <wp:extent cx="5731510" cy="3688080"/>
            <wp:effectExtent l="0" t="0" r="0" b="0"/>
            <wp:docPr id="1276612883" name="Picture 18"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612883" name="Picture 18" descr="A graph with a lin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688080"/>
                    </a:xfrm>
                    <a:prstGeom prst="rect">
                      <a:avLst/>
                    </a:prstGeom>
                  </pic:spPr>
                </pic:pic>
              </a:graphicData>
            </a:graphic>
          </wp:inline>
        </w:drawing>
      </w:r>
    </w:p>
    <w:p w14:paraId="650082C4" w14:textId="319AB65A" w:rsidR="00AB4C9C" w:rsidRDefault="00AB4C9C" w:rsidP="00AB4C9C">
      <w:pPr>
        <w:pStyle w:val="NormalWeb"/>
        <w:spacing w:line="360" w:lineRule="auto"/>
        <w:rPr>
          <w:rFonts w:ascii="ArialMT" w:hAnsi="ArialMT"/>
          <w:color w:val="000000" w:themeColor="text1"/>
          <w:sz w:val="22"/>
          <w:szCs w:val="22"/>
        </w:rPr>
      </w:pPr>
      <w:r>
        <w:rPr>
          <w:rFonts w:ascii="ArialMT" w:hAnsi="ArialMT"/>
          <w:color w:val="000000" w:themeColor="text1"/>
          <w:sz w:val="22"/>
          <w:szCs w:val="22"/>
        </w:rPr>
        <w:t>7/25/2024</w:t>
      </w:r>
    </w:p>
    <w:p w14:paraId="566E6D80" w14:textId="5C112320" w:rsidR="00AB4C9C" w:rsidRDefault="00AB4C9C" w:rsidP="00AB4C9C">
      <w:pPr>
        <w:pStyle w:val="NormalWeb"/>
        <w:spacing w:line="360" w:lineRule="auto"/>
        <w:rPr>
          <w:rFonts w:ascii="ArialMT" w:hAnsi="ArialMT"/>
          <w:color w:val="000000" w:themeColor="text1"/>
          <w:sz w:val="22"/>
          <w:szCs w:val="22"/>
        </w:rPr>
      </w:pPr>
      <w:r>
        <w:rPr>
          <w:rFonts w:ascii="ArialMT" w:hAnsi="ArialMT"/>
          <w:color w:val="000000" w:themeColor="text1"/>
          <w:sz w:val="22"/>
          <w:szCs w:val="22"/>
        </w:rPr>
        <w:t>Strike Price: $</w:t>
      </w:r>
      <w:r>
        <w:rPr>
          <w:rFonts w:ascii="ArialMT" w:hAnsi="ArialMT"/>
          <w:color w:val="000000" w:themeColor="text1"/>
          <w:sz w:val="22"/>
          <w:szCs w:val="22"/>
        </w:rPr>
        <w:t>100</w:t>
      </w:r>
    </w:p>
    <w:p w14:paraId="656BB950" w14:textId="388B5446" w:rsidR="00AB4C9C" w:rsidRDefault="00AB4C9C" w:rsidP="00AB4C9C">
      <w:pPr>
        <w:pStyle w:val="NormalWeb"/>
        <w:spacing w:line="360" w:lineRule="auto"/>
        <w:rPr>
          <w:rFonts w:ascii="ArialMT" w:hAnsi="ArialMT"/>
          <w:color w:val="000000" w:themeColor="text1"/>
          <w:sz w:val="22"/>
          <w:szCs w:val="22"/>
        </w:rPr>
      </w:pPr>
      <w:r>
        <w:rPr>
          <w:rFonts w:ascii="ArialMT" w:hAnsi="ArialMT"/>
          <w:color w:val="000000" w:themeColor="text1"/>
          <w:sz w:val="22"/>
          <w:szCs w:val="22"/>
        </w:rPr>
        <w:t>Last Price: $</w:t>
      </w:r>
      <w:r>
        <w:rPr>
          <w:rFonts w:ascii="ArialMT" w:hAnsi="ArialMT"/>
          <w:color w:val="000000" w:themeColor="text1"/>
          <w:sz w:val="22"/>
          <w:szCs w:val="22"/>
        </w:rPr>
        <w:t>10.05</w:t>
      </w:r>
    </w:p>
    <w:p w14:paraId="70B12EE4" w14:textId="77777777" w:rsidR="00AB4C9C" w:rsidRDefault="00AB4C9C" w:rsidP="00AB4C9C">
      <w:pPr>
        <w:pStyle w:val="NormalWeb"/>
        <w:spacing w:line="360" w:lineRule="auto"/>
        <w:rPr>
          <w:rFonts w:ascii="ArialMT" w:hAnsi="ArialMT"/>
          <w:color w:val="000000" w:themeColor="text1"/>
          <w:sz w:val="22"/>
          <w:szCs w:val="22"/>
        </w:rPr>
      </w:pPr>
      <w:r>
        <w:rPr>
          <w:rFonts w:ascii="ArialMT" w:hAnsi="ArialMT"/>
          <w:color w:val="000000" w:themeColor="text1"/>
          <w:sz w:val="22"/>
          <w:szCs w:val="22"/>
        </w:rPr>
        <w:t xml:space="preserve">$70: </w:t>
      </w:r>
    </w:p>
    <w:p w14:paraId="5860D232" w14:textId="67BF0E86" w:rsidR="00AB4C9C" w:rsidRDefault="00AB4C9C" w:rsidP="00AB4C9C">
      <w:pPr>
        <w:pStyle w:val="NormalWeb"/>
        <w:spacing w:line="360" w:lineRule="auto"/>
        <w:rPr>
          <w:rFonts w:ascii="ArialMT" w:hAnsi="ArialMT"/>
          <w:color w:val="000000" w:themeColor="text1"/>
          <w:sz w:val="22"/>
          <w:szCs w:val="22"/>
        </w:rPr>
      </w:pPr>
      <w:r>
        <w:rPr>
          <w:rFonts w:ascii="ArialMT" w:hAnsi="ArialMT"/>
          <w:color w:val="000000" w:themeColor="text1"/>
          <w:sz w:val="22"/>
          <w:szCs w:val="22"/>
        </w:rPr>
        <w:t xml:space="preserve">Payoff = </w:t>
      </w:r>
      <w:proofErr w:type="gramStart"/>
      <w:r>
        <w:rPr>
          <w:rFonts w:ascii="ArialMT" w:hAnsi="ArialMT"/>
          <w:color w:val="000000" w:themeColor="text1"/>
          <w:sz w:val="22"/>
          <w:szCs w:val="22"/>
        </w:rPr>
        <w:t>max(</w:t>
      </w:r>
      <w:proofErr w:type="gramEnd"/>
      <w:r>
        <w:rPr>
          <w:rFonts w:ascii="ArialMT" w:hAnsi="ArialMT"/>
          <w:color w:val="000000" w:themeColor="text1"/>
          <w:sz w:val="22"/>
          <w:szCs w:val="22"/>
        </w:rPr>
        <w:t>7</w:t>
      </w:r>
      <w:r>
        <w:rPr>
          <w:rFonts w:ascii="ArialMT" w:hAnsi="ArialMT"/>
          <w:color w:val="000000" w:themeColor="text1"/>
          <w:sz w:val="22"/>
          <w:szCs w:val="22"/>
        </w:rPr>
        <w:t>0</w:t>
      </w:r>
      <w:r>
        <w:rPr>
          <w:rFonts w:ascii="ArialMT" w:hAnsi="ArialMT"/>
          <w:color w:val="000000" w:themeColor="text1"/>
          <w:sz w:val="22"/>
          <w:szCs w:val="22"/>
        </w:rPr>
        <w:t xml:space="preserve"> – </w:t>
      </w:r>
      <w:r>
        <w:rPr>
          <w:rFonts w:ascii="ArialMT" w:hAnsi="ArialMT"/>
          <w:color w:val="000000" w:themeColor="text1"/>
          <w:sz w:val="22"/>
          <w:szCs w:val="22"/>
        </w:rPr>
        <w:t>100</w:t>
      </w:r>
      <w:r>
        <w:rPr>
          <w:rFonts w:ascii="ArialMT" w:hAnsi="ArialMT"/>
          <w:color w:val="000000" w:themeColor="text1"/>
          <w:sz w:val="22"/>
          <w:szCs w:val="22"/>
        </w:rPr>
        <w:t xml:space="preserve">, 0) – </w:t>
      </w:r>
      <w:r>
        <w:rPr>
          <w:rFonts w:ascii="ArialMT" w:hAnsi="ArialMT"/>
          <w:color w:val="000000" w:themeColor="text1"/>
          <w:sz w:val="22"/>
          <w:szCs w:val="22"/>
        </w:rPr>
        <w:t xml:space="preserve">10,05 </w:t>
      </w:r>
      <w:r>
        <w:rPr>
          <w:rFonts w:ascii="ArialMT" w:hAnsi="ArialMT"/>
          <w:color w:val="000000" w:themeColor="text1"/>
          <w:sz w:val="22"/>
          <w:szCs w:val="22"/>
        </w:rPr>
        <w:t xml:space="preserve">= 0 – </w:t>
      </w:r>
      <w:r>
        <w:rPr>
          <w:rFonts w:ascii="ArialMT" w:hAnsi="ArialMT"/>
          <w:color w:val="000000" w:themeColor="text1"/>
          <w:sz w:val="22"/>
          <w:szCs w:val="22"/>
        </w:rPr>
        <w:t>10,05</w:t>
      </w:r>
      <w:r>
        <w:rPr>
          <w:rFonts w:ascii="ArialMT" w:hAnsi="ArialMT"/>
          <w:color w:val="000000" w:themeColor="text1"/>
          <w:sz w:val="22"/>
          <w:szCs w:val="22"/>
        </w:rPr>
        <w:t xml:space="preserve"> = -</w:t>
      </w:r>
      <w:r>
        <w:rPr>
          <w:rFonts w:ascii="ArialMT" w:hAnsi="ArialMT"/>
          <w:color w:val="000000" w:themeColor="text1"/>
          <w:sz w:val="22"/>
          <w:szCs w:val="22"/>
        </w:rPr>
        <w:t xml:space="preserve"> 10,05</w:t>
      </w:r>
    </w:p>
    <w:p w14:paraId="156C9B43" w14:textId="77777777" w:rsidR="00AB4C9C" w:rsidRDefault="00AB4C9C" w:rsidP="00AB4C9C">
      <w:pPr>
        <w:pStyle w:val="NormalWeb"/>
        <w:spacing w:line="360" w:lineRule="auto"/>
        <w:rPr>
          <w:rFonts w:ascii="ArialMT" w:hAnsi="ArialMT"/>
          <w:color w:val="000000" w:themeColor="text1"/>
          <w:sz w:val="22"/>
          <w:szCs w:val="22"/>
        </w:rPr>
      </w:pPr>
      <w:r>
        <w:rPr>
          <w:rFonts w:ascii="ArialMT" w:hAnsi="ArialMT"/>
          <w:color w:val="000000" w:themeColor="text1"/>
          <w:sz w:val="22"/>
          <w:szCs w:val="22"/>
        </w:rPr>
        <w:lastRenderedPageBreak/>
        <w:t>$100:</w:t>
      </w:r>
    </w:p>
    <w:p w14:paraId="028D1DAE" w14:textId="11DF048A" w:rsidR="00AB4C9C" w:rsidRDefault="00AB4C9C" w:rsidP="00AB4C9C">
      <w:pPr>
        <w:pStyle w:val="NormalWeb"/>
        <w:spacing w:line="360" w:lineRule="auto"/>
        <w:rPr>
          <w:rFonts w:ascii="ArialMT" w:hAnsi="ArialMT"/>
          <w:color w:val="000000" w:themeColor="text1"/>
          <w:sz w:val="22"/>
          <w:szCs w:val="22"/>
        </w:rPr>
      </w:pPr>
      <w:r>
        <w:rPr>
          <w:rFonts w:ascii="ArialMT" w:hAnsi="ArialMT"/>
          <w:color w:val="000000" w:themeColor="text1"/>
          <w:sz w:val="22"/>
          <w:szCs w:val="22"/>
        </w:rPr>
        <w:t xml:space="preserve">Payoff = </w:t>
      </w:r>
      <w:proofErr w:type="gramStart"/>
      <w:r>
        <w:rPr>
          <w:rFonts w:ascii="ArialMT" w:hAnsi="ArialMT"/>
          <w:color w:val="000000" w:themeColor="text1"/>
          <w:sz w:val="22"/>
          <w:szCs w:val="22"/>
        </w:rPr>
        <w:t>max(</w:t>
      </w:r>
      <w:proofErr w:type="gramEnd"/>
      <w:r>
        <w:rPr>
          <w:rFonts w:ascii="ArialMT" w:hAnsi="ArialMT"/>
          <w:color w:val="000000" w:themeColor="text1"/>
          <w:sz w:val="22"/>
          <w:szCs w:val="22"/>
        </w:rPr>
        <w:t xml:space="preserve">100 – </w:t>
      </w:r>
      <w:r>
        <w:rPr>
          <w:rFonts w:ascii="ArialMT" w:hAnsi="ArialMT"/>
          <w:color w:val="000000" w:themeColor="text1"/>
          <w:sz w:val="22"/>
          <w:szCs w:val="22"/>
        </w:rPr>
        <w:t>100</w:t>
      </w:r>
      <w:r>
        <w:rPr>
          <w:rFonts w:ascii="ArialMT" w:hAnsi="ArialMT"/>
          <w:color w:val="000000" w:themeColor="text1"/>
          <w:sz w:val="22"/>
          <w:szCs w:val="22"/>
        </w:rPr>
        <w:t>, 0) –10,05 =  –</w:t>
      </w:r>
      <w:r>
        <w:rPr>
          <w:rFonts w:ascii="ArialMT" w:hAnsi="ArialMT"/>
          <w:color w:val="000000" w:themeColor="text1"/>
          <w:sz w:val="22"/>
          <w:szCs w:val="22"/>
        </w:rPr>
        <w:t xml:space="preserve"> </w:t>
      </w:r>
      <w:r>
        <w:rPr>
          <w:rFonts w:ascii="ArialMT" w:hAnsi="ArialMT"/>
          <w:color w:val="000000" w:themeColor="text1"/>
          <w:sz w:val="22"/>
          <w:szCs w:val="22"/>
        </w:rPr>
        <w:t xml:space="preserve">10,05 </w:t>
      </w:r>
    </w:p>
    <w:p w14:paraId="7AB8427F" w14:textId="77777777" w:rsidR="00AB4C9C" w:rsidRDefault="00AB4C9C" w:rsidP="00AB4C9C">
      <w:pPr>
        <w:pStyle w:val="NormalWeb"/>
        <w:spacing w:line="360" w:lineRule="auto"/>
        <w:rPr>
          <w:rFonts w:ascii="ArialMT" w:hAnsi="ArialMT"/>
          <w:color w:val="000000" w:themeColor="text1"/>
          <w:sz w:val="22"/>
          <w:szCs w:val="22"/>
        </w:rPr>
      </w:pPr>
      <w:r>
        <w:rPr>
          <w:rFonts w:ascii="ArialMT" w:hAnsi="ArialMT"/>
          <w:color w:val="000000" w:themeColor="text1"/>
          <w:sz w:val="22"/>
          <w:szCs w:val="22"/>
        </w:rPr>
        <w:t>$130:</w:t>
      </w:r>
    </w:p>
    <w:p w14:paraId="09DBFB60" w14:textId="3BC772AC" w:rsidR="00AB4C9C" w:rsidRDefault="00AB4C9C" w:rsidP="00AB4C9C">
      <w:pPr>
        <w:pStyle w:val="NormalWeb"/>
        <w:spacing w:line="360" w:lineRule="auto"/>
        <w:rPr>
          <w:rFonts w:ascii="ArialMT" w:hAnsi="ArialMT"/>
          <w:color w:val="000000" w:themeColor="text1"/>
          <w:sz w:val="22"/>
          <w:szCs w:val="22"/>
        </w:rPr>
      </w:pPr>
      <w:r>
        <w:rPr>
          <w:rFonts w:ascii="ArialMT" w:hAnsi="ArialMT"/>
          <w:color w:val="000000" w:themeColor="text1"/>
          <w:sz w:val="22"/>
          <w:szCs w:val="22"/>
        </w:rPr>
        <w:t xml:space="preserve">Payoff = </w:t>
      </w:r>
      <w:proofErr w:type="gramStart"/>
      <w:r>
        <w:rPr>
          <w:rFonts w:ascii="ArialMT" w:hAnsi="ArialMT"/>
          <w:color w:val="000000" w:themeColor="text1"/>
          <w:sz w:val="22"/>
          <w:szCs w:val="22"/>
        </w:rPr>
        <w:t>max(</w:t>
      </w:r>
      <w:proofErr w:type="gramEnd"/>
      <w:r>
        <w:rPr>
          <w:rFonts w:ascii="ArialMT" w:hAnsi="ArialMT"/>
          <w:color w:val="000000" w:themeColor="text1"/>
          <w:sz w:val="22"/>
          <w:szCs w:val="22"/>
        </w:rPr>
        <w:t xml:space="preserve">130 – </w:t>
      </w:r>
      <w:r>
        <w:rPr>
          <w:rFonts w:ascii="ArialMT" w:hAnsi="ArialMT"/>
          <w:color w:val="000000" w:themeColor="text1"/>
          <w:sz w:val="22"/>
          <w:szCs w:val="22"/>
        </w:rPr>
        <w:t>100</w:t>
      </w:r>
      <w:r>
        <w:rPr>
          <w:rFonts w:ascii="ArialMT" w:hAnsi="ArialMT"/>
          <w:color w:val="000000" w:themeColor="text1"/>
          <w:sz w:val="22"/>
          <w:szCs w:val="22"/>
        </w:rPr>
        <w:t xml:space="preserve">, 0) –10,05 = </w:t>
      </w:r>
      <w:r>
        <w:rPr>
          <w:rFonts w:ascii="ArialMT" w:hAnsi="ArialMT"/>
          <w:color w:val="000000" w:themeColor="text1"/>
          <w:sz w:val="22"/>
          <w:szCs w:val="22"/>
        </w:rPr>
        <w:t xml:space="preserve">30 - </w:t>
      </w:r>
      <w:r>
        <w:rPr>
          <w:rFonts w:ascii="ArialMT" w:hAnsi="ArialMT"/>
          <w:color w:val="000000" w:themeColor="text1"/>
          <w:sz w:val="22"/>
          <w:szCs w:val="22"/>
        </w:rPr>
        <w:t>10,05</w:t>
      </w:r>
      <w:r>
        <w:rPr>
          <w:rFonts w:ascii="ArialMT" w:hAnsi="ArialMT"/>
          <w:color w:val="000000" w:themeColor="text1"/>
          <w:sz w:val="22"/>
          <w:szCs w:val="22"/>
        </w:rPr>
        <w:t xml:space="preserve"> = 19,95</w:t>
      </w:r>
    </w:p>
    <w:p w14:paraId="07ACBD00" w14:textId="77777777" w:rsidR="00AB4C9C" w:rsidRDefault="00AB4C9C" w:rsidP="00AB4C9C">
      <w:pPr>
        <w:pStyle w:val="NormalWeb"/>
        <w:spacing w:line="360" w:lineRule="auto"/>
        <w:rPr>
          <w:rFonts w:ascii="ArialMT" w:hAnsi="ArialMT"/>
          <w:color w:val="000000" w:themeColor="text1"/>
          <w:sz w:val="22"/>
          <w:szCs w:val="22"/>
        </w:rPr>
      </w:pPr>
    </w:p>
    <w:p w14:paraId="5EB1DD7A" w14:textId="6FB180F2" w:rsidR="00400A58" w:rsidRPr="00400A58" w:rsidRDefault="00AB4C9C" w:rsidP="00AB4C9C">
      <w:pPr>
        <w:pStyle w:val="NormalWeb"/>
        <w:spacing w:line="360" w:lineRule="auto"/>
        <w:rPr>
          <w:rFonts w:ascii="ArialMT" w:hAnsi="ArialMT"/>
          <w:color w:val="000000" w:themeColor="text1"/>
          <w:sz w:val="22"/>
          <w:szCs w:val="22"/>
        </w:rPr>
      </w:pPr>
      <w:r>
        <w:rPr>
          <w:rFonts w:ascii="ArialMT" w:hAnsi="ArialMT"/>
          <w:color w:val="000000" w:themeColor="text1"/>
          <w:sz w:val="22"/>
          <w:szCs w:val="22"/>
        </w:rPr>
        <w:t xml:space="preserve">As well as the first one - </w:t>
      </w:r>
      <w:r w:rsidRPr="00AB4C9C">
        <w:rPr>
          <w:rFonts w:ascii="ArialMT" w:hAnsi="ArialMT"/>
          <w:color w:val="000000" w:themeColor="text1"/>
          <w:sz w:val="22"/>
          <w:szCs w:val="22"/>
        </w:rPr>
        <w:t>Below the $100 strike price: The option payment is still negative, representing the -$28.82 loss of the premium.</w:t>
      </w:r>
      <w:r>
        <w:rPr>
          <w:rFonts w:ascii="ArialMT" w:hAnsi="ArialMT"/>
          <w:color w:val="000000" w:themeColor="text1"/>
          <w:sz w:val="22"/>
          <w:szCs w:val="22"/>
        </w:rPr>
        <w:t xml:space="preserve"> </w:t>
      </w:r>
      <w:r w:rsidRPr="00AB4C9C">
        <w:rPr>
          <w:rFonts w:ascii="ArialMT" w:hAnsi="ArialMT"/>
          <w:color w:val="000000" w:themeColor="text1"/>
          <w:sz w:val="22"/>
          <w:szCs w:val="22"/>
        </w:rPr>
        <w:t xml:space="preserve">At or </w:t>
      </w:r>
      <w:proofErr w:type="gramStart"/>
      <w:r w:rsidRPr="00AB4C9C">
        <w:rPr>
          <w:rFonts w:ascii="ArialMT" w:hAnsi="ArialMT"/>
          <w:color w:val="000000" w:themeColor="text1"/>
          <w:sz w:val="22"/>
          <w:szCs w:val="22"/>
        </w:rPr>
        <w:t>Above</w:t>
      </w:r>
      <w:proofErr w:type="gramEnd"/>
      <w:r w:rsidRPr="00AB4C9C">
        <w:rPr>
          <w:rFonts w:ascii="ArialMT" w:hAnsi="ArialMT"/>
          <w:color w:val="000000" w:themeColor="text1"/>
          <w:sz w:val="22"/>
          <w:szCs w:val="22"/>
        </w:rPr>
        <w:t xml:space="preserve"> the $100 and Up Strike Price: When the stock price breaks $100, the payout begins to grow. But it stays negative until the break-even price of $128.82 is reached by the stock price.</w:t>
      </w:r>
    </w:p>
    <w:p w14:paraId="396EEF20" w14:textId="711C34A0" w:rsidR="00400A58" w:rsidRDefault="00AB4C9C" w:rsidP="00400A58">
      <w:pPr>
        <w:pStyle w:val="NormalWeb"/>
        <w:spacing w:line="360" w:lineRule="auto"/>
        <w:rPr>
          <w:rFonts w:ascii="ArialMT" w:hAnsi="ArialMT"/>
          <w:color w:val="000000" w:themeColor="text1"/>
          <w:sz w:val="22"/>
          <w:szCs w:val="22"/>
        </w:rPr>
      </w:pPr>
      <w:r w:rsidRPr="00AB4C9C">
        <w:rPr>
          <w:rFonts w:ascii="ArialMT" w:hAnsi="ArialMT"/>
          <w:color w:val="000000" w:themeColor="text1"/>
          <w:sz w:val="22"/>
          <w:szCs w:val="22"/>
        </w:rPr>
        <w:t xml:space="preserve">This graph makes the premium's high cost in relation to the strike price quite evident. The considerable premium implies that the stock must rise far above the strike price </w:t>
      </w:r>
      <w:proofErr w:type="gramStart"/>
      <w:r w:rsidRPr="00AB4C9C">
        <w:rPr>
          <w:rFonts w:ascii="ArialMT" w:hAnsi="ArialMT"/>
          <w:color w:val="000000" w:themeColor="text1"/>
          <w:sz w:val="22"/>
          <w:szCs w:val="22"/>
        </w:rPr>
        <w:t>in order for</w:t>
      </w:r>
      <w:proofErr w:type="gramEnd"/>
      <w:r w:rsidRPr="00AB4C9C">
        <w:rPr>
          <w:rFonts w:ascii="ArialMT" w:hAnsi="ArialMT"/>
          <w:color w:val="000000" w:themeColor="text1"/>
          <w:sz w:val="22"/>
          <w:szCs w:val="22"/>
        </w:rPr>
        <w:t xml:space="preserve"> the option to become profitable, even though it does so when the price of the stock increases over $100. This</w:t>
      </w:r>
      <w:r>
        <w:rPr>
          <w:rFonts w:ascii="ArialMT" w:hAnsi="ArialMT"/>
          <w:color w:val="000000" w:themeColor="text1"/>
          <w:sz w:val="22"/>
          <w:szCs w:val="22"/>
        </w:rPr>
        <w:t xml:space="preserve"> again</w:t>
      </w:r>
      <w:r w:rsidRPr="00AB4C9C">
        <w:rPr>
          <w:rFonts w:ascii="ArialMT" w:hAnsi="ArialMT"/>
          <w:color w:val="000000" w:themeColor="text1"/>
          <w:sz w:val="22"/>
          <w:szCs w:val="22"/>
        </w:rPr>
        <w:t xml:space="preserve"> highlights the importance of the premium in options trading, as the price of the option may have a significant impact on the possible return</w:t>
      </w:r>
      <w:r w:rsidR="0069410F">
        <w:rPr>
          <w:rFonts w:ascii="ArialMT" w:hAnsi="ArialMT"/>
          <w:color w:val="000000" w:themeColor="text1"/>
          <w:sz w:val="22"/>
          <w:szCs w:val="22"/>
        </w:rPr>
        <w:t xml:space="preserve"> (Tastylive.com n.d.)</w:t>
      </w:r>
      <w:r w:rsidRPr="00AB4C9C">
        <w:rPr>
          <w:rFonts w:ascii="ArialMT" w:hAnsi="ArialMT"/>
          <w:color w:val="000000" w:themeColor="text1"/>
          <w:sz w:val="22"/>
          <w:szCs w:val="22"/>
        </w:rPr>
        <w:t>.</w:t>
      </w:r>
    </w:p>
    <w:p w14:paraId="712AFDBE" w14:textId="0950F135" w:rsidR="00AB4C9C" w:rsidRDefault="00AB4C9C" w:rsidP="0069410F">
      <w:pPr>
        <w:pStyle w:val="Heading2"/>
      </w:pPr>
      <w:bookmarkStart w:id="10" w:name="_Toc175609884"/>
      <w:r w:rsidRPr="00AB4C9C">
        <w:t>3.2</w:t>
      </w:r>
      <w:r w:rsidR="0069410F">
        <w:t xml:space="preserve"> Money put</w:t>
      </w:r>
      <w:bookmarkEnd w:id="10"/>
    </w:p>
    <w:p w14:paraId="3A41E92F" w14:textId="7203947D" w:rsidR="00AB4C9C" w:rsidRDefault="00AB4C9C" w:rsidP="00400A58">
      <w:pPr>
        <w:pStyle w:val="NormalWeb"/>
        <w:spacing w:line="360" w:lineRule="auto"/>
        <w:rPr>
          <w:rFonts w:ascii="ArialMT" w:hAnsi="ArialMT"/>
          <w:color w:val="000000" w:themeColor="text1"/>
          <w:sz w:val="22"/>
          <w:szCs w:val="22"/>
        </w:rPr>
      </w:pPr>
      <w:r w:rsidRPr="00AB4C9C">
        <w:rPr>
          <w:rFonts w:ascii="ArialMT" w:hAnsi="ArialMT"/>
          <w:color w:val="000000" w:themeColor="text1"/>
          <w:sz w:val="22"/>
          <w:szCs w:val="22"/>
        </w:rPr>
        <w:t xml:space="preserve">The payoff for an at-the-money (ATM) put option with a </w:t>
      </w:r>
      <w:r>
        <w:rPr>
          <w:rFonts w:ascii="ArialMT" w:hAnsi="ArialMT"/>
          <w:color w:val="000000" w:themeColor="text1"/>
          <w:sz w:val="22"/>
          <w:szCs w:val="22"/>
        </w:rPr>
        <w:t>current stock price</w:t>
      </w:r>
      <w:r w:rsidRPr="00AB4C9C">
        <w:rPr>
          <w:rFonts w:ascii="ArialMT" w:hAnsi="ArialMT"/>
          <w:color w:val="000000" w:themeColor="text1"/>
          <w:sz w:val="22"/>
          <w:szCs w:val="22"/>
        </w:rPr>
        <w:t xml:space="preserve"> of $130.42 and an assumed option premium of $10, using the current stock price of </w:t>
      </w:r>
      <w:proofErr w:type="spellStart"/>
      <w:r w:rsidRPr="00AB4C9C">
        <w:rPr>
          <w:rFonts w:ascii="ArialMT" w:hAnsi="ArialMT"/>
          <w:color w:val="000000" w:themeColor="text1"/>
          <w:sz w:val="22"/>
          <w:szCs w:val="22"/>
        </w:rPr>
        <w:t>DoorDash</w:t>
      </w:r>
      <w:proofErr w:type="spellEnd"/>
      <w:r w:rsidRPr="00AB4C9C">
        <w:rPr>
          <w:rFonts w:ascii="ArialMT" w:hAnsi="ArialMT"/>
          <w:color w:val="000000" w:themeColor="text1"/>
          <w:sz w:val="22"/>
          <w:szCs w:val="22"/>
        </w:rPr>
        <w:t xml:space="preserve"> as of August 26, 2024. (Yahoo Finance 2024)</w:t>
      </w:r>
    </w:p>
    <w:p w14:paraId="715B16D1" w14:textId="22B9A3A3" w:rsidR="0069410F" w:rsidRDefault="0069410F" w:rsidP="00400A58">
      <w:pPr>
        <w:pStyle w:val="NormalWeb"/>
        <w:spacing w:line="360" w:lineRule="auto"/>
        <w:rPr>
          <w:rFonts w:ascii="ArialMT" w:hAnsi="ArialMT"/>
          <w:color w:val="000000" w:themeColor="text1"/>
          <w:sz w:val="22"/>
          <w:szCs w:val="22"/>
        </w:rPr>
      </w:pPr>
      <w:r w:rsidRPr="0069410F">
        <w:rPr>
          <w:rFonts w:ascii="ArialMT" w:hAnsi="ArialMT"/>
          <w:color w:val="000000" w:themeColor="text1"/>
          <w:sz w:val="22"/>
          <w:szCs w:val="22"/>
        </w:rPr>
        <w:t>The graph below shows the payoff diagram for a put option with a strike price of $130.42, illustrating how the option's payoff varies depending on the stock price at expiration.</w:t>
      </w:r>
      <w:r>
        <w:rPr>
          <w:rFonts w:ascii="ArialMT" w:hAnsi="ArialMT"/>
          <w:color w:val="000000" w:themeColor="text1"/>
          <w:sz w:val="22"/>
          <w:szCs w:val="22"/>
        </w:rPr>
        <w:t xml:space="preserve"> </w:t>
      </w:r>
    </w:p>
    <w:p w14:paraId="4FB1D14D" w14:textId="7F8AC992" w:rsidR="0069410F" w:rsidRDefault="0069410F" w:rsidP="0069410F">
      <w:pPr>
        <w:pStyle w:val="Caption"/>
        <w:keepNext/>
      </w:pPr>
      <w:r>
        <w:lastRenderedPageBreak/>
        <w:t xml:space="preserve">Figure </w:t>
      </w:r>
      <w:r>
        <w:fldChar w:fldCharType="begin"/>
      </w:r>
      <w:r>
        <w:instrText xml:space="preserve"> SEQ Figure \* ARABIC </w:instrText>
      </w:r>
      <w:r>
        <w:fldChar w:fldCharType="separate"/>
      </w:r>
      <w:r>
        <w:rPr>
          <w:noProof/>
        </w:rPr>
        <w:t>16</w:t>
      </w:r>
      <w:r>
        <w:fldChar w:fldCharType="end"/>
      </w:r>
      <w:r>
        <w:t xml:space="preserve"> Put option Payoff Diagram (source: Author)</w:t>
      </w:r>
    </w:p>
    <w:p w14:paraId="08DCB9C7" w14:textId="3826414B" w:rsidR="00AB4C9C" w:rsidRPr="00AB4C9C" w:rsidRDefault="00AB4C9C" w:rsidP="00400A58">
      <w:pPr>
        <w:pStyle w:val="NormalWeb"/>
        <w:spacing w:line="360" w:lineRule="auto"/>
        <w:rPr>
          <w:rFonts w:ascii="ArialMT" w:hAnsi="ArialMT"/>
          <w:color w:val="000000" w:themeColor="text1"/>
          <w:sz w:val="22"/>
          <w:szCs w:val="22"/>
        </w:rPr>
      </w:pPr>
      <w:r>
        <w:rPr>
          <w:rFonts w:ascii="ArialMT" w:hAnsi="ArialMT"/>
          <w:noProof/>
          <w:color w:val="000000" w:themeColor="text1"/>
          <w:sz w:val="22"/>
          <w:szCs w:val="22"/>
          <w14:ligatures w14:val="standardContextual"/>
        </w:rPr>
        <w:drawing>
          <wp:inline distT="0" distB="0" distL="0" distR="0" wp14:anchorId="2EA3B2E3" wp14:editId="23809B07">
            <wp:extent cx="5731510" cy="3678555"/>
            <wp:effectExtent l="0" t="0" r="0" b="4445"/>
            <wp:docPr id="201304055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040553" name="Picture 201304055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678555"/>
                    </a:xfrm>
                    <a:prstGeom prst="rect">
                      <a:avLst/>
                    </a:prstGeom>
                  </pic:spPr>
                </pic:pic>
              </a:graphicData>
            </a:graphic>
          </wp:inline>
        </w:drawing>
      </w:r>
    </w:p>
    <w:p w14:paraId="59F48E32" w14:textId="2F00F011" w:rsidR="00AB4C9C" w:rsidRDefault="00AB4C9C" w:rsidP="00AB4C9C">
      <w:pPr>
        <w:pStyle w:val="NormalWeb"/>
        <w:spacing w:line="360" w:lineRule="auto"/>
        <w:rPr>
          <w:rFonts w:ascii="ArialMT" w:hAnsi="ArialMT"/>
          <w:color w:val="000000" w:themeColor="text1"/>
          <w:sz w:val="22"/>
          <w:szCs w:val="22"/>
        </w:rPr>
      </w:pPr>
      <w:r w:rsidRPr="00AB4C9C">
        <w:rPr>
          <w:rFonts w:ascii="ArialMT" w:hAnsi="ArialMT"/>
          <w:color w:val="000000" w:themeColor="text1"/>
          <w:sz w:val="22"/>
          <w:szCs w:val="22"/>
        </w:rPr>
        <w:t>Strike Price ($130.42): The red dashed line represents the strike price, which matches the current stock price, making this an at-the-money option</w:t>
      </w:r>
      <w:r>
        <w:rPr>
          <w:rFonts w:ascii="ArialMT" w:hAnsi="ArialMT"/>
          <w:color w:val="000000" w:themeColor="text1"/>
          <w:sz w:val="22"/>
          <w:szCs w:val="22"/>
        </w:rPr>
        <w:t xml:space="preserve">. </w:t>
      </w:r>
      <w:r w:rsidRPr="00AB4C9C">
        <w:rPr>
          <w:rFonts w:ascii="ArialMT" w:hAnsi="ArialMT"/>
          <w:color w:val="000000" w:themeColor="text1"/>
          <w:sz w:val="22"/>
          <w:szCs w:val="22"/>
        </w:rPr>
        <w:t>If the stock price at expiration is at or above $130.42, the put option expires worthless, and the loss equals the premium paid (-$10</w:t>
      </w:r>
      <w:proofErr w:type="gramStart"/>
      <w:r w:rsidRPr="00AB4C9C">
        <w:rPr>
          <w:rFonts w:ascii="ArialMT" w:hAnsi="ArialMT"/>
          <w:color w:val="000000" w:themeColor="text1"/>
          <w:sz w:val="22"/>
          <w:szCs w:val="22"/>
        </w:rPr>
        <w:t>).If</w:t>
      </w:r>
      <w:proofErr w:type="gramEnd"/>
      <w:r w:rsidRPr="00AB4C9C">
        <w:rPr>
          <w:rFonts w:ascii="ArialMT" w:hAnsi="ArialMT"/>
          <w:color w:val="000000" w:themeColor="text1"/>
          <w:sz w:val="22"/>
          <w:szCs w:val="22"/>
        </w:rPr>
        <w:t xml:space="preserve"> the stock price at expiration is below $130.42, the put option gains value, as it is in the money. For example, if the stock price drops to $110, the payoff would be $20 ($130.42 - $110) minus the $10 premium, resulting in a net payoff of $10.The break-even stock price is $120.42, where the loss equals the premium paid. Below this point, the option becomes profitable.</w:t>
      </w:r>
      <w:r>
        <w:rPr>
          <w:rFonts w:ascii="ArialMT" w:hAnsi="ArialMT"/>
          <w:color w:val="000000" w:themeColor="text1"/>
          <w:sz w:val="22"/>
          <w:szCs w:val="22"/>
        </w:rPr>
        <w:t xml:space="preserve"> </w:t>
      </w:r>
      <w:r w:rsidRPr="00AB4C9C">
        <w:rPr>
          <w:rFonts w:ascii="ArialMT" w:hAnsi="ArialMT"/>
          <w:color w:val="000000" w:themeColor="text1"/>
          <w:sz w:val="22"/>
          <w:szCs w:val="22"/>
        </w:rPr>
        <w:t>The maximum gain occurs when the stock price falls to zero, resulting in a payoff of $130.42 - 0 - $10 = $120.42.</w:t>
      </w:r>
      <w:r>
        <w:rPr>
          <w:rFonts w:ascii="ArialMT" w:hAnsi="ArialMT"/>
          <w:color w:val="000000" w:themeColor="text1"/>
          <w:sz w:val="22"/>
          <w:szCs w:val="22"/>
        </w:rPr>
        <w:t xml:space="preserve"> </w:t>
      </w:r>
      <w:r w:rsidRPr="00AB4C9C">
        <w:rPr>
          <w:rFonts w:ascii="ArialMT" w:hAnsi="ArialMT"/>
          <w:color w:val="000000" w:themeColor="text1"/>
          <w:sz w:val="22"/>
          <w:szCs w:val="22"/>
        </w:rPr>
        <w:t xml:space="preserve">The payoff of a put option is directly affected by the premium paid for the option. The premium is the cost of purchasing the option, and it </w:t>
      </w:r>
      <w:r>
        <w:rPr>
          <w:rFonts w:ascii="ArialMT" w:hAnsi="ArialMT"/>
          <w:color w:val="000000" w:themeColor="text1"/>
          <w:sz w:val="22"/>
          <w:szCs w:val="22"/>
        </w:rPr>
        <w:t xml:space="preserve">deducts </w:t>
      </w:r>
      <w:r w:rsidRPr="00AB4C9C">
        <w:rPr>
          <w:rFonts w:ascii="ArialMT" w:hAnsi="ArialMT"/>
          <w:color w:val="000000" w:themeColor="text1"/>
          <w:sz w:val="22"/>
          <w:szCs w:val="22"/>
        </w:rPr>
        <w:t>from the potential profit of the option</w:t>
      </w:r>
      <w:r w:rsidR="0069410F">
        <w:rPr>
          <w:rFonts w:ascii="ArialMT" w:hAnsi="ArialMT"/>
          <w:color w:val="000000" w:themeColor="text1"/>
          <w:sz w:val="22"/>
          <w:szCs w:val="22"/>
        </w:rPr>
        <w:t xml:space="preserve"> (tastylive.com 2023)</w:t>
      </w:r>
      <w:r w:rsidRPr="00AB4C9C">
        <w:rPr>
          <w:rFonts w:ascii="ArialMT" w:hAnsi="ArialMT"/>
          <w:color w:val="000000" w:themeColor="text1"/>
          <w:sz w:val="22"/>
          <w:szCs w:val="22"/>
        </w:rPr>
        <w:t>.</w:t>
      </w:r>
      <w:r>
        <w:rPr>
          <w:rFonts w:ascii="ArialMT" w:hAnsi="ArialMT"/>
          <w:color w:val="000000" w:themeColor="text1"/>
          <w:sz w:val="22"/>
          <w:szCs w:val="22"/>
        </w:rPr>
        <w:t xml:space="preserve"> </w:t>
      </w:r>
    </w:p>
    <w:p w14:paraId="6DAADD60" w14:textId="3DCAB35C" w:rsidR="00AB4C9C" w:rsidRDefault="00AB4C9C" w:rsidP="0069410F">
      <w:pPr>
        <w:pStyle w:val="Heading2"/>
      </w:pPr>
      <w:bookmarkStart w:id="11" w:name="_Toc175609885"/>
      <w:r w:rsidRPr="00AB4C9C">
        <w:t>3.3</w:t>
      </w:r>
      <w:r w:rsidR="0069410F">
        <w:t xml:space="preserve"> </w:t>
      </w:r>
      <w:r>
        <w:t>Straddle Strategy</w:t>
      </w:r>
      <w:bookmarkEnd w:id="11"/>
      <w:r>
        <w:t xml:space="preserve"> </w:t>
      </w:r>
    </w:p>
    <w:p w14:paraId="2BF3C15A" w14:textId="4FAB43EF" w:rsidR="00AB4C9C" w:rsidRDefault="00AB4C9C" w:rsidP="00AB4C9C">
      <w:pPr>
        <w:pStyle w:val="NormalWeb"/>
        <w:spacing w:line="360" w:lineRule="auto"/>
        <w:rPr>
          <w:rFonts w:ascii="ArialMT" w:hAnsi="ArialMT"/>
          <w:color w:val="000000" w:themeColor="text1"/>
          <w:sz w:val="22"/>
          <w:szCs w:val="22"/>
        </w:rPr>
      </w:pPr>
      <w:r w:rsidRPr="00AB4C9C">
        <w:rPr>
          <w:rFonts w:ascii="ArialMT" w:hAnsi="ArialMT"/>
          <w:color w:val="000000" w:themeColor="text1"/>
          <w:sz w:val="22"/>
          <w:szCs w:val="22"/>
        </w:rPr>
        <w:t xml:space="preserve">The straddle strategy is buying a call option and a put option on the same stock (such as </w:t>
      </w:r>
      <w:proofErr w:type="spellStart"/>
      <w:r w:rsidRPr="00AB4C9C">
        <w:rPr>
          <w:rFonts w:ascii="ArialMT" w:hAnsi="ArialMT"/>
          <w:color w:val="000000" w:themeColor="text1"/>
          <w:sz w:val="22"/>
          <w:szCs w:val="22"/>
        </w:rPr>
        <w:t>DoorDash</w:t>
      </w:r>
      <w:proofErr w:type="spellEnd"/>
      <w:r w:rsidRPr="00AB4C9C">
        <w:rPr>
          <w:rFonts w:ascii="ArialMT" w:hAnsi="ArialMT"/>
          <w:color w:val="000000" w:themeColor="text1"/>
          <w:sz w:val="22"/>
          <w:szCs w:val="22"/>
        </w:rPr>
        <w:t>) at the same time, both with the same strike price and expiration date</w:t>
      </w:r>
      <w:r w:rsidR="0069410F">
        <w:rPr>
          <w:rFonts w:ascii="ArialMT" w:hAnsi="ArialMT"/>
          <w:color w:val="000000" w:themeColor="text1"/>
          <w:sz w:val="22"/>
          <w:szCs w:val="22"/>
        </w:rPr>
        <w:t xml:space="preserve"> (Fidelity.com 2023)</w:t>
      </w:r>
      <w:r w:rsidRPr="00AB4C9C">
        <w:rPr>
          <w:rFonts w:ascii="ArialMT" w:hAnsi="ArialMT"/>
          <w:color w:val="000000" w:themeColor="text1"/>
          <w:sz w:val="22"/>
          <w:szCs w:val="22"/>
        </w:rPr>
        <w:t xml:space="preserve">. The idea is to profit from considerable market volatility, even if the direction of the movement is unpredictable. With this strategy, the investor may profit from significant price moves in both directions by taking advantage of the option that gains value </w:t>
      </w:r>
      <w:r w:rsidRPr="00AB4C9C">
        <w:rPr>
          <w:rFonts w:ascii="ArialMT" w:hAnsi="ArialMT"/>
          <w:color w:val="000000" w:themeColor="text1"/>
          <w:sz w:val="22"/>
          <w:szCs w:val="22"/>
        </w:rPr>
        <w:lastRenderedPageBreak/>
        <w:t>as the stock price disappears from the strike price</w:t>
      </w:r>
      <w:r w:rsidR="0069410F">
        <w:rPr>
          <w:rFonts w:ascii="ArialMT" w:hAnsi="ArialMT"/>
          <w:color w:val="000000" w:themeColor="text1"/>
          <w:sz w:val="22"/>
          <w:szCs w:val="22"/>
        </w:rPr>
        <w:t xml:space="preserve"> </w:t>
      </w:r>
      <w:r w:rsidR="0069410F">
        <w:rPr>
          <w:rFonts w:ascii="ArialMT" w:hAnsi="ArialMT"/>
          <w:color w:val="000000" w:themeColor="text1"/>
          <w:sz w:val="22"/>
          <w:szCs w:val="22"/>
        </w:rPr>
        <w:t>(Fidelity.com 2023)</w:t>
      </w:r>
      <w:r w:rsidRPr="00AB4C9C">
        <w:rPr>
          <w:rFonts w:ascii="ArialMT" w:hAnsi="ArialMT"/>
          <w:color w:val="000000" w:themeColor="text1"/>
          <w:sz w:val="22"/>
          <w:szCs w:val="22"/>
        </w:rPr>
        <w:t>. The greatest possible loss is limited at this sum if the stock price stays around the strike price and both options expire worthless</w:t>
      </w:r>
      <w:r w:rsidR="0069410F">
        <w:rPr>
          <w:rFonts w:ascii="ArialMT" w:hAnsi="ArialMT"/>
          <w:color w:val="000000" w:themeColor="text1"/>
          <w:sz w:val="22"/>
          <w:szCs w:val="22"/>
        </w:rPr>
        <w:t xml:space="preserve"> </w:t>
      </w:r>
      <w:r w:rsidR="0069410F">
        <w:rPr>
          <w:rFonts w:ascii="ArialMT" w:hAnsi="ArialMT"/>
          <w:color w:val="000000" w:themeColor="text1"/>
          <w:sz w:val="22"/>
          <w:szCs w:val="22"/>
        </w:rPr>
        <w:t>(Fidelity.com 2023</w:t>
      </w:r>
      <w:proofErr w:type="gramStart"/>
      <w:r w:rsidR="0069410F">
        <w:rPr>
          <w:rFonts w:ascii="ArialMT" w:hAnsi="ArialMT"/>
          <w:color w:val="000000" w:themeColor="text1"/>
          <w:sz w:val="22"/>
          <w:szCs w:val="22"/>
        </w:rPr>
        <w:t>)</w:t>
      </w:r>
      <w:r w:rsidR="0069410F" w:rsidRPr="00AB4C9C">
        <w:rPr>
          <w:rFonts w:ascii="ArialMT" w:hAnsi="ArialMT"/>
          <w:color w:val="000000" w:themeColor="text1"/>
          <w:sz w:val="22"/>
          <w:szCs w:val="22"/>
        </w:rPr>
        <w:t>.</w:t>
      </w:r>
      <w:r w:rsidRPr="00AB4C9C">
        <w:rPr>
          <w:rFonts w:ascii="ArialMT" w:hAnsi="ArialMT"/>
          <w:color w:val="000000" w:themeColor="text1"/>
          <w:sz w:val="22"/>
          <w:szCs w:val="22"/>
        </w:rPr>
        <w:t>.</w:t>
      </w:r>
      <w:proofErr w:type="gramEnd"/>
      <w:r w:rsidRPr="00AB4C9C">
        <w:rPr>
          <w:rFonts w:ascii="ArialMT" w:hAnsi="ArialMT"/>
          <w:color w:val="000000" w:themeColor="text1"/>
          <w:sz w:val="22"/>
          <w:szCs w:val="22"/>
        </w:rPr>
        <w:t xml:space="preserve"> The entire cost of executing the straddle equals the total premium of both options. This strategy works especially well in situations where there is significant market volatility</w:t>
      </w:r>
      <w:r w:rsidR="0069410F">
        <w:rPr>
          <w:rFonts w:ascii="ArialMT" w:hAnsi="ArialMT"/>
          <w:color w:val="000000" w:themeColor="text1"/>
          <w:sz w:val="22"/>
          <w:szCs w:val="22"/>
        </w:rPr>
        <w:t xml:space="preserve"> </w:t>
      </w:r>
      <w:r w:rsidR="0069410F">
        <w:rPr>
          <w:rFonts w:ascii="ArialMT" w:hAnsi="ArialMT"/>
          <w:color w:val="000000" w:themeColor="text1"/>
          <w:sz w:val="22"/>
          <w:szCs w:val="22"/>
        </w:rPr>
        <w:t>(Fidelity.com 2023)</w:t>
      </w:r>
      <w:r w:rsidRPr="00AB4C9C">
        <w:rPr>
          <w:rFonts w:ascii="ArialMT" w:hAnsi="ArialMT"/>
          <w:color w:val="000000" w:themeColor="text1"/>
          <w:sz w:val="22"/>
          <w:szCs w:val="22"/>
        </w:rPr>
        <w:t>.</w:t>
      </w:r>
      <w:r>
        <w:rPr>
          <w:rFonts w:ascii="ArialMT" w:hAnsi="ArialMT"/>
          <w:color w:val="000000" w:themeColor="text1"/>
          <w:sz w:val="22"/>
          <w:szCs w:val="22"/>
        </w:rPr>
        <w:t xml:space="preserve"> </w:t>
      </w:r>
    </w:p>
    <w:p w14:paraId="50F2B3EB" w14:textId="6F4B0460" w:rsidR="00AB4C9C" w:rsidRDefault="00AB4C9C" w:rsidP="00AB4C9C">
      <w:pPr>
        <w:pStyle w:val="NormalWeb"/>
        <w:spacing w:line="360" w:lineRule="auto"/>
        <w:rPr>
          <w:rFonts w:ascii="ArialMT" w:hAnsi="ArialMT"/>
          <w:color w:val="000000" w:themeColor="text1"/>
          <w:sz w:val="22"/>
          <w:szCs w:val="22"/>
        </w:rPr>
      </w:pPr>
      <w:r w:rsidRPr="00AB4C9C">
        <w:rPr>
          <w:rFonts w:ascii="ArialMT" w:hAnsi="ArialMT"/>
          <w:color w:val="000000" w:themeColor="text1"/>
          <w:sz w:val="22"/>
          <w:szCs w:val="22"/>
        </w:rPr>
        <w:t xml:space="preserve">In constructing a straddle for </w:t>
      </w:r>
      <w:proofErr w:type="spellStart"/>
      <w:r w:rsidRPr="00AB4C9C">
        <w:rPr>
          <w:rFonts w:ascii="ArialMT" w:hAnsi="ArialMT"/>
          <w:color w:val="000000" w:themeColor="text1"/>
          <w:sz w:val="22"/>
          <w:szCs w:val="22"/>
        </w:rPr>
        <w:t>DoorDash</w:t>
      </w:r>
      <w:proofErr w:type="spellEnd"/>
      <w:r w:rsidRPr="00AB4C9C">
        <w:rPr>
          <w:rFonts w:ascii="ArialMT" w:hAnsi="ArialMT"/>
          <w:color w:val="000000" w:themeColor="text1"/>
          <w:sz w:val="22"/>
          <w:szCs w:val="22"/>
        </w:rPr>
        <w:t>, given the current stock price of $130.42, I would select a strike price of $130, which is close to the current market price, making this an at-the-money (ATM) straddle.</w:t>
      </w:r>
      <w:r>
        <w:rPr>
          <w:rFonts w:ascii="ArialMT" w:hAnsi="ArialMT"/>
          <w:color w:val="000000" w:themeColor="text1"/>
          <w:sz w:val="22"/>
          <w:szCs w:val="22"/>
        </w:rPr>
        <w:t xml:space="preserve"> </w:t>
      </w:r>
      <w:r w:rsidRPr="00AB4C9C">
        <w:rPr>
          <w:rFonts w:ascii="ArialMT" w:hAnsi="ArialMT"/>
          <w:color w:val="000000" w:themeColor="text1"/>
          <w:sz w:val="22"/>
          <w:szCs w:val="22"/>
        </w:rPr>
        <w:t xml:space="preserve"> The components of this strategy include the purchase of a call option and a put option, each with a $130 strike price. </w:t>
      </w:r>
      <w:proofErr w:type="gramStart"/>
      <w:r w:rsidRPr="00AB4C9C">
        <w:rPr>
          <w:rFonts w:ascii="ArialMT" w:hAnsi="ArialMT"/>
          <w:color w:val="000000" w:themeColor="text1"/>
          <w:sz w:val="22"/>
          <w:szCs w:val="22"/>
        </w:rPr>
        <w:t>Assuming that</w:t>
      </w:r>
      <w:proofErr w:type="gramEnd"/>
      <w:r w:rsidRPr="00AB4C9C">
        <w:rPr>
          <w:rFonts w:ascii="ArialMT" w:hAnsi="ArialMT"/>
          <w:color w:val="000000" w:themeColor="text1"/>
          <w:sz w:val="22"/>
          <w:szCs w:val="22"/>
        </w:rPr>
        <w:t xml:space="preserve"> the premium for both the call and the put options is $10 per share. Therefore, the total cost of constructing the straddle would be $20 per share, which is the sum of the premiums for both options.</w:t>
      </w:r>
    </w:p>
    <w:p w14:paraId="04641E94" w14:textId="44FAC991" w:rsidR="00AB4C9C" w:rsidRDefault="00AB4C9C" w:rsidP="00AB4C9C">
      <w:pPr>
        <w:pStyle w:val="NormalWeb"/>
        <w:spacing w:line="360" w:lineRule="auto"/>
        <w:rPr>
          <w:rFonts w:ascii="ArialMT" w:hAnsi="ArialMT"/>
          <w:color w:val="000000" w:themeColor="text1"/>
          <w:sz w:val="22"/>
          <w:szCs w:val="22"/>
        </w:rPr>
      </w:pPr>
      <w:r w:rsidRPr="00AB4C9C">
        <w:rPr>
          <w:rFonts w:ascii="ArialMT" w:hAnsi="ArialMT"/>
          <w:color w:val="000000" w:themeColor="text1"/>
          <w:sz w:val="22"/>
          <w:szCs w:val="22"/>
        </w:rPr>
        <w:t xml:space="preserve">Depending on how </w:t>
      </w:r>
      <w:proofErr w:type="spellStart"/>
      <w:r w:rsidRPr="00AB4C9C">
        <w:rPr>
          <w:rFonts w:ascii="ArialMT" w:hAnsi="ArialMT"/>
          <w:color w:val="000000" w:themeColor="text1"/>
          <w:sz w:val="22"/>
          <w:szCs w:val="22"/>
        </w:rPr>
        <w:t>DoorDash's</w:t>
      </w:r>
      <w:proofErr w:type="spellEnd"/>
      <w:r w:rsidRPr="00AB4C9C">
        <w:rPr>
          <w:rFonts w:ascii="ArialMT" w:hAnsi="ArialMT"/>
          <w:color w:val="000000" w:themeColor="text1"/>
          <w:sz w:val="22"/>
          <w:szCs w:val="22"/>
        </w:rPr>
        <w:t xml:space="preserve"> stock price moves before the expiration date, there are several possible payouts for this straddle. The put option would expire worthless and the call option would become extremely profitable if the stock price increased significantly, to $160, for example. In this case, the call option would pay out $30, resulting in a $10 net profit after deducting the $20 total premium paid. On the other hand, in the event that the stock price drops to, say, $100, the put option would turn a profit and earn a net profit of $10 after premiums</w:t>
      </w:r>
      <w:r w:rsidR="0069410F">
        <w:rPr>
          <w:rFonts w:ascii="ArialMT" w:hAnsi="ArialMT"/>
          <w:color w:val="000000" w:themeColor="text1"/>
          <w:sz w:val="22"/>
          <w:szCs w:val="22"/>
        </w:rPr>
        <w:t xml:space="preserve"> </w:t>
      </w:r>
      <w:r w:rsidR="0069410F">
        <w:rPr>
          <w:rFonts w:ascii="ArialMT" w:hAnsi="ArialMT"/>
          <w:color w:val="000000" w:themeColor="text1"/>
          <w:sz w:val="22"/>
          <w:szCs w:val="22"/>
        </w:rPr>
        <w:t>(tastylive.com 2023</w:t>
      </w:r>
      <w:proofErr w:type="gramStart"/>
      <w:r w:rsidR="0069410F">
        <w:rPr>
          <w:rFonts w:ascii="ArialMT" w:hAnsi="ArialMT"/>
          <w:color w:val="000000" w:themeColor="text1"/>
          <w:sz w:val="22"/>
          <w:szCs w:val="22"/>
        </w:rPr>
        <w:t>)</w:t>
      </w:r>
      <w:r w:rsidR="0069410F" w:rsidRPr="00AB4C9C">
        <w:rPr>
          <w:rFonts w:ascii="ArialMT" w:hAnsi="ArialMT"/>
          <w:color w:val="000000" w:themeColor="text1"/>
          <w:sz w:val="22"/>
          <w:szCs w:val="22"/>
        </w:rPr>
        <w:t>.</w:t>
      </w:r>
      <w:r w:rsidRPr="00AB4C9C">
        <w:rPr>
          <w:rFonts w:ascii="ArialMT" w:hAnsi="ArialMT"/>
          <w:color w:val="000000" w:themeColor="text1"/>
          <w:sz w:val="22"/>
          <w:szCs w:val="22"/>
        </w:rPr>
        <w:t>.</w:t>
      </w:r>
      <w:proofErr w:type="gramEnd"/>
      <w:r>
        <w:rPr>
          <w:rFonts w:ascii="ArialMT" w:hAnsi="ArialMT"/>
          <w:color w:val="000000" w:themeColor="text1"/>
          <w:sz w:val="22"/>
          <w:szCs w:val="22"/>
        </w:rPr>
        <w:t xml:space="preserve"> </w:t>
      </w:r>
    </w:p>
    <w:p w14:paraId="2FCEF77E" w14:textId="6FF92D00" w:rsidR="00AB4C9C" w:rsidRDefault="00AB4C9C" w:rsidP="00AB4C9C">
      <w:pPr>
        <w:pStyle w:val="NormalWeb"/>
        <w:spacing w:line="360" w:lineRule="auto"/>
        <w:rPr>
          <w:rFonts w:ascii="ArialMT" w:hAnsi="ArialMT"/>
          <w:color w:val="000000" w:themeColor="text1"/>
          <w:sz w:val="22"/>
          <w:szCs w:val="22"/>
        </w:rPr>
      </w:pPr>
      <w:r w:rsidRPr="00AB4C9C">
        <w:rPr>
          <w:rFonts w:ascii="ArialMT" w:hAnsi="ArialMT"/>
          <w:color w:val="000000" w:themeColor="text1"/>
          <w:sz w:val="22"/>
          <w:szCs w:val="22"/>
        </w:rPr>
        <w:t xml:space="preserve">But both options may expire worthless or almost worthless if </w:t>
      </w:r>
      <w:proofErr w:type="spellStart"/>
      <w:r w:rsidRPr="00AB4C9C">
        <w:rPr>
          <w:rFonts w:ascii="ArialMT" w:hAnsi="ArialMT"/>
          <w:color w:val="000000" w:themeColor="text1"/>
          <w:sz w:val="22"/>
          <w:szCs w:val="22"/>
        </w:rPr>
        <w:t>DoorDash's</w:t>
      </w:r>
      <w:proofErr w:type="spellEnd"/>
      <w:r w:rsidRPr="00AB4C9C">
        <w:rPr>
          <w:rFonts w:ascii="ArialMT" w:hAnsi="ArialMT"/>
          <w:color w:val="000000" w:themeColor="text1"/>
          <w:sz w:val="22"/>
          <w:szCs w:val="22"/>
        </w:rPr>
        <w:t xml:space="preserve"> stock price stays near the $130 strike price at expiration. In this scenario, the maximum loss would be equivalent to the whole premium paid, or $20. The danger associated with the straddle approach is that not enough change in the stock price might result in a loss, highlighting how important volatility is to the success of this strategy</w:t>
      </w:r>
      <w:r w:rsidR="0069410F">
        <w:rPr>
          <w:rFonts w:ascii="ArialMT" w:hAnsi="ArialMT"/>
          <w:color w:val="000000" w:themeColor="text1"/>
          <w:sz w:val="22"/>
          <w:szCs w:val="22"/>
        </w:rPr>
        <w:t xml:space="preserve"> </w:t>
      </w:r>
      <w:r w:rsidR="0069410F">
        <w:rPr>
          <w:rFonts w:ascii="ArialMT" w:hAnsi="ArialMT"/>
          <w:color w:val="000000" w:themeColor="text1"/>
          <w:sz w:val="22"/>
          <w:szCs w:val="22"/>
        </w:rPr>
        <w:t>(tastylive.com 2023</w:t>
      </w:r>
      <w:proofErr w:type="gramStart"/>
      <w:r w:rsidR="0069410F">
        <w:rPr>
          <w:rFonts w:ascii="ArialMT" w:hAnsi="ArialMT"/>
          <w:color w:val="000000" w:themeColor="text1"/>
          <w:sz w:val="22"/>
          <w:szCs w:val="22"/>
        </w:rPr>
        <w:t>)</w:t>
      </w:r>
      <w:r w:rsidR="0069410F" w:rsidRPr="00AB4C9C">
        <w:rPr>
          <w:rFonts w:ascii="ArialMT" w:hAnsi="ArialMT"/>
          <w:color w:val="000000" w:themeColor="text1"/>
          <w:sz w:val="22"/>
          <w:szCs w:val="22"/>
        </w:rPr>
        <w:t>.</w:t>
      </w:r>
      <w:r w:rsidRPr="00AB4C9C">
        <w:rPr>
          <w:rFonts w:ascii="ArialMT" w:hAnsi="ArialMT"/>
          <w:color w:val="000000" w:themeColor="text1"/>
          <w:sz w:val="22"/>
          <w:szCs w:val="22"/>
        </w:rPr>
        <w:t>.</w:t>
      </w:r>
      <w:proofErr w:type="gramEnd"/>
    </w:p>
    <w:p w14:paraId="1DE6DCDB" w14:textId="25BCB001" w:rsidR="00AB4C9C" w:rsidRPr="00AB4C9C" w:rsidRDefault="00AB4C9C" w:rsidP="00AB4C9C">
      <w:pPr>
        <w:pStyle w:val="NormalWeb"/>
        <w:spacing w:line="360" w:lineRule="auto"/>
        <w:rPr>
          <w:rFonts w:ascii="ArialMT" w:hAnsi="ArialMT"/>
          <w:color w:val="000000" w:themeColor="text1"/>
          <w:sz w:val="22"/>
          <w:szCs w:val="22"/>
        </w:rPr>
      </w:pPr>
      <w:r w:rsidRPr="00AB4C9C">
        <w:rPr>
          <w:rFonts w:ascii="ArialMT" w:hAnsi="ArialMT"/>
          <w:color w:val="000000" w:themeColor="text1"/>
          <w:sz w:val="22"/>
          <w:szCs w:val="22"/>
        </w:rPr>
        <w:t xml:space="preserve">In conclusion, the </w:t>
      </w:r>
      <w:proofErr w:type="spellStart"/>
      <w:r w:rsidRPr="00AB4C9C">
        <w:rPr>
          <w:rFonts w:ascii="ArialMT" w:hAnsi="ArialMT"/>
          <w:color w:val="000000" w:themeColor="text1"/>
          <w:sz w:val="22"/>
          <w:szCs w:val="22"/>
        </w:rPr>
        <w:t>DoorDash</w:t>
      </w:r>
      <w:proofErr w:type="spellEnd"/>
      <w:r w:rsidRPr="00AB4C9C">
        <w:rPr>
          <w:rFonts w:ascii="ArialMT" w:hAnsi="ArialMT"/>
          <w:color w:val="000000" w:themeColor="text1"/>
          <w:sz w:val="22"/>
          <w:szCs w:val="22"/>
        </w:rPr>
        <w:t xml:space="preserve"> straddle strategy with a $130 strike price is a flexible tool for managing uncertainty since it provides an opportunity to profit from significant price moves in either direction. It works especially well in situations where considerable volatility is expected, as right before an earnings release or other important business </w:t>
      </w:r>
      <w:proofErr w:type="gramStart"/>
      <w:r w:rsidRPr="00AB4C9C">
        <w:rPr>
          <w:rFonts w:ascii="ArialMT" w:hAnsi="ArialMT"/>
          <w:color w:val="000000" w:themeColor="text1"/>
          <w:sz w:val="22"/>
          <w:szCs w:val="22"/>
        </w:rPr>
        <w:t>event</w:t>
      </w:r>
      <w:r w:rsidR="0069410F">
        <w:rPr>
          <w:rFonts w:ascii="ArialMT" w:hAnsi="ArialMT"/>
          <w:color w:val="000000" w:themeColor="text1"/>
          <w:sz w:val="22"/>
          <w:szCs w:val="22"/>
        </w:rPr>
        <w:t>(</w:t>
      </w:r>
      <w:proofErr w:type="gramEnd"/>
      <w:r w:rsidR="0069410F">
        <w:rPr>
          <w:rFonts w:ascii="ArialMT" w:hAnsi="ArialMT"/>
          <w:color w:val="000000" w:themeColor="text1"/>
          <w:sz w:val="22"/>
          <w:szCs w:val="22"/>
        </w:rPr>
        <w:t>tastylive.com 2023)</w:t>
      </w:r>
      <w:r w:rsidR="0069410F" w:rsidRPr="00AB4C9C">
        <w:rPr>
          <w:rFonts w:ascii="ArialMT" w:hAnsi="ArialMT"/>
          <w:color w:val="000000" w:themeColor="text1"/>
          <w:sz w:val="22"/>
          <w:szCs w:val="22"/>
        </w:rPr>
        <w:t>.</w:t>
      </w:r>
      <w:r w:rsidR="0069410F">
        <w:rPr>
          <w:rFonts w:ascii="ArialMT" w:hAnsi="ArialMT"/>
          <w:color w:val="000000" w:themeColor="text1"/>
          <w:sz w:val="22"/>
          <w:szCs w:val="22"/>
        </w:rPr>
        <w:t xml:space="preserve"> </w:t>
      </w:r>
      <w:r w:rsidRPr="00AB4C9C">
        <w:rPr>
          <w:rFonts w:ascii="ArialMT" w:hAnsi="ArialMT"/>
          <w:color w:val="000000" w:themeColor="text1"/>
          <w:sz w:val="22"/>
          <w:szCs w:val="22"/>
        </w:rPr>
        <w:t>However, the strategy carries the risk of total premium loss if the stock price does not move significantly from the strike price</w:t>
      </w:r>
      <w:r w:rsidR="0069410F">
        <w:rPr>
          <w:rFonts w:ascii="ArialMT" w:hAnsi="ArialMT"/>
          <w:color w:val="000000" w:themeColor="text1"/>
          <w:sz w:val="22"/>
          <w:szCs w:val="22"/>
        </w:rPr>
        <w:t xml:space="preserve"> </w:t>
      </w:r>
      <w:r w:rsidR="0069410F">
        <w:rPr>
          <w:rFonts w:ascii="ArialMT" w:hAnsi="ArialMT"/>
          <w:color w:val="000000" w:themeColor="text1"/>
          <w:sz w:val="22"/>
          <w:szCs w:val="22"/>
        </w:rPr>
        <w:t>(tastylive.com 2023)</w:t>
      </w:r>
      <w:r w:rsidR="0069410F" w:rsidRPr="00AB4C9C">
        <w:rPr>
          <w:rFonts w:ascii="ArialMT" w:hAnsi="ArialMT"/>
          <w:color w:val="000000" w:themeColor="text1"/>
          <w:sz w:val="22"/>
          <w:szCs w:val="22"/>
        </w:rPr>
        <w:t>.</w:t>
      </w:r>
    </w:p>
    <w:p w14:paraId="652D6C0C" w14:textId="43B6DBFB" w:rsidR="00400A58" w:rsidRPr="0069410F" w:rsidRDefault="0069410F" w:rsidP="0069410F">
      <w:pPr>
        <w:pStyle w:val="Heading1"/>
        <w:rPr>
          <w:u w:val="single"/>
        </w:rPr>
      </w:pPr>
      <w:bookmarkStart w:id="12" w:name="_Toc175609886"/>
      <w:r w:rsidRPr="0069410F">
        <w:rPr>
          <w:u w:val="single"/>
        </w:rPr>
        <w:lastRenderedPageBreak/>
        <w:t>10Y Note, Yield</w:t>
      </w:r>
      <w:bookmarkEnd w:id="12"/>
    </w:p>
    <w:p w14:paraId="3116090C" w14:textId="2A7BC6F7" w:rsidR="00AB4C9C" w:rsidRPr="0069410F" w:rsidRDefault="00AB4C9C" w:rsidP="0069410F">
      <w:pPr>
        <w:pStyle w:val="Heading2"/>
        <w:rPr>
          <w:rFonts w:ascii="ArialMT" w:hAnsi="ArialMT" w:cs="Times New Roman"/>
        </w:rPr>
      </w:pPr>
      <w:bookmarkStart w:id="13" w:name="_Toc175609887"/>
      <w:r w:rsidRPr="00AB4C9C">
        <w:rPr>
          <w:rFonts w:ascii="ArialMT" w:hAnsi="ArialMT"/>
        </w:rPr>
        <w:t>4.1</w:t>
      </w:r>
      <w:r w:rsidR="00400A58" w:rsidRPr="00AB4C9C">
        <w:rPr>
          <w:rFonts w:ascii="ArialMT" w:hAnsi="ArialMT"/>
        </w:rPr>
        <w:t xml:space="preserve"> </w:t>
      </w:r>
      <w:r w:rsidRPr="00AB4C9C">
        <w:t>Performance of the 10-Year Treasury Note</w:t>
      </w:r>
      <w:bookmarkEnd w:id="13"/>
    </w:p>
    <w:p w14:paraId="6D582267" w14:textId="356AF9BB" w:rsidR="00AB4C9C" w:rsidRDefault="00AB4C9C" w:rsidP="00AB4C9C">
      <w:pPr>
        <w:pStyle w:val="NormalWeb"/>
        <w:spacing w:line="360" w:lineRule="auto"/>
        <w:rPr>
          <w:rFonts w:ascii="Arial" w:hAnsi="Arial" w:cs="Arial"/>
          <w:color w:val="000000" w:themeColor="text1"/>
          <w:sz w:val="22"/>
          <w:szCs w:val="22"/>
        </w:rPr>
      </w:pPr>
      <w:r w:rsidRPr="00AB4C9C">
        <w:rPr>
          <w:rFonts w:ascii="Arial" w:hAnsi="Arial" w:cs="Arial"/>
          <w:color w:val="000000" w:themeColor="text1"/>
          <w:sz w:val="22"/>
          <w:szCs w:val="22"/>
        </w:rPr>
        <w:t xml:space="preserve">The 10-Year U.S. Treasury Note (10Y) serves as </w:t>
      </w:r>
      <w:proofErr w:type="gramStart"/>
      <w:r w:rsidRPr="00AB4C9C">
        <w:rPr>
          <w:rFonts w:ascii="Arial" w:hAnsi="Arial" w:cs="Arial"/>
          <w:color w:val="000000" w:themeColor="text1"/>
          <w:sz w:val="22"/>
          <w:szCs w:val="22"/>
        </w:rPr>
        <w:t xml:space="preserve">a </w:t>
      </w:r>
      <w:r>
        <w:rPr>
          <w:rFonts w:ascii="Arial" w:hAnsi="Arial" w:cs="Arial"/>
          <w:color w:val="000000" w:themeColor="text1"/>
          <w:sz w:val="22"/>
          <w:szCs w:val="22"/>
        </w:rPr>
        <w:t>the</w:t>
      </w:r>
      <w:proofErr w:type="gramEnd"/>
      <w:r>
        <w:rPr>
          <w:rFonts w:ascii="Arial" w:hAnsi="Arial" w:cs="Arial"/>
          <w:color w:val="000000" w:themeColor="text1"/>
          <w:sz w:val="22"/>
          <w:szCs w:val="22"/>
        </w:rPr>
        <w:t xml:space="preserve"> foundation</w:t>
      </w:r>
      <w:r w:rsidRPr="00AB4C9C">
        <w:rPr>
          <w:rFonts w:ascii="Arial" w:hAnsi="Arial" w:cs="Arial"/>
          <w:color w:val="000000" w:themeColor="text1"/>
          <w:sz w:val="22"/>
          <w:szCs w:val="22"/>
        </w:rPr>
        <w:t xml:space="preserve"> in global financial markets, influencing a broad range of interest rates, including those for mortgages, corporate bonds, and other financial products. Throughout 2023, the performance of the 10Y note was shaped by a complex in</w:t>
      </w:r>
      <w:r>
        <w:rPr>
          <w:rFonts w:ascii="Arial" w:hAnsi="Arial" w:cs="Arial"/>
          <w:color w:val="000000" w:themeColor="text1"/>
          <w:sz w:val="22"/>
          <w:szCs w:val="22"/>
        </w:rPr>
        <w:t xml:space="preserve">teraction </w:t>
      </w:r>
      <w:r w:rsidRPr="00AB4C9C">
        <w:rPr>
          <w:rFonts w:ascii="Arial" w:hAnsi="Arial" w:cs="Arial"/>
          <w:color w:val="000000" w:themeColor="text1"/>
          <w:sz w:val="22"/>
          <w:szCs w:val="22"/>
        </w:rPr>
        <w:t>of economic factors, with the Federal Reserve's monetary policy and inflation being the most significant drivers.</w:t>
      </w:r>
      <w:r>
        <w:rPr>
          <w:rFonts w:ascii="Arial" w:hAnsi="Arial" w:cs="Arial"/>
          <w:color w:val="000000" w:themeColor="text1"/>
          <w:sz w:val="22"/>
          <w:szCs w:val="22"/>
        </w:rPr>
        <w:t xml:space="preserve"> </w:t>
      </w:r>
    </w:p>
    <w:p w14:paraId="399FDC3E" w14:textId="73D7249D" w:rsidR="00AB4C9C" w:rsidRDefault="00AB4C9C" w:rsidP="00AB4C9C">
      <w:pPr>
        <w:pStyle w:val="NormalWeb"/>
        <w:spacing w:line="360" w:lineRule="auto"/>
        <w:rPr>
          <w:rFonts w:ascii="Arial" w:hAnsi="Arial" w:cs="Arial"/>
          <w:color w:val="000000" w:themeColor="text1"/>
          <w:sz w:val="22"/>
          <w:szCs w:val="22"/>
        </w:rPr>
      </w:pPr>
      <w:r w:rsidRPr="00AB4C9C">
        <w:rPr>
          <w:rFonts w:ascii="Arial" w:hAnsi="Arial" w:cs="Arial"/>
          <w:color w:val="000000" w:themeColor="text1"/>
          <w:sz w:val="22"/>
          <w:szCs w:val="22"/>
        </w:rPr>
        <w:t>At the beginning of 2023, the yield on the 10Y note was relatively high, reflecting the Federal Reserve's forceful attitude in dealing with inflation, which had been consistently above target since the post-pandemic recovery</w:t>
      </w:r>
      <w:r w:rsidR="0069410F">
        <w:rPr>
          <w:rFonts w:ascii="Arial" w:hAnsi="Arial" w:cs="Arial"/>
          <w:color w:val="000000" w:themeColor="text1"/>
          <w:sz w:val="22"/>
          <w:szCs w:val="22"/>
        </w:rPr>
        <w:t xml:space="preserve"> (Ychartch.com 2024)</w:t>
      </w:r>
      <w:r w:rsidRPr="00AB4C9C">
        <w:rPr>
          <w:rFonts w:ascii="Arial" w:hAnsi="Arial" w:cs="Arial"/>
          <w:color w:val="000000" w:themeColor="text1"/>
          <w:sz w:val="22"/>
          <w:szCs w:val="22"/>
        </w:rPr>
        <w:t xml:space="preserve">. The Fed implemented several interest </w:t>
      </w:r>
      <w:proofErr w:type="gramStart"/>
      <w:r w:rsidRPr="00AB4C9C">
        <w:rPr>
          <w:rFonts w:ascii="Arial" w:hAnsi="Arial" w:cs="Arial"/>
          <w:color w:val="000000" w:themeColor="text1"/>
          <w:sz w:val="22"/>
          <w:szCs w:val="22"/>
        </w:rPr>
        <w:t>rate</w:t>
      </w:r>
      <w:proofErr w:type="gramEnd"/>
      <w:r w:rsidRPr="00AB4C9C">
        <w:rPr>
          <w:rFonts w:ascii="Arial" w:hAnsi="Arial" w:cs="Arial"/>
          <w:color w:val="000000" w:themeColor="text1"/>
          <w:sz w:val="22"/>
          <w:szCs w:val="22"/>
        </w:rPr>
        <w:t xml:space="preserve"> increases to </w:t>
      </w:r>
      <w:r>
        <w:rPr>
          <w:rFonts w:ascii="Arial" w:hAnsi="Arial" w:cs="Arial"/>
          <w:color w:val="000000" w:themeColor="text1"/>
          <w:sz w:val="22"/>
          <w:szCs w:val="22"/>
        </w:rPr>
        <w:t>settle</w:t>
      </w:r>
      <w:r w:rsidRPr="00AB4C9C">
        <w:rPr>
          <w:rFonts w:ascii="Arial" w:hAnsi="Arial" w:cs="Arial"/>
          <w:color w:val="000000" w:themeColor="text1"/>
          <w:sz w:val="22"/>
          <w:szCs w:val="22"/>
        </w:rPr>
        <w:t> the economy and bring inflation under control. These increases led to an increase in the yields on Treasury notes, including the 10Y, as investors demanded higher returns to compensate for the rising interest rates (Federal Reserve Board</w:t>
      </w:r>
      <w:r w:rsidR="0069410F">
        <w:rPr>
          <w:rFonts w:ascii="Arial" w:hAnsi="Arial" w:cs="Arial"/>
          <w:color w:val="000000" w:themeColor="text1"/>
          <w:sz w:val="22"/>
          <w:szCs w:val="22"/>
        </w:rPr>
        <w:t>-USA Bank,</w:t>
      </w:r>
      <w:r w:rsidRPr="00AB4C9C">
        <w:rPr>
          <w:rFonts w:ascii="Arial" w:hAnsi="Arial" w:cs="Arial"/>
          <w:color w:val="000000" w:themeColor="text1"/>
          <w:sz w:val="22"/>
          <w:szCs w:val="22"/>
        </w:rPr>
        <w:t xml:space="preserve"> 202</w:t>
      </w:r>
      <w:r w:rsidR="0069410F">
        <w:rPr>
          <w:rFonts w:ascii="Arial" w:hAnsi="Arial" w:cs="Arial"/>
          <w:color w:val="000000" w:themeColor="text1"/>
          <w:sz w:val="22"/>
          <w:szCs w:val="22"/>
        </w:rPr>
        <w:t>4</w:t>
      </w:r>
      <w:r w:rsidRPr="00AB4C9C">
        <w:rPr>
          <w:rFonts w:ascii="Arial" w:hAnsi="Arial" w:cs="Arial"/>
          <w:color w:val="000000" w:themeColor="text1"/>
          <w:sz w:val="22"/>
          <w:szCs w:val="22"/>
        </w:rPr>
        <w:t>).</w:t>
      </w:r>
    </w:p>
    <w:p w14:paraId="2BFF723B" w14:textId="6742536C" w:rsidR="00AB4C9C" w:rsidRDefault="00AB4C9C" w:rsidP="00AB4C9C">
      <w:pPr>
        <w:pStyle w:val="NormalWeb"/>
        <w:spacing w:line="360" w:lineRule="auto"/>
        <w:rPr>
          <w:rFonts w:ascii="Arial" w:hAnsi="Arial" w:cs="Arial"/>
          <w:color w:val="000000" w:themeColor="text1"/>
          <w:sz w:val="22"/>
          <w:szCs w:val="22"/>
        </w:rPr>
      </w:pPr>
      <w:r w:rsidRPr="00AB4C9C">
        <w:rPr>
          <w:rFonts w:ascii="Arial" w:hAnsi="Arial" w:cs="Arial"/>
          <w:color w:val="000000" w:themeColor="text1"/>
          <w:sz w:val="22"/>
          <w:szCs w:val="22"/>
        </w:rPr>
        <w:t>The chart below illustrates the fluctuation in the yield of the 10-Year Treasury Note throughout 2023:</w:t>
      </w:r>
    </w:p>
    <w:p w14:paraId="6B0A8AD7" w14:textId="64BAEF77" w:rsidR="0069410F" w:rsidRDefault="0069410F" w:rsidP="0069410F">
      <w:pPr>
        <w:pStyle w:val="Caption"/>
        <w:keepNext/>
      </w:pPr>
      <w:r>
        <w:lastRenderedPageBreak/>
        <w:t xml:space="preserve">Figure </w:t>
      </w:r>
      <w:r>
        <w:fldChar w:fldCharType="begin"/>
      </w:r>
      <w:r>
        <w:instrText xml:space="preserve"> SEQ Figure \* ARABIC </w:instrText>
      </w:r>
      <w:r>
        <w:fldChar w:fldCharType="separate"/>
      </w:r>
      <w:r>
        <w:rPr>
          <w:noProof/>
        </w:rPr>
        <w:t>17</w:t>
      </w:r>
      <w:r>
        <w:fldChar w:fldCharType="end"/>
      </w:r>
      <w:r>
        <w:t xml:space="preserve"> </w:t>
      </w:r>
      <w:r w:rsidRPr="009E1527">
        <w:t>Treasury Note throughout 2023</w:t>
      </w:r>
      <w:r>
        <w:t>(</w:t>
      </w:r>
      <w:proofErr w:type="gramStart"/>
      <w:r>
        <w:t>source:Tradingeconomics.com</w:t>
      </w:r>
      <w:proofErr w:type="gramEnd"/>
      <w:r>
        <w:t>)</w:t>
      </w:r>
    </w:p>
    <w:p w14:paraId="3EF5306A" w14:textId="7B372612" w:rsidR="00AB4C9C" w:rsidRDefault="00AB4C9C" w:rsidP="00AB4C9C">
      <w:pPr>
        <w:pStyle w:val="NormalWeb"/>
        <w:spacing w:line="360" w:lineRule="auto"/>
        <w:rPr>
          <w:rFonts w:ascii="Arial" w:hAnsi="Arial" w:cs="Arial"/>
          <w:color w:val="000000" w:themeColor="text1"/>
          <w:sz w:val="22"/>
          <w:szCs w:val="22"/>
        </w:rPr>
      </w:pPr>
      <w:r>
        <w:rPr>
          <w:rFonts w:ascii="Arial" w:hAnsi="Arial" w:cs="Arial"/>
          <w:noProof/>
          <w:color w:val="000000" w:themeColor="text1"/>
          <w:sz w:val="22"/>
          <w:szCs w:val="22"/>
          <w14:ligatures w14:val="standardContextual"/>
        </w:rPr>
        <w:drawing>
          <wp:inline distT="0" distB="0" distL="0" distR="0" wp14:anchorId="0DBC7581" wp14:editId="54E65611">
            <wp:extent cx="5731510" cy="4202430"/>
            <wp:effectExtent l="0" t="0" r="0" b="1270"/>
            <wp:docPr id="144034883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348833" name="Picture 144034883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4202430"/>
                    </a:xfrm>
                    <a:prstGeom prst="rect">
                      <a:avLst/>
                    </a:prstGeom>
                  </pic:spPr>
                </pic:pic>
              </a:graphicData>
            </a:graphic>
          </wp:inline>
        </w:drawing>
      </w:r>
    </w:p>
    <w:p w14:paraId="181CA431" w14:textId="02B5242B" w:rsidR="00AB4C9C" w:rsidRDefault="00AB4C9C" w:rsidP="00AB4C9C">
      <w:pPr>
        <w:pStyle w:val="NormalWeb"/>
        <w:spacing w:line="360" w:lineRule="auto"/>
        <w:rPr>
          <w:rFonts w:ascii="Arial" w:hAnsi="Arial" w:cs="Arial"/>
          <w:color w:val="000000" w:themeColor="text1"/>
          <w:sz w:val="22"/>
          <w:szCs w:val="22"/>
        </w:rPr>
      </w:pPr>
      <w:r w:rsidRPr="00AB4C9C">
        <w:rPr>
          <w:rFonts w:ascii="Arial" w:hAnsi="Arial" w:cs="Arial"/>
          <w:color w:val="000000" w:themeColor="text1"/>
          <w:sz w:val="22"/>
          <w:szCs w:val="22"/>
        </w:rPr>
        <w:t xml:space="preserve">According to the chart, yields increased noticeably in the first half of 2023, </w:t>
      </w:r>
      <w:r>
        <w:rPr>
          <w:rFonts w:ascii="Arial" w:hAnsi="Arial" w:cs="Arial"/>
          <w:color w:val="000000" w:themeColor="text1"/>
          <w:sz w:val="22"/>
          <w:szCs w:val="22"/>
        </w:rPr>
        <w:t xml:space="preserve">and </w:t>
      </w:r>
      <w:r w:rsidRPr="00AB4C9C">
        <w:rPr>
          <w:rFonts w:ascii="Arial" w:hAnsi="Arial" w:cs="Arial"/>
          <w:color w:val="000000" w:themeColor="text1"/>
          <w:sz w:val="22"/>
          <w:szCs w:val="22"/>
        </w:rPr>
        <w:t xml:space="preserve">reaching a high in mid-October and then falling towards the close of the year. The above sequence shows how the market first reacted to the Fed's rate rises, which were then gradually reduced when inflation pressures started to </w:t>
      </w:r>
      <w:proofErr w:type="gramStart"/>
      <w:r w:rsidRPr="00AB4C9C">
        <w:rPr>
          <w:rFonts w:ascii="Arial" w:hAnsi="Arial" w:cs="Arial"/>
          <w:color w:val="000000" w:themeColor="text1"/>
          <w:sz w:val="22"/>
          <w:szCs w:val="22"/>
        </w:rPr>
        <w:t>decline</w:t>
      </w:r>
      <w:proofErr w:type="gramEnd"/>
      <w:r w:rsidRPr="00AB4C9C">
        <w:rPr>
          <w:rFonts w:ascii="Arial" w:hAnsi="Arial" w:cs="Arial"/>
          <w:color w:val="000000" w:themeColor="text1"/>
          <w:sz w:val="22"/>
          <w:szCs w:val="22"/>
        </w:rPr>
        <w:t xml:space="preserve"> and investor sentiment shifted. </w:t>
      </w:r>
    </w:p>
    <w:p w14:paraId="410D36B8" w14:textId="3EDFC5A0" w:rsidR="00AB4C9C" w:rsidRDefault="00AB4C9C" w:rsidP="00AB4C9C">
      <w:pPr>
        <w:pStyle w:val="NormalWeb"/>
        <w:spacing w:line="360" w:lineRule="auto"/>
        <w:rPr>
          <w:rFonts w:ascii="Arial" w:hAnsi="Arial" w:cs="Arial"/>
          <w:color w:val="000000" w:themeColor="text1"/>
          <w:sz w:val="22"/>
          <w:szCs w:val="22"/>
        </w:rPr>
      </w:pPr>
      <w:r w:rsidRPr="00AB4C9C">
        <w:rPr>
          <w:rFonts w:ascii="Arial" w:hAnsi="Arial" w:cs="Arial"/>
          <w:color w:val="000000" w:themeColor="text1"/>
          <w:sz w:val="22"/>
          <w:szCs w:val="22"/>
        </w:rPr>
        <w:t xml:space="preserve">The </w:t>
      </w:r>
      <w:r>
        <w:rPr>
          <w:rFonts w:ascii="Arial" w:hAnsi="Arial" w:cs="Arial"/>
          <w:color w:val="000000" w:themeColor="text1"/>
          <w:sz w:val="22"/>
          <w:szCs w:val="22"/>
        </w:rPr>
        <w:t>increased</w:t>
      </w:r>
      <w:r w:rsidRPr="00AB4C9C">
        <w:rPr>
          <w:rFonts w:ascii="Arial" w:hAnsi="Arial" w:cs="Arial"/>
          <w:color w:val="000000" w:themeColor="text1"/>
          <w:sz w:val="22"/>
          <w:szCs w:val="22"/>
        </w:rPr>
        <w:t xml:space="preserve"> volatility in bond markets during this period can largely be attributed to inflation, the economy, and uncertainty surrounding the Federal Reserve's policy</w:t>
      </w:r>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prespective</w:t>
      </w:r>
      <w:proofErr w:type="spellEnd"/>
      <w:r w:rsidRPr="00AB4C9C">
        <w:rPr>
          <w:rFonts w:ascii="Arial" w:hAnsi="Arial" w:cs="Arial"/>
          <w:color w:val="000000" w:themeColor="text1"/>
          <w:sz w:val="22"/>
          <w:szCs w:val="22"/>
        </w:rPr>
        <w:t xml:space="preserve">. As Vincent Bartolini points out, inflation volatility had been relatively </w:t>
      </w:r>
      <w:r>
        <w:rPr>
          <w:rFonts w:ascii="Arial" w:hAnsi="Arial" w:cs="Arial"/>
          <w:color w:val="000000" w:themeColor="text1"/>
          <w:sz w:val="22"/>
          <w:szCs w:val="22"/>
        </w:rPr>
        <w:t xml:space="preserve">inactive </w:t>
      </w:r>
      <w:r w:rsidRPr="00AB4C9C">
        <w:rPr>
          <w:rFonts w:ascii="Arial" w:hAnsi="Arial" w:cs="Arial"/>
          <w:color w:val="000000" w:themeColor="text1"/>
          <w:sz w:val="22"/>
          <w:szCs w:val="22"/>
        </w:rPr>
        <w:t xml:space="preserve">from the post-2008 financial crisis until 2020, with inflation rates largely stable between 1% and 3% annually. However, the return of significant inflationary pressures in 2022, which saw inflation surge to a four-decade high, drastically changed the landscape </w:t>
      </w:r>
      <w:r w:rsidR="0069410F">
        <w:rPr>
          <w:rFonts w:ascii="Arial" w:hAnsi="Arial" w:cs="Arial"/>
          <w:color w:val="000000" w:themeColor="text1"/>
          <w:sz w:val="22"/>
          <w:szCs w:val="22"/>
        </w:rPr>
        <w:t>(</w:t>
      </w:r>
      <w:proofErr w:type="spellStart"/>
      <w:r w:rsidR="0069410F">
        <w:rPr>
          <w:rFonts w:ascii="Arial" w:hAnsi="Arial" w:cs="Arial"/>
          <w:color w:val="000000" w:themeColor="text1"/>
          <w:sz w:val="22"/>
          <w:szCs w:val="22"/>
        </w:rPr>
        <w:t>Bankofengland</w:t>
      </w:r>
      <w:proofErr w:type="spellEnd"/>
      <w:r w:rsidR="0069410F">
        <w:rPr>
          <w:rFonts w:ascii="Arial" w:hAnsi="Arial" w:cs="Arial"/>
          <w:color w:val="000000" w:themeColor="text1"/>
          <w:sz w:val="22"/>
          <w:szCs w:val="22"/>
        </w:rPr>
        <w:t xml:space="preserve">, 2024) </w:t>
      </w:r>
      <w:r w:rsidRPr="00AB4C9C">
        <w:rPr>
          <w:rFonts w:ascii="Arial" w:hAnsi="Arial" w:cs="Arial"/>
          <w:color w:val="000000" w:themeColor="text1"/>
          <w:sz w:val="22"/>
          <w:szCs w:val="22"/>
        </w:rPr>
        <w:t xml:space="preserve">In response, the Fed raised the federal-funds rate at an unprecedented pace, leading to increased volatility in bond prices, including the 10Y note. Due to changing market expectations on Fed rate rises and cuts, these extreme price </w:t>
      </w:r>
      <w:r w:rsidR="0069410F">
        <w:rPr>
          <w:rFonts w:ascii="Arial" w:hAnsi="Arial" w:cs="Arial"/>
          <w:color w:val="000000" w:themeColor="text1"/>
          <w:sz w:val="22"/>
          <w:szCs w:val="22"/>
        </w:rPr>
        <w:t xml:space="preserve">moves </w:t>
      </w:r>
      <w:r w:rsidRPr="00AB4C9C">
        <w:rPr>
          <w:rFonts w:ascii="Arial" w:hAnsi="Arial" w:cs="Arial"/>
          <w:color w:val="000000" w:themeColor="text1"/>
          <w:sz w:val="22"/>
          <w:szCs w:val="22"/>
        </w:rPr>
        <w:t>continued until 2023</w:t>
      </w:r>
      <w:r w:rsidR="0069410F">
        <w:rPr>
          <w:rFonts w:ascii="Arial" w:hAnsi="Arial" w:cs="Arial"/>
          <w:color w:val="000000" w:themeColor="text1"/>
          <w:sz w:val="22"/>
          <w:szCs w:val="22"/>
        </w:rPr>
        <w:t xml:space="preserve"> </w:t>
      </w:r>
      <w:r w:rsidR="0069410F" w:rsidRPr="0069410F">
        <w:rPr>
          <w:rFonts w:ascii="Arial" w:hAnsi="Arial" w:cs="Arial"/>
          <w:color w:val="000000" w:themeColor="text1"/>
          <w:sz w:val="22"/>
          <w:szCs w:val="22"/>
        </w:rPr>
        <w:t>(</w:t>
      </w:r>
      <w:r w:rsidR="0069410F" w:rsidRPr="0069410F">
        <w:rPr>
          <w:rFonts w:ascii="Arial" w:hAnsi="Arial" w:cs="Arial"/>
          <w:color w:val="000000"/>
          <w:sz w:val="22"/>
          <w:szCs w:val="22"/>
        </w:rPr>
        <w:t>Agarwal, R. and Kimball, M. 202</w:t>
      </w:r>
      <w:r w:rsidR="0069410F" w:rsidRPr="0069410F">
        <w:rPr>
          <w:rFonts w:ascii="Arial" w:hAnsi="Arial" w:cs="Arial"/>
          <w:color w:val="000000"/>
          <w:sz w:val="22"/>
          <w:szCs w:val="22"/>
        </w:rPr>
        <w:t>4)</w:t>
      </w:r>
      <w:r w:rsidRPr="0069410F">
        <w:rPr>
          <w:rFonts w:ascii="Arial" w:hAnsi="Arial" w:cs="Arial"/>
          <w:color w:val="000000" w:themeColor="text1"/>
          <w:sz w:val="22"/>
          <w:szCs w:val="22"/>
        </w:rPr>
        <w:t>.</w:t>
      </w:r>
      <w:r>
        <w:rPr>
          <w:rFonts w:ascii="Arial" w:hAnsi="Arial" w:cs="Arial"/>
          <w:color w:val="000000" w:themeColor="text1"/>
          <w:sz w:val="22"/>
          <w:szCs w:val="22"/>
        </w:rPr>
        <w:t xml:space="preserve">  </w:t>
      </w:r>
    </w:p>
    <w:p w14:paraId="7D620782" w14:textId="233D85A3" w:rsidR="00AB4C9C" w:rsidRDefault="00AB4C9C" w:rsidP="00AB4C9C">
      <w:pPr>
        <w:pStyle w:val="NormalWeb"/>
        <w:spacing w:line="360" w:lineRule="auto"/>
        <w:rPr>
          <w:rFonts w:ascii="Arial" w:hAnsi="Arial" w:cs="Arial"/>
          <w:color w:val="000000" w:themeColor="text1"/>
          <w:sz w:val="22"/>
          <w:szCs w:val="22"/>
        </w:rPr>
      </w:pPr>
      <w:r w:rsidRPr="00AB4C9C">
        <w:rPr>
          <w:rFonts w:ascii="Arial" w:hAnsi="Arial" w:cs="Arial"/>
          <w:color w:val="000000" w:themeColor="text1"/>
          <w:sz w:val="22"/>
          <w:szCs w:val="22"/>
        </w:rPr>
        <w:lastRenderedPageBreak/>
        <w:t xml:space="preserve">New economic statistics released during the year suggested that inflation was beginning to </w:t>
      </w:r>
      <w:proofErr w:type="gramStart"/>
      <w:r w:rsidRPr="00AB4C9C">
        <w:rPr>
          <w:rFonts w:ascii="Arial" w:hAnsi="Arial" w:cs="Arial"/>
          <w:color w:val="000000" w:themeColor="text1"/>
          <w:sz w:val="22"/>
          <w:szCs w:val="22"/>
        </w:rPr>
        <w:t>decline, and</w:t>
      </w:r>
      <w:proofErr w:type="gramEnd"/>
      <w:r w:rsidRPr="00AB4C9C">
        <w:rPr>
          <w:rFonts w:ascii="Arial" w:hAnsi="Arial" w:cs="Arial"/>
          <w:color w:val="000000" w:themeColor="text1"/>
          <w:sz w:val="22"/>
          <w:szCs w:val="22"/>
        </w:rPr>
        <w:t xml:space="preserve"> worries about the possibility of an economic downturn or even a slowdown in the economy grew</w:t>
      </w:r>
      <w:r w:rsidR="0069410F">
        <w:rPr>
          <w:rFonts w:ascii="Arial" w:hAnsi="Arial" w:cs="Arial"/>
          <w:color w:val="000000" w:themeColor="text1"/>
          <w:sz w:val="22"/>
          <w:szCs w:val="22"/>
        </w:rPr>
        <w:t xml:space="preserve"> (Powell, J. 2024)</w:t>
      </w:r>
      <w:r w:rsidRPr="00AB4C9C">
        <w:rPr>
          <w:rFonts w:ascii="Arial" w:hAnsi="Arial" w:cs="Arial"/>
          <w:color w:val="000000" w:themeColor="text1"/>
          <w:sz w:val="22"/>
          <w:szCs w:val="22"/>
        </w:rPr>
        <w:t xml:space="preserve">. The market's expectation that the Fed would slow down or perhaps halt its rate rises led to volatility in the yield on the 10-year note </w:t>
      </w:r>
      <w:proofErr w:type="gramStart"/>
      <w:r w:rsidRPr="00AB4C9C">
        <w:rPr>
          <w:rFonts w:ascii="Arial" w:hAnsi="Arial" w:cs="Arial"/>
          <w:color w:val="000000" w:themeColor="text1"/>
          <w:sz w:val="22"/>
          <w:szCs w:val="22"/>
        </w:rPr>
        <w:t>as a result of</w:t>
      </w:r>
      <w:proofErr w:type="gramEnd"/>
      <w:r w:rsidRPr="00AB4C9C">
        <w:rPr>
          <w:rFonts w:ascii="Arial" w:hAnsi="Arial" w:cs="Arial"/>
          <w:color w:val="000000" w:themeColor="text1"/>
          <w:sz w:val="22"/>
          <w:szCs w:val="22"/>
        </w:rPr>
        <w:t xml:space="preserve"> this change in the economic outlook (International Monetary Fund, 202</w:t>
      </w:r>
      <w:r w:rsidR="0069410F">
        <w:rPr>
          <w:rFonts w:ascii="Arial" w:hAnsi="Arial" w:cs="Arial"/>
          <w:color w:val="000000" w:themeColor="text1"/>
          <w:sz w:val="22"/>
          <w:szCs w:val="22"/>
        </w:rPr>
        <w:t>4</w:t>
      </w:r>
      <w:r w:rsidRPr="00AB4C9C">
        <w:rPr>
          <w:rFonts w:ascii="Arial" w:hAnsi="Arial" w:cs="Arial"/>
          <w:color w:val="000000" w:themeColor="text1"/>
          <w:sz w:val="22"/>
          <w:szCs w:val="22"/>
        </w:rPr>
        <w:t xml:space="preserve">). Investors' expectations for future interest rates changed and the 10Y yield fell by mid-2023 </w:t>
      </w:r>
      <w:proofErr w:type="gramStart"/>
      <w:r w:rsidRPr="00AB4C9C">
        <w:rPr>
          <w:rFonts w:ascii="Arial" w:hAnsi="Arial" w:cs="Arial"/>
          <w:color w:val="000000" w:themeColor="text1"/>
          <w:sz w:val="22"/>
          <w:szCs w:val="22"/>
        </w:rPr>
        <w:t>as a result of</w:t>
      </w:r>
      <w:proofErr w:type="gramEnd"/>
      <w:r w:rsidRPr="00AB4C9C">
        <w:rPr>
          <w:rFonts w:ascii="Arial" w:hAnsi="Arial" w:cs="Arial"/>
          <w:color w:val="000000" w:themeColor="text1"/>
          <w:sz w:val="22"/>
          <w:szCs w:val="22"/>
        </w:rPr>
        <w:t xml:space="preserve"> the Fed's indication that it could be reaching the end of its rate-hiking cycle (Federal Reserve Board, 2023).</w:t>
      </w:r>
    </w:p>
    <w:p w14:paraId="42376C96" w14:textId="53CFEB0E" w:rsidR="00AB4C9C" w:rsidRDefault="00AB4C9C" w:rsidP="00AB4C9C">
      <w:pPr>
        <w:pStyle w:val="NormalWeb"/>
        <w:spacing w:line="360" w:lineRule="auto"/>
        <w:rPr>
          <w:rFonts w:ascii="Arial" w:hAnsi="Arial" w:cs="Arial"/>
          <w:color w:val="000000" w:themeColor="text1"/>
          <w:sz w:val="22"/>
          <w:szCs w:val="22"/>
        </w:rPr>
      </w:pPr>
      <w:r w:rsidRPr="00AB4C9C">
        <w:rPr>
          <w:rFonts w:ascii="Arial" w:hAnsi="Arial" w:cs="Arial"/>
          <w:color w:val="000000" w:themeColor="text1"/>
          <w:sz w:val="22"/>
          <w:szCs w:val="22"/>
        </w:rPr>
        <w:t>The following graph illustrates the yield trend of the 10-Year Treasury Note from the pre-pandemic period through 2023, highlighting key movements in response to changing economic and policy conditions.</w:t>
      </w:r>
    </w:p>
    <w:p w14:paraId="6C9B0584" w14:textId="445BFC71" w:rsidR="0069410F" w:rsidRDefault="0069410F" w:rsidP="0069410F">
      <w:pPr>
        <w:pStyle w:val="Caption"/>
        <w:keepNext/>
      </w:pPr>
      <w:r>
        <w:t xml:space="preserve">Figure </w:t>
      </w:r>
      <w:r>
        <w:fldChar w:fldCharType="begin"/>
      </w:r>
      <w:r>
        <w:instrText xml:space="preserve"> SEQ Figure \* ARABIC </w:instrText>
      </w:r>
      <w:r>
        <w:fldChar w:fldCharType="separate"/>
      </w:r>
      <w:r>
        <w:rPr>
          <w:noProof/>
        </w:rPr>
        <w:t>18</w:t>
      </w:r>
      <w:r>
        <w:fldChar w:fldCharType="end"/>
      </w:r>
      <w:r>
        <w:t xml:space="preserve"> </w:t>
      </w:r>
      <w:r w:rsidRPr="000A22E6">
        <w:t>10-Year Treasury Note from the pre-pandemic period through 2023</w:t>
      </w:r>
      <w:r>
        <w:t xml:space="preserve"> (</w:t>
      </w:r>
      <w:proofErr w:type="gramStart"/>
      <w:r>
        <w:t>source:Tradingeconoic.com</w:t>
      </w:r>
      <w:proofErr w:type="gramEnd"/>
      <w:r>
        <w:t>)</w:t>
      </w:r>
    </w:p>
    <w:p w14:paraId="26E4CADD" w14:textId="75A9F72F" w:rsidR="00AB4C9C" w:rsidRDefault="00AB4C9C" w:rsidP="00AB4C9C">
      <w:pPr>
        <w:pStyle w:val="NormalWeb"/>
        <w:spacing w:line="360" w:lineRule="auto"/>
        <w:rPr>
          <w:rFonts w:ascii="Arial" w:hAnsi="Arial" w:cs="Arial"/>
          <w:color w:val="000000" w:themeColor="text1"/>
          <w:sz w:val="22"/>
          <w:szCs w:val="22"/>
        </w:rPr>
      </w:pPr>
      <w:r>
        <w:rPr>
          <w:rFonts w:ascii="Arial" w:hAnsi="Arial" w:cs="Arial"/>
          <w:noProof/>
          <w:color w:val="000000" w:themeColor="text1"/>
          <w:sz w:val="22"/>
          <w:szCs w:val="22"/>
          <w14:ligatures w14:val="standardContextual"/>
        </w:rPr>
        <w:drawing>
          <wp:inline distT="0" distB="0" distL="0" distR="0" wp14:anchorId="147CB4AC" wp14:editId="178E9B3E">
            <wp:extent cx="5731510" cy="4474845"/>
            <wp:effectExtent l="0" t="0" r="0" b="0"/>
            <wp:docPr id="1393874333" name="Picture 21" descr="A graph on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874333" name="Picture 21" descr="A graph on a computer screen&#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4474845"/>
                    </a:xfrm>
                    <a:prstGeom prst="rect">
                      <a:avLst/>
                    </a:prstGeom>
                  </pic:spPr>
                </pic:pic>
              </a:graphicData>
            </a:graphic>
          </wp:inline>
        </w:drawing>
      </w:r>
    </w:p>
    <w:p w14:paraId="67CBBEF8" w14:textId="01951C6B" w:rsidR="00AB4C9C" w:rsidRDefault="00AB4C9C" w:rsidP="00AB4C9C">
      <w:pPr>
        <w:pStyle w:val="NormalWeb"/>
        <w:spacing w:line="360" w:lineRule="auto"/>
        <w:rPr>
          <w:rFonts w:ascii="Arial" w:hAnsi="Arial" w:cs="Arial"/>
          <w:color w:val="000000" w:themeColor="text1"/>
          <w:sz w:val="22"/>
          <w:szCs w:val="22"/>
        </w:rPr>
      </w:pPr>
      <w:r w:rsidRPr="00AB4C9C">
        <w:rPr>
          <w:rFonts w:ascii="Arial" w:hAnsi="Arial" w:cs="Arial"/>
          <w:color w:val="000000" w:themeColor="text1"/>
          <w:sz w:val="22"/>
          <w:szCs w:val="22"/>
        </w:rPr>
        <w:t xml:space="preserve">In the latter half of 2023, although the yield on the 10Y note continued to moderate, it remained above pre-pandemic levels. This continued presence suggested that although inflationary pressures were decreasing, long-term economic stability and the Fed's capacity </w:t>
      </w:r>
      <w:r w:rsidRPr="00AB4C9C">
        <w:rPr>
          <w:rFonts w:ascii="Arial" w:hAnsi="Arial" w:cs="Arial"/>
          <w:color w:val="000000" w:themeColor="text1"/>
          <w:sz w:val="22"/>
          <w:szCs w:val="22"/>
        </w:rPr>
        <w:lastRenderedPageBreak/>
        <w:t xml:space="preserve">to monitor the slow recovery of the economy remained major worries. The performance of the 10-year </w:t>
      </w:r>
      <w:proofErr w:type="gramStart"/>
      <w:r w:rsidRPr="00AB4C9C">
        <w:rPr>
          <w:rFonts w:ascii="Arial" w:hAnsi="Arial" w:cs="Arial"/>
          <w:color w:val="000000" w:themeColor="text1"/>
          <w:sz w:val="22"/>
          <w:szCs w:val="22"/>
        </w:rPr>
        <w:t>note</w:t>
      </w:r>
      <w:proofErr w:type="gramEnd"/>
      <w:r w:rsidRPr="00AB4C9C">
        <w:rPr>
          <w:rFonts w:ascii="Arial" w:hAnsi="Arial" w:cs="Arial"/>
          <w:color w:val="000000" w:themeColor="text1"/>
          <w:sz w:val="22"/>
          <w:szCs w:val="22"/>
        </w:rPr>
        <w:t xml:space="preserve"> throughout the course of the year confirmed its significance as an important indicator of market and economic confidence by demonstrating its sensitivity to shifts in monetary policy and economic conditions. (U.S. Department of the Treasury, 2023).</w:t>
      </w:r>
    </w:p>
    <w:p w14:paraId="06DBB873" w14:textId="35BDE7A7" w:rsidR="00AB4C9C" w:rsidRDefault="00AB4C9C" w:rsidP="0069410F">
      <w:pPr>
        <w:pStyle w:val="Heading2"/>
      </w:pPr>
      <w:bookmarkStart w:id="14" w:name="_Toc175609888"/>
      <w:r w:rsidRPr="00AB4C9C">
        <w:t>4.2</w:t>
      </w:r>
      <w:r w:rsidR="0069410F">
        <w:t xml:space="preserve"> </w:t>
      </w:r>
      <w:r w:rsidRPr="00AB4C9C">
        <w:t>Impact of Changes in the Yield on Consumer Debt</w:t>
      </w:r>
      <w:bookmarkEnd w:id="14"/>
    </w:p>
    <w:p w14:paraId="3E345F54" w14:textId="10F0165A" w:rsidR="00AB4C9C" w:rsidRDefault="00AB4C9C" w:rsidP="00AB4C9C">
      <w:pPr>
        <w:pStyle w:val="NormalWeb"/>
        <w:spacing w:line="360" w:lineRule="auto"/>
        <w:rPr>
          <w:rFonts w:ascii="Arial" w:hAnsi="Arial" w:cs="Arial"/>
          <w:color w:val="000000" w:themeColor="text1"/>
          <w:sz w:val="22"/>
          <w:szCs w:val="22"/>
        </w:rPr>
      </w:pPr>
      <w:r w:rsidRPr="00AB4C9C">
        <w:rPr>
          <w:rFonts w:ascii="Arial" w:hAnsi="Arial" w:cs="Arial"/>
          <w:color w:val="000000" w:themeColor="text1"/>
          <w:sz w:val="22"/>
          <w:szCs w:val="22"/>
        </w:rPr>
        <w:t>Interest rates in the economy are mostly determined by the yield on the 10-year U.S. Treasury Note, especially when it comes to consumer debt.</w:t>
      </w:r>
      <w:r>
        <w:rPr>
          <w:rFonts w:ascii="Arial" w:hAnsi="Arial" w:cs="Arial"/>
          <w:color w:val="000000" w:themeColor="text1"/>
          <w:sz w:val="22"/>
          <w:szCs w:val="22"/>
        </w:rPr>
        <w:t xml:space="preserve"> </w:t>
      </w:r>
      <w:r w:rsidRPr="00AB4C9C">
        <w:rPr>
          <w:rFonts w:ascii="Arial" w:hAnsi="Arial" w:cs="Arial"/>
          <w:color w:val="000000" w:themeColor="text1"/>
          <w:sz w:val="22"/>
          <w:szCs w:val="22"/>
        </w:rPr>
        <w:t>Interest rates in the economy are mostly determined by the yield on the 10-year U.S</w:t>
      </w:r>
      <w:r w:rsidR="0069410F">
        <w:rPr>
          <w:rFonts w:ascii="Arial" w:hAnsi="Arial" w:cs="Arial"/>
          <w:color w:val="000000" w:themeColor="text1"/>
          <w:sz w:val="22"/>
          <w:szCs w:val="22"/>
        </w:rPr>
        <w:t>(USA Bank, 2024)</w:t>
      </w:r>
      <w:r w:rsidRPr="00AB4C9C">
        <w:rPr>
          <w:rFonts w:ascii="Arial" w:hAnsi="Arial" w:cs="Arial"/>
          <w:color w:val="000000" w:themeColor="text1"/>
          <w:sz w:val="22"/>
          <w:szCs w:val="22"/>
        </w:rPr>
        <w:t xml:space="preserve">. Treasury Note, especially when it comes to consumer debt. This yield is used as an average for </w:t>
      </w:r>
      <w:proofErr w:type="gramStart"/>
      <w:r w:rsidRPr="00AB4C9C">
        <w:rPr>
          <w:rFonts w:ascii="Arial" w:hAnsi="Arial" w:cs="Arial"/>
          <w:color w:val="000000" w:themeColor="text1"/>
          <w:sz w:val="22"/>
          <w:szCs w:val="22"/>
        </w:rPr>
        <w:t>a number of</w:t>
      </w:r>
      <w:proofErr w:type="gramEnd"/>
      <w:r w:rsidRPr="00AB4C9C">
        <w:rPr>
          <w:rFonts w:ascii="Arial" w:hAnsi="Arial" w:cs="Arial"/>
          <w:color w:val="000000" w:themeColor="text1"/>
          <w:sz w:val="22"/>
          <w:szCs w:val="22"/>
        </w:rPr>
        <w:t xml:space="preserve"> lending rates, including as personal, car, and mortgage rates</w:t>
      </w:r>
      <w:r w:rsidR="0069410F">
        <w:rPr>
          <w:rFonts w:ascii="Arial" w:hAnsi="Arial" w:cs="Arial"/>
          <w:color w:val="000000" w:themeColor="text1"/>
          <w:sz w:val="22"/>
          <w:szCs w:val="22"/>
        </w:rPr>
        <w:t xml:space="preserve"> (USA Bank, 2024)</w:t>
      </w:r>
      <w:r w:rsidRPr="00AB4C9C">
        <w:rPr>
          <w:rFonts w:ascii="Arial" w:hAnsi="Arial" w:cs="Arial"/>
          <w:color w:val="000000" w:themeColor="text1"/>
          <w:sz w:val="22"/>
          <w:szCs w:val="22"/>
        </w:rPr>
        <w:t>. Changes in the yield have significant effects on consumers' cost of borrowing, which affects their capacity to handle debt and finance major investments</w:t>
      </w:r>
      <w:r w:rsidR="0069410F">
        <w:rPr>
          <w:rFonts w:ascii="Arial" w:hAnsi="Arial" w:cs="Arial"/>
          <w:color w:val="000000" w:themeColor="text1"/>
          <w:sz w:val="22"/>
          <w:szCs w:val="22"/>
        </w:rPr>
        <w:t xml:space="preserve"> (USA Bank, 2024)</w:t>
      </w:r>
      <w:r w:rsidRPr="00AB4C9C">
        <w:rPr>
          <w:rFonts w:ascii="Arial" w:hAnsi="Arial" w:cs="Arial"/>
          <w:color w:val="000000" w:themeColor="text1"/>
          <w:sz w:val="22"/>
          <w:szCs w:val="22"/>
        </w:rPr>
        <w:t>.</w:t>
      </w:r>
    </w:p>
    <w:p w14:paraId="020D9A33" w14:textId="018AFAD3" w:rsidR="00AB4C9C" w:rsidRDefault="00AB4C9C" w:rsidP="00AB4C9C">
      <w:pPr>
        <w:pStyle w:val="NormalWeb"/>
        <w:spacing w:line="360" w:lineRule="auto"/>
        <w:rPr>
          <w:rFonts w:ascii="Arial" w:hAnsi="Arial" w:cs="Arial"/>
          <w:color w:val="000000" w:themeColor="text1"/>
          <w:sz w:val="22"/>
          <w:szCs w:val="22"/>
        </w:rPr>
      </w:pPr>
      <w:r w:rsidRPr="00AB4C9C">
        <w:rPr>
          <w:rFonts w:ascii="Arial" w:hAnsi="Arial" w:cs="Arial"/>
          <w:color w:val="000000" w:themeColor="text1"/>
          <w:sz w:val="22"/>
          <w:szCs w:val="22"/>
        </w:rPr>
        <w:t>The yield on the 10-year note's volatility in 2023 had a significant effect on consumer debt. Consumer borrowing costs increased during periods of increasing yields. For example, it became more costly for people to purchase homes or refinance their current mortgages due to increased mortgage rates, which were strongly associated with the yield on the 10Y note. Higher monthly payments made buying a home less affordable for potential homeowners, which in effect caused the housing market to slow down (Bank of England, 2023).</w:t>
      </w:r>
    </w:p>
    <w:p w14:paraId="658651F8" w14:textId="5C8B879C" w:rsidR="00AB4C9C" w:rsidRDefault="00AB4C9C" w:rsidP="00AB4C9C">
      <w:pPr>
        <w:pStyle w:val="NormalWeb"/>
        <w:spacing w:line="360" w:lineRule="auto"/>
        <w:rPr>
          <w:rFonts w:ascii="Arial" w:hAnsi="Arial" w:cs="Arial"/>
          <w:color w:val="000000" w:themeColor="text1"/>
          <w:sz w:val="22"/>
          <w:szCs w:val="22"/>
        </w:rPr>
      </w:pPr>
      <w:r w:rsidRPr="00AB4C9C">
        <w:rPr>
          <w:rFonts w:ascii="Arial" w:hAnsi="Arial" w:cs="Arial"/>
          <w:color w:val="000000" w:themeColor="text1"/>
          <w:sz w:val="22"/>
          <w:szCs w:val="22"/>
        </w:rPr>
        <w:t>Higher returns also increased the cost of other consumer loan categories including personal and vehicle loans. Higher borrowing rates had been imposed on consumers, which would cause them to spend less on durable items like appliances and vehicles. The wider effects of rising yields were also noted in the Bank of England's July 2023 "Financial Stability in Focus" report, which noted that increased interest rates might put a burden on family budgets, especially for those with variable-rate debt. Financial stability may be threatened if this added pressure results in an increase in defaults and a decline in consumer spending (Bank of England, 2023).</w:t>
      </w:r>
    </w:p>
    <w:p w14:paraId="3FFA8349" w14:textId="3258482F" w:rsidR="00AB4C9C" w:rsidRDefault="00AB4C9C" w:rsidP="00AB4C9C">
      <w:pPr>
        <w:pStyle w:val="NormalWeb"/>
        <w:spacing w:line="360" w:lineRule="auto"/>
        <w:rPr>
          <w:rFonts w:ascii="Arial" w:hAnsi="Arial" w:cs="Arial"/>
          <w:color w:val="000000" w:themeColor="text1"/>
          <w:sz w:val="22"/>
          <w:szCs w:val="22"/>
        </w:rPr>
      </w:pPr>
      <w:r w:rsidRPr="00AB4C9C">
        <w:rPr>
          <w:rFonts w:ascii="Arial" w:hAnsi="Arial" w:cs="Arial"/>
          <w:color w:val="000000" w:themeColor="text1"/>
          <w:sz w:val="22"/>
          <w:szCs w:val="22"/>
        </w:rPr>
        <w:t>As the yield on the 10Y note began to decline in the second half of 2023, there was some relief for consumers. Mortgage rates and other loan interest rates started to decrease, making borrowing more affordable and helping to stabilize the housing market.</w:t>
      </w:r>
      <w:r>
        <w:rPr>
          <w:rFonts w:ascii="Arial" w:hAnsi="Arial" w:cs="Arial"/>
          <w:color w:val="000000" w:themeColor="text1"/>
          <w:sz w:val="22"/>
          <w:szCs w:val="22"/>
        </w:rPr>
        <w:t xml:space="preserve"> </w:t>
      </w:r>
      <w:r w:rsidRPr="00AB4C9C">
        <w:rPr>
          <w:rFonts w:ascii="Arial" w:hAnsi="Arial" w:cs="Arial"/>
          <w:color w:val="000000" w:themeColor="text1"/>
          <w:sz w:val="22"/>
          <w:szCs w:val="22"/>
        </w:rPr>
        <w:t>But the prior high yielding period probably had a lasting effect, making customers more cautious.  Due to the increased expenses early in the year, many may have lowered their borrowing or postponed making significant purchases (U.S. Department of the Treasury, 202</w:t>
      </w:r>
      <w:r w:rsidR="0069410F">
        <w:rPr>
          <w:rFonts w:ascii="Arial" w:hAnsi="Arial" w:cs="Arial"/>
          <w:color w:val="000000" w:themeColor="text1"/>
          <w:sz w:val="22"/>
          <w:szCs w:val="22"/>
        </w:rPr>
        <w:t>4</w:t>
      </w:r>
      <w:r w:rsidRPr="00AB4C9C">
        <w:rPr>
          <w:rFonts w:ascii="Arial" w:hAnsi="Arial" w:cs="Arial"/>
          <w:color w:val="000000" w:themeColor="text1"/>
          <w:sz w:val="22"/>
          <w:szCs w:val="22"/>
        </w:rPr>
        <w:t>). </w:t>
      </w:r>
      <w:r>
        <w:rPr>
          <w:rFonts w:ascii="Arial" w:hAnsi="Arial" w:cs="Arial"/>
          <w:color w:val="000000" w:themeColor="text1"/>
          <w:sz w:val="22"/>
          <w:szCs w:val="22"/>
        </w:rPr>
        <w:t xml:space="preserve"> </w:t>
      </w:r>
    </w:p>
    <w:p w14:paraId="3286EE4F" w14:textId="132CBFE0" w:rsidR="00AB4C9C" w:rsidRDefault="00AB4C9C" w:rsidP="00AB4C9C">
      <w:pPr>
        <w:pStyle w:val="NormalWeb"/>
        <w:spacing w:line="360" w:lineRule="auto"/>
        <w:rPr>
          <w:rFonts w:ascii="Arial" w:hAnsi="Arial" w:cs="Arial"/>
          <w:color w:val="000000" w:themeColor="text1"/>
          <w:sz w:val="22"/>
          <w:szCs w:val="22"/>
        </w:rPr>
      </w:pPr>
      <w:r w:rsidRPr="00AB4C9C">
        <w:rPr>
          <w:rFonts w:ascii="Arial" w:hAnsi="Arial" w:cs="Arial"/>
          <w:color w:val="000000" w:themeColor="text1"/>
          <w:sz w:val="22"/>
          <w:szCs w:val="22"/>
        </w:rPr>
        <w:lastRenderedPageBreak/>
        <w:t>In conclusion, there were notable consequences for consumer debt from the yield changes of the 10-year U.S. Treasury Note throughout the course of 2023. Increased borrowing costs due to higher rates had an impact on consumer spending and overall economic activity. The early increase in rates continued to influence consumer debt levels and spending habits even if yields decreased later in the year, demonstrating the 10Y note's critical role in predicting financial stability and economic circumstances.</w:t>
      </w:r>
    </w:p>
    <w:p w14:paraId="6982C3FA" w14:textId="77777777" w:rsidR="00AB4C9C" w:rsidRPr="00AB4C9C" w:rsidRDefault="00AB4C9C" w:rsidP="00AB4C9C">
      <w:pPr>
        <w:pStyle w:val="NormalWeb"/>
        <w:spacing w:line="360" w:lineRule="auto"/>
        <w:rPr>
          <w:rFonts w:ascii="Arial" w:hAnsi="Arial" w:cs="Arial"/>
          <w:color w:val="000000" w:themeColor="text1"/>
          <w:sz w:val="22"/>
          <w:szCs w:val="22"/>
        </w:rPr>
      </w:pPr>
    </w:p>
    <w:p w14:paraId="06ED46EE" w14:textId="1025E0B9" w:rsidR="00400A58" w:rsidRDefault="00AB4C9C" w:rsidP="0069410F">
      <w:pPr>
        <w:pStyle w:val="Heading1"/>
      </w:pPr>
      <w:bookmarkStart w:id="15" w:name="_Toc175609889"/>
      <w:r w:rsidRPr="00400A58">
        <w:t>References</w:t>
      </w:r>
      <w:bookmarkEnd w:id="15"/>
      <w:r w:rsidR="00400A58" w:rsidRPr="00400A58">
        <w:t xml:space="preserve"> </w:t>
      </w:r>
    </w:p>
    <w:p w14:paraId="563CFBD0" w14:textId="77777777" w:rsidR="00400A58" w:rsidRDefault="00400A58" w:rsidP="00E615F4">
      <w:pPr>
        <w:rPr>
          <w:rFonts w:ascii="Arial" w:hAnsi="Arial" w:cs="Arial"/>
          <w:color w:val="000000" w:themeColor="text1"/>
          <w:sz w:val="22"/>
          <w:szCs w:val="22"/>
        </w:rPr>
      </w:pPr>
    </w:p>
    <w:p w14:paraId="3ACA0420"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Agarwal, R. and Kimball, M. (2024) ‘The Future of Inflation, Part I’,</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IMF Finance &amp; Development</w:t>
      </w:r>
      <w:r w:rsidRPr="008B650B">
        <w:rPr>
          <w:rFonts w:ascii="Arial" w:hAnsi="Arial" w:cs="Arial"/>
          <w:color w:val="000000"/>
          <w:sz w:val="20"/>
          <w:szCs w:val="20"/>
        </w:rPr>
        <w:t>, March. Available at:</w:t>
      </w:r>
      <w:r w:rsidRPr="008B650B">
        <w:rPr>
          <w:rStyle w:val="apple-converted-space"/>
          <w:rFonts w:ascii="Arial" w:eastAsiaTheme="majorEastAsia" w:hAnsi="Arial" w:cs="Arial"/>
          <w:color w:val="000000"/>
          <w:sz w:val="20"/>
          <w:szCs w:val="20"/>
        </w:rPr>
        <w:t> </w:t>
      </w:r>
      <w:hyperlink r:id="rId24" w:tgtFrame="_new" w:history="1">
        <w:r w:rsidRPr="008B650B">
          <w:rPr>
            <w:rStyle w:val="Hyperlink"/>
            <w:rFonts w:ascii="Arial" w:eastAsiaTheme="majorEastAsia" w:hAnsi="Arial" w:cs="Arial"/>
            <w:sz w:val="20"/>
            <w:szCs w:val="20"/>
          </w:rPr>
          <w:t>https://www.imf.org/en/Publications/fandd/issues/2022/03/Future-of-inflation-partI-Agarwal-kimball</w:t>
        </w:r>
      </w:hyperlink>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(Accessed: 25 August 2024).</w:t>
      </w:r>
    </w:p>
    <w:p w14:paraId="730D1F28"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Bank of England. (2023)</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Quantitative Easing (QE)</w:t>
      </w:r>
      <w:r w:rsidRPr="008B650B">
        <w:rPr>
          <w:rFonts w:ascii="Arial" w:hAnsi="Arial" w:cs="Arial"/>
          <w:color w:val="000000"/>
          <w:sz w:val="20"/>
          <w:szCs w:val="20"/>
        </w:rPr>
        <w:t>. Available at:</w:t>
      </w:r>
      <w:r w:rsidRPr="008B650B">
        <w:rPr>
          <w:rStyle w:val="apple-converted-space"/>
          <w:rFonts w:ascii="Arial" w:eastAsiaTheme="majorEastAsia" w:hAnsi="Arial" w:cs="Arial"/>
          <w:color w:val="000000"/>
          <w:sz w:val="20"/>
          <w:szCs w:val="20"/>
        </w:rPr>
        <w:t> </w:t>
      </w:r>
      <w:hyperlink r:id="rId25" w:tgtFrame="_new" w:history="1">
        <w:r w:rsidRPr="008B650B">
          <w:rPr>
            <w:rStyle w:val="Hyperlink"/>
            <w:rFonts w:ascii="Arial" w:eastAsiaTheme="majorEastAsia" w:hAnsi="Arial" w:cs="Arial"/>
            <w:sz w:val="20"/>
            <w:szCs w:val="20"/>
          </w:rPr>
          <w:t>https://www.bankofengland.co.uk/monetary-policy/quantitative-easing</w:t>
        </w:r>
      </w:hyperlink>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(Accessed: 25 August 2024).</w:t>
      </w:r>
    </w:p>
    <w:p w14:paraId="59713213"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Bank of England. (2024)</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Will Inflation in the UK Keep Rising?</w:t>
      </w:r>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Available at:</w:t>
      </w:r>
      <w:r w:rsidRPr="008B650B">
        <w:rPr>
          <w:rStyle w:val="apple-converted-space"/>
          <w:rFonts w:ascii="Arial" w:eastAsiaTheme="majorEastAsia" w:hAnsi="Arial" w:cs="Arial"/>
          <w:color w:val="000000"/>
          <w:sz w:val="20"/>
          <w:szCs w:val="20"/>
        </w:rPr>
        <w:t> </w:t>
      </w:r>
      <w:hyperlink r:id="rId26" w:tgtFrame="_new" w:history="1">
        <w:r w:rsidRPr="008B650B">
          <w:rPr>
            <w:rStyle w:val="Hyperlink"/>
            <w:rFonts w:ascii="Arial" w:eastAsiaTheme="majorEastAsia" w:hAnsi="Arial" w:cs="Arial"/>
            <w:sz w:val="20"/>
            <w:szCs w:val="20"/>
          </w:rPr>
          <w:t>https://www.bankofengland.co.uk/explainers/will-inflation-in-the-uk-keep-rising</w:t>
        </w:r>
      </w:hyperlink>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(Accessed: 25 August 2024).</w:t>
      </w:r>
    </w:p>
    <w:p w14:paraId="669AD625"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Chegg. (n.d.)</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The price specified in an option contract that the holder can buy or sell the underlying asset is called....</w:t>
      </w:r>
      <w:r w:rsidRPr="008B650B">
        <w:rPr>
          <w:rFonts w:ascii="Arial" w:hAnsi="Arial" w:cs="Arial"/>
          <w:color w:val="000000"/>
          <w:sz w:val="20"/>
          <w:szCs w:val="20"/>
        </w:rPr>
        <w:t>Available at:</w:t>
      </w:r>
      <w:r w:rsidRPr="008B650B">
        <w:rPr>
          <w:rStyle w:val="apple-converted-space"/>
          <w:rFonts w:ascii="Arial" w:eastAsiaTheme="majorEastAsia" w:hAnsi="Arial" w:cs="Arial"/>
          <w:color w:val="000000"/>
          <w:sz w:val="20"/>
          <w:szCs w:val="20"/>
        </w:rPr>
        <w:t> </w:t>
      </w:r>
      <w:hyperlink r:id="rId27" w:tgtFrame="_new" w:history="1">
        <w:r w:rsidRPr="008B650B">
          <w:rPr>
            <w:rStyle w:val="Hyperlink"/>
            <w:rFonts w:ascii="Arial" w:eastAsiaTheme="majorEastAsia" w:hAnsi="Arial" w:cs="Arial"/>
            <w:sz w:val="20"/>
            <w:szCs w:val="20"/>
          </w:rPr>
          <w:t>https://www.chegg.com/homework-help/questions-and-answers/price-specified-option-contract-holder-buy-sell-underlying-asset-called-4-t-premium-b-call-q37803823</w:t>
        </w:r>
      </w:hyperlink>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(Accessed: 22 August 2024).</w:t>
      </w:r>
    </w:p>
    <w:p w14:paraId="5D164213"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CMC Markets.com (2022)</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Treynor Ratio: Definition, Calculation and Interpretation</w:t>
      </w:r>
      <w:r w:rsidRPr="008B650B">
        <w:rPr>
          <w:rFonts w:ascii="Arial" w:hAnsi="Arial" w:cs="Arial"/>
          <w:color w:val="000000"/>
          <w:sz w:val="20"/>
          <w:szCs w:val="20"/>
        </w:rPr>
        <w:t>. Available at:</w:t>
      </w:r>
      <w:r w:rsidRPr="008B650B">
        <w:rPr>
          <w:rStyle w:val="apple-converted-space"/>
          <w:rFonts w:ascii="Arial" w:eastAsiaTheme="majorEastAsia" w:hAnsi="Arial" w:cs="Arial"/>
          <w:color w:val="000000"/>
          <w:sz w:val="20"/>
          <w:szCs w:val="20"/>
        </w:rPr>
        <w:t> </w:t>
      </w:r>
      <w:hyperlink r:id="rId28" w:tgtFrame="_new" w:history="1">
        <w:r w:rsidRPr="008B650B">
          <w:rPr>
            <w:rStyle w:val="Hyperlink"/>
            <w:rFonts w:ascii="Arial" w:eastAsiaTheme="majorEastAsia" w:hAnsi="Arial" w:cs="Arial"/>
            <w:sz w:val="20"/>
            <w:szCs w:val="20"/>
          </w:rPr>
          <w:t>https://www.cmcmarkets.com/en-gb/trading-guides/treynor-ratio</w:t>
        </w:r>
      </w:hyperlink>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(Accessed: 22 August 2024).</w:t>
      </w:r>
    </w:p>
    <w:p w14:paraId="39F1BDAD"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eCommerceDB.com (2023)</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Leading companies in the online food delivery market by region</w:t>
      </w:r>
      <w:r w:rsidRPr="008B650B">
        <w:rPr>
          <w:rFonts w:ascii="Arial" w:hAnsi="Arial" w:cs="Arial"/>
          <w:color w:val="000000"/>
          <w:sz w:val="20"/>
          <w:szCs w:val="20"/>
        </w:rPr>
        <w:t>. Available at:</w:t>
      </w:r>
      <w:r w:rsidRPr="008B650B">
        <w:rPr>
          <w:rStyle w:val="apple-converted-space"/>
          <w:rFonts w:ascii="Arial" w:eastAsiaTheme="majorEastAsia" w:hAnsi="Arial" w:cs="Arial"/>
          <w:color w:val="000000"/>
          <w:sz w:val="20"/>
          <w:szCs w:val="20"/>
        </w:rPr>
        <w:t> </w:t>
      </w:r>
      <w:hyperlink r:id="rId29" w:tgtFrame="_new" w:history="1">
        <w:r w:rsidRPr="008B650B">
          <w:rPr>
            <w:rStyle w:val="Hyperlink"/>
            <w:rFonts w:ascii="Arial" w:eastAsiaTheme="majorEastAsia" w:hAnsi="Arial" w:cs="Arial"/>
            <w:sz w:val="20"/>
            <w:szCs w:val="20"/>
          </w:rPr>
          <w:t>https://ecommercedb.com/insights/leading-companies-in-the-online-food-delivery-market-by-region/4464</w:t>
        </w:r>
      </w:hyperlink>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(Accessed: 26 August 2024).</w:t>
      </w:r>
    </w:p>
    <w:p w14:paraId="0A066979"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Fidelity. (2023)</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Long Straddle Options Strategy Guide</w:t>
      </w:r>
      <w:r w:rsidRPr="008B650B">
        <w:rPr>
          <w:rFonts w:ascii="Arial" w:hAnsi="Arial" w:cs="Arial"/>
          <w:color w:val="000000"/>
          <w:sz w:val="20"/>
          <w:szCs w:val="20"/>
        </w:rPr>
        <w:t>. Available at:</w:t>
      </w:r>
      <w:r w:rsidRPr="008B650B">
        <w:rPr>
          <w:rStyle w:val="apple-converted-space"/>
          <w:rFonts w:ascii="Arial" w:eastAsiaTheme="majorEastAsia" w:hAnsi="Arial" w:cs="Arial"/>
          <w:color w:val="000000"/>
          <w:sz w:val="20"/>
          <w:szCs w:val="20"/>
        </w:rPr>
        <w:t> </w:t>
      </w:r>
      <w:hyperlink r:id="rId30" w:tgtFrame="_new" w:history="1">
        <w:r w:rsidRPr="008B650B">
          <w:rPr>
            <w:rStyle w:val="Hyperlink"/>
            <w:rFonts w:ascii="Arial" w:eastAsiaTheme="majorEastAsia" w:hAnsi="Arial" w:cs="Arial"/>
            <w:sz w:val="20"/>
            <w:szCs w:val="20"/>
          </w:rPr>
          <w:t>https://www.fidelity.com/learning-center/investment-products/options/options-strategy-guide/long-straddle</w:t>
        </w:r>
      </w:hyperlink>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(Accessed: 25 August 2024).</w:t>
      </w:r>
    </w:p>
    <w:p w14:paraId="3308EF58" w14:textId="77777777" w:rsidR="0069410F" w:rsidRPr="008B650B" w:rsidRDefault="0069410F" w:rsidP="0069410F">
      <w:pPr>
        <w:pStyle w:val="NormalWeb"/>
        <w:ind w:left="360"/>
        <w:rPr>
          <w:rFonts w:ascii="Arial" w:hAnsi="Arial" w:cs="Arial"/>
          <w:color w:val="000000"/>
          <w:sz w:val="20"/>
          <w:szCs w:val="20"/>
        </w:rPr>
      </w:pPr>
      <w:proofErr w:type="spellStart"/>
      <w:r w:rsidRPr="008B650B">
        <w:rPr>
          <w:rFonts w:ascii="Arial" w:hAnsi="Arial" w:cs="Arial"/>
          <w:color w:val="000000"/>
          <w:sz w:val="20"/>
          <w:szCs w:val="20"/>
        </w:rPr>
        <w:t>Finbox</w:t>
      </w:r>
      <w:proofErr w:type="spellEnd"/>
      <w:r w:rsidRPr="008B650B">
        <w:rPr>
          <w:rFonts w:ascii="Arial" w:hAnsi="Arial" w:cs="Arial"/>
          <w:color w:val="000000"/>
          <w:sz w:val="20"/>
          <w:szCs w:val="20"/>
        </w:rPr>
        <w:t>. (n.d.)</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Total Revenue CAGR (3Y) for Delivery Hero SE (DB</w:t>
      </w:r>
    </w:p>
    <w:p w14:paraId="78D2D922" w14:textId="77777777" w:rsidR="0069410F" w:rsidRPr="0069410F" w:rsidRDefault="0069410F" w:rsidP="0069410F">
      <w:pPr>
        <w:ind w:left="360"/>
        <w:rPr>
          <w:rFonts w:ascii="Arial" w:hAnsi="Arial" w:cs="Arial"/>
          <w:sz w:val="20"/>
          <w:szCs w:val="20"/>
        </w:rPr>
      </w:pPr>
      <w:r w:rsidRPr="0069410F">
        <w:rPr>
          <w:rStyle w:val="Emphasis"/>
          <w:rFonts w:ascii="Arial" w:eastAsiaTheme="majorEastAsia" w:hAnsi="Arial" w:cs="Arial"/>
          <w:color w:val="000000"/>
          <w:sz w:val="20"/>
          <w:szCs w:val="20"/>
        </w:rPr>
        <w:t>)</w:t>
      </w:r>
      <w:r w:rsidRPr="0069410F">
        <w:rPr>
          <w:rFonts w:ascii="Arial" w:hAnsi="Arial" w:cs="Arial"/>
          <w:color w:val="000000"/>
          <w:sz w:val="20"/>
          <w:szCs w:val="20"/>
        </w:rPr>
        <w:t>. Available at:</w:t>
      </w:r>
      <w:r w:rsidRPr="0069410F">
        <w:rPr>
          <w:rStyle w:val="apple-converted-space"/>
          <w:rFonts w:ascii="Arial" w:eastAsiaTheme="majorEastAsia" w:hAnsi="Arial" w:cs="Arial"/>
          <w:color w:val="000000"/>
          <w:sz w:val="20"/>
          <w:szCs w:val="20"/>
        </w:rPr>
        <w:t> </w:t>
      </w:r>
      <w:hyperlink r:id="rId31" w:tgtFrame="_new" w:history="1">
        <w:r w:rsidRPr="0069410F">
          <w:rPr>
            <w:rStyle w:val="Hyperlink"/>
            <w:rFonts w:ascii="Arial" w:eastAsiaTheme="majorEastAsia" w:hAnsi="Arial" w:cs="Arial"/>
            <w:sz w:val="20"/>
            <w:szCs w:val="20"/>
          </w:rPr>
          <w:t>https://finbox.com/DB:T5W/explorer/total_rev_cagr_3y/</w:t>
        </w:r>
      </w:hyperlink>
      <w:r w:rsidRPr="0069410F">
        <w:rPr>
          <w:rStyle w:val="apple-converted-space"/>
          <w:rFonts w:ascii="Arial" w:eastAsiaTheme="majorEastAsia" w:hAnsi="Arial" w:cs="Arial"/>
          <w:color w:val="000000"/>
          <w:sz w:val="20"/>
          <w:szCs w:val="20"/>
        </w:rPr>
        <w:t> </w:t>
      </w:r>
      <w:r w:rsidRPr="0069410F">
        <w:rPr>
          <w:rFonts w:ascii="Arial" w:hAnsi="Arial" w:cs="Arial"/>
          <w:color w:val="000000"/>
          <w:sz w:val="20"/>
          <w:szCs w:val="20"/>
        </w:rPr>
        <w:t>(Accessed: 22 August 2024).</w:t>
      </w:r>
    </w:p>
    <w:p w14:paraId="4BE0E935"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Financial News London. (2014)</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LSE High Growth Segment to Lose Only Listing: Just Eat</w:t>
      </w:r>
      <w:r w:rsidRPr="008B650B">
        <w:rPr>
          <w:rFonts w:ascii="Arial" w:hAnsi="Arial" w:cs="Arial"/>
          <w:color w:val="000000"/>
          <w:sz w:val="20"/>
          <w:szCs w:val="20"/>
        </w:rPr>
        <w:t>. Available at:</w:t>
      </w:r>
      <w:r w:rsidRPr="008B650B">
        <w:rPr>
          <w:rStyle w:val="apple-converted-space"/>
          <w:rFonts w:ascii="Arial" w:eastAsiaTheme="majorEastAsia" w:hAnsi="Arial" w:cs="Arial"/>
          <w:color w:val="000000"/>
          <w:sz w:val="20"/>
          <w:szCs w:val="20"/>
        </w:rPr>
        <w:t> </w:t>
      </w:r>
      <w:hyperlink r:id="rId32" w:tgtFrame="_new" w:history="1">
        <w:r w:rsidRPr="008B650B">
          <w:rPr>
            <w:rStyle w:val="Hyperlink"/>
            <w:rFonts w:ascii="Arial" w:eastAsiaTheme="majorEastAsia" w:hAnsi="Arial" w:cs="Arial"/>
            <w:sz w:val="20"/>
            <w:szCs w:val="20"/>
          </w:rPr>
          <w:t>https://www.fnlondon.com/articles/lse-high-growth-segment-to-lose-only-listing-just-eat-30-04-2014-20140430</w:t>
        </w:r>
      </w:hyperlink>
      <w:r w:rsidRPr="008B650B">
        <w:rPr>
          <w:rFonts w:ascii="Arial" w:hAnsi="Arial" w:cs="Arial"/>
          <w:color w:val="000000"/>
          <w:sz w:val="20"/>
          <w:szCs w:val="20"/>
        </w:rPr>
        <w:t>(Accessed: 26 August 2024).</w:t>
      </w:r>
    </w:p>
    <w:p w14:paraId="0E5F79D6"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Financial Times. (2014)</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Just Eat IPO Puts Company in Stronger Position to Compete</w:t>
      </w:r>
      <w:r w:rsidRPr="008B650B">
        <w:rPr>
          <w:rFonts w:ascii="Arial" w:hAnsi="Arial" w:cs="Arial"/>
          <w:color w:val="000000"/>
          <w:sz w:val="20"/>
          <w:szCs w:val="20"/>
        </w:rPr>
        <w:t>. Available at:</w:t>
      </w:r>
      <w:r w:rsidRPr="008B650B">
        <w:rPr>
          <w:rStyle w:val="apple-converted-space"/>
          <w:rFonts w:ascii="Arial" w:eastAsiaTheme="majorEastAsia" w:hAnsi="Arial" w:cs="Arial"/>
          <w:color w:val="000000"/>
          <w:sz w:val="20"/>
          <w:szCs w:val="20"/>
        </w:rPr>
        <w:t> </w:t>
      </w:r>
      <w:hyperlink r:id="rId33" w:tgtFrame="_new" w:history="1">
        <w:r w:rsidRPr="008B650B">
          <w:rPr>
            <w:rStyle w:val="Hyperlink"/>
            <w:rFonts w:ascii="Arial" w:eastAsiaTheme="majorEastAsia" w:hAnsi="Arial" w:cs="Arial"/>
            <w:sz w:val="20"/>
            <w:szCs w:val="20"/>
          </w:rPr>
          <w:t>https://www.ft.com/content/565003f2-8350-11e3-86c9-00144feab7de</w:t>
        </w:r>
      </w:hyperlink>
      <w:r w:rsidRPr="008B650B">
        <w:rPr>
          <w:rFonts w:ascii="Arial" w:hAnsi="Arial" w:cs="Arial"/>
          <w:color w:val="000000"/>
          <w:sz w:val="20"/>
          <w:szCs w:val="20"/>
        </w:rPr>
        <w:t>.</w:t>
      </w:r>
    </w:p>
    <w:p w14:paraId="7FD1C993"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lastRenderedPageBreak/>
        <w:t>GoogleFinance.com (2024)</w:t>
      </w:r>
      <w:r w:rsidRPr="008B650B">
        <w:rPr>
          <w:rStyle w:val="apple-converted-space"/>
          <w:rFonts w:ascii="Arial" w:eastAsiaTheme="majorEastAsia" w:hAnsi="Arial" w:cs="Arial"/>
          <w:color w:val="000000"/>
          <w:sz w:val="20"/>
          <w:szCs w:val="20"/>
        </w:rPr>
        <w:t> </w:t>
      </w:r>
      <w:proofErr w:type="spellStart"/>
      <w:r w:rsidRPr="008B650B">
        <w:rPr>
          <w:rStyle w:val="Emphasis"/>
          <w:rFonts w:ascii="Arial" w:eastAsiaTheme="majorEastAsia" w:hAnsi="Arial" w:cs="Arial"/>
          <w:color w:val="000000"/>
          <w:sz w:val="20"/>
          <w:szCs w:val="20"/>
        </w:rPr>
        <w:t>DoorDash</w:t>
      </w:r>
      <w:proofErr w:type="spellEnd"/>
      <w:r w:rsidRPr="008B650B">
        <w:rPr>
          <w:rStyle w:val="Emphasis"/>
          <w:rFonts w:ascii="Arial" w:eastAsiaTheme="majorEastAsia" w:hAnsi="Arial" w:cs="Arial"/>
          <w:color w:val="000000"/>
          <w:sz w:val="20"/>
          <w:szCs w:val="20"/>
        </w:rPr>
        <w:t>, Inc. (DASH) Stock Price &amp; Overview</w:t>
      </w:r>
      <w:r w:rsidRPr="008B650B">
        <w:rPr>
          <w:rFonts w:ascii="Arial" w:hAnsi="Arial" w:cs="Arial"/>
          <w:color w:val="000000"/>
          <w:sz w:val="20"/>
          <w:szCs w:val="20"/>
        </w:rPr>
        <w:t>. Available at:</w:t>
      </w:r>
      <w:r w:rsidRPr="008B650B">
        <w:rPr>
          <w:rStyle w:val="apple-converted-space"/>
          <w:rFonts w:ascii="Arial" w:eastAsiaTheme="majorEastAsia" w:hAnsi="Arial" w:cs="Arial"/>
          <w:color w:val="000000"/>
          <w:sz w:val="20"/>
          <w:szCs w:val="20"/>
        </w:rPr>
        <w:t> </w:t>
      </w:r>
      <w:hyperlink r:id="rId34" w:tgtFrame="_new" w:history="1">
        <w:r w:rsidRPr="008B650B">
          <w:rPr>
            <w:rStyle w:val="Hyperlink"/>
            <w:rFonts w:ascii="Arial" w:eastAsiaTheme="majorEastAsia" w:hAnsi="Arial" w:cs="Arial"/>
            <w:sz w:val="20"/>
            <w:szCs w:val="20"/>
          </w:rPr>
          <w:t>https://www.google.com/finance/quote/DASH:NASDAQ?sa=X&amp;ved=2ahUKEwiz5sCS6JKIAxXCgf0HHZwBENgQ3ecFegQIMxAf</w:t>
        </w:r>
      </w:hyperlink>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(Accessed: 26 August 2024).</w:t>
      </w:r>
    </w:p>
    <w:p w14:paraId="2E2F0D81"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Grand View Research. (n.d.)</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Meal Kit Delivery Services Market Size, Share &amp; Trends Analysis Report</w:t>
      </w:r>
      <w:r w:rsidRPr="008B650B">
        <w:rPr>
          <w:rFonts w:ascii="Arial" w:hAnsi="Arial" w:cs="Arial"/>
          <w:color w:val="000000"/>
          <w:sz w:val="20"/>
          <w:szCs w:val="20"/>
        </w:rPr>
        <w:t>. Available at:</w:t>
      </w:r>
      <w:r w:rsidRPr="008B650B">
        <w:rPr>
          <w:rStyle w:val="apple-converted-space"/>
          <w:rFonts w:ascii="Arial" w:eastAsiaTheme="majorEastAsia" w:hAnsi="Arial" w:cs="Arial"/>
          <w:color w:val="000000"/>
          <w:sz w:val="20"/>
          <w:szCs w:val="20"/>
        </w:rPr>
        <w:t> </w:t>
      </w:r>
      <w:hyperlink r:id="rId35" w:tgtFrame="_new" w:history="1">
        <w:r w:rsidRPr="008B650B">
          <w:rPr>
            <w:rStyle w:val="Hyperlink"/>
            <w:rFonts w:ascii="Arial" w:eastAsiaTheme="majorEastAsia" w:hAnsi="Arial" w:cs="Arial"/>
            <w:sz w:val="20"/>
            <w:szCs w:val="20"/>
          </w:rPr>
          <w:t>https://www.grandviewresearch.com/industry-analysis/meal-kit-delivery-services-market</w:t>
        </w:r>
      </w:hyperlink>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(Accessed: 26 August 2024).</w:t>
      </w:r>
    </w:p>
    <w:p w14:paraId="5E25E680"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Griffith, E. (2020) ‘</w:t>
      </w:r>
      <w:proofErr w:type="spellStart"/>
      <w:r w:rsidRPr="008B650B">
        <w:rPr>
          <w:rFonts w:ascii="Arial" w:hAnsi="Arial" w:cs="Arial"/>
          <w:color w:val="000000"/>
          <w:sz w:val="20"/>
          <w:szCs w:val="20"/>
        </w:rPr>
        <w:t>DoorDash’s</w:t>
      </w:r>
      <w:proofErr w:type="spellEnd"/>
      <w:r w:rsidRPr="008B650B">
        <w:rPr>
          <w:rFonts w:ascii="Arial" w:hAnsi="Arial" w:cs="Arial"/>
          <w:color w:val="000000"/>
          <w:sz w:val="20"/>
          <w:szCs w:val="20"/>
        </w:rPr>
        <w:t xml:space="preserve"> Stock Soars in Its Debut, as Investors Eat Up IPOs’,</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The New York Times</w:t>
      </w:r>
      <w:r w:rsidRPr="008B650B">
        <w:rPr>
          <w:rFonts w:ascii="Arial" w:hAnsi="Arial" w:cs="Arial"/>
          <w:color w:val="000000"/>
          <w:sz w:val="20"/>
          <w:szCs w:val="20"/>
        </w:rPr>
        <w:t>, 9 December. Available at:</w:t>
      </w:r>
      <w:r w:rsidRPr="008B650B">
        <w:rPr>
          <w:rStyle w:val="apple-converted-space"/>
          <w:rFonts w:ascii="Arial" w:eastAsiaTheme="majorEastAsia" w:hAnsi="Arial" w:cs="Arial"/>
          <w:color w:val="000000"/>
          <w:sz w:val="20"/>
          <w:szCs w:val="20"/>
        </w:rPr>
        <w:t> </w:t>
      </w:r>
      <w:hyperlink r:id="rId36" w:tgtFrame="_new" w:history="1">
        <w:r w:rsidRPr="008B650B">
          <w:rPr>
            <w:rStyle w:val="Hyperlink"/>
            <w:rFonts w:ascii="Arial" w:eastAsiaTheme="majorEastAsia" w:hAnsi="Arial" w:cs="Arial"/>
            <w:sz w:val="20"/>
            <w:szCs w:val="20"/>
          </w:rPr>
          <w:t>https://www.nytimes.com/2020/12/09/technology/doordash-ipo-stock.html</w:t>
        </w:r>
      </w:hyperlink>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(Accessed: 22 August 2024).</w:t>
      </w:r>
    </w:p>
    <w:p w14:paraId="6F08B821"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IMF. (2024)</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World Economic Outlook (WEO)</w:t>
      </w:r>
      <w:r w:rsidRPr="008B650B">
        <w:rPr>
          <w:rFonts w:ascii="Arial" w:hAnsi="Arial" w:cs="Arial"/>
          <w:color w:val="000000"/>
          <w:sz w:val="20"/>
          <w:szCs w:val="20"/>
        </w:rPr>
        <w:t>. Available at:</w:t>
      </w:r>
      <w:r w:rsidRPr="008B650B">
        <w:rPr>
          <w:rStyle w:val="apple-converted-space"/>
          <w:rFonts w:ascii="Arial" w:eastAsiaTheme="majorEastAsia" w:hAnsi="Arial" w:cs="Arial"/>
          <w:color w:val="000000"/>
          <w:sz w:val="20"/>
          <w:szCs w:val="20"/>
        </w:rPr>
        <w:t> </w:t>
      </w:r>
      <w:hyperlink r:id="rId37" w:tgtFrame="_new" w:history="1">
        <w:r w:rsidRPr="008B650B">
          <w:rPr>
            <w:rStyle w:val="Hyperlink"/>
            <w:rFonts w:ascii="Arial" w:eastAsiaTheme="majorEastAsia" w:hAnsi="Arial" w:cs="Arial"/>
            <w:sz w:val="20"/>
            <w:szCs w:val="20"/>
          </w:rPr>
          <w:t>https://www.imf.org/en/Publications/WEO</w:t>
        </w:r>
      </w:hyperlink>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(Accessed: 25 August 2024).</w:t>
      </w:r>
    </w:p>
    <w:p w14:paraId="3C8CBEF4" w14:textId="77777777" w:rsidR="0069410F" w:rsidRPr="008B650B" w:rsidRDefault="0069410F" w:rsidP="0069410F">
      <w:pPr>
        <w:pStyle w:val="NormalWeb"/>
        <w:ind w:left="360"/>
        <w:rPr>
          <w:rFonts w:ascii="Arial" w:hAnsi="Arial" w:cs="Arial"/>
          <w:color w:val="000000"/>
          <w:sz w:val="20"/>
          <w:szCs w:val="20"/>
        </w:rPr>
      </w:pPr>
      <w:proofErr w:type="spellStart"/>
      <w:r w:rsidRPr="008B650B">
        <w:rPr>
          <w:rFonts w:ascii="Arial" w:hAnsi="Arial" w:cs="Arial"/>
          <w:color w:val="000000"/>
          <w:sz w:val="20"/>
          <w:szCs w:val="20"/>
        </w:rPr>
        <w:t>Jäger-Waldau</w:t>
      </w:r>
      <w:proofErr w:type="spellEnd"/>
      <w:r w:rsidRPr="008B650B">
        <w:rPr>
          <w:rFonts w:ascii="Arial" w:hAnsi="Arial" w:cs="Arial"/>
          <w:color w:val="000000"/>
          <w:sz w:val="20"/>
          <w:szCs w:val="20"/>
        </w:rPr>
        <w:t>, A. (2023) ‘Compound Annual Growth Rates in Renewable Energy’,</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EPJ Photovoltaics</w:t>
      </w:r>
      <w:r w:rsidRPr="008B650B">
        <w:rPr>
          <w:rFonts w:ascii="Arial" w:hAnsi="Arial" w:cs="Arial"/>
          <w:color w:val="000000"/>
          <w:sz w:val="20"/>
          <w:szCs w:val="20"/>
        </w:rPr>
        <w:t>, 14, p. 7. Available at:</w:t>
      </w:r>
      <w:r w:rsidRPr="008B650B">
        <w:rPr>
          <w:rStyle w:val="apple-converted-space"/>
          <w:rFonts w:ascii="Arial" w:eastAsiaTheme="majorEastAsia" w:hAnsi="Arial" w:cs="Arial"/>
          <w:color w:val="000000"/>
          <w:sz w:val="20"/>
          <w:szCs w:val="20"/>
        </w:rPr>
        <w:t> </w:t>
      </w:r>
      <w:hyperlink r:id="rId38" w:tgtFrame="_new" w:history="1">
        <w:r w:rsidRPr="008B650B">
          <w:rPr>
            <w:rStyle w:val="Hyperlink"/>
            <w:rFonts w:ascii="Arial" w:eastAsiaTheme="majorEastAsia" w:hAnsi="Arial" w:cs="Arial"/>
            <w:sz w:val="20"/>
            <w:szCs w:val="20"/>
          </w:rPr>
          <w:t>https://epjpv.epj.org/articles/epjpv/abs/2023/01/pv230020/pv230020.html</w:t>
        </w:r>
      </w:hyperlink>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(Accessed: 23 August 2024).</w:t>
      </w:r>
    </w:p>
    <w:p w14:paraId="7E865EF1"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Just Eat Takeaway.com. (2021)</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Just Eat Takeaway.com Publishes Prospectus</w:t>
      </w:r>
      <w:r w:rsidRPr="008B650B">
        <w:rPr>
          <w:rFonts w:ascii="Arial" w:hAnsi="Arial" w:cs="Arial"/>
          <w:color w:val="000000"/>
          <w:sz w:val="20"/>
          <w:szCs w:val="20"/>
        </w:rPr>
        <w:t>. Available at:</w:t>
      </w:r>
      <w:r w:rsidRPr="008B650B">
        <w:rPr>
          <w:rStyle w:val="apple-converted-space"/>
          <w:rFonts w:ascii="Arial" w:eastAsiaTheme="majorEastAsia" w:hAnsi="Arial" w:cs="Arial"/>
          <w:color w:val="000000"/>
          <w:sz w:val="20"/>
          <w:szCs w:val="20"/>
        </w:rPr>
        <w:t> </w:t>
      </w:r>
      <w:hyperlink r:id="rId39" w:tgtFrame="_new" w:history="1">
        <w:r w:rsidRPr="008B650B">
          <w:rPr>
            <w:rStyle w:val="Hyperlink"/>
            <w:rFonts w:ascii="Arial" w:eastAsiaTheme="majorEastAsia" w:hAnsi="Arial" w:cs="Arial"/>
            <w:sz w:val="20"/>
            <w:szCs w:val="20"/>
          </w:rPr>
          <w:t>https://www.justeattakeaway.com/download</w:t>
        </w:r>
      </w:hyperlink>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(Accessed: 26 August 2024).</w:t>
      </w:r>
    </w:p>
    <w:p w14:paraId="03F54E9F"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Just Eat Takeaway.com. (2022)</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Full Year 2021 Results</w:t>
      </w:r>
      <w:r w:rsidRPr="008B650B">
        <w:rPr>
          <w:rFonts w:ascii="Arial" w:hAnsi="Arial" w:cs="Arial"/>
          <w:color w:val="000000"/>
          <w:sz w:val="20"/>
          <w:szCs w:val="20"/>
        </w:rPr>
        <w:t>. Available at:</w:t>
      </w:r>
      <w:r w:rsidRPr="008B650B">
        <w:rPr>
          <w:rStyle w:val="apple-converted-space"/>
          <w:rFonts w:ascii="Arial" w:eastAsiaTheme="majorEastAsia" w:hAnsi="Arial" w:cs="Arial"/>
          <w:color w:val="000000"/>
          <w:sz w:val="20"/>
          <w:szCs w:val="20"/>
        </w:rPr>
        <w:t> </w:t>
      </w:r>
      <w:hyperlink r:id="rId40" w:tgtFrame="_new" w:history="1">
        <w:r w:rsidRPr="008B650B">
          <w:rPr>
            <w:rStyle w:val="Hyperlink"/>
            <w:rFonts w:ascii="Arial" w:eastAsiaTheme="majorEastAsia" w:hAnsi="Arial" w:cs="Arial"/>
            <w:sz w:val="20"/>
            <w:szCs w:val="20"/>
          </w:rPr>
          <w:t>https://www.justeattakeaway.com/newsroom/en-WW/211075-full-year-2021-results</w:t>
        </w:r>
      </w:hyperlink>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(Accessed: 26 August 2024).</w:t>
      </w:r>
    </w:p>
    <w:p w14:paraId="74D5E208"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Just Eat Takeaway.com. (n.d.)</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About Us</w:t>
      </w:r>
      <w:r w:rsidRPr="008B650B">
        <w:rPr>
          <w:rFonts w:ascii="Arial" w:hAnsi="Arial" w:cs="Arial"/>
          <w:color w:val="000000"/>
          <w:sz w:val="20"/>
          <w:szCs w:val="20"/>
        </w:rPr>
        <w:t>. Available at:</w:t>
      </w:r>
      <w:r w:rsidRPr="008B650B">
        <w:rPr>
          <w:rStyle w:val="apple-converted-space"/>
          <w:rFonts w:ascii="Arial" w:eastAsiaTheme="majorEastAsia" w:hAnsi="Arial" w:cs="Arial"/>
          <w:color w:val="000000"/>
          <w:sz w:val="20"/>
          <w:szCs w:val="20"/>
        </w:rPr>
        <w:t> </w:t>
      </w:r>
      <w:hyperlink r:id="rId41" w:tgtFrame="_new" w:history="1">
        <w:r w:rsidRPr="008B650B">
          <w:rPr>
            <w:rStyle w:val="Hyperlink"/>
            <w:rFonts w:ascii="Arial" w:eastAsiaTheme="majorEastAsia" w:hAnsi="Arial" w:cs="Arial"/>
            <w:sz w:val="20"/>
            <w:szCs w:val="20"/>
          </w:rPr>
          <w:t>https://www.justeattakeaway.com/about-us</w:t>
        </w:r>
      </w:hyperlink>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(Accessed: 26 August 2024).</w:t>
      </w:r>
    </w:p>
    <w:p w14:paraId="4C4D368E"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Just Eat Takeaway.com. (n.d.)</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Results and Reports</w:t>
      </w:r>
      <w:r w:rsidRPr="008B650B">
        <w:rPr>
          <w:rFonts w:ascii="Arial" w:hAnsi="Arial" w:cs="Arial"/>
          <w:color w:val="000000"/>
          <w:sz w:val="20"/>
          <w:szCs w:val="20"/>
        </w:rPr>
        <w:t>. Available at:</w:t>
      </w:r>
      <w:r w:rsidRPr="008B650B">
        <w:rPr>
          <w:rStyle w:val="apple-converted-space"/>
          <w:rFonts w:ascii="Arial" w:eastAsiaTheme="majorEastAsia" w:hAnsi="Arial" w:cs="Arial"/>
          <w:color w:val="000000"/>
          <w:sz w:val="20"/>
          <w:szCs w:val="20"/>
        </w:rPr>
        <w:t> </w:t>
      </w:r>
      <w:hyperlink r:id="rId42" w:tgtFrame="_new" w:history="1">
        <w:r w:rsidRPr="008B650B">
          <w:rPr>
            <w:rStyle w:val="Hyperlink"/>
            <w:rFonts w:ascii="Arial" w:eastAsiaTheme="majorEastAsia" w:hAnsi="Arial" w:cs="Arial"/>
            <w:sz w:val="20"/>
            <w:szCs w:val="20"/>
          </w:rPr>
          <w:t>https://www.justeattakeaway.com/results-and-reports</w:t>
        </w:r>
      </w:hyperlink>
      <w:r w:rsidRPr="008B650B">
        <w:rPr>
          <w:rFonts w:ascii="Arial" w:hAnsi="Arial" w:cs="Arial"/>
          <w:color w:val="000000"/>
          <w:sz w:val="20"/>
          <w:szCs w:val="20"/>
        </w:rPr>
        <w:t>(Accessed: 26 August 2024).</w:t>
      </w:r>
    </w:p>
    <w:p w14:paraId="4932C3EC"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Marketing Week. (2023)</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Just Eat reports rise in marketing spend despite decline in orders</w:t>
      </w:r>
      <w:r w:rsidRPr="008B650B">
        <w:rPr>
          <w:rFonts w:ascii="Arial" w:hAnsi="Arial" w:cs="Arial"/>
          <w:color w:val="000000"/>
          <w:sz w:val="20"/>
          <w:szCs w:val="20"/>
        </w:rPr>
        <w:t>. Available at:</w:t>
      </w:r>
      <w:r w:rsidRPr="008B650B">
        <w:rPr>
          <w:rStyle w:val="apple-converted-space"/>
          <w:rFonts w:ascii="Arial" w:eastAsiaTheme="majorEastAsia" w:hAnsi="Arial" w:cs="Arial"/>
          <w:color w:val="000000"/>
          <w:sz w:val="20"/>
          <w:szCs w:val="20"/>
        </w:rPr>
        <w:t> </w:t>
      </w:r>
      <w:hyperlink r:id="rId43" w:tgtFrame="_new" w:history="1">
        <w:r w:rsidRPr="008B650B">
          <w:rPr>
            <w:rStyle w:val="Hyperlink"/>
            <w:rFonts w:ascii="Arial" w:eastAsiaTheme="majorEastAsia" w:hAnsi="Arial" w:cs="Arial"/>
            <w:sz w:val="20"/>
            <w:szCs w:val="20"/>
          </w:rPr>
          <w:t>https://www.marketingweek.com/just-eat-rise-marketing-spend/</w:t>
        </w:r>
      </w:hyperlink>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(Accessed: 26 August 2024).</w:t>
      </w:r>
    </w:p>
    <w:p w14:paraId="3B930283"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Market Chameleon. (n.d.)</w:t>
      </w:r>
      <w:r w:rsidRPr="008B650B">
        <w:rPr>
          <w:rStyle w:val="apple-converted-space"/>
          <w:rFonts w:ascii="Arial" w:eastAsiaTheme="majorEastAsia" w:hAnsi="Arial" w:cs="Arial"/>
          <w:color w:val="000000"/>
          <w:sz w:val="20"/>
          <w:szCs w:val="20"/>
        </w:rPr>
        <w:t> </w:t>
      </w:r>
      <w:proofErr w:type="spellStart"/>
      <w:r w:rsidRPr="008B650B">
        <w:rPr>
          <w:rStyle w:val="Emphasis"/>
          <w:rFonts w:ascii="Arial" w:eastAsiaTheme="majorEastAsia" w:hAnsi="Arial" w:cs="Arial"/>
          <w:color w:val="000000"/>
          <w:sz w:val="20"/>
          <w:szCs w:val="20"/>
        </w:rPr>
        <w:t>DoorDash</w:t>
      </w:r>
      <w:proofErr w:type="spellEnd"/>
      <w:r w:rsidRPr="008B650B">
        <w:rPr>
          <w:rStyle w:val="Emphasis"/>
          <w:rFonts w:ascii="Arial" w:eastAsiaTheme="majorEastAsia" w:hAnsi="Arial" w:cs="Arial"/>
          <w:color w:val="000000"/>
          <w:sz w:val="20"/>
          <w:szCs w:val="20"/>
        </w:rPr>
        <w:t>, Inc. (DASH) Options Chain</w:t>
      </w:r>
      <w:r w:rsidRPr="008B650B">
        <w:rPr>
          <w:rFonts w:ascii="Arial" w:hAnsi="Arial" w:cs="Arial"/>
          <w:color w:val="000000"/>
          <w:sz w:val="20"/>
          <w:szCs w:val="20"/>
        </w:rPr>
        <w:t>. Available at:</w:t>
      </w:r>
      <w:r w:rsidRPr="008B650B">
        <w:rPr>
          <w:rStyle w:val="apple-converted-space"/>
          <w:rFonts w:ascii="Arial" w:eastAsiaTheme="majorEastAsia" w:hAnsi="Arial" w:cs="Arial"/>
          <w:color w:val="000000"/>
          <w:sz w:val="20"/>
          <w:szCs w:val="20"/>
        </w:rPr>
        <w:t> </w:t>
      </w:r>
      <w:hyperlink r:id="rId44" w:tgtFrame="_new" w:history="1">
        <w:r w:rsidRPr="008B650B">
          <w:rPr>
            <w:rStyle w:val="Hyperlink"/>
            <w:rFonts w:ascii="Arial" w:eastAsiaTheme="majorEastAsia" w:hAnsi="Arial" w:cs="Arial"/>
            <w:sz w:val="20"/>
            <w:szCs w:val="20"/>
          </w:rPr>
          <w:t>https://marketchameleon.com/Overview/DASH/OptionChain/</w:t>
        </w:r>
      </w:hyperlink>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(Accessed: 22 August 2024).</w:t>
      </w:r>
    </w:p>
    <w:p w14:paraId="11D423E6"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Mordor Intelligence. (n.d.)</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Online Food Delivery Market - Growth, Trends, COVID-19 Impact, and Forecasts (2023 - 2028)</w:t>
      </w:r>
      <w:r w:rsidRPr="008B650B">
        <w:rPr>
          <w:rFonts w:ascii="Arial" w:hAnsi="Arial" w:cs="Arial"/>
          <w:color w:val="000000"/>
          <w:sz w:val="20"/>
          <w:szCs w:val="20"/>
        </w:rPr>
        <w:t>. Available at:</w:t>
      </w:r>
      <w:r w:rsidRPr="008B650B">
        <w:rPr>
          <w:rStyle w:val="apple-converted-space"/>
          <w:rFonts w:ascii="Arial" w:eastAsiaTheme="majorEastAsia" w:hAnsi="Arial" w:cs="Arial"/>
          <w:color w:val="000000"/>
          <w:sz w:val="20"/>
          <w:szCs w:val="20"/>
        </w:rPr>
        <w:t> </w:t>
      </w:r>
      <w:hyperlink r:id="rId45" w:tgtFrame="_new" w:history="1">
        <w:r w:rsidRPr="008B650B">
          <w:rPr>
            <w:rStyle w:val="Hyperlink"/>
            <w:rFonts w:ascii="Arial" w:eastAsiaTheme="majorEastAsia" w:hAnsi="Arial" w:cs="Arial"/>
            <w:sz w:val="20"/>
            <w:szCs w:val="20"/>
          </w:rPr>
          <w:t>https://www.mordorintelligence.com/industry-reports/online-food-delivery-market</w:t>
        </w:r>
      </w:hyperlink>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(Accessed: 26 August 2024).</w:t>
      </w:r>
    </w:p>
    <w:p w14:paraId="1271ECE6"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NCETM. (n.d.)</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PRIMM 2.2.6: Mean Average and Equal Shares</w:t>
      </w:r>
      <w:r w:rsidRPr="008B650B">
        <w:rPr>
          <w:rFonts w:ascii="Arial" w:hAnsi="Arial" w:cs="Arial"/>
          <w:color w:val="000000"/>
          <w:sz w:val="20"/>
          <w:szCs w:val="20"/>
        </w:rPr>
        <w:t>. Available at:</w:t>
      </w:r>
      <w:r w:rsidRPr="008B650B">
        <w:rPr>
          <w:rStyle w:val="apple-converted-space"/>
          <w:rFonts w:ascii="Arial" w:eastAsiaTheme="majorEastAsia" w:hAnsi="Arial" w:cs="Arial"/>
          <w:color w:val="000000"/>
          <w:sz w:val="20"/>
          <w:szCs w:val="20"/>
        </w:rPr>
        <w:t> </w:t>
      </w:r>
      <w:hyperlink r:id="rId46" w:tgtFrame="_new" w:history="1">
        <w:r w:rsidRPr="008B650B">
          <w:rPr>
            <w:rStyle w:val="Hyperlink"/>
            <w:rFonts w:ascii="Arial" w:eastAsiaTheme="majorEastAsia" w:hAnsi="Arial" w:cs="Arial"/>
            <w:sz w:val="20"/>
            <w:szCs w:val="20"/>
          </w:rPr>
          <w:t>https://www.ncetm.org.uk/classroom-resources/primm-226-mean-average-and-equal-shares/</w:t>
        </w:r>
      </w:hyperlink>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(Accessed: 26 August 2024).</w:t>
      </w:r>
    </w:p>
    <w:p w14:paraId="3799EBD4"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Powell, J. (2024)</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Monetary Policy in a Changing Economy</w:t>
      </w:r>
      <w:r w:rsidRPr="008B650B">
        <w:rPr>
          <w:rFonts w:ascii="Arial" w:hAnsi="Arial" w:cs="Arial"/>
          <w:color w:val="000000"/>
          <w:sz w:val="20"/>
          <w:szCs w:val="20"/>
        </w:rPr>
        <w:t>, 23 August. Available at:</w:t>
      </w:r>
      <w:r w:rsidRPr="008B650B">
        <w:rPr>
          <w:rStyle w:val="apple-converted-space"/>
          <w:rFonts w:ascii="Arial" w:eastAsiaTheme="majorEastAsia" w:hAnsi="Arial" w:cs="Arial"/>
          <w:color w:val="000000"/>
          <w:sz w:val="20"/>
          <w:szCs w:val="20"/>
        </w:rPr>
        <w:t> </w:t>
      </w:r>
      <w:hyperlink r:id="rId47" w:tgtFrame="_new" w:history="1">
        <w:r w:rsidRPr="008B650B">
          <w:rPr>
            <w:rStyle w:val="Hyperlink"/>
            <w:rFonts w:ascii="Arial" w:eastAsiaTheme="majorEastAsia" w:hAnsi="Arial" w:cs="Arial"/>
            <w:sz w:val="20"/>
            <w:szCs w:val="20"/>
          </w:rPr>
          <w:t>https://www.federalreserve.gov/newsevents/speech/powell20240823a.htm</w:t>
        </w:r>
      </w:hyperlink>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(Accessed: 25 August 2024).</w:t>
      </w:r>
    </w:p>
    <w:p w14:paraId="26F8E74E"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Schwab, CH., (n.d.)</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Calculate the Sharpe Ratio to Gauge Risk</w:t>
      </w:r>
      <w:r w:rsidRPr="008B650B">
        <w:rPr>
          <w:rFonts w:ascii="Arial" w:hAnsi="Arial" w:cs="Arial"/>
          <w:color w:val="000000"/>
          <w:sz w:val="20"/>
          <w:szCs w:val="20"/>
        </w:rPr>
        <w:t>. Available at:</w:t>
      </w:r>
      <w:r w:rsidRPr="008B650B">
        <w:rPr>
          <w:rStyle w:val="apple-converted-space"/>
          <w:rFonts w:ascii="Arial" w:eastAsiaTheme="majorEastAsia" w:hAnsi="Arial" w:cs="Arial"/>
          <w:color w:val="000000"/>
          <w:sz w:val="20"/>
          <w:szCs w:val="20"/>
        </w:rPr>
        <w:t> </w:t>
      </w:r>
      <w:hyperlink r:id="rId48" w:anchor=":~:text=The%20Sharpe%20ratio%2C%20created%20by,to%20balance%20risk%20and%20return" w:tgtFrame="_new" w:history="1">
        <w:r w:rsidRPr="008B650B">
          <w:rPr>
            <w:rStyle w:val="Hyperlink"/>
            <w:rFonts w:ascii="Arial" w:eastAsiaTheme="majorEastAsia" w:hAnsi="Arial" w:cs="Arial"/>
            <w:sz w:val="20"/>
            <w:szCs w:val="20"/>
          </w:rPr>
          <w:t>https://www.schwab.com/learn/story/calculate-sharpe-ratio-to-gauge-risk#:~:text=The%20Sharpe%20ratio%2C%20created%20by,to%20balance%20risk%20and%20return</w:t>
        </w:r>
      </w:hyperlink>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(Accessed: 22 August 2024).</w:t>
      </w:r>
    </w:p>
    <w:p w14:paraId="35CE5329"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lastRenderedPageBreak/>
        <w:t>Study.com. (2024)</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How to Calculate Payoffs to Option Positions</w:t>
      </w:r>
      <w:r w:rsidRPr="008B650B">
        <w:rPr>
          <w:rFonts w:ascii="Arial" w:hAnsi="Arial" w:cs="Arial"/>
          <w:color w:val="000000"/>
          <w:sz w:val="20"/>
          <w:szCs w:val="20"/>
        </w:rPr>
        <w:t>. Available at:</w:t>
      </w:r>
      <w:r w:rsidRPr="008B650B">
        <w:rPr>
          <w:rStyle w:val="apple-converted-space"/>
          <w:rFonts w:ascii="Arial" w:eastAsiaTheme="majorEastAsia" w:hAnsi="Arial" w:cs="Arial"/>
          <w:color w:val="000000"/>
          <w:sz w:val="20"/>
          <w:szCs w:val="20"/>
        </w:rPr>
        <w:t> </w:t>
      </w:r>
      <w:hyperlink r:id="rId49" w:tgtFrame="_new" w:history="1">
        <w:r w:rsidRPr="008B650B">
          <w:rPr>
            <w:rStyle w:val="Hyperlink"/>
            <w:rFonts w:ascii="Arial" w:eastAsiaTheme="majorEastAsia" w:hAnsi="Arial" w:cs="Arial"/>
            <w:sz w:val="20"/>
            <w:szCs w:val="20"/>
          </w:rPr>
          <w:t>https://study.com/academy/lesson/how-to-calculate-payoffs-to-option-positions.html</w:t>
        </w:r>
      </w:hyperlink>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(Accessed: 22 August 2024).</w:t>
      </w:r>
    </w:p>
    <w:p w14:paraId="47590BBC"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Tasty Live. (n.d.)</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Strike Price</w:t>
      </w:r>
      <w:r w:rsidRPr="008B650B">
        <w:rPr>
          <w:rFonts w:ascii="Arial" w:hAnsi="Arial" w:cs="Arial"/>
          <w:color w:val="000000"/>
          <w:sz w:val="20"/>
          <w:szCs w:val="20"/>
        </w:rPr>
        <w:t>. Available at:</w:t>
      </w:r>
      <w:r w:rsidRPr="008B650B">
        <w:rPr>
          <w:rStyle w:val="apple-converted-space"/>
          <w:rFonts w:ascii="Arial" w:eastAsiaTheme="majorEastAsia" w:hAnsi="Arial" w:cs="Arial"/>
          <w:color w:val="000000"/>
          <w:sz w:val="20"/>
          <w:szCs w:val="20"/>
        </w:rPr>
        <w:t> </w:t>
      </w:r>
      <w:hyperlink r:id="rId50" w:tgtFrame="_new" w:history="1">
        <w:r w:rsidRPr="008B650B">
          <w:rPr>
            <w:rStyle w:val="Hyperlink"/>
            <w:rFonts w:ascii="Arial" w:eastAsiaTheme="majorEastAsia" w:hAnsi="Arial" w:cs="Arial"/>
            <w:sz w:val="20"/>
            <w:szCs w:val="20"/>
          </w:rPr>
          <w:t>https://www.tastylive.com/concepts-strategies/strike-price</w:t>
        </w:r>
      </w:hyperlink>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(Accessed: 25 August 2024).</w:t>
      </w:r>
    </w:p>
    <w:p w14:paraId="3E23FBD8"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TradingEconomics.com (2024)</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United States Government Bond 10Y</w:t>
      </w:r>
      <w:r w:rsidRPr="008B650B">
        <w:rPr>
          <w:rFonts w:ascii="Arial" w:hAnsi="Arial" w:cs="Arial"/>
          <w:color w:val="000000"/>
          <w:sz w:val="20"/>
          <w:szCs w:val="20"/>
        </w:rPr>
        <w:t>. Available at:</w:t>
      </w:r>
      <w:r w:rsidRPr="008B650B">
        <w:rPr>
          <w:rStyle w:val="apple-converted-space"/>
          <w:rFonts w:ascii="Arial" w:eastAsiaTheme="majorEastAsia" w:hAnsi="Arial" w:cs="Arial"/>
          <w:color w:val="000000"/>
          <w:sz w:val="20"/>
          <w:szCs w:val="20"/>
        </w:rPr>
        <w:t> </w:t>
      </w:r>
      <w:hyperlink r:id="rId51" w:tgtFrame="_new" w:history="1">
        <w:r w:rsidRPr="008B650B">
          <w:rPr>
            <w:rStyle w:val="Hyperlink"/>
            <w:rFonts w:ascii="Arial" w:eastAsiaTheme="majorEastAsia" w:hAnsi="Arial" w:cs="Arial"/>
            <w:sz w:val="20"/>
            <w:szCs w:val="20"/>
          </w:rPr>
          <w:t>https://tradingeconomics.com/united-states/government-bond-yield</w:t>
        </w:r>
      </w:hyperlink>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(Accessed: 26 August 2024).</w:t>
      </w:r>
    </w:p>
    <w:p w14:paraId="0581716D"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U.S. Bank. (2024)</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Federal Reserve Tapering Asset Purchases: What Does It Mean?</w:t>
      </w:r>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Available at:</w:t>
      </w:r>
      <w:r w:rsidRPr="008B650B">
        <w:rPr>
          <w:rStyle w:val="apple-converted-space"/>
          <w:rFonts w:ascii="Arial" w:eastAsiaTheme="majorEastAsia" w:hAnsi="Arial" w:cs="Arial"/>
          <w:color w:val="000000"/>
          <w:sz w:val="20"/>
          <w:szCs w:val="20"/>
        </w:rPr>
        <w:t> </w:t>
      </w:r>
      <w:hyperlink r:id="rId52" w:tgtFrame="_new" w:history="1">
        <w:r w:rsidRPr="008B650B">
          <w:rPr>
            <w:rStyle w:val="Hyperlink"/>
            <w:rFonts w:ascii="Arial" w:eastAsiaTheme="majorEastAsia" w:hAnsi="Arial" w:cs="Arial"/>
            <w:sz w:val="20"/>
            <w:szCs w:val="20"/>
          </w:rPr>
          <w:t>https://www.usbank.com/investing/financial-perspectives/market-news/federal-reserve-tapering-asset-purchases.html</w:t>
        </w:r>
      </w:hyperlink>
      <w:r w:rsidRPr="008B650B">
        <w:rPr>
          <w:rFonts w:ascii="Arial" w:hAnsi="Arial" w:cs="Arial"/>
          <w:color w:val="000000"/>
          <w:sz w:val="20"/>
          <w:szCs w:val="20"/>
        </w:rPr>
        <w:t>(Accessed: 25 August 2024).</w:t>
      </w:r>
    </w:p>
    <w:p w14:paraId="51E921E9"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U.S. Bank. (n.d.)</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How Do Interest Rates Affect Bonds?</w:t>
      </w:r>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Available at:</w:t>
      </w:r>
      <w:r w:rsidRPr="008B650B">
        <w:rPr>
          <w:rStyle w:val="apple-converted-space"/>
          <w:rFonts w:ascii="Arial" w:eastAsiaTheme="majorEastAsia" w:hAnsi="Arial" w:cs="Arial"/>
          <w:color w:val="000000"/>
          <w:sz w:val="20"/>
          <w:szCs w:val="20"/>
        </w:rPr>
        <w:t> </w:t>
      </w:r>
      <w:hyperlink r:id="rId53" w:tgtFrame="_new" w:history="1">
        <w:r w:rsidRPr="008B650B">
          <w:rPr>
            <w:rStyle w:val="Hyperlink"/>
            <w:rFonts w:ascii="Arial" w:eastAsiaTheme="majorEastAsia" w:hAnsi="Arial" w:cs="Arial"/>
            <w:sz w:val="20"/>
            <w:szCs w:val="20"/>
          </w:rPr>
          <w:t>https://www.usbank.com/investing/financial-perspectives/market-news/interest-rates-affect-bonds.html</w:t>
        </w:r>
      </w:hyperlink>
      <w:r w:rsidRPr="008B650B">
        <w:rPr>
          <w:rStyle w:val="apple-converted-space"/>
          <w:rFonts w:ascii="Arial" w:eastAsiaTheme="majorEastAsia" w:hAnsi="Arial" w:cs="Arial"/>
          <w:color w:val="000000"/>
          <w:sz w:val="20"/>
          <w:szCs w:val="20"/>
        </w:rPr>
        <w:t> </w:t>
      </w:r>
      <w:r w:rsidRPr="008B650B">
        <w:rPr>
          <w:rFonts w:ascii="Arial" w:hAnsi="Arial" w:cs="Arial"/>
          <w:color w:val="000000"/>
          <w:sz w:val="20"/>
          <w:szCs w:val="20"/>
        </w:rPr>
        <w:t>(Accessed: 25 August 2024).</w:t>
      </w:r>
    </w:p>
    <w:p w14:paraId="77C6D423" w14:textId="77777777" w:rsidR="0069410F" w:rsidRPr="008B650B" w:rsidRDefault="0069410F" w:rsidP="0069410F">
      <w:pPr>
        <w:pStyle w:val="NormalWeb"/>
        <w:ind w:left="360"/>
        <w:rPr>
          <w:rFonts w:ascii="Arial" w:hAnsi="Arial" w:cs="Arial"/>
          <w:color w:val="000000"/>
          <w:sz w:val="20"/>
          <w:szCs w:val="20"/>
        </w:rPr>
      </w:pPr>
      <w:r w:rsidRPr="008B650B">
        <w:rPr>
          <w:rFonts w:ascii="Arial" w:hAnsi="Arial" w:cs="Arial"/>
          <w:color w:val="000000"/>
          <w:sz w:val="20"/>
          <w:szCs w:val="20"/>
        </w:rPr>
        <w:t>YCharts. (2024)</w:t>
      </w:r>
      <w:r w:rsidRPr="008B650B">
        <w:rPr>
          <w:rStyle w:val="apple-converted-space"/>
          <w:rFonts w:ascii="Arial" w:eastAsiaTheme="majorEastAsia" w:hAnsi="Arial" w:cs="Arial"/>
          <w:color w:val="000000"/>
          <w:sz w:val="20"/>
          <w:szCs w:val="20"/>
        </w:rPr>
        <w:t> </w:t>
      </w:r>
      <w:r w:rsidRPr="008B650B">
        <w:rPr>
          <w:rStyle w:val="Emphasis"/>
          <w:rFonts w:ascii="Arial" w:eastAsiaTheme="majorEastAsia" w:hAnsi="Arial" w:cs="Arial"/>
          <w:color w:val="000000"/>
          <w:sz w:val="20"/>
          <w:szCs w:val="20"/>
        </w:rPr>
        <w:t>10 Year Treasury Rate</w:t>
      </w:r>
      <w:r w:rsidRPr="008B650B">
        <w:rPr>
          <w:rFonts w:ascii="Arial" w:hAnsi="Arial" w:cs="Arial"/>
          <w:color w:val="000000"/>
          <w:sz w:val="20"/>
          <w:szCs w:val="20"/>
        </w:rPr>
        <w:t>. Available at:</w:t>
      </w:r>
      <w:r w:rsidRPr="008B650B">
        <w:rPr>
          <w:rStyle w:val="apple-converted-space"/>
          <w:rFonts w:ascii="Arial" w:eastAsiaTheme="majorEastAsia" w:hAnsi="Arial" w:cs="Arial"/>
          <w:color w:val="000000"/>
          <w:sz w:val="20"/>
          <w:szCs w:val="20"/>
        </w:rPr>
        <w:t> </w:t>
      </w:r>
      <w:hyperlink r:id="rId54" w:anchor=":~:text=10%20Year%20Treasury%20Rate%20is,day%20and%204.23%25%20last%20year" w:tgtFrame="_new" w:history="1">
        <w:r w:rsidRPr="008B650B">
          <w:rPr>
            <w:rStyle w:val="Hyperlink"/>
            <w:rFonts w:ascii="Arial" w:eastAsiaTheme="majorEastAsia" w:hAnsi="Arial" w:cs="Arial"/>
            <w:sz w:val="20"/>
            <w:szCs w:val="20"/>
          </w:rPr>
          <w:t>https://ycharts.com/indicators/10_year_treasury_rate#:~:text=10%20Year%20Treasury%20Rate%20is,day%20and%204.23%25%20last%20year</w:t>
        </w:r>
      </w:hyperlink>
      <w:r w:rsidRPr="008B650B">
        <w:rPr>
          <w:rFonts w:ascii="Arial" w:hAnsi="Arial" w:cs="Arial"/>
          <w:color w:val="000000"/>
          <w:sz w:val="20"/>
          <w:szCs w:val="20"/>
        </w:rPr>
        <w:t>(Accessed: 25 August 2024).</w:t>
      </w:r>
    </w:p>
    <w:p w14:paraId="21C54385" w14:textId="77777777" w:rsidR="0069410F" w:rsidRPr="008B650B" w:rsidRDefault="0069410F" w:rsidP="0069410F">
      <w:pPr>
        <w:spacing w:after="160" w:line="278" w:lineRule="auto"/>
        <w:jc w:val="both"/>
        <w:rPr>
          <w:rFonts w:ascii="Arial" w:eastAsiaTheme="minorEastAsia" w:hAnsi="Arial" w:cs="Arial"/>
          <w:sz w:val="20"/>
          <w:szCs w:val="20"/>
          <w:lang w:val="en-US"/>
        </w:rPr>
      </w:pPr>
    </w:p>
    <w:p w14:paraId="27BC0216" w14:textId="2AB5EA85" w:rsidR="0069410F" w:rsidRDefault="0069410F" w:rsidP="0069410F">
      <w:pPr>
        <w:pStyle w:val="Heading1"/>
        <w:rPr>
          <w:rFonts w:eastAsiaTheme="minorEastAsia"/>
          <w:lang w:val="en-US"/>
        </w:rPr>
      </w:pPr>
      <w:bookmarkStart w:id="16" w:name="_Toc175609890"/>
      <w:r>
        <w:rPr>
          <w:rFonts w:eastAsiaTheme="minorEastAsia"/>
          <w:lang w:val="en-US"/>
        </w:rPr>
        <w:t>APPENDIX</w:t>
      </w:r>
      <w:bookmarkEnd w:id="16"/>
      <w:r>
        <w:rPr>
          <w:rFonts w:eastAsiaTheme="minorEastAsia"/>
          <w:lang w:val="en-US"/>
        </w:rPr>
        <w:t xml:space="preserve"> </w:t>
      </w:r>
    </w:p>
    <w:p w14:paraId="53F5A56D" w14:textId="4F333579" w:rsidR="0069410F" w:rsidRDefault="0069410F" w:rsidP="0069410F">
      <w:pPr>
        <w:pStyle w:val="Caption"/>
        <w:keepNext/>
      </w:pPr>
      <w:r>
        <w:t xml:space="preserve">Figure </w:t>
      </w:r>
      <w:r>
        <w:fldChar w:fldCharType="begin"/>
      </w:r>
      <w:r>
        <w:instrText xml:space="preserve"> SEQ Figure \* ARABIC </w:instrText>
      </w:r>
      <w:r>
        <w:fldChar w:fldCharType="separate"/>
      </w:r>
      <w:r>
        <w:rPr>
          <w:noProof/>
        </w:rPr>
        <w:t>19</w:t>
      </w:r>
      <w:r>
        <w:fldChar w:fldCharType="end"/>
      </w:r>
      <w:r>
        <w:t xml:space="preserve"> Appendix Authors’ Calculations Excel (Source: Author)</w:t>
      </w:r>
    </w:p>
    <w:p w14:paraId="3BB326B6" w14:textId="68E7FD54" w:rsidR="0069410F" w:rsidRPr="008B650B" w:rsidRDefault="0069410F" w:rsidP="0069410F">
      <w:pPr>
        <w:spacing w:after="160" w:line="278" w:lineRule="auto"/>
        <w:rPr>
          <w:rFonts w:ascii="Arial" w:eastAsiaTheme="minorEastAsia" w:hAnsi="Arial" w:cs="Arial"/>
          <w:sz w:val="20"/>
          <w:szCs w:val="20"/>
          <w:lang w:val="en-US"/>
        </w:rPr>
      </w:pPr>
      <w:r>
        <w:rPr>
          <w:rFonts w:ascii="Arial" w:eastAsiaTheme="minorEastAsia" w:hAnsi="Arial" w:cs="Arial"/>
          <w:noProof/>
          <w:sz w:val="20"/>
          <w:szCs w:val="20"/>
          <w:lang w:val="en-US"/>
          <w14:ligatures w14:val="standardContextual"/>
        </w:rPr>
        <w:drawing>
          <wp:inline distT="0" distB="0" distL="0" distR="0" wp14:anchorId="26EE7621" wp14:editId="7E4A1A70">
            <wp:extent cx="5731510" cy="2668905"/>
            <wp:effectExtent l="0" t="0" r="0" b="0"/>
            <wp:docPr id="1456048107" name="Picture 22"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048107" name="Picture 22" descr="A screenshot of a spreadsheet&#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2668905"/>
                    </a:xfrm>
                    <a:prstGeom prst="rect">
                      <a:avLst/>
                    </a:prstGeom>
                  </pic:spPr>
                </pic:pic>
              </a:graphicData>
            </a:graphic>
          </wp:inline>
        </w:drawing>
      </w:r>
    </w:p>
    <w:p w14:paraId="72A8C561" w14:textId="77777777" w:rsidR="0069410F" w:rsidRPr="008B650B" w:rsidRDefault="0069410F" w:rsidP="0069410F">
      <w:pPr>
        <w:spacing w:after="160" w:line="278" w:lineRule="auto"/>
        <w:jc w:val="center"/>
        <w:rPr>
          <w:rFonts w:ascii="Arial" w:eastAsiaTheme="minorEastAsia" w:hAnsi="Arial" w:cs="Arial"/>
          <w:sz w:val="20"/>
          <w:szCs w:val="20"/>
          <w:lang w:val="en-US"/>
        </w:rPr>
      </w:pPr>
    </w:p>
    <w:p w14:paraId="4FA90DB4" w14:textId="77777777" w:rsidR="0069410F" w:rsidRPr="008B650B" w:rsidRDefault="0069410F" w:rsidP="0069410F">
      <w:pPr>
        <w:spacing w:after="160" w:line="278" w:lineRule="auto"/>
        <w:jc w:val="center"/>
        <w:rPr>
          <w:rFonts w:ascii="Arial" w:eastAsiaTheme="minorEastAsia" w:hAnsi="Arial" w:cs="Arial"/>
          <w:sz w:val="20"/>
          <w:szCs w:val="20"/>
          <w:lang w:val="en-US"/>
        </w:rPr>
      </w:pPr>
    </w:p>
    <w:p w14:paraId="237F88C9" w14:textId="77777777" w:rsidR="0069410F" w:rsidRPr="008B650B" w:rsidRDefault="0069410F" w:rsidP="0069410F">
      <w:pPr>
        <w:spacing w:after="160" w:line="278" w:lineRule="auto"/>
        <w:jc w:val="center"/>
        <w:rPr>
          <w:rFonts w:ascii="Arial" w:eastAsiaTheme="minorEastAsia" w:hAnsi="Arial" w:cs="Arial"/>
          <w:sz w:val="20"/>
          <w:szCs w:val="20"/>
          <w:lang w:val="en-US"/>
        </w:rPr>
      </w:pPr>
    </w:p>
    <w:p w14:paraId="6EAF4B0D" w14:textId="77777777" w:rsidR="0069410F" w:rsidRPr="008B650B" w:rsidRDefault="0069410F" w:rsidP="0069410F">
      <w:pPr>
        <w:rPr>
          <w:rFonts w:ascii="Arial" w:hAnsi="Arial" w:cs="Arial"/>
          <w:sz w:val="20"/>
          <w:szCs w:val="20"/>
        </w:rPr>
      </w:pPr>
    </w:p>
    <w:p w14:paraId="02F9C5BE" w14:textId="77777777" w:rsidR="00400A58" w:rsidRPr="00400A58" w:rsidRDefault="00400A58" w:rsidP="00E615F4">
      <w:pPr>
        <w:rPr>
          <w:rFonts w:ascii="Arial" w:hAnsi="Arial" w:cs="Arial"/>
          <w:color w:val="000000" w:themeColor="text1"/>
          <w:sz w:val="22"/>
          <w:szCs w:val="22"/>
        </w:rPr>
      </w:pPr>
    </w:p>
    <w:sectPr w:rsidR="00400A58" w:rsidRPr="00400A58">
      <w:footerReference w:type="even" r:id="rId56"/>
      <w:foot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B682B2" w14:textId="77777777" w:rsidR="0031520C" w:rsidRDefault="0031520C" w:rsidP="0069410F">
      <w:r>
        <w:separator/>
      </w:r>
    </w:p>
  </w:endnote>
  <w:endnote w:type="continuationSeparator" w:id="0">
    <w:p w14:paraId="05E4CCAC" w14:textId="77777777" w:rsidR="0031520C" w:rsidRDefault="0031520C" w:rsidP="00694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MT">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85589284"/>
      <w:docPartObj>
        <w:docPartGallery w:val="Page Numbers (Bottom of Page)"/>
        <w:docPartUnique/>
      </w:docPartObj>
    </w:sdtPr>
    <w:sdtContent>
      <w:p w14:paraId="329F8740" w14:textId="0177033F" w:rsidR="0069410F" w:rsidRDefault="0069410F" w:rsidP="004523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039CB4" w14:textId="77777777" w:rsidR="0069410F" w:rsidRDefault="0069410F" w:rsidP="0069410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15105513"/>
      <w:docPartObj>
        <w:docPartGallery w:val="Page Numbers (Bottom of Page)"/>
        <w:docPartUnique/>
      </w:docPartObj>
    </w:sdtPr>
    <w:sdtContent>
      <w:p w14:paraId="0794E29A" w14:textId="41AC1E90" w:rsidR="0069410F" w:rsidRDefault="0069410F" w:rsidP="004523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9E078F" w14:textId="77777777" w:rsidR="0069410F" w:rsidRDefault="0069410F" w:rsidP="0069410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D52EC4" w14:textId="77777777" w:rsidR="0031520C" w:rsidRDefault="0031520C" w:rsidP="0069410F">
      <w:r>
        <w:separator/>
      </w:r>
    </w:p>
  </w:footnote>
  <w:footnote w:type="continuationSeparator" w:id="0">
    <w:p w14:paraId="446865C1" w14:textId="77777777" w:rsidR="0031520C" w:rsidRDefault="0031520C" w:rsidP="006941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F7321"/>
    <w:multiLevelType w:val="hybridMultilevel"/>
    <w:tmpl w:val="309A0890"/>
    <w:lvl w:ilvl="0" w:tplc="8A8829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6C4257"/>
    <w:multiLevelType w:val="multilevel"/>
    <w:tmpl w:val="9CC26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AE6C9D"/>
    <w:multiLevelType w:val="hybridMultilevel"/>
    <w:tmpl w:val="6E36B0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900636"/>
    <w:multiLevelType w:val="multilevel"/>
    <w:tmpl w:val="102A6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5990B6E"/>
    <w:multiLevelType w:val="multilevel"/>
    <w:tmpl w:val="5C26B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6B767A3"/>
    <w:multiLevelType w:val="hybridMultilevel"/>
    <w:tmpl w:val="36001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DF2326"/>
    <w:multiLevelType w:val="multilevel"/>
    <w:tmpl w:val="466E4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35857EA"/>
    <w:multiLevelType w:val="hybridMultilevel"/>
    <w:tmpl w:val="F7C85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F561C9"/>
    <w:multiLevelType w:val="hybridMultilevel"/>
    <w:tmpl w:val="9892A46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3668650">
    <w:abstractNumId w:val="3"/>
  </w:num>
  <w:num w:numId="2" w16cid:durableId="2080665886">
    <w:abstractNumId w:val="4"/>
  </w:num>
  <w:num w:numId="3" w16cid:durableId="1039665385">
    <w:abstractNumId w:val="6"/>
  </w:num>
  <w:num w:numId="4" w16cid:durableId="1794865289">
    <w:abstractNumId w:val="1"/>
  </w:num>
  <w:num w:numId="5" w16cid:durableId="660818784">
    <w:abstractNumId w:val="7"/>
  </w:num>
  <w:num w:numId="6" w16cid:durableId="2143108605">
    <w:abstractNumId w:val="8"/>
  </w:num>
  <w:num w:numId="7" w16cid:durableId="767845838">
    <w:abstractNumId w:val="5"/>
  </w:num>
  <w:num w:numId="8" w16cid:durableId="1665935157">
    <w:abstractNumId w:val="0"/>
  </w:num>
  <w:num w:numId="9" w16cid:durableId="4528641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480"/>
    <w:rsid w:val="00051515"/>
    <w:rsid w:val="0005793A"/>
    <w:rsid w:val="00066283"/>
    <w:rsid w:val="000824B0"/>
    <w:rsid w:val="000C4357"/>
    <w:rsid w:val="000C7C00"/>
    <w:rsid w:val="00104F41"/>
    <w:rsid w:val="001902A0"/>
    <w:rsid w:val="001D4F54"/>
    <w:rsid w:val="001F2AE8"/>
    <w:rsid w:val="00206FF0"/>
    <w:rsid w:val="00217130"/>
    <w:rsid w:val="00217144"/>
    <w:rsid w:val="0022028C"/>
    <w:rsid w:val="0031520C"/>
    <w:rsid w:val="00341114"/>
    <w:rsid w:val="00357997"/>
    <w:rsid w:val="00363565"/>
    <w:rsid w:val="0036475A"/>
    <w:rsid w:val="00400A58"/>
    <w:rsid w:val="00417480"/>
    <w:rsid w:val="00433755"/>
    <w:rsid w:val="00460F94"/>
    <w:rsid w:val="00491ABD"/>
    <w:rsid w:val="00504A60"/>
    <w:rsid w:val="0050550C"/>
    <w:rsid w:val="00545968"/>
    <w:rsid w:val="005969E6"/>
    <w:rsid w:val="005F42A2"/>
    <w:rsid w:val="0061785E"/>
    <w:rsid w:val="00626425"/>
    <w:rsid w:val="00632357"/>
    <w:rsid w:val="0069410F"/>
    <w:rsid w:val="007739E4"/>
    <w:rsid w:val="007C124C"/>
    <w:rsid w:val="008A079C"/>
    <w:rsid w:val="00946F33"/>
    <w:rsid w:val="00977848"/>
    <w:rsid w:val="009A0C1F"/>
    <w:rsid w:val="009A45CE"/>
    <w:rsid w:val="009A4965"/>
    <w:rsid w:val="009B2DDF"/>
    <w:rsid w:val="009F34A6"/>
    <w:rsid w:val="00A46B49"/>
    <w:rsid w:val="00AB4C9C"/>
    <w:rsid w:val="00AC59E6"/>
    <w:rsid w:val="00AE6AF2"/>
    <w:rsid w:val="00B15B52"/>
    <w:rsid w:val="00B270F6"/>
    <w:rsid w:val="00B71692"/>
    <w:rsid w:val="00BC3BF0"/>
    <w:rsid w:val="00BF69F2"/>
    <w:rsid w:val="00C476B2"/>
    <w:rsid w:val="00C65564"/>
    <w:rsid w:val="00CC63E4"/>
    <w:rsid w:val="00D04829"/>
    <w:rsid w:val="00D10AEB"/>
    <w:rsid w:val="00DB7223"/>
    <w:rsid w:val="00E3003E"/>
    <w:rsid w:val="00E560D2"/>
    <w:rsid w:val="00E615F4"/>
    <w:rsid w:val="00E6685A"/>
    <w:rsid w:val="00F17F59"/>
    <w:rsid w:val="00F74ABD"/>
    <w:rsid w:val="00F95FCA"/>
    <w:rsid w:val="00FA3BCA"/>
    <w:rsid w:val="00FA5E78"/>
    <w:rsid w:val="00FB57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2DEDD"/>
  <w15:chartTrackingRefBased/>
  <w15:docId w15:val="{72F6571C-4262-DF44-900E-1FF14BDF1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A58"/>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1748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41748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41748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417480"/>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417480"/>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417480"/>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417480"/>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417480"/>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417480"/>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4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174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74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74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74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74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74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74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7480"/>
    <w:rPr>
      <w:rFonts w:eastAsiaTheme="majorEastAsia" w:cstheme="majorBidi"/>
      <w:color w:val="272727" w:themeColor="text1" w:themeTint="D8"/>
    </w:rPr>
  </w:style>
  <w:style w:type="paragraph" w:styleId="Title">
    <w:name w:val="Title"/>
    <w:basedOn w:val="Normal"/>
    <w:next w:val="Normal"/>
    <w:link w:val="TitleChar"/>
    <w:uiPriority w:val="10"/>
    <w:qFormat/>
    <w:rsid w:val="00417480"/>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4174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748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4174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7480"/>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417480"/>
    <w:rPr>
      <w:i/>
      <w:iCs/>
      <w:color w:val="404040" w:themeColor="text1" w:themeTint="BF"/>
    </w:rPr>
  </w:style>
  <w:style w:type="paragraph" w:styleId="ListParagraph">
    <w:name w:val="List Paragraph"/>
    <w:basedOn w:val="Normal"/>
    <w:uiPriority w:val="34"/>
    <w:qFormat/>
    <w:rsid w:val="00417480"/>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417480"/>
    <w:rPr>
      <w:i/>
      <w:iCs/>
      <w:color w:val="0F4761" w:themeColor="accent1" w:themeShade="BF"/>
    </w:rPr>
  </w:style>
  <w:style w:type="paragraph" w:styleId="IntenseQuote">
    <w:name w:val="Intense Quote"/>
    <w:basedOn w:val="Normal"/>
    <w:next w:val="Normal"/>
    <w:link w:val="IntenseQuoteChar"/>
    <w:uiPriority w:val="30"/>
    <w:qFormat/>
    <w:rsid w:val="0041748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417480"/>
    <w:rPr>
      <w:i/>
      <w:iCs/>
      <w:color w:val="0F4761" w:themeColor="accent1" w:themeShade="BF"/>
    </w:rPr>
  </w:style>
  <w:style w:type="character" w:styleId="IntenseReference">
    <w:name w:val="Intense Reference"/>
    <w:basedOn w:val="DefaultParagraphFont"/>
    <w:uiPriority w:val="32"/>
    <w:qFormat/>
    <w:rsid w:val="00417480"/>
    <w:rPr>
      <w:b/>
      <w:bCs/>
      <w:smallCaps/>
      <w:color w:val="0F4761" w:themeColor="accent1" w:themeShade="BF"/>
      <w:spacing w:val="5"/>
    </w:rPr>
  </w:style>
  <w:style w:type="paragraph" w:styleId="NormalWeb">
    <w:name w:val="Normal (Web)"/>
    <w:basedOn w:val="Normal"/>
    <w:uiPriority w:val="99"/>
    <w:unhideWhenUsed/>
    <w:rsid w:val="00400A58"/>
    <w:pPr>
      <w:spacing w:before="100" w:beforeAutospacing="1" w:after="100" w:afterAutospacing="1"/>
    </w:pPr>
  </w:style>
  <w:style w:type="table" w:styleId="TableGrid">
    <w:name w:val="Table Grid"/>
    <w:basedOn w:val="TableNormal"/>
    <w:uiPriority w:val="39"/>
    <w:rsid w:val="00400A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d">
    <w:name w:val="mord"/>
    <w:basedOn w:val="DefaultParagraphFont"/>
    <w:rsid w:val="00400A58"/>
  </w:style>
  <w:style w:type="character" w:customStyle="1" w:styleId="mrel">
    <w:name w:val="mrel"/>
    <w:basedOn w:val="DefaultParagraphFont"/>
    <w:rsid w:val="00400A58"/>
  </w:style>
  <w:style w:type="character" w:customStyle="1" w:styleId="delimsizing">
    <w:name w:val="delimsizing"/>
    <w:basedOn w:val="DefaultParagraphFont"/>
    <w:rsid w:val="00400A58"/>
  </w:style>
  <w:style w:type="character" w:customStyle="1" w:styleId="vlist-s">
    <w:name w:val="vlist-s"/>
    <w:basedOn w:val="DefaultParagraphFont"/>
    <w:rsid w:val="00400A58"/>
  </w:style>
  <w:style w:type="character" w:customStyle="1" w:styleId="mbin">
    <w:name w:val="mbin"/>
    <w:basedOn w:val="DefaultParagraphFont"/>
    <w:rsid w:val="00400A58"/>
  </w:style>
  <w:style w:type="character" w:styleId="PlaceholderText">
    <w:name w:val="Placeholder Text"/>
    <w:basedOn w:val="DefaultParagraphFont"/>
    <w:uiPriority w:val="99"/>
    <w:semiHidden/>
    <w:rsid w:val="00400A58"/>
    <w:rPr>
      <w:color w:val="666666"/>
    </w:rPr>
  </w:style>
  <w:style w:type="character" w:styleId="Strong">
    <w:name w:val="Strong"/>
    <w:basedOn w:val="DefaultParagraphFont"/>
    <w:uiPriority w:val="22"/>
    <w:qFormat/>
    <w:rsid w:val="00400A58"/>
    <w:rPr>
      <w:b/>
      <w:bCs/>
    </w:rPr>
  </w:style>
  <w:style w:type="character" w:customStyle="1" w:styleId="apple-converted-space">
    <w:name w:val="apple-converted-space"/>
    <w:basedOn w:val="DefaultParagraphFont"/>
    <w:rsid w:val="00400A58"/>
  </w:style>
  <w:style w:type="character" w:customStyle="1" w:styleId="katex-mathml">
    <w:name w:val="katex-mathml"/>
    <w:basedOn w:val="DefaultParagraphFont"/>
    <w:rsid w:val="00400A58"/>
  </w:style>
  <w:style w:type="paragraph" w:styleId="TOCHeading">
    <w:name w:val="TOC Heading"/>
    <w:basedOn w:val="Heading1"/>
    <w:next w:val="Normal"/>
    <w:uiPriority w:val="39"/>
    <w:unhideWhenUsed/>
    <w:qFormat/>
    <w:rsid w:val="0069410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9410F"/>
    <w:pPr>
      <w:pBdr>
        <w:between w:val="double" w:sz="6" w:space="0" w:color="auto"/>
      </w:pBdr>
      <w:spacing w:before="120" w:after="120"/>
      <w:jc w:val="center"/>
    </w:pPr>
    <w:rPr>
      <w:rFonts w:asciiTheme="minorHAnsi" w:hAnsiTheme="minorHAnsi"/>
      <w:b/>
      <w:bCs/>
      <w:i/>
      <w:iCs/>
    </w:rPr>
  </w:style>
  <w:style w:type="paragraph" w:styleId="TOC2">
    <w:name w:val="toc 2"/>
    <w:basedOn w:val="Normal"/>
    <w:next w:val="Normal"/>
    <w:autoRedefine/>
    <w:uiPriority w:val="39"/>
    <w:unhideWhenUsed/>
    <w:rsid w:val="0069410F"/>
    <w:pPr>
      <w:pBdr>
        <w:between w:val="double" w:sz="6" w:space="0" w:color="auto"/>
      </w:pBdr>
      <w:spacing w:before="120" w:after="120"/>
      <w:jc w:val="center"/>
    </w:pPr>
    <w:rPr>
      <w:rFonts w:asciiTheme="minorHAnsi" w:hAnsiTheme="minorHAnsi"/>
      <w:i/>
      <w:iCs/>
      <w:sz w:val="20"/>
      <w:szCs w:val="20"/>
    </w:rPr>
  </w:style>
  <w:style w:type="character" w:styleId="Hyperlink">
    <w:name w:val="Hyperlink"/>
    <w:basedOn w:val="DefaultParagraphFont"/>
    <w:uiPriority w:val="99"/>
    <w:unhideWhenUsed/>
    <w:rsid w:val="0069410F"/>
    <w:rPr>
      <w:color w:val="467886" w:themeColor="hyperlink"/>
      <w:u w:val="single"/>
    </w:rPr>
  </w:style>
  <w:style w:type="paragraph" w:styleId="TOC3">
    <w:name w:val="toc 3"/>
    <w:basedOn w:val="Normal"/>
    <w:next w:val="Normal"/>
    <w:autoRedefine/>
    <w:uiPriority w:val="39"/>
    <w:semiHidden/>
    <w:unhideWhenUsed/>
    <w:rsid w:val="0069410F"/>
    <w:pPr>
      <w:pBdr>
        <w:between w:val="double" w:sz="6" w:space="0" w:color="auto"/>
      </w:pBdr>
      <w:spacing w:before="120" w:after="120"/>
      <w:ind w:left="240"/>
      <w:jc w:val="center"/>
    </w:pPr>
    <w:rPr>
      <w:rFonts w:asciiTheme="minorHAnsi" w:hAnsiTheme="minorHAnsi"/>
      <w:sz w:val="20"/>
      <w:szCs w:val="20"/>
    </w:rPr>
  </w:style>
  <w:style w:type="paragraph" w:styleId="TOC4">
    <w:name w:val="toc 4"/>
    <w:basedOn w:val="Normal"/>
    <w:next w:val="Normal"/>
    <w:autoRedefine/>
    <w:uiPriority w:val="39"/>
    <w:semiHidden/>
    <w:unhideWhenUsed/>
    <w:rsid w:val="0069410F"/>
    <w:pPr>
      <w:pBdr>
        <w:between w:val="double" w:sz="6" w:space="0" w:color="auto"/>
      </w:pBdr>
      <w:spacing w:before="120" w:after="120"/>
      <w:ind w:left="480"/>
      <w:jc w:val="center"/>
    </w:pPr>
    <w:rPr>
      <w:rFonts w:asciiTheme="minorHAnsi" w:hAnsiTheme="minorHAnsi"/>
      <w:sz w:val="20"/>
      <w:szCs w:val="20"/>
    </w:rPr>
  </w:style>
  <w:style w:type="paragraph" w:styleId="TOC5">
    <w:name w:val="toc 5"/>
    <w:basedOn w:val="Normal"/>
    <w:next w:val="Normal"/>
    <w:autoRedefine/>
    <w:uiPriority w:val="39"/>
    <w:semiHidden/>
    <w:unhideWhenUsed/>
    <w:rsid w:val="0069410F"/>
    <w:pPr>
      <w:pBdr>
        <w:between w:val="double" w:sz="6" w:space="0" w:color="auto"/>
      </w:pBdr>
      <w:spacing w:before="120" w:after="120"/>
      <w:ind w:left="720"/>
      <w:jc w:val="center"/>
    </w:pPr>
    <w:rPr>
      <w:rFonts w:asciiTheme="minorHAnsi" w:hAnsiTheme="minorHAnsi"/>
      <w:sz w:val="20"/>
      <w:szCs w:val="20"/>
    </w:rPr>
  </w:style>
  <w:style w:type="paragraph" w:styleId="TOC6">
    <w:name w:val="toc 6"/>
    <w:basedOn w:val="Normal"/>
    <w:next w:val="Normal"/>
    <w:autoRedefine/>
    <w:uiPriority w:val="39"/>
    <w:semiHidden/>
    <w:unhideWhenUsed/>
    <w:rsid w:val="0069410F"/>
    <w:pPr>
      <w:pBdr>
        <w:between w:val="double" w:sz="6" w:space="0" w:color="auto"/>
      </w:pBdr>
      <w:spacing w:before="120" w:after="120"/>
      <w:ind w:left="960"/>
      <w:jc w:val="center"/>
    </w:pPr>
    <w:rPr>
      <w:rFonts w:asciiTheme="minorHAnsi" w:hAnsiTheme="minorHAnsi"/>
      <w:sz w:val="20"/>
      <w:szCs w:val="20"/>
    </w:rPr>
  </w:style>
  <w:style w:type="paragraph" w:styleId="TOC7">
    <w:name w:val="toc 7"/>
    <w:basedOn w:val="Normal"/>
    <w:next w:val="Normal"/>
    <w:autoRedefine/>
    <w:uiPriority w:val="39"/>
    <w:semiHidden/>
    <w:unhideWhenUsed/>
    <w:rsid w:val="0069410F"/>
    <w:pPr>
      <w:pBdr>
        <w:between w:val="double" w:sz="6" w:space="0" w:color="auto"/>
      </w:pBdr>
      <w:spacing w:before="120" w:after="120"/>
      <w:ind w:left="1200"/>
      <w:jc w:val="center"/>
    </w:pPr>
    <w:rPr>
      <w:rFonts w:asciiTheme="minorHAnsi" w:hAnsiTheme="minorHAnsi"/>
      <w:sz w:val="20"/>
      <w:szCs w:val="20"/>
    </w:rPr>
  </w:style>
  <w:style w:type="paragraph" w:styleId="TOC8">
    <w:name w:val="toc 8"/>
    <w:basedOn w:val="Normal"/>
    <w:next w:val="Normal"/>
    <w:autoRedefine/>
    <w:uiPriority w:val="39"/>
    <w:semiHidden/>
    <w:unhideWhenUsed/>
    <w:rsid w:val="0069410F"/>
    <w:pPr>
      <w:pBdr>
        <w:between w:val="double" w:sz="6" w:space="0" w:color="auto"/>
      </w:pBdr>
      <w:spacing w:before="120" w:after="120"/>
      <w:ind w:left="1440"/>
      <w:jc w:val="center"/>
    </w:pPr>
    <w:rPr>
      <w:rFonts w:asciiTheme="minorHAnsi" w:hAnsiTheme="minorHAnsi"/>
      <w:sz w:val="20"/>
      <w:szCs w:val="20"/>
    </w:rPr>
  </w:style>
  <w:style w:type="paragraph" w:styleId="TOC9">
    <w:name w:val="toc 9"/>
    <w:basedOn w:val="Normal"/>
    <w:next w:val="Normal"/>
    <w:autoRedefine/>
    <w:uiPriority w:val="39"/>
    <w:semiHidden/>
    <w:unhideWhenUsed/>
    <w:rsid w:val="0069410F"/>
    <w:pPr>
      <w:pBdr>
        <w:between w:val="double" w:sz="6" w:space="0" w:color="auto"/>
      </w:pBdr>
      <w:spacing w:before="120" w:after="120"/>
      <w:ind w:left="1680"/>
      <w:jc w:val="center"/>
    </w:pPr>
    <w:rPr>
      <w:rFonts w:asciiTheme="minorHAnsi" w:hAnsiTheme="minorHAnsi"/>
      <w:sz w:val="20"/>
      <w:szCs w:val="20"/>
    </w:rPr>
  </w:style>
  <w:style w:type="paragraph" w:styleId="Footer">
    <w:name w:val="footer"/>
    <w:basedOn w:val="Normal"/>
    <w:link w:val="FooterChar"/>
    <w:uiPriority w:val="99"/>
    <w:unhideWhenUsed/>
    <w:rsid w:val="0069410F"/>
    <w:pPr>
      <w:tabs>
        <w:tab w:val="center" w:pos="4513"/>
        <w:tab w:val="right" w:pos="9026"/>
      </w:tabs>
    </w:pPr>
  </w:style>
  <w:style w:type="character" w:customStyle="1" w:styleId="FooterChar">
    <w:name w:val="Footer Char"/>
    <w:basedOn w:val="DefaultParagraphFont"/>
    <w:link w:val="Footer"/>
    <w:uiPriority w:val="99"/>
    <w:rsid w:val="0069410F"/>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69410F"/>
  </w:style>
  <w:style w:type="paragraph" w:styleId="Caption">
    <w:name w:val="caption"/>
    <w:basedOn w:val="Normal"/>
    <w:next w:val="Normal"/>
    <w:uiPriority w:val="35"/>
    <w:unhideWhenUsed/>
    <w:qFormat/>
    <w:rsid w:val="0069410F"/>
    <w:pPr>
      <w:spacing w:after="200"/>
    </w:pPr>
    <w:rPr>
      <w:i/>
      <w:iCs/>
      <w:color w:val="0E2841" w:themeColor="text2"/>
      <w:sz w:val="18"/>
      <w:szCs w:val="18"/>
    </w:rPr>
  </w:style>
  <w:style w:type="character" w:styleId="Emphasis">
    <w:name w:val="Emphasis"/>
    <w:basedOn w:val="DefaultParagraphFont"/>
    <w:uiPriority w:val="20"/>
    <w:qFormat/>
    <w:rsid w:val="006941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915819">
      <w:bodyDiv w:val="1"/>
      <w:marLeft w:val="0"/>
      <w:marRight w:val="0"/>
      <w:marTop w:val="0"/>
      <w:marBottom w:val="0"/>
      <w:divBdr>
        <w:top w:val="none" w:sz="0" w:space="0" w:color="auto"/>
        <w:left w:val="none" w:sz="0" w:space="0" w:color="auto"/>
        <w:bottom w:val="none" w:sz="0" w:space="0" w:color="auto"/>
        <w:right w:val="none" w:sz="0" w:space="0" w:color="auto"/>
      </w:divBdr>
      <w:divsChild>
        <w:div w:id="1919753178">
          <w:marLeft w:val="0"/>
          <w:marRight w:val="0"/>
          <w:marTop w:val="0"/>
          <w:marBottom w:val="0"/>
          <w:divBdr>
            <w:top w:val="none" w:sz="0" w:space="0" w:color="auto"/>
            <w:left w:val="none" w:sz="0" w:space="0" w:color="auto"/>
            <w:bottom w:val="none" w:sz="0" w:space="0" w:color="auto"/>
            <w:right w:val="none" w:sz="0" w:space="0" w:color="auto"/>
          </w:divBdr>
          <w:divsChild>
            <w:div w:id="1404447273">
              <w:marLeft w:val="0"/>
              <w:marRight w:val="0"/>
              <w:marTop w:val="0"/>
              <w:marBottom w:val="0"/>
              <w:divBdr>
                <w:top w:val="none" w:sz="0" w:space="0" w:color="auto"/>
                <w:left w:val="none" w:sz="0" w:space="0" w:color="auto"/>
                <w:bottom w:val="none" w:sz="0" w:space="0" w:color="auto"/>
                <w:right w:val="none" w:sz="0" w:space="0" w:color="auto"/>
              </w:divBdr>
              <w:divsChild>
                <w:div w:id="185764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875852">
      <w:bodyDiv w:val="1"/>
      <w:marLeft w:val="0"/>
      <w:marRight w:val="0"/>
      <w:marTop w:val="0"/>
      <w:marBottom w:val="0"/>
      <w:divBdr>
        <w:top w:val="none" w:sz="0" w:space="0" w:color="auto"/>
        <w:left w:val="none" w:sz="0" w:space="0" w:color="auto"/>
        <w:bottom w:val="none" w:sz="0" w:space="0" w:color="auto"/>
        <w:right w:val="none" w:sz="0" w:space="0" w:color="auto"/>
      </w:divBdr>
    </w:div>
    <w:div w:id="244344427">
      <w:bodyDiv w:val="1"/>
      <w:marLeft w:val="0"/>
      <w:marRight w:val="0"/>
      <w:marTop w:val="0"/>
      <w:marBottom w:val="0"/>
      <w:divBdr>
        <w:top w:val="none" w:sz="0" w:space="0" w:color="auto"/>
        <w:left w:val="none" w:sz="0" w:space="0" w:color="auto"/>
        <w:bottom w:val="none" w:sz="0" w:space="0" w:color="auto"/>
        <w:right w:val="none" w:sz="0" w:space="0" w:color="auto"/>
      </w:divBdr>
    </w:div>
    <w:div w:id="299724371">
      <w:bodyDiv w:val="1"/>
      <w:marLeft w:val="0"/>
      <w:marRight w:val="0"/>
      <w:marTop w:val="0"/>
      <w:marBottom w:val="0"/>
      <w:divBdr>
        <w:top w:val="none" w:sz="0" w:space="0" w:color="auto"/>
        <w:left w:val="none" w:sz="0" w:space="0" w:color="auto"/>
        <w:bottom w:val="none" w:sz="0" w:space="0" w:color="auto"/>
        <w:right w:val="none" w:sz="0" w:space="0" w:color="auto"/>
      </w:divBdr>
    </w:div>
    <w:div w:id="367222168">
      <w:bodyDiv w:val="1"/>
      <w:marLeft w:val="0"/>
      <w:marRight w:val="0"/>
      <w:marTop w:val="0"/>
      <w:marBottom w:val="0"/>
      <w:divBdr>
        <w:top w:val="none" w:sz="0" w:space="0" w:color="auto"/>
        <w:left w:val="none" w:sz="0" w:space="0" w:color="auto"/>
        <w:bottom w:val="none" w:sz="0" w:space="0" w:color="auto"/>
        <w:right w:val="none" w:sz="0" w:space="0" w:color="auto"/>
      </w:divBdr>
    </w:div>
    <w:div w:id="734622873">
      <w:bodyDiv w:val="1"/>
      <w:marLeft w:val="0"/>
      <w:marRight w:val="0"/>
      <w:marTop w:val="0"/>
      <w:marBottom w:val="0"/>
      <w:divBdr>
        <w:top w:val="none" w:sz="0" w:space="0" w:color="auto"/>
        <w:left w:val="none" w:sz="0" w:space="0" w:color="auto"/>
        <w:bottom w:val="none" w:sz="0" w:space="0" w:color="auto"/>
        <w:right w:val="none" w:sz="0" w:space="0" w:color="auto"/>
      </w:divBdr>
    </w:div>
    <w:div w:id="828253775">
      <w:bodyDiv w:val="1"/>
      <w:marLeft w:val="0"/>
      <w:marRight w:val="0"/>
      <w:marTop w:val="0"/>
      <w:marBottom w:val="0"/>
      <w:divBdr>
        <w:top w:val="none" w:sz="0" w:space="0" w:color="auto"/>
        <w:left w:val="none" w:sz="0" w:space="0" w:color="auto"/>
        <w:bottom w:val="none" w:sz="0" w:space="0" w:color="auto"/>
        <w:right w:val="none" w:sz="0" w:space="0" w:color="auto"/>
      </w:divBdr>
    </w:div>
    <w:div w:id="835267077">
      <w:bodyDiv w:val="1"/>
      <w:marLeft w:val="0"/>
      <w:marRight w:val="0"/>
      <w:marTop w:val="0"/>
      <w:marBottom w:val="0"/>
      <w:divBdr>
        <w:top w:val="none" w:sz="0" w:space="0" w:color="auto"/>
        <w:left w:val="none" w:sz="0" w:space="0" w:color="auto"/>
        <w:bottom w:val="none" w:sz="0" w:space="0" w:color="auto"/>
        <w:right w:val="none" w:sz="0" w:space="0" w:color="auto"/>
      </w:divBdr>
    </w:div>
    <w:div w:id="860977864">
      <w:bodyDiv w:val="1"/>
      <w:marLeft w:val="0"/>
      <w:marRight w:val="0"/>
      <w:marTop w:val="0"/>
      <w:marBottom w:val="0"/>
      <w:divBdr>
        <w:top w:val="none" w:sz="0" w:space="0" w:color="auto"/>
        <w:left w:val="none" w:sz="0" w:space="0" w:color="auto"/>
        <w:bottom w:val="none" w:sz="0" w:space="0" w:color="auto"/>
        <w:right w:val="none" w:sz="0" w:space="0" w:color="auto"/>
      </w:divBdr>
    </w:div>
    <w:div w:id="997223053">
      <w:bodyDiv w:val="1"/>
      <w:marLeft w:val="0"/>
      <w:marRight w:val="0"/>
      <w:marTop w:val="0"/>
      <w:marBottom w:val="0"/>
      <w:divBdr>
        <w:top w:val="none" w:sz="0" w:space="0" w:color="auto"/>
        <w:left w:val="none" w:sz="0" w:space="0" w:color="auto"/>
        <w:bottom w:val="none" w:sz="0" w:space="0" w:color="auto"/>
        <w:right w:val="none" w:sz="0" w:space="0" w:color="auto"/>
      </w:divBdr>
    </w:div>
    <w:div w:id="1018775689">
      <w:bodyDiv w:val="1"/>
      <w:marLeft w:val="0"/>
      <w:marRight w:val="0"/>
      <w:marTop w:val="0"/>
      <w:marBottom w:val="0"/>
      <w:divBdr>
        <w:top w:val="none" w:sz="0" w:space="0" w:color="auto"/>
        <w:left w:val="none" w:sz="0" w:space="0" w:color="auto"/>
        <w:bottom w:val="none" w:sz="0" w:space="0" w:color="auto"/>
        <w:right w:val="none" w:sz="0" w:space="0" w:color="auto"/>
      </w:divBdr>
    </w:div>
    <w:div w:id="1026442037">
      <w:bodyDiv w:val="1"/>
      <w:marLeft w:val="0"/>
      <w:marRight w:val="0"/>
      <w:marTop w:val="0"/>
      <w:marBottom w:val="0"/>
      <w:divBdr>
        <w:top w:val="none" w:sz="0" w:space="0" w:color="auto"/>
        <w:left w:val="none" w:sz="0" w:space="0" w:color="auto"/>
        <w:bottom w:val="none" w:sz="0" w:space="0" w:color="auto"/>
        <w:right w:val="none" w:sz="0" w:space="0" w:color="auto"/>
      </w:divBdr>
    </w:div>
    <w:div w:id="1140197780">
      <w:bodyDiv w:val="1"/>
      <w:marLeft w:val="0"/>
      <w:marRight w:val="0"/>
      <w:marTop w:val="0"/>
      <w:marBottom w:val="0"/>
      <w:divBdr>
        <w:top w:val="none" w:sz="0" w:space="0" w:color="auto"/>
        <w:left w:val="none" w:sz="0" w:space="0" w:color="auto"/>
        <w:bottom w:val="none" w:sz="0" w:space="0" w:color="auto"/>
        <w:right w:val="none" w:sz="0" w:space="0" w:color="auto"/>
      </w:divBdr>
    </w:div>
    <w:div w:id="1148934834">
      <w:bodyDiv w:val="1"/>
      <w:marLeft w:val="0"/>
      <w:marRight w:val="0"/>
      <w:marTop w:val="0"/>
      <w:marBottom w:val="0"/>
      <w:divBdr>
        <w:top w:val="none" w:sz="0" w:space="0" w:color="auto"/>
        <w:left w:val="none" w:sz="0" w:space="0" w:color="auto"/>
        <w:bottom w:val="none" w:sz="0" w:space="0" w:color="auto"/>
        <w:right w:val="none" w:sz="0" w:space="0" w:color="auto"/>
      </w:divBdr>
    </w:div>
    <w:div w:id="1178618821">
      <w:bodyDiv w:val="1"/>
      <w:marLeft w:val="0"/>
      <w:marRight w:val="0"/>
      <w:marTop w:val="0"/>
      <w:marBottom w:val="0"/>
      <w:divBdr>
        <w:top w:val="none" w:sz="0" w:space="0" w:color="auto"/>
        <w:left w:val="none" w:sz="0" w:space="0" w:color="auto"/>
        <w:bottom w:val="none" w:sz="0" w:space="0" w:color="auto"/>
        <w:right w:val="none" w:sz="0" w:space="0" w:color="auto"/>
      </w:divBdr>
    </w:div>
    <w:div w:id="1288780872">
      <w:bodyDiv w:val="1"/>
      <w:marLeft w:val="0"/>
      <w:marRight w:val="0"/>
      <w:marTop w:val="0"/>
      <w:marBottom w:val="0"/>
      <w:divBdr>
        <w:top w:val="none" w:sz="0" w:space="0" w:color="auto"/>
        <w:left w:val="none" w:sz="0" w:space="0" w:color="auto"/>
        <w:bottom w:val="none" w:sz="0" w:space="0" w:color="auto"/>
        <w:right w:val="none" w:sz="0" w:space="0" w:color="auto"/>
      </w:divBdr>
    </w:div>
    <w:div w:id="1341349202">
      <w:bodyDiv w:val="1"/>
      <w:marLeft w:val="0"/>
      <w:marRight w:val="0"/>
      <w:marTop w:val="0"/>
      <w:marBottom w:val="0"/>
      <w:divBdr>
        <w:top w:val="none" w:sz="0" w:space="0" w:color="auto"/>
        <w:left w:val="none" w:sz="0" w:space="0" w:color="auto"/>
        <w:bottom w:val="none" w:sz="0" w:space="0" w:color="auto"/>
        <w:right w:val="none" w:sz="0" w:space="0" w:color="auto"/>
      </w:divBdr>
    </w:div>
    <w:div w:id="1376850931">
      <w:bodyDiv w:val="1"/>
      <w:marLeft w:val="0"/>
      <w:marRight w:val="0"/>
      <w:marTop w:val="0"/>
      <w:marBottom w:val="0"/>
      <w:divBdr>
        <w:top w:val="none" w:sz="0" w:space="0" w:color="auto"/>
        <w:left w:val="none" w:sz="0" w:space="0" w:color="auto"/>
        <w:bottom w:val="none" w:sz="0" w:space="0" w:color="auto"/>
        <w:right w:val="none" w:sz="0" w:space="0" w:color="auto"/>
      </w:divBdr>
    </w:div>
    <w:div w:id="1377120804">
      <w:bodyDiv w:val="1"/>
      <w:marLeft w:val="0"/>
      <w:marRight w:val="0"/>
      <w:marTop w:val="0"/>
      <w:marBottom w:val="0"/>
      <w:divBdr>
        <w:top w:val="none" w:sz="0" w:space="0" w:color="auto"/>
        <w:left w:val="none" w:sz="0" w:space="0" w:color="auto"/>
        <w:bottom w:val="none" w:sz="0" w:space="0" w:color="auto"/>
        <w:right w:val="none" w:sz="0" w:space="0" w:color="auto"/>
      </w:divBdr>
    </w:div>
    <w:div w:id="1530336261">
      <w:bodyDiv w:val="1"/>
      <w:marLeft w:val="0"/>
      <w:marRight w:val="0"/>
      <w:marTop w:val="0"/>
      <w:marBottom w:val="0"/>
      <w:divBdr>
        <w:top w:val="none" w:sz="0" w:space="0" w:color="auto"/>
        <w:left w:val="none" w:sz="0" w:space="0" w:color="auto"/>
        <w:bottom w:val="none" w:sz="0" w:space="0" w:color="auto"/>
        <w:right w:val="none" w:sz="0" w:space="0" w:color="auto"/>
      </w:divBdr>
    </w:div>
    <w:div w:id="1599875202">
      <w:bodyDiv w:val="1"/>
      <w:marLeft w:val="0"/>
      <w:marRight w:val="0"/>
      <w:marTop w:val="0"/>
      <w:marBottom w:val="0"/>
      <w:divBdr>
        <w:top w:val="none" w:sz="0" w:space="0" w:color="auto"/>
        <w:left w:val="none" w:sz="0" w:space="0" w:color="auto"/>
        <w:bottom w:val="none" w:sz="0" w:space="0" w:color="auto"/>
        <w:right w:val="none" w:sz="0" w:space="0" w:color="auto"/>
      </w:divBdr>
    </w:div>
    <w:div w:id="1654290256">
      <w:bodyDiv w:val="1"/>
      <w:marLeft w:val="0"/>
      <w:marRight w:val="0"/>
      <w:marTop w:val="0"/>
      <w:marBottom w:val="0"/>
      <w:divBdr>
        <w:top w:val="none" w:sz="0" w:space="0" w:color="auto"/>
        <w:left w:val="none" w:sz="0" w:space="0" w:color="auto"/>
        <w:bottom w:val="none" w:sz="0" w:space="0" w:color="auto"/>
        <w:right w:val="none" w:sz="0" w:space="0" w:color="auto"/>
      </w:divBdr>
      <w:divsChild>
        <w:div w:id="744572085">
          <w:marLeft w:val="0"/>
          <w:marRight w:val="0"/>
          <w:marTop w:val="0"/>
          <w:marBottom w:val="0"/>
          <w:divBdr>
            <w:top w:val="none" w:sz="0" w:space="0" w:color="auto"/>
            <w:left w:val="none" w:sz="0" w:space="0" w:color="auto"/>
            <w:bottom w:val="none" w:sz="0" w:space="0" w:color="auto"/>
            <w:right w:val="none" w:sz="0" w:space="0" w:color="auto"/>
          </w:divBdr>
          <w:divsChild>
            <w:div w:id="105009159">
              <w:marLeft w:val="0"/>
              <w:marRight w:val="0"/>
              <w:marTop w:val="0"/>
              <w:marBottom w:val="0"/>
              <w:divBdr>
                <w:top w:val="none" w:sz="0" w:space="0" w:color="auto"/>
                <w:left w:val="none" w:sz="0" w:space="0" w:color="auto"/>
                <w:bottom w:val="none" w:sz="0" w:space="0" w:color="auto"/>
                <w:right w:val="none" w:sz="0" w:space="0" w:color="auto"/>
              </w:divBdr>
              <w:divsChild>
                <w:div w:id="67287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180425">
      <w:bodyDiv w:val="1"/>
      <w:marLeft w:val="0"/>
      <w:marRight w:val="0"/>
      <w:marTop w:val="0"/>
      <w:marBottom w:val="0"/>
      <w:divBdr>
        <w:top w:val="none" w:sz="0" w:space="0" w:color="auto"/>
        <w:left w:val="none" w:sz="0" w:space="0" w:color="auto"/>
        <w:bottom w:val="none" w:sz="0" w:space="0" w:color="auto"/>
        <w:right w:val="none" w:sz="0" w:space="0" w:color="auto"/>
      </w:divBdr>
    </w:div>
    <w:div w:id="1922056513">
      <w:bodyDiv w:val="1"/>
      <w:marLeft w:val="0"/>
      <w:marRight w:val="0"/>
      <w:marTop w:val="0"/>
      <w:marBottom w:val="0"/>
      <w:divBdr>
        <w:top w:val="none" w:sz="0" w:space="0" w:color="auto"/>
        <w:left w:val="none" w:sz="0" w:space="0" w:color="auto"/>
        <w:bottom w:val="none" w:sz="0" w:space="0" w:color="auto"/>
        <w:right w:val="none" w:sz="0" w:space="0" w:color="auto"/>
      </w:divBdr>
    </w:div>
    <w:div w:id="1998413935">
      <w:bodyDiv w:val="1"/>
      <w:marLeft w:val="0"/>
      <w:marRight w:val="0"/>
      <w:marTop w:val="0"/>
      <w:marBottom w:val="0"/>
      <w:divBdr>
        <w:top w:val="none" w:sz="0" w:space="0" w:color="auto"/>
        <w:left w:val="none" w:sz="0" w:space="0" w:color="auto"/>
        <w:bottom w:val="none" w:sz="0" w:space="0" w:color="auto"/>
        <w:right w:val="none" w:sz="0" w:space="0" w:color="auto"/>
      </w:divBdr>
    </w:div>
    <w:div w:id="2053265632">
      <w:bodyDiv w:val="1"/>
      <w:marLeft w:val="0"/>
      <w:marRight w:val="0"/>
      <w:marTop w:val="0"/>
      <w:marBottom w:val="0"/>
      <w:divBdr>
        <w:top w:val="none" w:sz="0" w:space="0" w:color="auto"/>
        <w:left w:val="none" w:sz="0" w:space="0" w:color="auto"/>
        <w:bottom w:val="none" w:sz="0" w:space="0" w:color="auto"/>
        <w:right w:val="none" w:sz="0" w:space="0" w:color="auto"/>
      </w:divBdr>
    </w:div>
    <w:div w:id="2060662691">
      <w:bodyDiv w:val="1"/>
      <w:marLeft w:val="0"/>
      <w:marRight w:val="0"/>
      <w:marTop w:val="0"/>
      <w:marBottom w:val="0"/>
      <w:divBdr>
        <w:top w:val="none" w:sz="0" w:space="0" w:color="auto"/>
        <w:left w:val="none" w:sz="0" w:space="0" w:color="auto"/>
        <w:bottom w:val="none" w:sz="0" w:space="0" w:color="auto"/>
        <w:right w:val="none" w:sz="0" w:space="0" w:color="auto"/>
      </w:divBdr>
    </w:div>
    <w:div w:id="2089619867">
      <w:bodyDiv w:val="1"/>
      <w:marLeft w:val="0"/>
      <w:marRight w:val="0"/>
      <w:marTop w:val="0"/>
      <w:marBottom w:val="0"/>
      <w:divBdr>
        <w:top w:val="none" w:sz="0" w:space="0" w:color="auto"/>
        <w:left w:val="none" w:sz="0" w:space="0" w:color="auto"/>
        <w:bottom w:val="none" w:sz="0" w:space="0" w:color="auto"/>
        <w:right w:val="none" w:sz="0" w:space="0" w:color="auto"/>
      </w:divBdr>
    </w:div>
    <w:div w:id="209377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bankofengland.co.uk/explainers/will-inflation-in-the-uk-keep-rising" TargetMode="External"/><Relationship Id="rId39" Type="http://schemas.openxmlformats.org/officeDocument/2006/relationships/hyperlink" Target="https://www.justeattakeaway.com/download" TargetMode="External"/><Relationship Id="rId21" Type="http://schemas.openxmlformats.org/officeDocument/2006/relationships/image" Target="media/image14.png"/><Relationship Id="rId34" Type="http://schemas.openxmlformats.org/officeDocument/2006/relationships/hyperlink" Target="https://www.google.com/finance/quote/DASH:NASDAQ?sa=X&amp;ved=2ahUKEwiz5sCS6JKIAxXCgf0HHZwBENgQ3ecFegQIMxAf" TargetMode="External"/><Relationship Id="rId42" Type="http://schemas.openxmlformats.org/officeDocument/2006/relationships/hyperlink" Target="https://www.justeattakeaway.com/results-and-reports" TargetMode="External"/><Relationship Id="rId47" Type="http://schemas.openxmlformats.org/officeDocument/2006/relationships/hyperlink" Target="https://www.federalreserve.gov/newsevents/speech/powell20240823a.htm" TargetMode="External"/><Relationship Id="rId50" Type="http://schemas.openxmlformats.org/officeDocument/2006/relationships/hyperlink" Target="https://www.tastylive.com/concepts-strategies/strike-price" TargetMode="External"/><Relationship Id="rId55" Type="http://schemas.openxmlformats.org/officeDocument/2006/relationships/image" Target="media/image1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ecommercedb.com/insights/leading-companies-in-the-online-food-delivery-market-by-region/4464" TargetMode="External"/><Relationship Id="rId11" Type="http://schemas.openxmlformats.org/officeDocument/2006/relationships/image" Target="media/image4.png"/><Relationship Id="rId24" Type="http://schemas.openxmlformats.org/officeDocument/2006/relationships/hyperlink" Target="https://www.imf.org/en/Publications/fandd/issues/2022/03/Future-of-inflation-partI-Agarwal-kimball" TargetMode="External"/><Relationship Id="rId32" Type="http://schemas.openxmlformats.org/officeDocument/2006/relationships/hyperlink" Target="https://www.fnlondon.com/articles/lse-high-growth-segment-to-lose-only-listing-just-eat-30-04-2014-20140430" TargetMode="External"/><Relationship Id="rId37" Type="http://schemas.openxmlformats.org/officeDocument/2006/relationships/hyperlink" Target="https://www.imf.org/en/Publications/WEO" TargetMode="External"/><Relationship Id="rId40" Type="http://schemas.openxmlformats.org/officeDocument/2006/relationships/hyperlink" Target="https://www.justeattakeaway.com/newsroom/en-WW/211075-full-year-2021-results" TargetMode="External"/><Relationship Id="rId45" Type="http://schemas.openxmlformats.org/officeDocument/2006/relationships/hyperlink" Target="https://www.mordorintelligence.com/industry-reports/online-food-delivery-market" TargetMode="External"/><Relationship Id="rId53" Type="http://schemas.openxmlformats.org/officeDocument/2006/relationships/hyperlink" Target="https://www.usbank.com/investing/financial-perspectives/market-news/interest-rates-affect-bonds.html"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chegg.com/homework-help/questions-and-answers/price-specified-option-contract-holder-buy-sell-underlying-asset-called-4-t-premium-b-call-q37803823" TargetMode="External"/><Relationship Id="rId30" Type="http://schemas.openxmlformats.org/officeDocument/2006/relationships/hyperlink" Target="https://www.fidelity.com/learning-center/investment-products/options/options-strategy-guide/long-straddle" TargetMode="External"/><Relationship Id="rId35" Type="http://schemas.openxmlformats.org/officeDocument/2006/relationships/hyperlink" Target="https://www.grandviewresearch.com/industry-analysis/meal-kit-delivery-services-market" TargetMode="External"/><Relationship Id="rId43" Type="http://schemas.openxmlformats.org/officeDocument/2006/relationships/hyperlink" Target="https://www.marketingweek.com/just-eat-rise-marketing-spend/" TargetMode="External"/><Relationship Id="rId48" Type="http://schemas.openxmlformats.org/officeDocument/2006/relationships/hyperlink" Target="https://www.schwab.com/learn/story/calculate-sharpe-ratio-to-gauge-risk"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tradingeconomics.com/united-states/government-bond-yield"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bankofengland.co.uk/monetary-policy/quantitative-easing" TargetMode="External"/><Relationship Id="rId33" Type="http://schemas.openxmlformats.org/officeDocument/2006/relationships/hyperlink" Target="https://www.ft.com/content/565003f2-8350-11e3-86c9-00144feab7de" TargetMode="External"/><Relationship Id="rId38" Type="http://schemas.openxmlformats.org/officeDocument/2006/relationships/hyperlink" Target="https://epjpv.epj.org/articles/epjpv/abs/2023/01/pv230020/pv230020.html" TargetMode="External"/><Relationship Id="rId46" Type="http://schemas.openxmlformats.org/officeDocument/2006/relationships/hyperlink" Target="https://www.ncetm.org.uk/classroom-resources/primm-226-mean-average-and-equal-shares/" TargetMode="External"/><Relationship Id="rId59"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hyperlink" Target="https://www.justeattakeaway.com/about-us" TargetMode="External"/><Relationship Id="rId54" Type="http://schemas.openxmlformats.org/officeDocument/2006/relationships/hyperlink" Target="https://ycharts.com/indicators/10_year_treasury_rat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cmcmarkets.com/en-gb/trading-guides/treynor-ratio" TargetMode="External"/><Relationship Id="rId36" Type="http://schemas.openxmlformats.org/officeDocument/2006/relationships/hyperlink" Target="https://www.nytimes.com/2020/12/09/technology/doordash-ipo-stock.html" TargetMode="External"/><Relationship Id="rId49" Type="http://schemas.openxmlformats.org/officeDocument/2006/relationships/hyperlink" Target="https://study.com/academy/lesson/how-to-calculate-payoffs-to-option-positions.html" TargetMode="External"/><Relationship Id="rId57" Type="http://schemas.openxmlformats.org/officeDocument/2006/relationships/footer" Target="footer2.xml"/><Relationship Id="rId10" Type="http://schemas.openxmlformats.org/officeDocument/2006/relationships/image" Target="media/image3.png"/><Relationship Id="rId31" Type="http://schemas.openxmlformats.org/officeDocument/2006/relationships/hyperlink" Target="https://finbox.com/DB:T5W/explorer/total_rev_cagr_3y/" TargetMode="External"/><Relationship Id="rId44" Type="http://schemas.openxmlformats.org/officeDocument/2006/relationships/hyperlink" Target="https://marketchameleon.com/Overview/DASH/OptionChain/" TargetMode="External"/><Relationship Id="rId52" Type="http://schemas.openxmlformats.org/officeDocument/2006/relationships/hyperlink" Target="https://www.usbank.com/investing/financial-perspectives/market-news/federal-reserve-tapering-asset-purchas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D0F9D-80BB-4746-A1A2-F50A5C090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31</Pages>
  <Words>8044</Words>
  <Characters>45855</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Jandova (2020984)</dc:creator>
  <cp:keywords/>
  <dc:description/>
  <cp:lastModifiedBy>Marie Jandova (2020984)</cp:lastModifiedBy>
  <cp:revision>2</cp:revision>
  <dcterms:created xsi:type="dcterms:W3CDTF">2024-08-26T23:20:00Z</dcterms:created>
  <dcterms:modified xsi:type="dcterms:W3CDTF">2024-08-26T23:20:00Z</dcterms:modified>
</cp:coreProperties>
</file>