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4D52D" w14:textId="77777777" w:rsidR="00E26763" w:rsidRPr="00807B1D" w:rsidRDefault="00E26763" w:rsidP="00807B1D">
      <w:pPr>
        <w:spacing w:line="360" w:lineRule="auto"/>
        <w:rPr>
          <w:rFonts w:ascii="Arial" w:hAnsi="Arial" w:cs="Arial"/>
          <w:b/>
          <w:bCs/>
          <w:sz w:val="22"/>
          <w:szCs w:val="22"/>
        </w:rPr>
      </w:pPr>
    </w:p>
    <w:p w14:paraId="70C3FE77" w14:textId="66F8F385" w:rsidR="00E26763" w:rsidRPr="00807B1D" w:rsidRDefault="00E26763" w:rsidP="00807B1D">
      <w:pPr>
        <w:spacing w:line="360" w:lineRule="auto"/>
        <w:rPr>
          <w:rFonts w:ascii="Arial" w:hAnsi="Arial" w:cs="Arial"/>
          <w:sz w:val="22"/>
          <w:szCs w:val="22"/>
        </w:rPr>
      </w:pPr>
      <w:r w:rsidRPr="00807B1D">
        <w:rPr>
          <w:rFonts w:ascii="Arial" w:hAnsi="Arial" w:cs="Arial"/>
          <w:b/>
          <w:bCs/>
          <w:sz w:val="22"/>
          <w:szCs w:val="22"/>
        </w:rPr>
        <w:t>Title:</w:t>
      </w:r>
      <w:r w:rsidRPr="00807B1D">
        <w:rPr>
          <w:rFonts w:ascii="Arial" w:hAnsi="Arial" w:cs="Arial"/>
          <w:b/>
          <w:bCs/>
          <w:sz w:val="22"/>
          <w:szCs w:val="22"/>
        </w:rPr>
        <w:tab/>
      </w:r>
      <w:r w:rsidRPr="00807B1D">
        <w:rPr>
          <w:rFonts w:ascii="Arial" w:hAnsi="Arial" w:cs="Arial"/>
          <w:b/>
          <w:bCs/>
          <w:sz w:val="22"/>
          <w:szCs w:val="22"/>
        </w:rPr>
        <w:tab/>
      </w:r>
      <w:r w:rsidRPr="00807B1D">
        <w:rPr>
          <w:rFonts w:ascii="Arial" w:hAnsi="Arial" w:cs="Arial"/>
          <w:b/>
          <w:bCs/>
          <w:sz w:val="22"/>
          <w:szCs w:val="22"/>
        </w:rPr>
        <w:tab/>
      </w:r>
      <w:r w:rsidR="006C6BC2" w:rsidRPr="00807B1D">
        <w:rPr>
          <w:rFonts w:ascii="Arial" w:hAnsi="Arial" w:cs="Arial"/>
          <w:bCs/>
          <w:sz w:val="22"/>
          <w:szCs w:val="22"/>
        </w:rPr>
        <w:t>Reconstruction of Flood-Damaged Infrastructure</w:t>
      </w:r>
    </w:p>
    <w:p w14:paraId="12DE459D" w14:textId="4551DE25" w:rsidR="004B336E" w:rsidRPr="00807B1D" w:rsidRDefault="00D85521" w:rsidP="00807B1D">
      <w:pPr>
        <w:spacing w:line="360" w:lineRule="auto"/>
        <w:rPr>
          <w:rFonts w:ascii="Arial" w:hAnsi="Arial" w:cs="Arial"/>
          <w:b/>
          <w:bCs/>
          <w:sz w:val="22"/>
          <w:szCs w:val="22"/>
        </w:rPr>
      </w:pPr>
      <w:r w:rsidRPr="00807B1D">
        <w:rPr>
          <w:rFonts w:ascii="Arial" w:hAnsi="Arial" w:cs="Arial"/>
          <w:b/>
          <w:bCs/>
          <w:sz w:val="22"/>
          <w:szCs w:val="22"/>
        </w:rPr>
        <w:t>Student Name:</w:t>
      </w:r>
      <w:r w:rsidRPr="00807B1D">
        <w:rPr>
          <w:rFonts w:ascii="Arial" w:hAnsi="Arial" w:cs="Arial"/>
          <w:sz w:val="22"/>
          <w:szCs w:val="22"/>
        </w:rPr>
        <w:t xml:space="preserve"> </w:t>
      </w:r>
      <w:r w:rsidRPr="00807B1D">
        <w:rPr>
          <w:rFonts w:ascii="Arial" w:hAnsi="Arial" w:cs="Arial"/>
          <w:sz w:val="22"/>
          <w:szCs w:val="22"/>
        </w:rPr>
        <w:tab/>
        <w:t>Abdul Bashar</w:t>
      </w:r>
      <w:r w:rsidRPr="00807B1D">
        <w:rPr>
          <w:rFonts w:ascii="Arial" w:hAnsi="Arial" w:cs="Arial"/>
          <w:sz w:val="22"/>
          <w:szCs w:val="22"/>
        </w:rPr>
        <w:br/>
      </w:r>
      <w:r w:rsidRPr="00807B1D">
        <w:rPr>
          <w:rFonts w:ascii="Arial" w:hAnsi="Arial" w:cs="Arial"/>
          <w:b/>
          <w:bCs/>
          <w:sz w:val="22"/>
          <w:szCs w:val="22"/>
        </w:rPr>
        <w:t>Student Number:</w:t>
      </w:r>
      <w:r w:rsidRPr="00807B1D">
        <w:rPr>
          <w:rFonts w:ascii="Arial" w:hAnsi="Arial" w:cs="Arial"/>
          <w:sz w:val="22"/>
          <w:szCs w:val="22"/>
        </w:rPr>
        <w:t xml:space="preserve"> </w:t>
      </w:r>
      <w:r w:rsidRPr="00807B1D">
        <w:rPr>
          <w:rFonts w:ascii="Arial" w:hAnsi="Arial" w:cs="Arial"/>
          <w:sz w:val="22"/>
          <w:szCs w:val="22"/>
        </w:rPr>
        <w:tab/>
        <w:t>2407308</w:t>
      </w:r>
    </w:p>
    <w:p w14:paraId="5B9A3BFC" w14:textId="4E16554F" w:rsidR="004B336E" w:rsidRPr="00807B1D" w:rsidRDefault="004B336E" w:rsidP="00807B1D">
      <w:pPr>
        <w:spacing w:before="120" w:after="120" w:line="360" w:lineRule="auto"/>
        <w:rPr>
          <w:rFonts w:ascii="Arial" w:hAnsi="Arial" w:cs="Arial"/>
          <w:b/>
          <w:sz w:val="22"/>
          <w:szCs w:val="22"/>
        </w:rPr>
      </w:pPr>
      <w:r w:rsidRPr="00807B1D">
        <w:rPr>
          <w:rFonts w:ascii="Arial" w:eastAsia="Arial" w:hAnsi="Arial" w:cs="Arial"/>
          <w:b/>
          <w:sz w:val="22"/>
          <w:szCs w:val="22"/>
        </w:rPr>
        <w:t>Programme:</w:t>
      </w:r>
      <w:r w:rsidRPr="00807B1D">
        <w:rPr>
          <w:rFonts w:ascii="Arial" w:eastAsia="Arial" w:hAnsi="Arial" w:cs="Arial"/>
          <w:b/>
          <w:sz w:val="22"/>
          <w:szCs w:val="22"/>
        </w:rPr>
        <w:tab/>
      </w:r>
      <w:r w:rsidRPr="00807B1D">
        <w:rPr>
          <w:rFonts w:ascii="Arial" w:eastAsia="Arial" w:hAnsi="Arial" w:cs="Arial"/>
          <w:b/>
          <w:sz w:val="22"/>
          <w:szCs w:val="22"/>
        </w:rPr>
        <w:tab/>
      </w:r>
      <w:r w:rsidRPr="00807B1D">
        <w:rPr>
          <w:rFonts w:ascii="Arial" w:eastAsia="Arial" w:hAnsi="Arial" w:cs="Arial"/>
          <w:bCs/>
          <w:sz w:val="22"/>
          <w:szCs w:val="22"/>
        </w:rPr>
        <w:t>BA (Hons) Leadership and Management Skills in the Workplace</w:t>
      </w:r>
      <w:r w:rsidRPr="00807B1D">
        <w:rPr>
          <w:rFonts w:ascii="Arial" w:eastAsia="Arial" w:hAnsi="Arial" w:cs="Arial"/>
          <w:b/>
          <w:sz w:val="22"/>
          <w:szCs w:val="22"/>
        </w:rPr>
        <w:t xml:space="preserve"> </w:t>
      </w:r>
    </w:p>
    <w:p w14:paraId="35436668" w14:textId="45342976" w:rsidR="00D85521" w:rsidRPr="00807B1D" w:rsidRDefault="00D85521" w:rsidP="00807B1D">
      <w:pPr>
        <w:spacing w:line="360" w:lineRule="auto"/>
        <w:rPr>
          <w:rFonts w:ascii="Arial" w:hAnsi="Arial" w:cs="Arial"/>
          <w:sz w:val="22"/>
          <w:szCs w:val="22"/>
        </w:rPr>
      </w:pPr>
      <w:r w:rsidRPr="00807B1D">
        <w:rPr>
          <w:rFonts w:ascii="Arial" w:hAnsi="Arial" w:cs="Arial"/>
          <w:b/>
          <w:bCs/>
          <w:sz w:val="22"/>
          <w:szCs w:val="22"/>
        </w:rPr>
        <w:t>Module:</w:t>
      </w:r>
      <w:r w:rsidRPr="00807B1D">
        <w:rPr>
          <w:rFonts w:ascii="Arial" w:hAnsi="Arial" w:cs="Arial"/>
          <w:sz w:val="22"/>
          <w:szCs w:val="22"/>
        </w:rPr>
        <w:t xml:space="preserve"> </w:t>
      </w:r>
      <w:r w:rsidRPr="00807B1D">
        <w:rPr>
          <w:rFonts w:ascii="Arial" w:hAnsi="Arial" w:cs="Arial"/>
          <w:sz w:val="22"/>
          <w:szCs w:val="22"/>
        </w:rPr>
        <w:tab/>
      </w:r>
      <w:r w:rsidRPr="00807B1D">
        <w:rPr>
          <w:rFonts w:ascii="Arial" w:hAnsi="Arial" w:cs="Arial"/>
          <w:sz w:val="22"/>
          <w:szCs w:val="22"/>
        </w:rPr>
        <w:tab/>
      </w:r>
      <w:r w:rsidR="008A7819" w:rsidRPr="00807B1D">
        <w:rPr>
          <w:rFonts w:ascii="Arial" w:hAnsi="Arial" w:cs="Arial"/>
          <w:sz w:val="22"/>
          <w:szCs w:val="22"/>
        </w:rPr>
        <w:t xml:space="preserve">Project </w:t>
      </w:r>
      <w:r w:rsidR="004B336E" w:rsidRPr="00807B1D">
        <w:rPr>
          <w:rFonts w:ascii="Arial" w:hAnsi="Arial" w:cs="Arial"/>
          <w:sz w:val="22"/>
          <w:szCs w:val="22"/>
        </w:rPr>
        <w:t>Management</w:t>
      </w:r>
      <w:r w:rsidRPr="00807B1D">
        <w:rPr>
          <w:rFonts w:ascii="Arial" w:hAnsi="Arial" w:cs="Arial"/>
          <w:sz w:val="22"/>
          <w:szCs w:val="22"/>
        </w:rPr>
        <w:t xml:space="preserve"> (LCLM5003 </w:t>
      </w:r>
      <w:r w:rsidR="008A7819" w:rsidRPr="00807B1D">
        <w:rPr>
          <w:rFonts w:ascii="Arial" w:hAnsi="Arial" w:cs="Arial"/>
          <w:sz w:val="22"/>
          <w:szCs w:val="22"/>
        </w:rPr>
        <w:t>Portfolio</w:t>
      </w:r>
      <w:r w:rsidRPr="00807B1D">
        <w:rPr>
          <w:rFonts w:ascii="Arial" w:hAnsi="Arial" w:cs="Arial"/>
          <w:sz w:val="22"/>
          <w:szCs w:val="22"/>
        </w:rPr>
        <w:t>)</w:t>
      </w:r>
      <w:r w:rsidRPr="00807B1D">
        <w:rPr>
          <w:rFonts w:ascii="Arial" w:hAnsi="Arial" w:cs="Arial"/>
          <w:sz w:val="22"/>
          <w:szCs w:val="22"/>
        </w:rPr>
        <w:br/>
      </w:r>
      <w:r w:rsidRPr="00807B1D">
        <w:rPr>
          <w:rFonts w:ascii="Arial" w:hAnsi="Arial" w:cs="Arial"/>
          <w:b/>
          <w:bCs/>
          <w:sz w:val="22"/>
          <w:szCs w:val="22"/>
        </w:rPr>
        <w:t>Lecturer:</w:t>
      </w:r>
      <w:r w:rsidRPr="00807B1D">
        <w:rPr>
          <w:rFonts w:ascii="Arial" w:hAnsi="Arial" w:cs="Arial"/>
          <w:sz w:val="22"/>
          <w:szCs w:val="22"/>
        </w:rPr>
        <w:t xml:space="preserve"> </w:t>
      </w:r>
      <w:r w:rsidRPr="00807B1D">
        <w:rPr>
          <w:rFonts w:ascii="Arial" w:hAnsi="Arial" w:cs="Arial"/>
          <w:sz w:val="22"/>
          <w:szCs w:val="22"/>
        </w:rPr>
        <w:tab/>
      </w:r>
      <w:r w:rsidRPr="00807B1D">
        <w:rPr>
          <w:rFonts w:ascii="Arial" w:hAnsi="Arial" w:cs="Arial"/>
          <w:sz w:val="22"/>
          <w:szCs w:val="22"/>
        </w:rPr>
        <w:tab/>
      </w:r>
      <w:r w:rsidR="004B336E" w:rsidRPr="00807B1D">
        <w:rPr>
          <w:rFonts w:ascii="Arial" w:hAnsi="Arial" w:cs="Arial"/>
          <w:sz w:val="22"/>
          <w:szCs w:val="22"/>
        </w:rPr>
        <w:t>Dr Samson Ol</w:t>
      </w:r>
      <w:r w:rsidR="00683D08" w:rsidRPr="00807B1D">
        <w:rPr>
          <w:rFonts w:ascii="Arial" w:hAnsi="Arial" w:cs="Arial"/>
          <w:sz w:val="22"/>
          <w:szCs w:val="22"/>
        </w:rPr>
        <w:t>adejo</w:t>
      </w:r>
      <w:r w:rsidRPr="00807B1D">
        <w:rPr>
          <w:rFonts w:ascii="Arial" w:hAnsi="Arial" w:cs="Arial"/>
          <w:sz w:val="22"/>
          <w:szCs w:val="22"/>
        </w:rPr>
        <w:t xml:space="preserve"> </w:t>
      </w:r>
    </w:p>
    <w:p w14:paraId="75BC7081" w14:textId="720DE21F" w:rsidR="00D85521" w:rsidRPr="00807B1D" w:rsidRDefault="00D85521" w:rsidP="00807B1D">
      <w:pPr>
        <w:spacing w:line="360" w:lineRule="auto"/>
        <w:rPr>
          <w:rFonts w:ascii="Arial" w:hAnsi="Arial" w:cs="Arial"/>
          <w:sz w:val="22"/>
          <w:szCs w:val="22"/>
        </w:rPr>
      </w:pPr>
      <w:r w:rsidRPr="00807B1D">
        <w:rPr>
          <w:rFonts w:ascii="Arial" w:hAnsi="Arial" w:cs="Arial"/>
          <w:b/>
          <w:bCs/>
          <w:sz w:val="22"/>
          <w:szCs w:val="22"/>
        </w:rPr>
        <w:t>Submission Date:</w:t>
      </w:r>
      <w:r w:rsidRPr="00807B1D">
        <w:rPr>
          <w:rFonts w:ascii="Arial" w:hAnsi="Arial" w:cs="Arial"/>
          <w:sz w:val="22"/>
          <w:szCs w:val="22"/>
        </w:rPr>
        <w:t xml:space="preserve"> </w:t>
      </w:r>
      <w:r w:rsidRPr="00807B1D">
        <w:rPr>
          <w:rFonts w:ascii="Arial" w:hAnsi="Arial" w:cs="Arial"/>
          <w:sz w:val="22"/>
          <w:szCs w:val="22"/>
        </w:rPr>
        <w:tab/>
      </w:r>
      <w:r w:rsidR="008C6C88" w:rsidRPr="00807B1D">
        <w:rPr>
          <w:rFonts w:ascii="Arial" w:hAnsi="Arial" w:cs="Arial"/>
          <w:sz w:val="22"/>
          <w:szCs w:val="22"/>
        </w:rPr>
        <w:t>30</w:t>
      </w:r>
      <w:r w:rsidR="008C6C88" w:rsidRPr="00807B1D">
        <w:rPr>
          <w:rFonts w:ascii="Arial" w:hAnsi="Arial" w:cs="Arial"/>
          <w:sz w:val="22"/>
          <w:szCs w:val="22"/>
          <w:vertAlign w:val="superscript"/>
        </w:rPr>
        <w:t>Th</w:t>
      </w:r>
      <w:r w:rsidR="008C6C88" w:rsidRPr="00807B1D">
        <w:rPr>
          <w:rFonts w:ascii="Arial" w:hAnsi="Arial" w:cs="Arial"/>
          <w:sz w:val="22"/>
          <w:szCs w:val="22"/>
        </w:rPr>
        <w:t xml:space="preserve"> March 2026</w:t>
      </w:r>
      <w:r w:rsidR="005C3158">
        <w:rPr>
          <w:rFonts w:ascii="Arial" w:hAnsi="Arial" w:cs="Arial"/>
          <w:sz w:val="22"/>
          <w:szCs w:val="22"/>
        </w:rPr>
        <w:t xml:space="preserve"> final</w:t>
      </w:r>
    </w:p>
    <w:p w14:paraId="77C66E02" w14:textId="77777777" w:rsidR="008A0BC8" w:rsidRPr="00807B1D" w:rsidRDefault="008A0BC8" w:rsidP="00807B1D">
      <w:pPr>
        <w:spacing w:line="360" w:lineRule="auto"/>
        <w:rPr>
          <w:rFonts w:ascii="Arial" w:hAnsi="Arial" w:cs="Arial"/>
          <w:b/>
          <w:sz w:val="22"/>
          <w:szCs w:val="22"/>
        </w:rPr>
      </w:pPr>
    </w:p>
    <w:p w14:paraId="00C9B594" w14:textId="0EEEBC9C" w:rsidR="004E1A1C" w:rsidRPr="00807B1D" w:rsidRDefault="00E53358" w:rsidP="00807B1D">
      <w:pPr>
        <w:spacing w:line="360" w:lineRule="auto"/>
        <w:rPr>
          <w:rFonts w:ascii="Arial" w:hAnsi="Arial" w:cs="Arial"/>
          <w:b/>
          <w:sz w:val="22"/>
          <w:szCs w:val="22"/>
        </w:rPr>
      </w:pPr>
      <w:r w:rsidRPr="00807B1D">
        <w:rPr>
          <w:rFonts w:ascii="Arial" w:hAnsi="Arial" w:cs="Arial"/>
          <w:b/>
          <w:sz w:val="22"/>
          <w:szCs w:val="22"/>
        </w:rPr>
        <w:t>Part A</w:t>
      </w:r>
      <w:r w:rsidR="008A0BC8" w:rsidRPr="00807B1D">
        <w:rPr>
          <w:rFonts w:ascii="Arial" w:hAnsi="Arial" w:cs="Arial"/>
          <w:b/>
          <w:sz w:val="22"/>
          <w:szCs w:val="22"/>
        </w:rPr>
        <w:t>:</w:t>
      </w:r>
    </w:p>
    <w:p w14:paraId="4FDA24F6" w14:textId="3B211FB2" w:rsidR="00E53358" w:rsidRPr="00807B1D" w:rsidRDefault="004E1A1C" w:rsidP="00807B1D">
      <w:pPr>
        <w:spacing w:line="360" w:lineRule="auto"/>
        <w:rPr>
          <w:rFonts w:ascii="Arial" w:hAnsi="Arial" w:cs="Arial"/>
          <w:b/>
          <w:bCs/>
          <w:sz w:val="22"/>
          <w:szCs w:val="22"/>
        </w:rPr>
      </w:pPr>
      <w:r w:rsidRPr="00807B1D">
        <w:rPr>
          <w:rFonts w:ascii="Arial" w:hAnsi="Arial" w:cs="Arial"/>
          <w:bCs/>
          <w:sz w:val="22"/>
          <w:szCs w:val="22"/>
        </w:rPr>
        <w:t>Project Proposal Poster Reflection and Project Management Plan for the Reconstruction of Flood-Damaged Infrastructure in Worcester</w:t>
      </w:r>
    </w:p>
    <w:p w14:paraId="02BCB718" w14:textId="596B378B" w:rsidR="005C69F5" w:rsidRPr="00807B1D" w:rsidRDefault="005C69F5" w:rsidP="00807B1D">
      <w:pPr>
        <w:spacing w:line="360" w:lineRule="auto"/>
        <w:rPr>
          <w:rFonts w:ascii="Arial" w:hAnsi="Arial" w:cs="Arial"/>
          <w:bCs/>
          <w:sz w:val="22"/>
          <w:szCs w:val="22"/>
        </w:rPr>
      </w:pPr>
      <w:r w:rsidRPr="00807B1D">
        <w:rPr>
          <w:rFonts w:ascii="Arial" w:hAnsi="Arial" w:cs="Arial"/>
          <w:bCs/>
          <w:noProof/>
          <w:sz w:val="22"/>
          <w:szCs w:val="22"/>
        </w:rPr>
        <w:drawing>
          <wp:inline distT="0" distB="0" distL="0" distR="0" wp14:anchorId="09F7CE94" wp14:editId="4F038F8B">
            <wp:extent cx="6845935" cy="4367174"/>
            <wp:effectExtent l="0" t="0" r="0" b="0"/>
            <wp:docPr id="1164610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77632" cy="4387394"/>
                    </a:xfrm>
                    <a:prstGeom prst="rect">
                      <a:avLst/>
                    </a:prstGeom>
                    <a:noFill/>
                    <a:ln>
                      <a:noFill/>
                    </a:ln>
                  </pic:spPr>
                </pic:pic>
              </a:graphicData>
            </a:graphic>
          </wp:inline>
        </w:drawing>
      </w:r>
    </w:p>
    <w:p w14:paraId="3A8D3B7C" w14:textId="77777777" w:rsidR="00084B93" w:rsidRPr="00807B1D" w:rsidRDefault="00084B93" w:rsidP="00807B1D">
      <w:pPr>
        <w:spacing w:line="360" w:lineRule="auto"/>
        <w:rPr>
          <w:rFonts w:ascii="Arial" w:hAnsi="Arial" w:cs="Arial"/>
          <w:bCs/>
          <w:sz w:val="22"/>
          <w:szCs w:val="22"/>
        </w:rPr>
      </w:pPr>
    </w:p>
    <w:p w14:paraId="3D75DCE3" w14:textId="77777777" w:rsidR="00891B2F" w:rsidRPr="00807B1D" w:rsidRDefault="00891B2F" w:rsidP="00807B1D">
      <w:pPr>
        <w:spacing w:line="360" w:lineRule="auto"/>
        <w:rPr>
          <w:rFonts w:ascii="Arial" w:hAnsi="Arial" w:cs="Arial"/>
          <w:b/>
          <w:bCs/>
          <w:sz w:val="22"/>
          <w:szCs w:val="22"/>
        </w:rPr>
      </w:pPr>
    </w:p>
    <w:p w14:paraId="5A4235E9" w14:textId="77777777" w:rsidR="00891B2F" w:rsidRPr="00807B1D" w:rsidRDefault="00891B2F" w:rsidP="00807B1D">
      <w:pPr>
        <w:spacing w:line="360" w:lineRule="auto"/>
        <w:rPr>
          <w:rFonts w:ascii="Arial" w:hAnsi="Arial" w:cs="Arial"/>
          <w:b/>
          <w:bCs/>
          <w:sz w:val="22"/>
          <w:szCs w:val="22"/>
        </w:rPr>
      </w:pPr>
    </w:p>
    <w:p w14:paraId="401812A6" w14:textId="77777777" w:rsidR="00807B1D" w:rsidRDefault="00807B1D" w:rsidP="00807B1D">
      <w:pPr>
        <w:spacing w:line="360" w:lineRule="auto"/>
        <w:rPr>
          <w:rFonts w:ascii="Arial" w:hAnsi="Arial" w:cs="Arial"/>
          <w:b/>
          <w:bCs/>
          <w:sz w:val="22"/>
          <w:szCs w:val="22"/>
        </w:rPr>
      </w:pPr>
    </w:p>
    <w:p w14:paraId="05385258" w14:textId="5B0DEBB3" w:rsidR="00E53358" w:rsidRPr="00807B1D" w:rsidRDefault="00E53358" w:rsidP="00807B1D">
      <w:pPr>
        <w:spacing w:line="360" w:lineRule="auto"/>
        <w:rPr>
          <w:rFonts w:ascii="Arial" w:hAnsi="Arial" w:cs="Arial"/>
          <w:sz w:val="22"/>
          <w:szCs w:val="22"/>
        </w:rPr>
      </w:pPr>
      <w:r w:rsidRPr="00807B1D">
        <w:rPr>
          <w:rFonts w:ascii="Arial" w:hAnsi="Arial" w:cs="Arial"/>
          <w:b/>
          <w:bCs/>
          <w:sz w:val="22"/>
          <w:szCs w:val="22"/>
        </w:rPr>
        <w:t>Part B – Reflection on Feedback from Lecturer and Peers</w:t>
      </w:r>
    </w:p>
    <w:p w14:paraId="29177ED1" w14:textId="77777777" w:rsidR="005C3158" w:rsidRPr="005C3158" w:rsidRDefault="005C3158" w:rsidP="005C3158">
      <w:pPr>
        <w:spacing w:line="360" w:lineRule="auto"/>
        <w:jc w:val="both"/>
        <w:rPr>
          <w:rFonts w:ascii="Arial" w:hAnsi="Arial" w:cs="Arial"/>
          <w:sz w:val="22"/>
          <w:szCs w:val="22"/>
        </w:rPr>
      </w:pPr>
      <w:r w:rsidRPr="005C3158">
        <w:rPr>
          <w:rFonts w:ascii="Arial" w:hAnsi="Arial" w:cs="Arial"/>
          <w:sz w:val="22"/>
          <w:szCs w:val="22"/>
        </w:rPr>
        <w:t xml:space="preserve">The poster presentation provided an opportunity to communicate a project proposal on the reconstruction of flood-damaged local infrastructure and to receive feedback from both the lecturer and peers. Delivering the presentation fourth, after observing several earlier presenters, was particularly useful because it highlighted different ways of structuring a poster, sequencing information, and engaging an audience. This helped reinforce an important lesson from the module: project success depends not only on technical planning, but also on the ability to communicate information clearly and professionally. In project environments, communication is central to stakeholder understanding and decision-making, and ineffective presentation can weaken even a well-developed proposal. </w:t>
      </w:r>
    </w:p>
    <w:p w14:paraId="0568D047" w14:textId="77777777" w:rsidR="005C3158" w:rsidRPr="005C3158" w:rsidRDefault="005C3158" w:rsidP="005C3158">
      <w:pPr>
        <w:spacing w:line="360" w:lineRule="auto"/>
        <w:jc w:val="both"/>
        <w:rPr>
          <w:rFonts w:ascii="Arial" w:hAnsi="Arial" w:cs="Arial"/>
          <w:sz w:val="22"/>
          <w:szCs w:val="22"/>
        </w:rPr>
      </w:pPr>
      <w:r w:rsidRPr="005C3158">
        <w:rPr>
          <w:rFonts w:ascii="Arial" w:hAnsi="Arial" w:cs="Arial"/>
          <w:sz w:val="22"/>
          <w:szCs w:val="22"/>
        </w:rPr>
        <w:t>This reflection can be considered critically through a PEEL approach. The main point is that the module developed my understanding that effective project management involves both sound content and effective communication. Evidence for this came from the feedback, which indicated that the proposal itself was logically structured and academically strong, while also identifying weaknesses in the visual presentation, particularly in the stakeholder and timeline sections. This can be explained by the fact that project information is often communicated through concise visual tools such as timelines, diagrams, and summaries, which must be accessible to a range of stakeholders. Guidance on academic posters also stresses the importance of hierarchy, layout, and visual flow in helping audiences understand key ideas quickly. The link here is that I learned poster design is not an optional final step, but part of the project communication process itself.</w:t>
      </w:r>
    </w:p>
    <w:p w14:paraId="210AD7B0" w14:textId="77777777" w:rsidR="005C3158" w:rsidRPr="005C3158" w:rsidRDefault="005C3158" w:rsidP="005C3158">
      <w:pPr>
        <w:spacing w:line="360" w:lineRule="auto"/>
        <w:jc w:val="both"/>
        <w:rPr>
          <w:rFonts w:ascii="Arial" w:hAnsi="Arial" w:cs="Arial"/>
          <w:sz w:val="22"/>
          <w:szCs w:val="22"/>
        </w:rPr>
      </w:pPr>
      <w:r w:rsidRPr="005C3158">
        <w:rPr>
          <w:rFonts w:ascii="Arial" w:hAnsi="Arial" w:cs="Arial"/>
          <w:sz w:val="22"/>
          <w:szCs w:val="22"/>
        </w:rPr>
        <w:t xml:space="preserve">Gibbs’ Reflective Cycle provides a useful framework for evaluating this experience through the stages of description, feelings, evaluation, analysis, conclusion, and action planning. The model was first published in </w:t>
      </w:r>
      <w:r w:rsidRPr="005C3158">
        <w:rPr>
          <w:rFonts w:ascii="Arial" w:hAnsi="Arial" w:cs="Arial"/>
          <w:i/>
          <w:iCs/>
          <w:sz w:val="22"/>
          <w:szCs w:val="22"/>
        </w:rPr>
        <w:t>Learning by Doing</w:t>
      </w:r>
      <w:r w:rsidRPr="005C3158">
        <w:rPr>
          <w:rFonts w:ascii="Arial" w:hAnsi="Arial" w:cs="Arial"/>
          <w:sz w:val="22"/>
          <w:szCs w:val="22"/>
        </w:rPr>
        <w:t xml:space="preserve"> and remains widely used in higher education reflective practice. At the description stage, I used the poster to present the project scope, stakeholder involvement, and timeline in a structured format. Canva was used to design the poster, which was a new experience for me in an academic setting. This showed that the module was not only developing my understanding of project planning concepts, but also my ability to use digital tools to communicate those ideas effectively.</w:t>
      </w:r>
    </w:p>
    <w:p w14:paraId="38012EA4" w14:textId="77777777" w:rsidR="005C3158" w:rsidRPr="005C3158" w:rsidRDefault="005C3158" w:rsidP="005C3158">
      <w:pPr>
        <w:spacing w:line="360" w:lineRule="auto"/>
        <w:jc w:val="both"/>
        <w:rPr>
          <w:rFonts w:ascii="Arial" w:hAnsi="Arial" w:cs="Arial"/>
          <w:sz w:val="22"/>
          <w:szCs w:val="22"/>
        </w:rPr>
      </w:pPr>
      <w:r w:rsidRPr="005C3158">
        <w:rPr>
          <w:rFonts w:ascii="Arial" w:hAnsi="Arial" w:cs="Arial"/>
          <w:sz w:val="22"/>
          <w:szCs w:val="22"/>
        </w:rPr>
        <w:t xml:space="preserve">At the feelings stage, I felt reasonably prepared before presenting, and my confidence increased during the delivery because I was able to explain the proposal clearly and maintain audience engagement through eye contact and clear speech. Feedback from classmates suggested that the proposal was easy to follow and that the key ideas had been communicated effectively. This demonstrated personal development in my confidence, verbal communication, and ability to present under pressure. These are valuable skills not only in academic work but also in professional project settings, where ideas often need to be explained clearly to clients, colleagues, and stakeholders. </w:t>
      </w:r>
    </w:p>
    <w:p w14:paraId="1BD5BB23" w14:textId="77777777" w:rsidR="003C272E" w:rsidRDefault="005C3158" w:rsidP="005C3158">
      <w:pPr>
        <w:spacing w:line="360" w:lineRule="auto"/>
        <w:jc w:val="both"/>
        <w:rPr>
          <w:rFonts w:ascii="Arial" w:hAnsi="Arial" w:cs="Arial"/>
          <w:sz w:val="22"/>
          <w:szCs w:val="22"/>
        </w:rPr>
      </w:pPr>
      <w:r w:rsidRPr="005C3158">
        <w:rPr>
          <w:rFonts w:ascii="Arial" w:hAnsi="Arial" w:cs="Arial"/>
          <w:sz w:val="22"/>
          <w:szCs w:val="22"/>
        </w:rPr>
        <w:t xml:space="preserve">The evaluation stage revealed both strengths and areas for improvement. A key strength was the academic quality and organisation of the project proposal, which the lecturer described as strong and logically structured. However, the stakeholder section lacked a clear visual illustration, the text boxes could have been aligned more </w:t>
      </w:r>
    </w:p>
    <w:p w14:paraId="475AFB58" w14:textId="77777777" w:rsidR="003C272E" w:rsidRDefault="003C272E" w:rsidP="005C3158">
      <w:pPr>
        <w:spacing w:line="360" w:lineRule="auto"/>
        <w:jc w:val="both"/>
        <w:rPr>
          <w:rFonts w:ascii="Arial" w:hAnsi="Arial" w:cs="Arial"/>
          <w:sz w:val="22"/>
          <w:szCs w:val="22"/>
        </w:rPr>
      </w:pPr>
    </w:p>
    <w:p w14:paraId="206709CB" w14:textId="7178EE4D" w:rsidR="005C3158" w:rsidRPr="005C3158" w:rsidRDefault="005C3158" w:rsidP="005C3158">
      <w:pPr>
        <w:spacing w:line="360" w:lineRule="auto"/>
        <w:jc w:val="both"/>
        <w:rPr>
          <w:rFonts w:ascii="Arial" w:hAnsi="Arial" w:cs="Arial"/>
          <w:sz w:val="22"/>
          <w:szCs w:val="22"/>
        </w:rPr>
      </w:pPr>
      <w:r w:rsidRPr="005C3158">
        <w:rPr>
          <w:rFonts w:ascii="Arial" w:hAnsi="Arial" w:cs="Arial"/>
          <w:sz w:val="22"/>
          <w:szCs w:val="22"/>
        </w:rPr>
        <w:t xml:space="preserve">effectively, and the Gantt chart required clearer time markers. This feedback was important because it showed me that strong content alone is not enough if visual communication reduces clarity or impact. One of the most valuable lessons from the module, therefore, was that project planning tools must be understandable as well as accurate. This is especially relevant in project management, where stakeholders may rely on brief visual summaries rather than detailed written explanations. </w:t>
      </w:r>
    </w:p>
    <w:p w14:paraId="2BEF7DC6" w14:textId="77777777" w:rsidR="005C3158" w:rsidRPr="005C3158" w:rsidRDefault="005C3158" w:rsidP="005C3158">
      <w:pPr>
        <w:spacing w:line="360" w:lineRule="auto"/>
        <w:jc w:val="both"/>
        <w:rPr>
          <w:rFonts w:ascii="Arial" w:hAnsi="Arial" w:cs="Arial"/>
          <w:sz w:val="22"/>
          <w:szCs w:val="22"/>
        </w:rPr>
      </w:pPr>
      <w:r w:rsidRPr="005C3158">
        <w:rPr>
          <w:rFonts w:ascii="Arial" w:hAnsi="Arial" w:cs="Arial"/>
          <w:sz w:val="22"/>
          <w:szCs w:val="22"/>
        </w:rPr>
        <w:t>The analysis stage deepened my understanding of how this experience contributed to my development. Kolb’s Experiential Learning Cycle argues that learning is created through the transformation of experience and moves through concrete experience, reflective observation, abstract conceptualisation, and active experimentation. This model helps explain my learning from the presentation. Delivering the poster was the concrete experience, receiving feedback encouraged reflective observation, identifying weaknesses in visual communication led to conceptual understanding, and planning improvements for future work represents active experimentation. Through this process, I learned that project management is not only about designing a feasible proposal but also about presenting it in a way that supports stakeholder engagement, credibility, and informed decision-making. Professionally, this has strengthened my awareness of the communication demands of project roles. Personally, it has increased my confidence in presenting my ideas, responding to feedback, and improving my work through reflection.</w:t>
      </w:r>
    </w:p>
    <w:p w14:paraId="1B12F8FB" w14:textId="08D127DF" w:rsidR="000C2414" w:rsidRDefault="005C3158" w:rsidP="005C3158">
      <w:pPr>
        <w:spacing w:line="360" w:lineRule="auto"/>
        <w:jc w:val="both"/>
        <w:rPr>
          <w:rFonts w:ascii="Arial" w:hAnsi="Arial" w:cs="Arial"/>
          <w:sz w:val="22"/>
          <w:szCs w:val="22"/>
        </w:rPr>
      </w:pPr>
      <w:r w:rsidRPr="005C3158">
        <w:rPr>
          <w:rFonts w:ascii="Arial" w:hAnsi="Arial" w:cs="Arial"/>
          <w:sz w:val="22"/>
          <w:szCs w:val="22"/>
        </w:rPr>
        <w:t>In conclusion, this presentation showed that the module has contributed to both my academic learning and my broader professional development. I developed a clearer understanding of the relationship between project content, stakeholder communication, and visual presentation. I also improved my confidence, presentation skills, and ability to reflect critically on feedback. In future presentations, I will apply design principles such as alignment, balance, and visual hierarchy from the early planning stage rather than treating them as final adjustments. Overall, this experience has helped me recognise that effective project management requires not only technical knowledge, but also the ability to communicate ideas clearly, professionally, and persuasively.</w:t>
      </w:r>
    </w:p>
    <w:p w14:paraId="442B9D00" w14:textId="77777777" w:rsidR="005C3158" w:rsidRDefault="005C3158" w:rsidP="00807B1D">
      <w:pPr>
        <w:spacing w:line="360" w:lineRule="auto"/>
        <w:rPr>
          <w:rFonts w:ascii="Arial" w:hAnsi="Arial" w:cs="Arial"/>
          <w:sz w:val="22"/>
          <w:szCs w:val="22"/>
        </w:rPr>
      </w:pPr>
    </w:p>
    <w:p w14:paraId="433DBF8B" w14:textId="0869287A" w:rsidR="000C2414" w:rsidRPr="003C272E" w:rsidRDefault="00E53358" w:rsidP="00807B1D">
      <w:pPr>
        <w:spacing w:line="360" w:lineRule="auto"/>
        <w:rPr>
          <w:rFonts w:ascii="Arial" w:hAnsi="Arial" w:cs="Arial"/>
          <w:b/>
          <w:sz w:val="22"/>
          <w:szCs w:val="22"/>
          <w:lang w:val="en-US"/>
        </w:rPr>
      </w:pPr>
      <w:r w:rsidRPr="00807B1D">
        <w:rPr>
          <w:rFonts w:ascii="Arial" w:hAnsi="Arial" w:cs="Arial"/>
          <w:b/>
          <w:sz w:val="22"/>
          <w:szCs w:val="22"/>
          <w:lang w:val="en-US"/>
        </w:rPr>
        <w:t xml:space="preserve">Part C: Project Management Plan </w:t>
      </w:r>
    </w:p>
    <w:p w14:paraId="5125214D" w14:textId="41E68309" w:rsidR="005F599C" w:rsidRPr="00B271C0" w:rsidRDefault="005F599C" w:rsidP="00807B1D">
      <w:pPr>
        <w:spacing w:line="360" w:lineRule="auto"/>
        <w:rPr>
          <w:rFonts w:ascii="Arial" w:hAnsi="Arial" w:cs="Arial"/>
          <w:b/>
          <w:bCs/>
          <w:sz w:val="22"/>
          <w:szCs w:val="22"/>
        </w:rPr>
      </w:pPr>
      <w:r w:rsidRPr="00B271C0">
        <w:rPr>
          <w:rFonts w:ascii="Arial" w:hAnsi="Arial" w:cs="Arial"/>
          <w:b/>
          <w:bCs/>
          <w:sz w:val="22"/>
          <w:szCs w:val="22"/>
        </w:rPr>
        <w:t>1. Introduction</w:t>
      </w:r>
    </w:p>
    <w:p w14:paraId="3157CE41"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 xml:space="preserve">Extreme weather events are placing increasing pressure on infrastructure systems and emergency management processes. In Worcester, flood risk is a long-established concern because the city is located on the River Severn flood plain, and local authority reporting notes that Worcester has experienced flooding for hundreds, if not thousands, of years. Worcestershire County Council also identifies flood-risk management as a formal county responsibility, while recent Environment Agency schemes in Worcester show that flood resilience remains an active policy and infrastructure priority. </w:t>
      </w:r>
    </w:p>
    <w:p w14:paraId="24DDCE3D" w14:textId="77777777" w:rsidR="003C272E" w:rsidRDefault="003C272E" w:rsidP="003C272E">
      <w:pPr>
        <w:spacing w:line="360" w:lineRule="auto"/>
        <w:jc w:val="both"/>
        <w:rPr>
          <w:rFonts w:ascii="Arial" w:hAnsi="Arial" w:cs="Arial"/>
          <w:sz w:val="22"/>
          <w:szCs w:val="22"/>
        </w:rPr>
      </w:pPr>
      <w:r w:rsidRPr="003C272E">
        <w:rPr>
          <w:rFonts w:ascii="Arial" w:hAnsi="Arial" w:cs="Arial"/>
          <w:sz w:val="22"/>
          <w:szCs w:val="22"/>
        </w:rPr>
        <w:t>Flooding can disrupt roads, drainage systems, utilities, commercial activity and access to essential public services. This means post-flood reconstruction is not simply a technical repair exercise. It is a complex, time-</w:t>
      </w:r>
    </w:p>
    <w:p w14:paraId="187F9241" w14:textId="77777777" w:rsidR="003C272E" w:rsidRDefault="003C272E" w:rsidP="003C272E">
      <w:pPr>
        <w:spacing w:line="360" w:lineRule="auto"/>
        <w:jc w:val="both"/>
        <w:rPr>
          <w:rFonts w:ascii="Arial" w:hAnsi="Arial" w:cs="Arial"/>
          <w:sz w:val="22"/>
          <w:szCs w:val="22"/>
        </w:rPr>
      </w:pPr>
    </w:p>
    <w:p w14:paraId="10907386" w14:textId="6C3DC370"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sensitive project environment characterised by uncertainty, interdependence, public accountability and multiple stakeholders. In such conditions, project management is necessary because it provides a structured basis for planning, coordination, resource allocation, monitoring and control. Kerzner (2022) argues that projects facing uncertainty and cross-functional complexity require disciplined management processes to maintain alignment between objectives, resources and outcomes.</w:t>
      </w:r>
    </w:p>
    <w:p w14:paraId="10ACA257"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This Project Management Plan presents a structured framework for reconstructing flood-damaged public infrastructure in Worcester. It applies key project management tools including lifecycle planning, SMART objectives, scope definition, Work Breakdown Structure (WBS), quad chart, Gantt chart, stakeholder analysis, resource allocation and risk analysis. The plan is also informed by PMBOK principles, which emphasise integration across planning, execution, monitoring and closure (Project Management Institute, 2021). The aim is not only to restore essential infrastructure, but to do so in a way that is realistic, controlled and supportive of long-term resilience.</w:t>
      </w:r>
    </w:p>
    <w:p w14:paraId="7E5D835D" w14:textId="77777777" w:rsidR="003C272E" w:rsidRDefault="003C272E" w:rsidP="00807B1D">
      <w:pPr>
        <w:spacing w:line="360" w:lineRule="auto"/>
        <w:rPr>
          <w:rFonts w:ascii="Arial" w:hAnsi="Arial" w:cs="Arial"/>
          <w:sz w:val="22"/>
          <w:szCs w:val="22"/>
        </w:rPr>
      </w:pPr>
    </w:p>
    <w:p w14:paraId="49204745" w14:textId="50664478" w:rsidR="00A4076E" w:rsidRPr="00807B1D" w:rsidRDefault="00A4076E" w:rsidP="00807B1D">
      <w:pPr>
        <w:spacing w:line="360" w:lineRule="auto"/>
        <w:rPr>
          <w:rFonts w:ascii="Arial" w:hAnsi="Arial" w:cs="Arial"/>
          <w:b/>
          <w:bCs/>
          <w:sz w:val="22"/>
          <w:szCs w:val="22"/>
        </w:rPr>
      </w:pPr>
      <w:r w:rsidRPr="00807B1D">
        <w:rPr>
          <w:rFonts w:ascii="Arial" w:hAnsi="Arial" w:cs="Arial"/>
          <w:b/>
          <w:bCs/>
          <w:sz w:val="22"/>
          <w:szCs w:val="22"/>
        </w:rPr>
        <w:t>2. Project description</w:t>
      </w:r>
    </w:p>
    <w:p w14:paraId="328D82EA"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The project concerns the reconstruction of flood-damaged public infrastructure in Worcester, focusing on roads, drainage systems and electricity-related public infrastructure. These assets are prioritised because they have the greatest systemic importance: roads support movement of people, goods and emergency access; drainage systems reduce recurrent water accumulation and secondary disruption; and utility infrastructure supports domestic, commercial and public-service continuity. This prioritisation reflects a value-based project logic in which infrastructure is selected not only by physical damage, but by the degree to which its restoration enables broader recovery.</w:t>
      </w:r>
    </w:p>
    <w:p w14:paraId="79E41003"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 xml:space="preserve">The primary project objective is to restore essential infrastructure to a safe, operational and inspectable standard within six months and within an estimated budget of £4–6 million. However, a purely restorative approach would be strategically weak. Reinstating infrastructure to its previous condition may reintroduce the same design vulnerabilities that made disruption more severe. For that reason, the project includes resilience-oriented enhancements such as improved drainage capacity, reinforcement of vulnerable sections, and stronger integration with flood-risk management priorities already visible in Worcestershire planning and infrastructure strategy. Worcestershire’s flood and green infrastructure strategies both emphasise partnership working, management of flood impacts and more sustainable approaches such as drainage and resilience improvements. </w:t>
      </w:r>
    </w:p>
    <w:p w14:paraId="242402A9" w14:textId="77777777" w:rsidR="003C272E" w:rsidRDefault="003C272E" w:rsidP="003C272E">
      <w:pPr>
        <w:spacing w:line="360" w:lineRule="auto"/>
        <w:jc w:val="both"/>
        <w:rPr>
          <w:rFonts w:ascii="Arial" w:hAnsi="Arial" w:cs="Arial"/>
          <w:sz w:val="22"/>
          <w:szCs w:val="22"/>
        </w:rPr>
      </w:pPr>
      <w:r w:rsidRPr="003C272E">
        <w:rPr>
          <w:rFonts w:ascii="Arial" w:hAnsi="Arial" w:cs="Arial"/>
          <w:sz w:val="22"/>
          <w:szCs w:val="22"/>
        </w:rPr>
        <w:t xml:space="preserve">From a lifecycle perspective, the project moves through initiation, planning, execution, monitoring and closure. Initiation defines the reconstruction problem and secures stakeholder commitment. Planning establishes scope, schedule, risk, budget and procurement pathways. Execution covers site works, contractor mobilisation, material delivery and utility restoration. Monitoring and controlling ensure progress, cost, quality and safety remain aligned with targets. Closure includes testing, final approval and formal handover. This lifecycle framework is </w:t>
      </w:r>
    </w:p>
    <w:p w14:paraId="154DC6E3" w14:textId="77777777" w:rsidR="003C272E" w:rsidRDefault="003C272E" w:rsidP="003C272E">
      <w:pPr>
        <w:spacing w:line="360" w:lineRule="auto"/>
        <w:jc w:val="both"/>
        <w:rPr>
          <w:rFonts w:ascii="Arial" w:hAnsi="Arial" w:cs="Arial"/>
          <w:sz w:val="22"/>
          <w:szCs w:val="22"/>
        </w:rPr>
      </w:pPr>
    </w:p>
    <w:p w14:paraId="3D474E75" w14:textId="1486E00B"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useful because it creates governance structure, but its weakness is that it is too broad for daily management. Therefore, it must be supported by more operational tools such as WBS, scheduling and risk review.</w:t>
      </w:r>
    </w:p>
    <w:p w14:paraId="7399B2A5" w14:textId="77777777" w:rsidR="003C272E" w:rsidRPr="003C272E" w:rsidRDefault="003C272E" w:rsidP="003C272E">
      <w:pPr>
        <w:spacing w:line="360" w:lineRule="auto"/>
        <w:rPr>
          <w:rFonts w:ascii="Arial" w:hAnsi="Arial" w:cs="Arial"/>
          <w:sz w:val="22"/>
          <w:szCs w:val="22"/>
        </w:rPr>
      </w:pPr>
      <w:r w:rsidRPr="003C272E">
        <w:rPr>
          <w:rFonts w:ascii="Arial" w:hAnsi="Arial" w:cs="Arial"/>
          <w:sz w:val="22"/>
          <w:szCs w:val="22"/>
        </w:rPr>
        <w:t>The SMART objectives strengthen this logic:</w:t>
      </w:r>
    </w:p>
    <w:p w14:paraId="6A676378" w14:textId="79CE5201" w:rsidR="003C272E" w:rsidRPr="003C272E" w:rsidRDefault="003C272E" w:rsidP="003C272E">
      <w:pPr>
        <w:numPr>
          <w:ilvl w:val="0"/>
          <w:numId w:val="22"/>
        </w:numPr>
        <w:spacing w:line="360" w:lineRule="auto"/>
        <w:rPr>
          <w:rFonts w:ascii="Arial" w:hAnsi="Arial" w:cs="Arial"/>
          <w:sz w:val="22"/>
          <w:szCs w:val="22"/>
        </w:rPr>
      </w:pPr>
      <w:r w:rsidRPr="003C272E">
        <w:rPr>
          <w:rFonts w:ascii="Arial" w:hAnsi="Arial" w:cs="Arial"/>
          <w:b/>
          <w:bCs/>
          <w:sz w:val="22"/>
          <w:szCs w:val="22"/>
        </w:rPr>
        <w:t>Specific:</w:t>
      </w:r>
      <w:r w:rsidRPr="003C272E">
        <w:rPr>
          <w:rFonts w:ascii="Arial" w:hAnsi="Arial" w:cs="Arial"/>
          <w:sz w:val="22"/>
          <w:szCs w:val="22"/>
        </w:rPr>
        <w:t xml:space="preserve"> restore flood-damaged roads, drainage and electricity infrastructure in </w:t>
      </w:r>
      <w:r w:rsidRPr="003C272E">
        <w:rPr>
          <w:rFonts w:ascii="Arial" w:hAnsi="Arial" w:cs="Arial"/>
          <w:sz w:val="22"/>
          <w:szCs w:val="22"/>
        </w:rPr>
        <w:t>Worcester.</w:t>
      </w:r>
      <w:r w:rsidRPr="003C272E">
        <w:rPr>
          <w:rFonts w:ascii="Arial" w:hAnsi="Arial" w:cs="Arial"/>
          <w:sz w:val="22"/>
          <w:szCs w:val="22"/>
        </w:rPr>
        <w:t xml:space="preserve"> </w:t>
      </w:r>
    </w:p>
    <w:p w14:paraId="1B5FD26E" w14:textId="65DA6519" w:rsidR="003C272E" w:rsidRPr="003C272E" w:rsidRDefault="003C272E" w:rsidP="003C272E">
      <w:pPr>
        <w:numPr>
          <w:ilvl w:val="0"/>
          <w:numId w:val="22"/>
        </w:numPr>
        <w:spacing w:line="360" w:lineRule="auto"/>
        <w:rPr>
          <w:rFonts w:ascii="Arial" w:hAnsi="Arial" w:cs="Arial"/>
          <w:sz w:val="22"/>
          <w:szCs w:val="22"/>
        </w:rPr>
      </w:pPr>
      <w:r w:rsidRPr="003C272E">
        <w:rPr>
          <w:rFonts w:ascii="Arial" w:hAnsi="Arial" w:cs="Arial"/>
          <w:b/>
          <w:bCs/>
          <w:sz w:val="22"/>
          <w:szCs w:val="22"/>
        </w:rPr>
        <w:t>Measurable:</w:t>
      </w:r>
      <w:r w:rsidRPr="003C272E">
        <w:rPr>
          <w:rFonts w:ascii="Arial" w:hAnsi="Arial" w:cs="Arial"/>
          <w:sz w:val="22"/>
          <w:szCs w:val="22"/>
        </w:rPr>
        <w:t xml:space="preserve"> complete damage assessment within two weeks, achieve infrastructure restoration within six months, and pass final </w:t>
      </w:r>
      <w:r w:rsidRPr="003C272E">
        <w:rPr>
          <w:rFonts w:ascii="Arial" w:hAnsi="Arial" w:cs="Arial"/>
          <w:sz w:val="22"/>
          <w:szCs w:val="22"/>
        </w:rPr>
        <w:t>inspections.</w:t>
      </w:r>
      <w:r w:rsidRPr="003C272E">
        <w:rPr>
          <w:rFonts w:ascii="Arial" w:hAnsi="Arial" w:cs="Arial"/>
          <w:sz w:val="22"/>
          <w:szCs w:val="22"/>
        </w:rPr>
        <w:t xml:space="preserve"> </w:t>
      </w:r>
    </w:p>
    <w:p w14:paraId="461885A6" w14:textId="56996262" w:rsidR="003C272E" w:rsidRPr="003C272E" w:rsidRDefault="003C272E" w:rsidP="003C272E">
      <w:pPr>
        <w:numPr>
          <w:ilvl w:val="0"/>
          <w:numId w:val="22"/>
        </w:numPr>
        <w:spacing w:line="360" w:lineRule="auto"/>
        <w:rPr>
          <w:rFonts w:ascii="Arial" w:hAnsi="Arial" w:cs="Arial"/>
          <w:sz w:val="22"/>
          <w:szCs w:val="22"/>
        </w:rPr>
      </w:pPr>
      <w:r w:rsidRPr="003C272E">
        <w:rPr>
          <w:rFonts w:ascii="Arial" w:hAnsi="Arial" w:cs="Arial"/>
          <w:b/>
          <w:bCs/>
          <w:sz w:val="22"/>
          <w:szCs w:val="22"/>
        </w:rPr>
        <w:t>Achievable:</w:t>
      </w:r>
      <w:r w:rsidRPr="003C272E">
        <w:rPr>
          <w:rFonts w:ascii="Arial" w:hAnsi="Arial" w:cs="Arial"/>
          <w:sz w:val="22"/>
          <w:szCs w:val="22"/>
        </w:rPr>
        <w:t xml:space="preserve"> use defined teams, contractors and a fixed public budget </w:t>
      </w:r>
      <w:r w:rsidRPr="003C272E">
        <w:rPr>
          <w:rFonts w:ascii="Arial" w:hAnsi="Arial" w:cs="Arial"/>
          <w:sz w:val="22"/>
          <w:szCs w:val="22"/>
        </w:rPr>
        <w:t>range.</w:t>
      </w:r>
      <w:r w:rsidRPr="003C272E">
        <w:rPr>
          <w:rFonts w:ascii="Arial" w:hAnsi="Arial" w:cs="Arial"/>
          <w:sz w:val="22"/>
          <w:szCs w:val="22"/>
        </w:rPr>
        <w:t xml:space="preserve"> </w:t>
      </w:r>
    </w:p>
    <w:p w14:paraId="35CC1A48" w14:textId="02B76339" w:rsidR="003C272E" w:rsidRPr="003C272E" w:rsidRDefault="003C272E" w:rsidP="003C272E">
      <w:pPr>
        <w:numPr>
          <w:ilvl w:val="0"/>
          <w:numId w:val="22"/>
        </w:numPr>
        <w:spacing w:line="360" w:lineRule="auto"/>
        <w:rPr>
          <w:rFonts w:ascii="Arial" w:hAnsi="Arial" w:cs="Arial"/>
          <w:sz w:val="22"/>
          <w:szCs w:val="22"/>
        </w:rPr>
      </w:pPr>
      <w:r w:rsidRPr="003C272E">
        <w:rPr>
          <w:rFonts w:ascii="Arial" w:hAnsi="Arial" w:cs="Arial"/>
          <w:b/>
          <w:bCs/>
          <w:sz w:val="22"/>
          <w:szCs w:val="22"/>
        </w:rPr>
        <w:t>Relevant:</w:t>
      </w:r>
      <w:r w:rsidRPr="003C272E">
        <w:rPr>
          <w:rFonts w:ascii="Arial" w:hAnsi="Arial" w:cs="Arial"/>
          <w:sz w:val="22"/>
          <w:szCs w:val="22"/>
        </w:rPr>
        <w:t xml:space="preserve"> protect mobility, public safety and economic </w:t>
      </w:r>
      <w:r w:rsidRPr="003C272E">
        <w:rPr>
          <w:rFonts w:ascii="Arial" w:hAnsi="Arial" w:cs="Arial"/>
          <w:sz w:val="22"/>
          <w:szCs w:val="22"/>
        </w:rPr>
        <w:t>continuity.</w:t>
      </w:r>
      <w:r w:rsidRPr="003C272E">
        <w:rPr>
          <w:rFonts w:ascii="Arial" w:hAnsi="Arial" w:cs="Arial"/>
          <w:sz w:val="22"/>
          <w:szCs w:val="22"/>
        </w:rPr>
        <w:t xml:space="preserve"> </w:t>
      </w:r>
    </w:p>
    <w:p w14:paraId="6C13AF31" w14:textId="19A6C52B" w:rsidR="000C2414" w:rsidRDefault="003C272E" w:rsidP="00807B1D">
      <w:pPr>
        <w:numPr>
          <w:ilvl w:val="0"/>
          <w:numId w:val="22"/>
        </w:numPr>
        <w:spacing w:line="360" w:lineRule="auto"/>
        <w:rPr>
          <w:rFonts w:ascii="Arial" w:hAnsi="Arial" w:cs="Arial"/>
          <w:sz w:val="22"/>
          <w:szCs w:val="22"/>
        </w:rPr>
      </w:pPr>
      <w:r w:rsidRPr="003C272E">
        <w:rPr>
          <w:rFonts w:ascii="Arial" w:hAnsi="Arial" w:cs="Arial"/>
          <w:b/>
          <w:bCs/>
          <w:sz w:val="22"/>
          <w:szCs w:val="22"/>
        </w:rPr>
        <w:t>Time-bound:</w:t>
      </w:r>
      <w:r w:rsidRPr="003C272E">
        <w:rPr>
          <w:rFonts w:ascii="Arial" w:hAnsi="Arial" w:cs="Arial"/>
          <w:sz w:val="22"/>
          <w:szCs w:val="22"/>
        </w:rPr>
        <w:t xml:space="preserve"> complete handover by the end of Month 6</w:t>
      </w:r>
    </w:p>
    <w:p w14:paraId="0B56FB8B" w14:textId="77777777" w:rsidR="003C272E" w:rsidRPr="003C272E" w:rsidRDefault="003C272E" w:rsidP="003C272E">
      <w:pPr>
        <w:spacing w:line="360" w:lineRule="auto"/>
        <w:rPr>
          <w:rFonts w:ascii="Arial" w:hAnsi="Arial" w:cs="Arial"/>
          <w:sz w:val="22"/>
          <w:szCs w:val="22"/>
        </w:rPr>
      </w:pPr>
    </w:p>
    <w:p w14:paraId="0DF3CB19" w14:textId="6CAE0C1D" w:rsidR="00B95744" w:rsidRPr="00807B1D" w:rsidRDefault="00A4076E" w:rsidP="00807B1D">
      <w:pPr>
        <w:spacing w:line="360" w:lineRule="auto"/>
        <w:rPr>
          <w:rFonts w:ascii="Arial" w:hAnsi="Arial" w:cs="Arial"/>
          <w:b/>
          <w:bCs/>
          <w:sz w:val="22"/>
          <w:szCs w:val="22"/>
        </w:rPr>
      </w:pPr>
      <w:r w:rsidRPr="00807B1D">
        <w:rPr>
          <w:rFonts w:ascii="Arial" w:hAnsi="Arial" w:cs="Arial"/>
          <w:b/>
          <w:bCs/>
          <w:sz w:val="22"/>
          <w:szCs w:val="22"/>
        </w:rPr>
        <w:t>3</w:t>
      </w:r>
      <w:r w:rsidR="003D665F" w:rsidRPr="00807B1D">
        <w:rPr>
          <w:rFonts w:ascii="Arial" w:hAnsi="Arial" w:cs="Arial"/>
          <w:b/>
          <w:bCs/>
          <w:sz w:val="22"/>
          <w:szCs w:val="22"/>
        </w:rPr>
        <w:t xml:space="preserve">. </w:t>
      </w:r>
      <w:r w:rsidR="006C6868" w:rsidRPr="00807B1D">
        <w:rPr>
          <w:rFonts w:ascii="Arial" w:hAnsi="Arial" w:cs="Arial"/>
          <w:b/>
          <w:bCs/>
          <w:sz w:val="22"/>
          <w:szCs w:val="22"/>
        </w:rPr>
        <w:t>P</w:t>
      </w:r>
      <w:r w:rsidR="00DA2C82" w:rsidRPr="00807B1D">
        <w:rPr>
          <w:rFonts w:ascii="Arial" w:hAnsi="Arial" w:cs="Arial"/>
          <w:b/>
          <w:bCs/>
          <w:sz w:val="22"/>
          <w:szCs w:val="22"/>
        </w:rPr>
        <w:t xml:space="preserve">roject </w:t>
      </w:r>
      <w:r w:rsidR="00B95744" w:rsidRPr="0079017A">
        <w:rPr>
          <w:rFonts w:ascii="Arial" w:hAnsi="Arial" w:cs="Arial"/>
          <w:b/>
          <w:bCs/>
          <w:sz w:val="22"/>
          <w:szCs w:val="22"/>
        </w:rPr>
        <w:t>Scope</w:t>
      </w:r>
    </w:p>
    <w:p w14:paraId="3FA06585"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Project scope defines the project boundary by identifying what will be delivered and what will be excluded. This is critically important in post-disaster reconstruction because public urgency often creates pressure to expand the project beyond manageable limits. Kerzner (2022) and Burke (2013) note that unclear scope is a major cause of delay, cost escalation and accountability failure because teams cannot distinguish essential deliverables from desirable but non-core additions.</w:t>
      </w:r>
    </w:p>
    <w:p w14:paraId="07636288" w14:textId="77777777" w:rsidR="003C272E" w:rsidRPr="003C272E" w:rsidRDefault="003C272E" w:rsidP="003C272E">
      <w:pPr>
        <w:spacing w:line="360" w:lineRule="auto"/>
        <w:jc w:val="both"/>
        <w:rPr>
          <w:rFonts w:ascii="Arial" w:hAnsi="Arial" w:cs="Arial"/>
          <w:b/>
          <w:bCs/>
          <w:sz w:val="22"/>
          <w:szCs w:val="22"/>
        </w:rPr>
      </w:pPr>
      <w:r w:rsidRPr="003C272E">
        <w:rPr>
          <w:rFonts w:ascii="Arial" w:hAnsi="Arial" w:cs="Arial"/>
          <w:b/>
          <w:bCs/>
          <w:sz w:val="22"/>
          <w:szCs w:val="22"/>
        </w:rPr>
        <w:t>In Scope</w:t>
      </w:r>
    </w:p>
    <w:p w14:paraId="0AC7AC43" w14:textId="77777777" w:rsidR="003C272E" w:rsidRPr="003C272E" w:rsidRDefault="003C272E" w:rsidP="003C272E">
      <w:pPr>
        <w:numPr>
          <w:ilvl w:val="0"/>
          <w:numId w:val="23"/>
        </w:numPr>
        <w:spacing w:line="360" w:lineRule="auto"/>
        <w:jc w:val="both"/>
        <w:rPr>
          <w:rFonts w:ascii="Arial" w:hAnsi="Arial" w:cs="Arial"/>
          <w:sz w:val="22"/>
          <w:szCs w:val="22"/>
        </w:rPr>
      </w:pPr>
      <w:r w:rsidRPr="003C272E">
        <w:rPr>
          <w:rFonts w:ascii="Arial" w:hAnsi="Arial" w:cs="Arial"/>
          <w:sz w:val="22"/>
          <w:szCs w:val="22"/>
        </w:rPr>
        <w:t xml:space="preserve">Technical assessment of flood-related damage to roads, drainage systems and electricity distribution assets </w:t>
      </w:r>
    </w:p>
    <w:p w14:paraId="29284A4D" w14:textId="77777777" w:rsidR="003C272E" w:rsidRPr="003C272E" w:rsidRDefault="003C272E" w:rsidP="003C272E">
      <w:pPr>
        <w:numPr>
          <w:ilvl w:val="0"/>
          <w:numId w:val="23"/>
        </w:numPr>
        <w:spacing w:line="360" w:lineRule="auto"/>
        <w:jc w:val="both"/>
        <w:rPr>
          <w:rFonts w:ascii="Arial" w:hAnsi="Arial" w:cs="Arial"/>
          <w:sz w:val="22"/>
          <w:szCs w:val="22"/>
        </w:rPr>
      </w:pPr>
      <w:r w:rsidRPr="003C272E">
        <w:rPr>
          <w:rFonts w:ascii="Arial" w:hAnsi="Arial" w:cs="Arial"/>
          <w:sz w:val="22"/>
          <w:szCs w:val="22"/>
        </w:rPr>
        <w:t xml:space="preserve">Repair and reconstruction of damaged public roads and transport links </w:t>
      </w:r>
    </w:p>
    <w:p w14:paraId="09B73C26" w14:textId="77777777" w:rsidR="003C272E" w:rsidRPr="003C272E" w:rsidRDefault="003C272E" w:rsidP="003C272E">
      <w:pPr>
        <w:numPr>
          <w:ilvl w:val="0"/>
          <w:numId w:val="23"/>
        </w:numPr>
        <w:spacing w:line="360" w:lineRule="auto"/>
        <w:jc w:val="both"/>
        <w:rPr>
          <w:rFonts w:ascii="Arial" w:hAnsi="Arial" w:cs="Arial"/>
          <w:sz w:val="22"/>
          <w:szCs w:val="22"/>
        </w:rPr>
      </w:pPr>
      <w:r w:rsidRPr="003C272E">
        <w:rPr>
          <w:rFonts w:ascii="Arial" w:hAnsi="Arial" w:cs="Arial"/>
          <w:sz w:val="22"/>
          <w:szCs w:val="22"/>
        </w:rPr>
        <w:t xml:space="preserve">Restoration of electricity-related infrastructure serving public systems </w:t>
      </w:r>
    </w:p>
    <w:p w14:paraId="558B3EEB" w14:textId="77777777" w:rsidR="003C272E" w:rsidRPr="003C272E" w:rsidRDefault="003C272E" w:rsidP="003C272E">
      <w:pPr>
        <w:numPr>
          <w:ilvl w:val="0"/>
          <w:numId w:val="23"/>
        </w:numPr>
        <w:spacing w:line="360" w:lineRule="auto"/>
        <w:jc w:val="both"/>
        <w:rPr>
          <w:rFonts w:ascii="Arial" w:hAnsi="Arial" w:cs="Arial"/>
          <w:sz w:val="22"/>
          <w:szCs w:val="22"/>
        </w:rPr>
      </w:pPr>
      <w:r w:rsidRPr="003C272E">
        <w:rPr>
          <w:rFonts w:ascii="Arial" w:hAnsi="Arial" w:cs="Arial"/>
          <w:sz w:val="22"/>
          <w:szCs w:val="22"/>
        </w:rPr>
        <w:t xml:space="preserve">Repair, clearance and targeted upgrading of drainage systems </w:t>
      </w:r>
    </w:p>
    <w:p w14:paraId="59F9914A" w14:textId="77777777" w:rsidR="003C272E" w:rsidRPr="003C272E" w:rsidRDefault="003C272E" w:rsidP="003C272E">
      <w:pPr>
        <w:numPr>
          <w:ilvl w:val="0"/>
          <w:numId w:val="23"/>
        </w:numPr>
        <w:spacing w:line="360" w:lineRule="auto"/>
        <w:jc w:val="both"/>
        <w:rPr>
          <w:rFonts w:ascii="Arial" w:hAnsi="Arial" w:cs="Arial"/>
          <w:sz w:val="22"/>
          <w:szCs w:val="22"/>
        </w:rPr>
      </w:pPr>
      <w:r w:rsidRPr="003C272E">
        <w:rPr>
          <w:rFonts w:ascii="Arial" w:hAnsi="Arial" w:cs="Arial"/>
          <w:sz w:val="22"/>
          <w:szCs w:val="22"/>
        </w:rPr>
        <w:t xml:space="preserve">Installation of selected flood-resilient features, such as strengthened materials or improved flow capacity </w:t>
      </w:r>
    </w:p>
    <w:p w14:paraId="5647AE81" w14:textId="77777777" w:rsidR="003C272E" w:rsidRPr="003C272E" w:rsidRDefault="003C272E" w:rsidP="003C272E">
      <w:pPr>
        <w:numPr>
          <w:ilvl w:val="0"/>
          <w:numId w:val="23"/>
        </w:numPr>
        <w:spacing w:line="360" w:lineRule="auto"/>
        <w:jc w:val="both"/>
        <w:rPr>
          <w:rFonts w:ascii="Arial" w:hAnsi="Arial" w:cs="Arial"/>
          <w:sz w:val="22"/>
          <w:szCs w:val="22"/>
        </w:rPr>
      </w:pPr>
      <w:r w:rsidRPr="003C272E">
        <w:rPr>
          <w:rFonts w:ascii="Arial" w:hAnsi="Arial" w:cs="Arial"/>
          <w:sz w:val="22"/>
          <w:szCs w:val="22"/>
        </w:rPr>
        <w:t xml:space="preserve">Site safety inspections, performance testing and final handover </w:t>
      </w:r>
    </w:p>
    <w:p w14:paraId="16FE76EA" w14:textId="77777777" w:rsidR="003C272E" w:rsidRPr="003C272E" w:rsidRDefault="003C272E" w:rsidP="003C272E">
      <w:pPr>
        <w:spacing w:line="360" w:lineRule="auto"/>
        <w:jc w:val="both"/>
        <w:rPr>
          <w:rFonts w:ascii="Arial" w:hAnsi="Arial" w:cs="Arial"/>
          <w:b/>
          <w:bCs/>
          <w:sz w:val="22"/>
          <w:szCs w:val="22"/>
        </w:rPr>
      </w:pPr>
      <w:r w:rsidRPr="003C272E">
        <w:rPr>
          <w:rFonts w:ascii="Arial" w:hAnsi="Arial" w:cs="Arial"/>
          <w:b/>
          <w:bCs/>
          <w:sz w:val="22"/>
          <w:szCs w:val="22"/>
        </w:rPr>
        <w:t>Out of Scope</w:t>
      </w:r>
    </w:p>
    <w:p w14:paraId="3B249FA3" w14:textId="77777777" w:rsidR="003C272E" w:rsidRPr="003C272E" w:rsidRDefault="003C272E" w:rsidP="003C272E">
      <w:pPr>
        <w:numPr>
          <w:ilvl w:val="0"/>
          <w:numId w:val="24"/>
        </w:numPr>
        <w:spacing w:line="360" w:lineRule="auto"/>
        <w:jc w:val="both"/>
        <w:rPr>
          <w:rFonts w:ascii="Arial" w:hAnsi="Arial" w:cs="Arial"/>
          <w:sz w:val="22"/>
          <w:szCs w:val="22"/>
        </w:rPr>
      </w:pPr>
      <w:r w:rsidRPr="003C272E">
        <w:rPr>
          <w:rFonts w:ascii="Arial" w:hAnsi="Arial" w:cs="Arial"/>
          <w:sz w:val="22"/>
          <w:szCs w:val="22"/>
        </w:rPr>
        <w:t xml:space="preserve">Reconstruction of private residential property </w:t>
      </w:r>
    </w:p>
    <w:p w14:paraId="070D05A3" w14:textId="77777777" w:rsidR="003C272E" w:rsidRPr="003C272E" w:rsidRDefault="003C272E" w:rsidP="003C272E">
      <w:pPr>
        <w:numPr>
          <w:ilvl w:val="0"/>
          <w:numId w:val="24"/>
        </w:numPr>
        <w:spacing w:line="360" w:lineRule="auto"/>
        <w:jc w:val="both"/>
        <w:rPr>
          <w:rFonts w:ascii="Arial" w:hAnsi="Arial" w:cs="Arial"/>
          <w:sz w:val="22"/>
          <w:szCs w:val="22"/>
        </w:rPr>
      </w:pPr>
      <w:r w:rsidRPr="003C272E">
        <w:rPr>
          <w:rFonts w:ascii="Arial" w:hAnsi="Arial" w:cs="Arial"/>
          <w:sz w:val="22"/>
          <w:szCs w:val="22"/>
        </w:rPr>
        <w:t xml:space="preserve">Insurance claims and compensation administration </w:t>
      </w:r>
    </w:p>
    <w:p w14:paraId="199DF464" w14:textId="77777777" w:rsidR="003C272E" w:rsidRPr="003C272E" w:rsidRDefault="003C272E" w:rsidP="003C272E">
      <w:pPr>
        <w:numPr>
          <w:ilvl w:val="0"/>
          <w:numId w:val="24"/>
        </w:numPr>
        <w:spacing w:line="360" w:lineRule="auto"/>
        <w:jc w:val="both"/>
        <w:rPr>
          <w:rFonts w:ascii="Arial" w:hAnsi="Arial" w:cs="Arial"/>
          <w:sz w:val="22"/>
          <w:szCs w:val="22"/>
        </w:rPr>
      </w:pPr>
      <w:r w:rsidRPr="003C272E">
        <w:rPr>
          <w:rFonts w:ascii="Arial" w:hAnsi="Arial" w:cs="Arial"/>
          <w:sz w:val="22"/>
          <w:szCs w:val="22"/>
        </w:rPr>
        <w:t xml:space="preserve">Restoration of personal possessions </w:t>
      </w:r>
    </w:p>
    <w:p w14:paraId="5BB56051" w14:textId="77777777" w:rsidR="003C272E" w:rsidRPr="003C272E" w:rsidRDefault="003C272E" w:rsidP="003C272E">
      <w:pPr>
        <w:numPr>
          <w:ilvl w:val="0"/>
          <w:numId w:val="24"/>
        </w:numPr>
        <w:spacing w:line="360" w:lineRule="auto"/>
        <w:jc w:val="both"/>
        <w:rPr>
          <w:rFonts w:ascii="Arial" w:hAnsi="Arial" w:cs="Arial"/>
          <w:sz w:val="22"/>
          <w:szCs w:val="22"/>
        </w:rPr>
      </w:pPr>
      <w:r w:rsidRPr="003C272E">
        <w:rPr>
          <w:rFonts w:ascii="Arial" w:hAnsi="Arial" w:cs="Arial"/>
          <w:sz w:val="22"/>
          <w:szCs w:val="22"/>
        </w:rPr>
        <w:t xml:space="preserve">General urban regeneration not directly linked to immediate flood recovery </w:t>
      </w:r>
    </w:p>
    <w:p w14:paraId="583CE1E9" w14:textId="77777777" w:rsidR="003C272E" w:rsidRPr="003C272E" w:rsidRDefault="003C272E" w:rsidP="003C272E">
      <w:pPr>
        <w:numPr>
          <w:ilvl w:val="0"/>
          <w:numId w:val="24"/>
        </w:numPr>
        <w:spacing w:line="360" w:lineRule="auto"/>
        <w:jc w:val="both"/>
        <w:rPr>
          <w:rFonts w:ascii="Arial" w:hAnsi="Arial" w:cs="Arial"/>
          <w:sz w:val="22"/>
          <w:szCs w:val="22"/>
        </w:rPr>
      </w:pPr>
      <w:r w:rsidRPr="003C272E">
        <w:rPr>
          <w:rFonts w:ascii="Arial" w:hAnsi="Arial" w:cs="Arial"/>
          <w:sz w:val="22"/>
          <w:szCs w:val="22"/>
        </w:rPr>
        <w:lastRenderedPageBreak/>
        <w:t xml:space="preserve">Long-term flood policy reform beyond the delivery window of this project </w:t>
      </w:r>
    </w:p>
    <w:p w14:paraId="622A1472" w14:textId="77777777" w:rsidR="003C272E" w:rsidRDefault="003C272E" w:rsidP="003C272E">
      <w:pPr>
        <w:spacing w:line="360" w:lineRule="auto"/>
        <w:jc w:val="both"/>
        <w:rPr>
          <w:rFonts w:ascii="Arial" w:hAnsi="Arial" w:cs="Arial"/>
          <w:sz w:val="22"/>
          <w:szCs w:val="22"/>
        </w:rPr>
      </w:pPr>
      <w:r w:rsidRPr="003C272E">
        <w:rPr>
          <w:rFonts w:ascii="Arial" w:hAnsi="Arial" w:cs="Arial"/>
          <w:sz w:val="22"/>
          <w:szCs w:val="22"/>
        </w:rPr>
        <w:t xml:space="preserve">The scope is justified because public infrastructure has the greatest multiplier effect on recovery. Roads, drainage and energy systems are enabling assets: once restored, they allow other sectors to resume functioning. </w:t>
      </w:r>
    </w:p>
    <w:p w14:paraId="32B3835C" w14:textId="035F537A"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By contrast, including private housing, compensation cases or broad redevelopment would diffuse resources and create significant stakeholder conflict. Maylor (2010) argues that projects fail not because they lack ambition, but because boundaries are poorly controlled. In this case, scope discipline protects delivery performance by concentrating effort on infrastructure that produces the highest collective benefit in the shortest realistic timeframe.</w:t>
      </w:r>
    </w:p>
    <w:p w14:paraId="38646255" w14:textId="021AA85A" w:rsidR="00A920C3" w:rsidRDefault="003C272E" w:rsidP="00305C07">
      <w:pPr>
        <w:spacing w:line="360" w:lineRule="auto"/>
        <w:jc w:val="both"/>
        <w:rPr>
          <w:rFonts w:ascii="Arial" w:hAnsi="Arial" w:cs="Arial"/>
          <w:sz w:val="22"/>
          <w:szCs w:val="22"/>
        </w:rPr>
      </w:pPr>
      <w:r w:rsidRPr="003C272E">
        <w:rPr>
          <w:rFonts w:ascii="Arial" w:hAnsi="Arial" w:cs="Arial"/>
          <w:sz w:val="22"/>
          <w:szCs w:val="22"/>
        </w:rPr>
        <w:t xml:space="preserve">The limitation of this scope is political rather than technical. Communities affected by flooding may reasonably expect wider support, including housing and local-business recovery. Therefore, the project manager must communicate clearly that this project contributes to </w:t>
      </w:r>
      <w:r w:rsidRPr="003C272E">
        <w:rPr>
          <w:rFonts w:ascii="Arial" w:hAnsi="Arial" w:cs="Arial"/>
          <w:sz w:val="22"/>
          <w:szCs w:val="22"/>
        </w:rPr>
        <w:t>recovery but</w:t>
      </w:r>
      <w:r w:rsidRPr="003C272E">
        <w:rPr>
          <w:rFonts w:ascii="Arial" w:hAnsi="Arial" w:cs="Arial"/>
          <w:sz w:val="22"/>
          <w:szCs w:val="22"/>
        </w:rPr>
        <w:t xml:space="preserve"> does not represent the whole recovery programme.</w:t>
      </w:r>
    </w:p>
    <w:p w14:paraId="0CEAF9D5" w14:textId="77777777" w:rsidR="003C272E" w:rsidRPr="00807B1D" w:rsidRDefault="003C272E" w:rsidP="00305C07">
      <w:pPr>
        <w:spacing w:line="360" w:lineRule="auto"/>
        <w:jc w:val="both"/>
        <w:rPr>
          <w:rFonts w:ascii="Arial" w:hAnsi="Arial" w:cs="Arial"/>
          <w:sz w:val="22"/>
          <w:szCs w:val="22"/>
        </w:rPr>
      </w:pPr>
    </w:p>
    <w:p w14:paraId="5CC32EEF" w14:textId="3A5E6FC9" w:rsidR="00B95744" w:rsidRPr="0079017A" w:rsidRDefault="003D665F" w:rsidP="00807B1D">
      <w:pPr>
        <w:spacing w:line="360" w:lineRule="auto"/>
        <w:rPr>
          <w:rFonts w:ascii="Arial" w:hAnsi="Arial" w:cs="Arial"/>
          <w:b/>
          <w:bCs/>
          <w:sz w:val="22"/>
          <w:szCs w:val="22"/>
        </w:rPr>
      </w:pPr>
      <w:r w:rsidRPr="00807B1D">
        <w:rPr>
          <w:rFonts w:ascii="Arial" w:hAnsi="Arial" w:cs="Arial"/>
          <w:b/>
          <w:bCs/>
          <w:sz w:val="22"/>
          <w:szCs w:val="22"/>
        </w:rPr>
        <w:t xml:space="preserve">4. </w:t>
      </w:r>
      <w:r w:rsidR="00B95744" w:rsidRPr="0079017A">
        <w:rPr>
          <w:rFonts w:ascii="Arial" w:hAnsi="Arial" w:cs="Arial"/>
          <w:b/>
          <w:bCs/>
          <w:sz w:val="22"/>
          <w:szCs w:val="22"/>
        </w:rPr>
        <w:t>Work Breakdown Structure</w:t>
      </w:r>
    </w:p>
    <w:p w14:paraId="4B4B7BF2" w14:textId="77777777" w:rsidR="003C272E" w:rsidRDefault="003C272E" w:rsidP="003C272E">
      <w:pPr>
        <w:spacing w:line="360" w:lineRule="auto"/>
        <w:jc w:val="both"/>
        <w:rPr>
          <w:rFonts w:ascii="Arial" w:hAnsi="Arial" w:cs="Arial"/>
          <w:sz w:val="22"/>
          <w:szCs w:val="22"/>
        </w:rPr>
      </w:pPr>
      <w:r w:rsidRPr="003C272E">
        <w:rPr>
          <w:rFonts w:ascii="Arial" w:hAnsi="Arial" w:cs="Arial"/>
          <w:sz w:val="22"/>
          <w:szCs w:val="22"/>
        </w:rPr>
        <w:t>A Work Breakdown Structure translates the overall project into smaller, controllable work packages. Nicholas and Steyn (2020) argue that WBS improves accountability and planning precision because each package can be assigned responsibility, costed and monitored. For the Worcester reconstruction project, the WBS is especially important because the work cuts across engineering, procurement, contractor management, utilities and compliance.</w:t>
      </w:r>
    </w:p>
    <w:p w14:paraId="57B9DD99" w14:textId="61D5347D"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Work Breakdown Structure (WBS)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25"/>
        <w:gridCol w:w="2682"/>
        <w:gridCol w:w="7155"/>
      </w:tblGrid>
      <w:tr w:rsidR="0024016F" w:rsidRPr="0024016F" w14:paraId="44C20C91" w14:textId="77777777" w:rsidTr="0024016F">
        <w:trPr>
          <w:tblHeader/>
          <w:tblCellSpacing w:w="15" w:type="dxa"/>
        </w:trPr>
        <w:tc>
          <w:tcPr>
            <w:tcW w:w="0" w:type="auto"/>
            <w:shd w:val="clear" w:color="auto" w:fill="D9D9D9" w:themeFill="background1" w:themeFillShade="D9"/>
            <w:vAlign w:val="center"/>
            <w:hideMark/>
          </w:tcPr>
          <w:p w14:paraId="107727A7"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WBS Code</w:t>
            </w:r>
          </w:p>
        </w:tc>
        <w:tc>
          <w:tcPr>
            <w:tcW w:w="0" w:type="auto"/>
            <w:shd w:val="clear" w:color="auto" w:fill="D9D9D9" w:themeFill="background1" w:themeFillShade="D9"/>
            <w:vAlign w:val="center"/>
            <w:hideMark/>
          </w:tcPr>
          <w:p w14:paraId="4638E8D1"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Project Component</w:t>
            </w:r>
          </w:p>
        </w:tc>
        <w:tc>
          <w:tcPr>
            <w:tcW w:w="0" w:type="auto"/>
            <w:shd w:val="clear" w:color="auto" w:fill="D9D9D9" w:themeFill="background1" w:themeFillShade="D9"/>
            <w:vAlign w:val="center"/>
            <w:hideMark/>
          </w:tcPr>
          <w:p w14:paraId="104867C8"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Activities</w:t>
            </w:r>
          </w:p>
        </w:tc>
      </w:tr>
      <w:tr w:rsidR="0024016F" w:rsidRPr="0024016F" w14:paraId="58C1406D" w14:textId="77777777" w:rsidTr="0024016F">
        <w:trPr>
          <w:tblCellSpacing w:w="15" w:type="dxa"/>
        </w:trPr>
        <w:tc>
          <w:tcPr>
            <w:tcW w:w="0" w:type="auto"/>
            <w:vAlign w:val="center"/>
            <w:hideMark/>
          </w:tcPr>
          <w:p w14:paraId="6368F742"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w:t>
            </w:r>
          </w:p>
        </w:tc>
        <w:tc>
          <w:tcPr>
            <w:tcW w:w="0" w:type="auto"/>
            <w:vAlign w:val="center"/>
            <w:hideMark/>
          </w:tcPr>
          <w:p w14:paraId="4CE27DFC"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Infrastructure Reconstruction Project</w:t>
            </w:r>
          </w:p>
        </w:tc>
        <w:tc>
          <w:tcPr>
            <w:tcW w:w="0" w:type="auto"/>
            <w:vAlign w:val="center"/>
            <w:hideMark/>
          </w:tcPr>
          <w:p w14:paraId="280812AD"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Overall project for restoring flood-damaged infrastructure in Worcester</w:t>
            </w:r>
          </w:p>
        </w:tc>
      </w:tr>
      <w:tr w:rsidR="0024016F" w:rsidRPr="0024016F" w14:paraId="2D476F51" w14:textId="77777777" w:rsidTr="0024016F">
        <w:trPr>
          <w:tblCellSpacing w:w="15" w:type="dxa"/>
        </w:trPr>
        <w:tc>
          <w:tcPr>
            <w:tcW w:w="0" w:type="auto"/>
            <w:vAlign w:val="center"/>
            <w:hideMark/>
          </w:tcPr>
          <w:p w14:paraId="08D17DAD"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1.1</w:t>
            </w:r>
          </w:p>
        </w:tc>
        <w:tc>
          <w:tcPr>
            <w:tcW w:w="0" w:type="auto"/>
            <w:vAlign w:val="center"/>
            <w:hideMark/>
          </w:tcPr>
          <w:p w14:paraId="67CF14C9"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Damage Assessment</w:t>
            </w:r>
          </w:p>
        </w:tc>
        <w:tc>
          <w:tcPr>
            <w:tcW w:w="0" w:type="auto"/>
            <w:vAlign w:val="center"/>
            <w:hideMark/>
          </w:tcPr>
          <w:p w14:paraId="0E5D530A"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Survey flood-affected areas; assess roads, drainage and electricity systems; produce technical damage reports</w:t>
            </w:r>
          </w:p>
        </w:tc>
      </w:tr>
      <w:tr w:rsidR="0024016F" w:rsidRPr="0024016F" w14:paraId="122438FC" w14:textId="77777777" w:rsidTr="0024016F">
        <w:trPr>
          <w:tblCellSpacing w:w="15" w:type="dxa"/>
        </w:trPr>
        <w:tc>
          <w:tcPr>
            <w:tcW w:w="0" w:type="auto"/>
            <w:vAlign w:val="center"/>
            <w:hideMark/>
          </w:tcPr>
          <w:p w14:paraId="2886313F"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1.2</w:t>
            </w:r>
          </w:p>
        </w:tc>
        <w:tc>
          <w:tcPr>
            <w:tcW w:w="0" w:type="auto"/>
            <w:vAlign w:val="center"/>
            <w:hideMark/>
          </w:tcPr>
          <w:p w14:paraId="3F1C07EB"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Project Planning</w:t>
            </w:r>
          </w:p>
        </w:tc>
        <w:tc>
          <w:tcPr>
            <w:tcW w:w="0" w:type="auto"/>
            <w:vAlign w:val="center"/>
            <w:hideMark/>
          </w:tcPr>
          <w:p w14:paraId="31688788"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Define scope and objectives; prepare budget and schedule; obtain approvals and permits</w:t>
            </w:r>
          </w:p>
        </w:tc>
      </w:tr>
      <w:tr w:rsidR="0024016F" w:rsidRPr="0024016F" w14:paraId="426018D2" w14:textId="77777777" w:rsidTr="0024016F">
        <w:trPr>
          <w:tblCellSpacing w:w="15" w:type="dxa"/>
        </w:trPr>
        <w:tc>
          <w:tcPr>
            <w:tcW w:w="0" w:type="auto"/>
            <w:vAlign w:val="center"/>
            <w:hideMark/>
          </w:tcPr>
          <w:p w14:paraId="12AAE774"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1.3</w:t>
            </w:r>
          </w:p>
        </w:tc>
        <w:tc>
          <w:tcPr>
            <w:tcW w:w="0" w:type="auto"/>
            <w:vAlign w:val="center"/>
            <w:hideMark/>
          </w:tcPr>
          <w:p w14:paraId="417E00B1"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Procurement</w:t>
            </w:r>
          </w:p>
        </w:tc>
        <w:tc>
          <w:tcPr>
            <w:tcW w:w="0" w:type="auto"/>
            <w:vAlign w:val="center"/>
            <w:hideMark/>
          </w:tcPr>
          <w:p w14:paraId="19ED5EF2"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Source materials and equipment; appoint contractors and suppliers; arrange transport and delivery schedules</w:t>
            </w:r>
          </w:p>
        </w:tc>
      </w:tr>
      <w:tr w:rsidR="0024016F" w:rsidRPr="0024016F" w14:paraId="26CC37D5" w14:textId="77777777" w:rsidTr="0024016F">
        <w:trPr>
          <w:tblCellSpacing w:w="15" w:type="dxa"/>
        </w:trPr>
        <w:tc>
          <w:tcPr>
            <w:tcW w:w="0" w:type="auto"/>
            <w:vAlign w:val="center"/>
            <w:hideMark/>
          </w:tcPr>
          <w:p w14:paraId="7BA4FEE3"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lastRenderedPageBreak/>
              <w:t>1.4</w:t>
            </w:r>
          </w:p>
        </w:tc>
        <w:tc>
          <w:tcPr>
            <w:tcW w:w="0" w:type="auto"/>
            <w:vAlign w:val="center"/>
            <w:hideMark/>
          </w:tcPr>
          <w:p w14:paraId="03D33910"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Infrastructure Reconstruction</w:t>
            </w:r>
          </w:p>
        </w:tc>
        <w:tc>
          <w:tcPr>
            <w:tcW w:w="0" w:type="auto"/>
            <w:vAlign w:val="center"/>
            <w:hideMark/>
          </w:tcPr>
          <w:p w14:paraId="5940D22F"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Repair roads and transport routes; rebuild damaged sections of drainage systems; reinforce vulnerable infrastructure points</w:t>
            </w:r>
          </w:p>
        </w:tc>
      </w:tr>
      <w:tr w:rsidR="0024016F" w:rsidRPr="0024016F" w14:paraId="4AEADEA6" w14:textId="77777777" w:rsidTr="0024016F">
        <w:trPr>
          <w:tblCellSpacing w:w="15" w:type="dxa"/>
        </w:trPr>
        <w:tc>
          <w:tcPr>
            <w:tcW w:w="0" w:type="auto"/>
            <w:vAlign w:val="center"/>
            <w:hideMark/>
          </w:tcPr>
          <w:p w14:paraId="0386A94B"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1.5</w:t>
            </w:r>
          </w:p>
        </w:tc>
        <w:tc>
          <w:tcPr>
            <w:tcW w:w="0" w:type="auto"/>
            <w:vAlign w:val="center"/>
            <w:hideMark/>
          </w:tcPr>
          <w:p w14:paraId="60195D96"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Utility Restoration</w:t>
            </w:r>
          </w:p>
        </w:tc>
        <w:tc>
          <w:tcPr>
            <w:tcW w:w="0" w:type="auto"/>
            <w:vAlign w:val="center"/>
            <w:hideMark/>
          </w:tcPr>
          <w:p w14:paraId="48283E4D"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Restore damaged electricity distribution assets; test electrical systems for reliability and safety</w:t>
            </w:r>
          </w:p>
        </w:tc>
      </w:tr>
      <w:tr w:rsidR="0024016F" w:rsidRPr="0024016F" w14:paraId="14928788" w14:textId="77777777" w:rsidTr="0024016F">
        <w:trPr>
          <w:tblCellSpacing w:w="15" w:type="dxa"/>
        </w:trPr>
        <w:tc>
          <w:tcPr>
            <w:tcW w:w="0" w:type="auto"/>
            <w:vAlign w:val="center"/>
            <w:hideMark/>
          </w:tcPr>
          <w:p w14:paraId="2F6C5581"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1.6</w:t>
            </w:r>
          </w:p>
        </w:tc>
        <w:tc>
          <w:tcPr>
            <w:tcW w:w="0" w:type="auto"/>
            <w:vAlign w:val="center"/>
            <w:hideMark/>
          </w:tcPr>
          <w:p w14:paraId="6A190F7A"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Monitoring and Quality Control</w:t>
            </w:r>
          </w:p>
        </w:tc>
        <w:tc>
          <w:tcPr>
            <w:tcW w:w="0" w:type="auto"/>
            <w:vAlign w:val="center"/>
            <w:hideMark/>
          </w:tcPr>
          <w:p w14:paraId="5E739E73"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Conduct progress reviews; carry out safety inspections; monitor cost, schedule and quality performance</w:t>
            </w:r>
          </w:p>
        </w:tc>
      </w:tr>
      <w:tr w:rsidR="0024016F" w:rsidRPr="0024016F" w14:paraId="0C4D9070" w14:textId="77777777" w:rsidTr="0024016F">
        <w:trPr>
          <w:tblCellSpacing w:w="15" w:type="dxa"/>
        </w:trPr>
        <w:tc>
          <w:tcPr>
            <w:tcW w:w="0" w:type="auto"/>
            <w:vAlign w:val="center"/>
            <w:hideMark/>
          </w:tcPr>
          <w:p w14:paraId="54663982"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1.7</w:t>
            </w:r>
          </w:p>
        </w:tc>
        <w:tc>
          <w:tcPr>
            <w:tcW w:w="0" w:type="auto"/>
            <w:vAlign w:val="center"/>
            <w:hideMark/>
          </w:tcPr>
          <w:p w14:paraId="70B9068B"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Final Inspection and Handover</w:t>
            </w:r>
          </w:p>
        </w:tc>
        <w:tc>
          <w:tcPr>
            <w:tcW w:w="0" w:type="auto"/>
            <w:vAlign w:val="center"/>
            <w:hideMark/>
          </w:tcPr>
          <w:p w14:paraId="053CE5EE" w14:textId="77777777" w:rsidR="0024016F" w:rsidRPr="0024016F" w:rsidRDefault="0024016F" w:rsidP="0024016F">
            <w:pPr>
              <w:spacing w:line="360" w:lineRule="auto"/>
              <w:rPr>
                <w:rFonts w:ascii="Arial" w:hAnsi="Arial" w:cs="Arial"/>
                <w:sz w:val="22"/>
                <w:szCs w:val="22"/>
              </w:rPr>
            </w:pPr>
            <w:r w:rsidRPr="0024016F">
              <w:rPr>
                <w:rFonts w:ascii="Arial" w:hAnsi="Arial" w:cs="Arial"/>
                <w:sz w:val="22"/>
                <w:szCs w:val="22"/>
              </w:rPr>
              <w:t>Complete final testing; obtain regulatory approval; handover completed works to relevant authorities</w:t>
            </w:r>
          </w:p>
        </w:tc>
      </w:tr>
    </w:tbl>
    <w:p w14:paraId="60FC36A6" w14:textId="77777777" w:rsidR="0024016F" w:rsidRDefault="0024016F" w:rsidP="00807B1D">
      <w:pPr>
        <w:spacing w:line="360" w:lineRule="auto"/>
        <w:jc w:val="both"/>
        <w:rPr>
          <w:rFonts w:ascii="Arial" w:hAnsi="Arial" w:cs="Arial"/>
          <w:sz w:val="22"/>
          <w:szCs w:val="22"/>
        </w:rPr>
      </w:pPr>
    </w:p>
    <w:p w14:paraId="7D10A1D1"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The analytical value of the WBS is that it breaks the project into outputs that can be governed. For example, procurement is separated from reconstruction because supply delays are a distinct management problem requiring different controls. Similarly, monitoring is treated as a standalone work package, which reinforces that quality, cost and safety management are not secondary activities but integral project functions.</w:t>
      </w:r>
    </w:p>
    <w:p w14:paraId="021CB847"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Its limitation is that it does not show sequencing or interdependence. A WBS can identify that drainage and utility restoration are both required, but not whether one depends on excavation access, traffic management approval or material delivery from another package. Therefore, the WBS must be combined with scheduling and milestone control.</w:t>
      </w:r>
    </w:p>
    <w:p w14:paraId="1603CA4E" w14:textId="77777777" w:rsidR="00C92F78" w:rsidRDefault="00C92F78" w:rsidP="00807B1D">
      <w:pPr>
        <w:spacing w:line="360" w:lineRule="auto"/>
        <w:rPr>
          <w:rFonts w:ascii="Arial" w:hAnsi="Arial" w:cs="Arial"/>
          <w:b/>
          <w:bCs/>
          <w:sz w:val="22"/>
          <w:szCs w:val="22"/>
        </w:rPr>
      </w:pPr>
    </w:p>
    <w:p w14:paraId="46EC7126" w14:textId="1CDAEEB1" w:rsidR="00B95744" w:rsidRPr="00807B1D" w:rsidRDefault="003D665F" w:rsidP="00807B1D">
      <w:pPr>
        <w:spacing w:line="360" w:lineRule="auto"/>
        <w:rPr>
          <w:rFonts w:ascii="Arial" w:hAnsi="Arial" w:cs="Arial"/>
          <w:b/>
          <w:bCs/>
          <w:sz w:val="22"/>
          <w:szCs w:val="22"/>
        </w:rPr>
      </w:pPr>
      <w:r w:rsidRPr="00807B1D">
        <w:rPr>
          <w:rFonts w:ascii="Arial" w:hAnsi="Arial" w:cs="Arial"/>
          <w:b/>
          <w:bCs/>
          <w:sz w:val="22"/>
          <w:szCs w:val="22"/>
        </w:rPr>
        <w:t xml:space="preserve">5. </w:t>
      </w:r>
      <w:r w:rsidR="00B95744" w:rsidRPr="0079017A">
        <w:rPr>
          <w:rFonts w:ascii="Arial" w:hAnsi="Arial" w:cs="Arial"/>
          <w:b/>
          <w:bCs/>
          <w:sz w:val="22"/>
          <w:szCs w:val="22"/>
        </w:rPr>
        <w:t>Quad Chart</w:t>
      </w:r>
    </w:p>
    <w:p w14:paraId="119495F8" w14:textId="77777777" w:rsidR="003C272E" w:rsidRDefault="003C272E" w:rsidP="00807B1D">
      <w:pPr>
        <w:spacing w:line="360" w:lineRule="auto"/>
        <w:jc w:val="both"/>
        <w:rPr>
          <w:rFonts w:ascii="Arial" w:hAnsi="Arial" w:cs="Arial"/>
          <w:sz w:val="22"/>
          <w:szCs w:val="22"/>
        </w:rPr>
      </w:pPr>
      <w:r w:rsidRPr="003C272E">
        <w:rPr>
          <w:rFonts w:ascii="Arial" w:hAnsi="Arial" w:cs="Arial"/>
          <w:sz w:val="22"/>
          <w:szCs w:val="22"/>
        </w:rPr>
        <w:t>A quad chart summarises the project under four headings: objectives, schedule, budget and deliverables. It is useful because senior stakeholders often require concise decision-oriented information rather than detailed operational data. Turner (2016) and Kerzner (2022) suggest that summary tools are valuable when projects require regular executive oversight.</w:t>
      </w:r>
    </w:p>
    <w:p w14:paraId="24AC07E1" w14:textId="33885E40" w:rsidR="00857FB3" w:rsidRPr="00857FB3" w:rsidRDefault="005A4DC4" w:rsidP="00807B1D">
      <w:pPr>
        <w:spacing w:line="360" w:lineRule="auto"/>
        <w:jc w:val="both"/>
        <w:rPr>
          <w:rFonts w:ascii="Arial" w:hAnsi="Arial" w:cs="Arial"/>
          <w:sz w:val="22"/>
          <w:szCs w:val="22"/>
        </w:rPr>
      </w:pPr>
      <w:r>
        <w:rPr>
          <w:rFonts w:ascii="Arial" w:hAnsi="Arial" w:cs="Arial"/>
          <w:sz w:val="22"/>
          <w:szCs w:val="22"/>
        </w:rPr>
        <w:t xml:space="preserve">Quad Chart </w:t>
      </w:r>
      <w:r w:rsidR="00857FB3" w:rsidRPr="00857FB3">
        <w:rPr>
          <w:rFonts w:ascii="Arial" w:hAnsi="Arial" w:cs="Arial"/>
          <w:sz w:val="22"/>
          <w:szCs w:val="22"/>
        </w:rPr>
        <w:t>Overview</w:t>
      </w:r>
    </w:p>
    <w:tbl>
      <w:tblPr>
        <w:tblW w:w="1070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08"/>
        <w:gridCol w:w="4695"/>
      </w:tblGrid>
      <w:tr w:rsidR="00857FB3" w:rsidRPr="00857FB3" w14:paraId="3350ED79" w14:textId="77777777" w:rsidTr="005668EC">
        <w:trPr>
          <w:trHeight w:val="474"/>
          <w:tblHeader/>
          <w:tblCellSpacing w:w="15" w:type="dxa"/>
        </w:trPr>
        <w:tc>
          <w:tcPr>
            <w:tcW w:w="0" w:type="auto"/>
            <w:shd w:val="clear" w:color="auto" w:fill="D9D9D9" w:themeFill="background1" w:themeFillShade="D9"/>
            <w:vAlign w:val="center"/>
            <w:hideMark/>
          </w:tcPr>
          <w:p w14:paraId="76B7142F"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Project Objectives</w:t>
            </w:r>
          </w:p>
        </w:tc>
        <w:tc>
          <w:tcPr>
            <w:tcW w:w="0" w:type="auto"/>
            <w:shd w:val="clear" w:color="auto" w:fill="D9D9D9" w:themeFill="background1" w:themeFillShade="D9"/>
            <w:vAlign w:val="center"/>
            <w:hideMark/>
          </w:tcPr>
          <w:p w14:paraId="688E39EB"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Project Schedule</w:t>
            </w:r>
          </w:p>
        </w:tc>
      </w:tr>
      <w:tr w:rsidR="00857FB3" w:rsidRPr="00857FB3" w14:paraId="185174E8" w14:textId="77777777" w:rsidTr="005668EC">
        <w:trPr>
          <w:trHeight w:val="474"/>
          <w:tblCellSpacing w:w="15" w:type="dxa"/>
        </w:trPr>
        <w:tc>
          <w:tcPr>
            <w:tcW w:w="0" w:type="auto"/>
            <w:vAlign w:val="center"/>
            <w:hideMark/>
          </w:tcPr>
          <w:p w14:paraId="42B31386"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Restore flood-damaged infrastructure in Worcester</w:t>
            </w:r>
          </w:p>
        </w:tc>
        <w:tc>
          <w:tcPr>
            <w:tcW w:w="0" w:type="auto"/>
            <w:vAlign w:val="center"/>
            <w:hideMark/>
          </w:tcPr>
          <w:p w14:paraId="6B00C9FA"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Estimated duration: 6 months</w:t>
            </w:r>
          </w:p>
        </w:tc>
      </w:tr>
      <w:tr w:rsidR="00857FB3" w:rsidRPr="00857FB3" w14:paraId="40499474" w14:textId="77777777" w:rsidTr="005668EC">
        <w:trPr>
          <w:trHeight w:val="459"/>
          <w:tblCellSpacing w:w="15" w:type="dxa"/>
        </w:trPr>
        <w:tc>
          <w:tcPr>
            <w:tcW w:w="0" w:type="auto"/>
            <w:vAlign w:val="center"/>
            <w:hideMark/>
          </w:tcPr>
          <w:p w14:paraId="07FEB024"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Rebuild roads, electricity systems and drainage networks</w:t>
            </w:r>
          </w:p>
        </w:tc>
        <w:tc>
          <w:tcPr>
            <w:tcW w:w="0" w:type="auto"/>
            <w:vAlign w:val="center"/>
            <w:hideMark/>
          </w:tcPr>
          <w:p w14:paraId="50B80FF9"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Phase 1: Damage assessment and planning</w:t>
            </w:r>
          </w:p>
        </w:tc>
      </w:tr>
      <w:tr w:rsidR="00857FB3" w:rsidRPr="00857FB3" w14:paraId="4AF7B628" w14:textId="77777777" w:rsidTr="005668EC">
        <w:trPr>
          <w:trHeight w:val="474"/>
          <w:tblCellSpacing w:w="15" w:type="dxa"/>
        </w:trPr>
        <w:tc>
          <w:tcPr>
            <w:tcW w:w="0" w:type="auto"/>
            <w:vAlign w:val="center"/>
            <w:hideMark/>
          </w:tcPr>
          <w:p w14:paraId="61D10D8A"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Improve resilience against future flood events</w:t>
            </w:r>
          </w:p>
        </w:tc>
        <w:tc>
          <w:tcPr>
            <w:tcW w:w="0" w:type="auto"/>
            <w:vAlign w:val="center"/>
            <w:hideMark/>
          </w:tcPr>
          <w:p w14:paraId="2C015A73"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Phase 2: Procurement and reconstruction</w:t>
            </w:r>
          </w:p>
        </w:tc>
      </w:tr>
      <w:tr w:rsidR="00857FB3" w:rsidRPr="00857FB3" w14:paraId="4FBC9271" w14:textId="77777777" w:rsidTr="005668EC">
        <w:trPr>
          <w:trHeight w:val="474"/>
          <w:tblCellSpacing w:w="15" w:type="dxa"/>
        </w:trPr>
        <w:tc>
          <w:tcPr>
            <w:tcW w:w="0" w:type="auto"/>
            <w:vAlign w:val="center"/>
            <w:hideMark/>
          </w:tcPr>
          <w:p w14:paraId="1C140835"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lastRenderedPageBreak/>
              <w:t>Support community recovery and public safety</w:t>
            </w:r>
          </w:p>
        </w:tc>
        <w:tc>
          <w:tcPr>
            <w:tcW w:w="0" w:type="auto"/>
            <w:vAlign w:val="center"/>
            <w:hideMark/>
          </w:tcPr>
          <w:p w14:paraId="478B8D67"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Phase 3: Inspection and closure</w:t>
            </w:r>
          </w:p>
        </w:tc>
      </w:tr>
    </w:tbl>
    <w:p w14:paraId="104AD3B8" w14:textId="77777777" w:rsidR="00857FB3" w:rsidRPr="00857FB3" w:rsidRDefault="00857FB3" w:rsidP="00807B1D">
      <w:pPr>
        <w:spacing w:line="360" w:lineRule="auto"/>
        <w:jc w:val="both"/>
        <w:rPr>
          <w:rFonts w:ascii="Arial" w:hAnsi="Arial" w:cs="Arial"/>
          <w:vanish/>
          <w:sz w:val="22"/>
          <w:szCs w:val="22"/>
        </w:rPr>
      </w:pPr>
    </w:p>
    <w:tbl>
      <w:tblPr>
        <w:tblW w:w="1071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96"/>
        <w:gridCol w:w="4720"/>
      </w:tblGrid>
      <w:tr w:rsidR="00857FB3" w:rsidRPr="00857FB3" w14:paraId="4298EC49" w14:textId="77777777" w:rsidTr="005668EC">
        <w:trPr>
          <w:trHeight w:val="449"/>
          <w:tblHeader/>
          <w:tblCellSpacing w:w="15" w:type="dxa"/>
        </w:trPr>
        <w:tc>
          <w:tcPr>
            <w:tcW w:w="0" w:type="auto"/>
            <w:shd w:val="clear" w:color="auto" w:fill="D9D9D9" w:themeFill="background1" w:themeFillShade="D9"/>
            <w:vAlign w:val="center"/>
            <w:hideMark/>
          </w:tcPr>
          <w:p w14:paraId="21A8E514"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Project Budget</w:t>
            </w:r>
          </w:p>
        </w:tc>
        <w:tc>
          <w:tcPr>
            <w:tcW w:w="0" w:type="auto"/>
            <w:shd w:val="clear" w:color="auto" w:fill="D9D9D9" w:themeFill="background1" w:themeFillShade="D9"/>
            <w:vAlign w:val="center"/>
            <w:hideMark/>
          </w:tcPr>
          <w:p w14:paraId="676902AF"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Project Deliverables</w:t>
            </w:r>
          </w:p>
        </w:tc>
      </w:tr>
      <w:tr w:rsidR="00857FB3" w:rsidRPr="00857FB3" w14:paraId="18D3224A" w14:textId="77777777" w:rsidTr="005668EC">
        <w:trPr>
          <w:trHeight w:val="449"/>
          <w:tblCellSpacing w:w="15" w:type="dxa"/>
        </w:trPr>
        <w:tc>
          <w:tcPr>
            <w:tcW w:w="0" w:type="auto"/>
            <w:vAlign w:val="center"/>
            <w:hideMark/>
          </w:tcPr>
          <w:p w14:paraId="7FAD77E5"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Estimated budget: £4–6 million</w:t>
            </w:r>
          </w:p>
        </w:tc>
        <w:tc>
          <w:tcPr>
            <w:tcW w:w="0" w:type="auto"/>
            <w:vAlign w:val="center"/>
            <w:hideMark/>
          </w:tcPr>
          <w:p w14:paraId="3CDD820E"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Reconstructed roads and transport routes</w:t>
            </w:r>
          </w:p>
        </w:tc>
      </w:tr>
      <w:tr w:rsidR="00857FB3" w:rsidRPr="00857FB3" w14:paraId="1C68C783" w14:textId="77777777" w:rsidTr="005668EC">
        <w:trPr>
          <w:trHeight w:val="434"/>
          <w:tblCellSpacing w:w="15" w:type="dxa"/>
        </w:trPr>
        <w:tc>
          <w:tcPr>
            <w:tcW w:w="0" w:type="auto"/>
            <w:vAlign w:val="center"/>
            <w:hideMark/>
          </w:tcPr>
          <w:p w14:paraId="76D72421"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Funding from local authority and recovery funds</w:t>
            </w:r>
          </w:p>
        </w:tc>
        <w:tc>
          <w:tcPr>
            <w:tcW w:w="0" w:type="auto"/>
            <w:vAlign w:val="center"/>
            <w:hideMark/>
          </w:tcPr>
          <w:p w14:paraId="36920F7C"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Restored electricity distribution systems</w:t>
            </w:r>
          </w:p>
        </w:tc>
      </w:tr>
      <w:tr w:rsidR="00857FB3" w:rsidRPr="00857FB3" w14:paraId="1DDDB5BD" w14:textId="77777777" w:rsidTr="005668EC">
        <w:trPr>
          <w:trHeight w:val="449"/>
          <w:tblCellSpacing w:w="15" w:type="dxa"/>
        </w:trPr>
        <w:tc>
          <w:tcPr>
            <w:tcW w:w="0" w:type="auto"/>
            <w:vAlign w:val="center"/>
            <w:hideMark/>
          </w:tcPr>
          <w:p w14:paraId="7ABAC0A8"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Budget allocation for labour, equipment and materials</w:t>
            </w:r>
          </w:p>
        </w:tc>
        <w:tc>
          <w:tcPr>
            <w:tcW w:w="0" w:type="auto"/>
            <w:vAlign w:val="center"/>
            <w:hideMark/>
          </w:tcPr>
          <w:p w14:paraId="697DE597"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Repaired and improved drainage systems</w:t>
            </w:r>
          </w:p>
        </w:tc>
      </w:tr>
      <w:tr w:rsidR="00857FB3" w:rsidRPr="00857FB3" w14:paraId="2F4CA140" w14:textId="77777777" w:rsidTr="005668EC">
        <w:trPr>
          <w:trHeight w:val="449"/>
          <w:tblCellSpacing w:w="15" w:type="dxa"/>
        </w:trPr>
        <w:tc>
          <w:tcPr>
            <w:tcW w:w="0" w:type="auto"/>
            <w:vAlign w:val="center"/>
            <w:hideMark/>
          </w:tcPr>
          <w:p w14:paraId="5D91CC01"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Monitoring and quality control included</w:t>
            </w:r>
          </w:p>
        </w:tc>
        <w:tc>
          <w:tcPr>
            <w:tcW w:w="0" w:type="auto"/>
            <w:vAlign w:val="center"/>
            <w:hideMark/>
          </w:tcPr>
          <w:p w14:paraId="3D4C32FB" w14:textId="77777777" w:rsidR="00857FB3" w:rsidRPr="00857FB3" w:rsidRDefault="00857FB3" w:rsidP="00807B1D">
            <w:pPr>
              <w:spacing w:line="360" w:lineRule="auto"/>
              <w:jc w:val="both"/>
              <w:rPr>
                <w:rFonts w:ascii="Arial" w:hAnsi="Arial" w:cs="Arial"/>
                <w:sz w:val="22"/>
                <w:szCs w:val="22"/>
              </w:rPr>
            </w:pPr>
            <w:r w:rsidRPr="00857FB3">
              <w:rPr>
                <w:rFonts w:ascii="Arial" w:hAnsi="Arial" w:cs="Arial"/>
                <w:sz w:val="22"/>
                <w:szCs w:val="22"/>
              </w:rPr>
              <w:t>Final inspection, approval and handover</w:t>
            </w:r>
          </w:p>
        </w:tc>
      </w:tr>
    </w:tbl>
    <w:p w14:paraId="4B3AC01A" w14:textId="77777777" w:rsidR="0024016F" w:rsidRDefault="0024016F" w:rsidP="0024016F">
      <w:pPr>
        <w:spacing w:line="360" w:lineRule="auto"/>
        <w:jc w:val="both"/>
        <w:rPr>
          <w:rFonts w:ascii="Arial" w:hAnsi="Arial" w:cs="Arial"/>
          <w:sz w:val="22"/>
          <w:szCs w:val="22"/>
        </w:rPr>
      </w:pPr>
    </w:p>
    <w:p w14:paraId="101B62B0" w14:textId="0C2CCD69" w:rsidR="00C92F78" w:rsidRDefault="003C272E" w:rsidP="003C272E">
      <w:pPr>
        <w:spacing w:line="360" w:lineRule="auto"/>
        <w:jc w:val="both"/>
        <w:rPr>
          <w:rFonts w:ascii="Arial" w:hAnsi="Arial" w:cs="Arial"/>
          <w:sz w:val="22"/>
          <w:szCs w:val="22"/>
        </w:rPr>
      </w:pPr>
      <w:r w:rsidRPr="003C272E">
        <w:rPr>
          <w:rFonts w:ascii="Arial" w:hAnsi="Arial" w:cs="Arial"/>
          <w:sz w:val="22"/>
          <w:szCs w:val="22"/>
        </w:rPr>
        <w:t xml:space="preserve">The quad chart is justified because it helps align political, financial and operational stakeholders around a single summary view. In a public-sector recovery project, this is especially useful where councillors, regulators and partner agencies may need rapid briefings. However, the chart is not an analytical </w:t>
      </w:r>
      <w:r w:rsidRPr="003C272E">
        <w:rPr>
          <w:rFonts w:ascii="Arial" w:hAnsi="Arial" w:cs="Arial"/>
          <w:sz w:val="22"/>
          <w:szCs w:val="22"/>
        </w:rPr>
        <w:t>tool</w:t>
      </w:r>
      <w:r w:rsidRPr="003C272E">
        <w:rPr>
          <w:rFonts w:ascii="Arial" w:hAnsi="Arial" w:cs="Arial"/>
          <w:sz w:val="22"/>
          <w:szCs w:val="22"/>
        </w:rPr>
        <w:t>. It compresses information and therefore conceals assumptions, trade-offs and risk. Its proper role is communication support, not detailed project control.</w:t>
      </w:r>
    </w:p>
    <w:p w14:paraId="532DBB5E" w14:textId="77777777" w:rsidR="003C272E" w:rsidRDefault="003C272E" w:rsidP="00807B1D">
      <w:pPr>
        <w:spacing w:line="360" w:lineRule="auto"/>
        <w:rPr>
          <w:rFonts w:ascii="Arial" w:hAnsi="Arial" w:cs="Arial"/>
          <w:sz w:val="22"/>
          <w:szCs w:val="22"/>
        </w:rPr>
      </w:pPr>
    </w:p>
    <w:p w14:paraId="77BD8EFA" w14:textId="1A3220A7" w:rsidR="00B95744" w:rsidRPr="00807B1D" w:rsidRDefault="003D665F" w:rsidP="00807B1D">
      <w:pPr>
        <w:spacing w:line="360" w:lineRule="auto"/>
        <w:rPr>
          <w:rFonts w:ascii="Arial" w:hAnsi="Arial" w:cs="Arial"/>
          <w:b/>
          <w:bCs/>
          <w:sz w:val="22"/>
          <w:szCs w:val="22"/>
        </w:rPr>
      </w:pPr>
      <w:r w:rsidRPr="00807B1D">
        <w:rPr>
          <w:rFonts w:ascii="Arial" w:hAnsi="Arial" w:cs="Arial"/>
          <w:b/>
          <w:bCs/>
          <w:sz w:val="22"/>
          <w:szCs w:val="22"/>
        </w:rPr>
        <w:t xml:space="preserve">6. </w:t>
      </w:r>
      <w:r w:rsidR="00B95744" w:rsidRPr="0079017A">
        <w:rPr>
          <w:rFonts w:ascii="Arial" w:hAnsi="Arial" w:cs="Arial"/>
          <w:b/>
          <w:bCs/>
          <w:sz w:val="22"/>
          <w:szCs w:val="22"/>
        </w:rPr>
        <w:t>Gantt Chart</w:t>
      </w:r>
    </w:p>
    <w:p w14:paraId="09F042ED" w14:textId="77777777" w:rsidR="003C272E" w:rsidRDefault="003C272E" w:rsidP="00807B1D">
      <w:pPr>
        <w:spacing w:line="360" w:lineRule="auto"/>
        <w:jc w:val="both"/>
        <w:rPr>
          <w:rFonts w:ascii="Arial" w:hAnsi="Arial" w:cs="Arial"/>
          <w:sz w:val="22"/>
          <w:szCs w:val="22"/>
        </w:rPr>
      </w:pPr>
      <w:r w:rsidRPr="003C272E">
        <w:rPr>
          <w:rFonts w:ascii="Arial" w:hAnsi="Arial" w:cs="Arial"/>
          <w:sz w:val="22"/>
          <w:szCs w:val="22"/>
        </w:rPr>
        <w:t>A Gantt chart is a schedule-control tool that maps activities over time and makes overlap, dependency and slippage visible. Meredith, Mantel and Shafer (2021) argue that its strength lies in turning abstract sequencing into an observable timetable. In the Worcester reconstruction project, that is particularly important because a six-month window leaves little room for unmonitored delay.</w:t>
      </w:r>
    </w:p>
    <w:p w14:paraId="55B4D767" w14:textId="2DB4BE2B"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Gantt Chart Overview</w:t>
      </w:r>
    </w:p>
    <w:tbl>
      <w:tblPr>
        <w:tblW w:w="1066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56"/>
        <w:gridCol w:w="1049"/>
        <w:gridCol w:w="1008"/>
        <w:gridCol w:w="1008"/>
        <w:gridCol w:w="1008"/>
        <w:gridCol w:w="1008"/>
        <w:gridCol w:w="1008"/>
        <w:gridCol w:w="1023"/>
      </w:tblGrid>
      <w:tr w:rsidR="005668EC" w:rsidRPr="00807B1D" w14:paraId="3E3FBB15" w14:textId="77777777" w:rsidTr="005668EC">
        <w:trPr>
          <w:trHeight w:val="455"/>
          <w:tblHeader/>
          <w:tblCellSpacing w:w="15" w:type="dxa"/>
        </w:trPr>
        <w:tc>
          <w:tcPr>
            <w:tcW w:w="0" w:type="auto"/>
            <w:shd w:val="clear" w:color="auto" w:fill="D9D9D9" w:themeFill="background1" w:themeFillShade="D9"/>
            <w:vAlign w:val="center"/>
            <w:hideMark/>
          </w:tcPr>
          <w:p w14:paraId="15B871D2"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Project Activity</w:t>
            </w:r>
          </w:p>
        </w:tc>
        <w:tc>
          <w:tcPr>
            <w:tcW w:w="0" w:type="auto"/>
            <w:shd w:val="clear" w:color="auto" w:fill="D9D9D9" w:themeFill="background1" w:themeFillShade="D9"/>
            <w:vAlign w:val="center"/>
            <w:hideMark/>
          </w:tcPr>
          <w:p w14:paraId="5FF3523D"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Duration</w:t>
            </w:r>
          </w:p>
        </w:tc>
        <w:tc>
          <w:tcPr>
            <w:tcW w:w="0" w:type="auto"/>
            <w:shd w:val="clear" w:color="auto" w:fill="D9D9D9" w:themeFill="background1" w:themeFillShade="D9"/>
            <w:vAlign w:val="center"/>
            <w:hideMark/>
          </w:tcPr>
          <w:p w14:paraId="14A6DCE8"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Month 1</w:t>
            </w:r>
          </w:p>
        </w:tc>
        <w:tc>
          <w:tcPr>
            <w:tcW w:w="0" w:type="auto"/>
            <w:shd w:val="clear" w:color="auto" w:fill="D9D9D9" w:themeFill="background1" w:themeFillShade="D9"/>
            <w:vAlign w:val="center"/>
            <w:hideMark/>
          </w:tcPr>
          <w:p w14:paraId="60757597"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Month 2</w:t>
            </w:r>
          </w:p>
        </w:tc>
        <w:tc>
          <w:tcPr>
            <w:tcW w:w="0" w:type="auto"/>
            <w:shd w:val="clear" w:color="auto" w:fill="D9D9D9" w:themeFill="background1" w:themeFillShade="D9"/>
            <w:vAlign w:val="center"/>
            <w:hideMark/>
          </w:tcPr>
          <w:p w14:paraId="152CFC5F"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Month 3</w:t>
            </w:r>
          </w:p>
        </w:tc>
        <w:tc>
          <w:tcPr>
            <w:tcW w:w="0" w:type="auto"/>
            <w:shd w:val="clear" w:color="auto" w:fill="D9D9D9" w:themeFill="background1" w:themeFillShade="D9"/>
            <w:vAlign w:val="center"/>
            <w:hideMark/>
          </w:tcPr>
          <w:p w14:paraId="79DA8C2B"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Month 4</w:t>
            </w:r>
          </w:p>
        </w:tc>
        <w:tc>
          <w:tcPr>
            <w:tcW w:w="0" w:type="auto"/>
            <w:shd w:val="clear" w:color="auto" w:fill="D9D9D9" w:themeFill="background1" w:themeFillShade="D9"/>
            <w:vAlign w:val="center"/>
            <w:hideMark/>
          </w:tcPr>
          <w:p w14:paraId="50404EA6"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Month 5</w:t>
            </w:r>
          </w:p>
        </w:tc>
        <w:tc>
          <w:tcPr>
            <w:tcW w:w="0" w:type="auto"/>
            <w:shd w:val="clear" w:color="auto" w:fill="D9D9D9" w:themeFill="background1" w:themeFillShade="D9"/>
            <w:vAlign w:val="center"/>
            <w:hideMark/>
          </w:tcPr>
          <w:p w14:paraId="4E16080D"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Month 6</w:t>
            </w:r>
          </w:p>
        </w:tc>
      </w:tr>
      <w:tr w:rsidR="005668EC" w:rsidRPr="00807B1D" w14:paraId="54517C7F" w14:textId="77777777" w:rsidTr="005668EC">
        <w:trPr>
          <w:trHeight w:val="501"/>
          <w:tblCellSpacing w:w="15" w:type="dxa"/>
        </w:trPr>
        <w:tc>
          <w:tcPr>
            <w:tcW w:w="0" w:type="auto"/>
            <w:vAlign w:val="center"/>
            <w:hideMark/>
          </w:tcPr>
          <w:p w14:paraId="2DF8DEBC"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Damage Assessment</w:t>
            </w:r>
          </w:p>
        </w:tc>
        <w:tc>
          <w:tcPr>
            <w:tcW w:w="0" w:type="auto"/>
            <w:vAlign w:val="center"/>
            <w:hideMark/>
          </w:tcPr>
          <w:p w14:paraId="3F859E6D"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2 weeks</w:t>
            </w:r>
          </w:p>
        </w:tc>
        <w:tc>
          <w:tcPr>
            <w:tcW w:w="0" w:type="auto"/>
            <w:vAlign w:val="center"/>
            <w:hideMark/>
          </w:tcPr>
          <w:p w14:paraId="041B840F"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2EA5D95D"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2B909B2E"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659DF7BE"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78363186"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5216EB66" w14:textId="77777777" w:rsidR="005668EC" w:rsidRPr="005668EC" w:rsidRDefault="005668EC" w:rsidP="00807B1D">
            <w:pPr>
              <w:spacing w:line="360" w:lineRule="auto"/>
              <w:jc w:val="both"/>
              <w:rPr>
                <w:rFonts w:ascii="Arial" w:hAnsi="Arial" w:cs="Arial"/>
                <w:sz w:val="22"/>
                <w:szCs w:val="22"/>
              </w:rPr>
            </w:pPr>
          </w:p>
        </w:tc>
      </w:tr>
      <w:tr w:rsidR="005668EC" w:rsidRPr="00807B1D" w14:paraId="26D03757" w14:textId="77777777" w:rsidTr="005668EC">
        <w:trPr>
          <w:trHeight w:val="486"/>
          <w:tblCellSpacing w:w="15" w:type="dxa"/>
        </w:trPr>
        <w:tc>
          <w:tcPr>
            <w:tcW w:w="0" w:type="auto"/>
            <w:vAlign w:val="center"/>
            <w:hideMark/>
          </w:tcPr>
          <w:p w14:paraId="5522092C"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Project Planning</w:t>
            </w:r>
          </w:p>
        </w:tc>
        <w:tc>
          <w:tcPr>
            <w:tcW w:w="0" w:type="auto"/>
            <w:vAlign w:val="center"/>
            <w:hideMark/>
          </w:tcPr>
          <w:p w14:paraId="15C6D28D"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2 weeks</w:t>
            </w:r>
          </w:p>
        </w:tc>
        <w:tc>
          <w:tcPr>
            <w:tcW w:w="0" w:type="auto"/>
            <w:vAlign w:val="center"/>
            <w:hideMark/>
          </w:tcPr>
          <w:p w14:paraId="07881E7A"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0C05EB17"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5A1890BE"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7B75BC7C"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6ECCDDBA"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44630C00" w14:textId="77777777" w:rsidR="005668EC" w:rsidRPr="005668EC" w:rsidRDefault="005668EC" w:rsidP="00807B1D">
            <w:pPr>
              <w:spacing w:line="360" w:lineRule="auto"/>
              <w:jc w:val="both"/>
              <w:rPr>
                <w:rFonts w:ascii="Arial" w:hAnsi="Arial" w:cs="Arial"/>
                <w:sz w:val="22"/>
                <w:szCs w:val="22"/>
              </w:rPr>
            </w:pPr>
          </w:p>
        </w:tc>
      </w:tr>
      <w:tr w:rsidR="005668EC" w:rsidRPr="00807B1D" w14:paraId="124B8673" w14:textId="77777777" w:rsidTr="005668EC">
        <w:trPr>
          <w:trHeight w:val="501"/>
          <w:tblCellSpacing w:w="15" w:type="dxa"/>
        </w:trPr>
        <w:tc>
          <w:tcPr>
            <w:tcW w:w="0" w:type="auto"/>
            <w:vAlign w:val="center"/>
            <w:hideMark/>
          </w:tcPr>
          <w:p w14:paraId="1CE7C831"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Procurement of Materials</w:t>
            </w:r>
          </w:p>
        </w:tc>
        <w:tc>
          <w:tcPr>
            <w:tcW w:w="0" w:type="auto"/>
            <w:vAlign w:val="center"/>
            <w:hideMark/>
          </w:tcPr>
          <w:p w14:paraId="02F7D380"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3 weeks</w:t>
            </w:r>
          </w:p>
        </w:tc>
        <w:tc>
          <w:tcPr>
            <w:tcW w:w="0" w:type="auto"/>
            <w:vAlign w:val="center"/>
            <w:hideMark/>
          </w:tcPr>
          <w:p w14:paraId="787984DA"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68EA979B"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0AC7022F"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0FAB75A2"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3FCC6FF0"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20EF2AD9" w14:textId="77777777" w:rsidR="005668EC" w:rsidRPr="005668EC" w:rsidRDefault="005668EC" w:rsidP="00807B1D">
            <w:pPr>
              <w:spacing w:line="360" w:lineRule="auto"/>
              <w:jc w:val="both"/>
              <w:rPr>
                <w:rFonts w:ascii="Arial" w:hAnsi="Arial" w:cs="Arial"/>
                <w:sz w:val="22"/>
                <w:szCs w:val="22"/>
              </w:rPr>
            </w:pPr>
          </w:p>
        </w:tc>
      </w:tr>
      <w:tr w:rsidR="005668EC" w:rsidRPr="00807B1D" w14:paraId="2A227249" w14:textId="77777777" w:rsidTr="005668EC">
        <w:trPr>
          <w:trHeight w:val="501"/>
          <w:tblCellSpacing w:w="15" w:type="dxa"/>
        </w:trPr>
        <w:tc>
          <w:tcPr>
            <w:tcW w:w="0" w:type="auto"/>
            <w:vAlign w:val="center"/>
            <w:hideMark/>
          </w:tcPr>
          <w:p w14:paraId="7671A56B"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Infrastructure Reconstruction</w:t>
            </w:r>
          </w:p>
        </w:tc>
        <w:tc>
          <w:tcPr>
            <w:tcW w:w="0" w:type="auto"/>
            <w:vAlign w:val="center"/>
            <w:hideMark/>
          </w:tcPr>
          <w:p w14:paraId="00E3EA31"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8 weeks</w:t>
            </w:r>
          </w:p>
        </w:tc>
        <w:tc>
          <w:tcPr>
            <w:tcW w:w="0" w:type="auto"/>
            <w:vAlign w:val="center"/>
            <w:hideMark/>
          </w:tcPr>
          <w:p w14:paraId="429C1811"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79541BD7"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2ABD0057"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2FC2DF8D"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6206E4CF"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3D84C911" w14:textId="77777777" w:rsidR="005668EC" w:rsidRPr="005668EC" w:rsidRDefault="005668EC" w:rsidP="00807B1D">
            <w:pPr>
              <w:spacing w:line="360" w:lineRule="auto"/>
              <w:jc w:val="both"/>
              <w:rPr>
                <w:rFonts w:ascii="Arial" w:hAnsi="Arial" w:cs="Arial"/>
                <w:sz w:val="22"/>
                <w:szCs w:val="22"/>
              </w:rPr>
            </w:pPr>
          </w:p>
        </w:tc>
      </w:tr>
      <w:tr w:rsidR="005668EC" w:rsidRPr="00807B1D" w14:paraId="06EB6FBF" w14:textId="77777777" w:rsidTr="005668EC">
        <w:trPr>
          <w:trHeight w:val="486"/>
          <w:tblCellSpacing w:w="15" w:type="dxa"/>
        </w:trPr>
        <w:tc>
          <w:tcPr>
            <w:tcW w:w="0" w:type="auto"/>
            <w:vAlign w:val="center"/>
            <w:hideMark/>
          </w:tcPr>
          <w:p w14:paraId="06871D96"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Utility Restoration</w:t>
            </w:r>
          </w:p>
        </w:tc>
        <w:tc>
          <w:tcPr>
            <w:tcW w:w="0" w:type="auto"/>
            <w:vAlign w:val="center"/>
            <w:hideMark/>
          </w:tcPr>
          <w:p w14:paraId="0886A66A"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4 weeks</w:t>
            </w:r>
          </w:p>
        </w:tc>
        <w:tc>
          <w:tcPr>
            <w:tcW w:w="0" w:type="auto"/>
            <w:vAlign w:val="center"/>
            <w:hideMark/>
          </w:tcPr>
          <w:p w14:paraId="30AAD659"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24EDE3C2"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554751A2"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2C138A9F"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04B9B647"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63928454" w14:textId="77777777" w:rsidR="005668EC" w:rsidRPr="005668EC" w:rsidRDefault="005668EC" w:rsidP="00807B1D">
            <w:pPr>
              <w:spacing w:line="360" w:lineRule="auto"/>
              <w:jc w:val="both"/>
              <w:rPr>
                <w:rFonts w:ascii="Arial" w:hAnsi="Arial" w:cs="Arial"/>
                <w:sz w:val="22"/>
                <w:szCs w:val="22"/>
              </w:rPr>
            </w:pPr>
          </w:p>
        </w:tc>
      </w:tr>
      <w:tr w:rsidR="005668EC" w:rsidRPr="00807B1D" w14:paraId="62952F43" w14:textId="77777777" w:rsidTr="005668EC">
        <w:trPr>
          <w:trHeight w:val="501"/>
          <w:tblCellSpacing w:w="15" w:type="dxa"/>
        </w:trPr>
        <w:tc>
          <w:tcPr>
            <w:tcW w:w="0" w:type="auto"/>
            <w:vAlign w:val="center"/>
            <w:hideMark/>
          </w:tcPr>
          <w:p w14:paraId="112AB513"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lastRenderedPageBreak/>
              <w:t>Monitoring and Quality Control</w:t>
            </w:r>
          </w:p>
        </w:tc>
        <w:tc>
          <w:tcPr>
            <w:tcW w:w="0" w:type="auto"/>
            <w:vAlign w:val="center"/>
            <w:hideMark/>
          </w:tcPr>
          <w:p w14:paraId="2E7166B5"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Ongoing</w:t>
            </w:r>
          </w:p>
        </w:tc>
        <w:tc>
          <w:tcPr>
            <w:tcW w:w="0" w:type="auto"/>
            <w:vAlign w:val="center"/>
            <w:hideMark/>
          </w:tcPr>
          <w:p w14:paraId="4F7DE833"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2C41BA14"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708C6B07"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55F2DC9C"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61062A41"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448FFACC"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r>
      <w:tr w:rsidR="005668EC" w:rsidRPr="00807B1D" w14:paraId="342E4F39" w14:textId="77777777" w:rsidTr="005668EC">
        <w:trPr>
          <w:trHeight w:val="501"/>
          <w:tblCellSpacing w:w="15" w:type="dxa"/>
        </w:trPr>
        <w:tc>
          <w:tcPr>
            <w:tcW w:w="0" w:type="auto"/>
            <w:vAlign w:val="center"/>
            <w:hideMark/>
          </w:tcPr>
          <w:p w14:paraId="1042FE4D"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Final Inspection and Handover</w:t>
            </w:r>
          </w:p>
        </w:tc>
        <w:tc>
          <w:tcPr>
            <w:tcW w:w="0" w:type="auto"/>
            <w:vAlign w:val="center"/>
            <w:hideMark/>
          </w:tcPr>
          <w:p w14:paraId="75228518" w14:textId="77777777" w:rsidR="005668EC" w:rsidRPr="005668EC" w:rsidRDefault="005668EC" w:rsidP="00807B1D">
            <w:pPr>
              <w:spacing w:line="360" w:lineRule="auto"/>
              <w:jc w:val="both"/>
              <w:rPr>
                <w:rFonts w:ascii="Arial" w:hAnsi="Arial" w:cs="Arial"/>
                <w:sz w:val="22"/>
                <w:szCs w:val="22"/>
              </w:rPr>
            </w:pPr>
            <w:r w:rsidRPr="005668EC">
              <w:rPr>
                <w:rFonts w:ascii="Arial" w:hAnsi="Arial" w:cs="Arial"/>
                <w:sz w:val="22"/>
                <w:szCs w:val="22"/>
              </w:rPr>
              <w:t>2 weeks</w:t>
            </w:r>
          </w:p>
        </w:tc>
        <w:tc>
          <w:tcPr>
            <w:tcW w:w="0" w:type="auto"/>
            <w:vAlign w:val="center"/>
            <w:hideMark/>
          </w:tcPr>
          <w:p w14:paraId="4858E19B"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14D3C2C4"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1AE3894F"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261766B4" w14:textId="77777777" w:rsidR="005668EC" w:rsidRPr="005668EC" w:rsidRDefault="005668EC" w:rsidP="00807B1D">
            <w:pPr>
              <w:spacing w:line="360" w:lineRule="auto"/>
              <w:jc w:val="both"/>
              <w:rPr>
                <w:rFonts w:ascii="Arial" w:hAnsi="Arial" w:cs="Arial"/>
                <w:sz w:val="22"/>
                <w:szCs w:val="22"/>
              </w:rPr>
            </w:pPr>
          </w:p>
        </w:tc>
        <w:tc>
          <w:tcPr>
            <w:tcW w:w="0" w:type="auto"/>
            <w:vAlign w:val="center"/>
            <w:hideMark/>
          </w:tcPr>
          <w:p w14:paraId="6ACBDA69"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c>
          <w:tcPr>
            <w:tcW w:w="0" w:type="auto"/>
            <w:vAlign w:val="center"/>
            <w:hideMark/>
          </w:tcPr>
          <w:p w14:paraId="2986D1E0" w14:textId="77777777" w:rsidR="005668EC" w:rsidRPr="005668EC" w:rsidRDefault="005668EC" w:rsidP="00807B1D">
            <w:pPr>
              <w:spacing w:line="360" w:lineRule="auto"/>
              <w:jc w:val="both"/>
              <w:rPr>
                <w:rFonts w:ascii="Arial" w:hAnsi="Arial" w:cs="Arial"/>
                <w:sz w:val="22"/>
                <w:szCs w:val="22"/>
              </w:rPr>
            </w:pPr>
            <w:r w:rsidRPr="005668EC">
              <w:rPr>
                <w:rFonts w:ascii="Segoe UI Symbol" w:hAnsi="Segoe UI Symbol" w:cs="Segoe UI Symbol"/>
                <w:sz w:val="22"/>
                <w:szCs w:val="22"/>
              </w:rPr>
              <w:t>✔</w:t>
            </w:r>
          </w:p>
        </w:tc>
      </w:tr>
    </w:tbl>
    <w:p w14:paraId="3DBB1C4A" w14:textId="77777777" w:rsidR="005668EC" w:rsidRPr="00807B1D" w:rsidRDefault="005668EC" w:rsidP="00807B1D">
      <w:pPr>
        <w:spacing w:line="360" w:lineRule="auto"/>
        <w:jc w:val="both"/>
        <w:rPr>
          <w:rFonts w:ascii="Arial" w:hAnsi="Arial" w:cs="Arial"/>
          <w:sz w:val="22"/>
          <w:szCs w:val="22"/>
        </w:rPr>
      </w:pPr>
    </w:p>
    <w:p w14:paraId="7F1560C3"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This schedule is analytically justified because it reflects dependency logic. Damage assessment must occur first, since planning and procurement depend on technical knowledge of what has failed and to what extent. Procurement begins early because reconstruction is vulnerable to supply delays. Utility restoration overlaps with reconstruction because waiting until all civil works are complete would unnecessarily extend the programme. Monitoring runs throughout because quality failure discovered late is much more expensive to correct.</w:t>
      </w:r>
    </w:p>
    <w:p w14:paraId="6D8C6A6E" w14:textId="79866BBB" w:rsidR="00891B2F" w:rsidRDefault="003C272E" w:rsidP="00807B1D">
      <w:pPr>
        <w:spacing w:line="360" w:lineRule="auto"/>
        <w:jc w:val="both"/>
        <w:rPr>
          <w:rFonts w:ascii="Arial" w:hAnsi="Arial" w:cs="Arial"/>
          <w:sz w:val="22"/>
          <w:szCs w:val="22"/>
        </w:rPr>
      </w:pPr>
      <w:r w:rsidRPr="003C272E">
        <w:rPr>
          <w:rFonts w:ascii="Arial" w:hAnsi="Arial" w:cs="Arial"/>
          <w:sz w:val="22"/>
          <w:szCs w:val="22"/>
        </w:rPr>
        <w:t>A further improvement would be to identify critical-path tasks explicitly. Assessment, approvals, procurement and reconstruction are likely to be critical-path activities because slippage in any of them directly threatens the completion date. Chapman and Ward (2011) caution that linear schedules can hide uncertainty. For this reason, the Gantt chart should not be treated as fixed; it should be reviewed at least fortnightly and adjusted where weather, supply or access risks materialise.</w:t>
      </w:r>
    </w:p>
    <w:p w14:paraId="0B8EC22B" w14:textId="77777777" w:rsidR="003C272E" w:rsidRPr="00807B1D" w:rsidRDefault="003C272E" w:rsidP="00807B1D">
      <w:pPr>
        <w:spacing w:line="360" w:lineRule="auto"/>
        <w:jc w:val="both"/>
        <w:rPr>
          <w:rFonts w:ascii="Arial" w:hAnsi="Arial" w:cs="Arial"/>
          <w:sz w:val="22"/>
          <w:szCs w:val="22"/>
        </w:rPr>
      </w:pPr>
    </w:p>
    <w:p w14:paraId="3E22F44C" w14:textId="0DE38C5C" w:rsidR="00B95744" w:rsidRPr="00807B1D" w:rsidRDefault="004F0B6A" w:rsidP="00807B1D">
      <w:pPr>
        <w:spacing w:line="360" w:lineRule="auto"/>
        <w:jc w:val="both"/>
        <w:rPr>
          <w:rFonts w:ascii="Arial" w:hAnsi="Arial" w:cs="Arial"/>
          <w:sz w:val="22"/>
          <w:szCs w:val="22"/>
        </w:rPr>
      </w:pPr>
      <w:r w:rsidRPr="00807B1D">
        <w:rPr>
          <w:rFonts w:ascii="Arial" w:hAnsi="Arial" w:cs="Arial"/>
          <w:b/>
          <w:bCs/>
          <w:sz w:val="22"/>
          <w:szCs w:val="22"/>
        </w:rPr>
        <w:t xml:space="preserve">7. </w:t>
      </w:r>
      <w:r w:rsidR="00B95744" w:rsidRPr="0079017A">
        <w:rPr>
          <w:rFonts w:ascii="Arial" w:hAnsi="Arial" w:cs="Arial"/>
          <w:b/>
          <w:bCs/>
          <w:sz w:val="22"/>
          <w:szCs w:val="22"/>
        </w:rPr>
        <w:t>Stakeholder</w:t>
      </w:r>
      <w:r w:rsidR="00DE256E" w:rsidRPr="00807B1D">
        <w:rPr>
          <w:rFonts w:ascii="Arial" w:hAnsi="Arial" w:cs="Arial"/>
          <w:b/>
          <w:bCs/>
          <w:sz w:val="22"/>
          <w:szCs w:val="22"/>
        </w:rPr>
        <w:t>s</w:t>
      </w:r>
      <w:r w:rsidR="00B95744" w:rsidRPr="0079017A">
        <w:rPr>
          <w:rFonts w:ascii="Arial" w:hAnsi="Arial" w:cs="Arial"/>
          <w:b/>
          <w:bCs/>
          <w:sz w:val="22"/>
          <w:szCs w:val="22"/>
        </w:rPr>
        <w:t xml:space="preserve"> Involvement</w:t>
      </w:r>
    </w:p>
    <w:p w14:paraId="156BCA28" w14:textId="77777777" w:rsidR="009F70C2" w:rsidRPr="009F70C2" w:rsidRDefault="009F70C2" w:rsidP="009F70C2">
      <w:pPr>
        <w:spacing w:line="360" w:lineRule="auto"/>
        <w:jc w:val="both"/>
        <w:rPr>
          <w:rFonts w:ascii="Arial" w:hAnsi="Arial" w:cs="Arial"/>
          <w:sz w:val="22"/>
          <w:szCs w:val="22"/>
        </w:rPr>
      </w:pPr>
      <w:r w:rsidRPr="009F70C2">
        <w:rPr>
          <w:rFonts w:ascii="Arial" w:hAnsi="Arial" w:cs="Arial"/>
          <w:sz w:val="22"/>
          <w:szCs w:val="22"/>
        </w:rPr>
        <w:t>Stakeholder analysis is a critical part of project management because projects succeed or fail partly through the quality of stakeholder relationships. PMBOK defines stakeholders as individuals or organisations that may affect or be affected by project outcomes (Project Management Institute, 2021). In infrastructure recovery projects, this is especially important because delivery depends on coordination between public agencies, private contractors, regulators and the local community.</w:t>
      </w:r>
    </w:p>
    <w:p w14:paraId="633723AA" w14:textId="79375EF0" w:rsidR="009F70C2" w:rsidRPr="009F70C2" w:rsidRDefault="009F70C2" w:rsidP="009F70C2">
      <w:pPr>
        <w:spacing w:line="360" w:lineRule="auto"/>
        <w:jc w:val="both"/>
        <w:rPr>
          <w:rFonts w:ascii="Arial" w:hAnsi="Arial" w:cs="Arial"/>
          <w:sz w:val="22"/>
          <w:szCs w:val="22"/>
        </w:rPr>
      </w:pPr>
      <w:r w:rsidRPr="009F70C2">
        <w:rPr>
          <w:rFonts w:ascii="Arial" w:hAnsi="Arial" w:cs="Arial"/>
          <w:sz w:val="22"/>
          <w:szCs w:val="22"/>
        </w:rPr>
        <w:t>The main stakeholders in the Worcester reconstruction project include the local council, Environment Agency, construction contractors, utility providers, emergency services, local businesses, residents and media organisations. Each group has different levels of power, interest and responsibility, so engagement strategies should not be uniform.</w:t>
      </w:r>
    </w:p>
    <w:p w14:paraId="5867661D" w14:textId="5879358B" w:rsidR="00BF0CBD" w:rsidRPr="00BF0CBD" w:rsidRDefault="00BF0CBD" w:rsidP="00807B1D">
      <w:pPr>
        <w:spacing w:line="360" w:lineRule="auto"/>
        <w:jc w:val="both"/>
        <w:rPr>
          <w:rFonts w:ascii="Arial" w:hAnsi="Arial" w:cs="Arial"/>
          <w:sz w:val="22"/>
          <w:szCs w:val="22"/>
        </w:rPr>
      </w:pPr>
      <w:r w:rsidRPr="00BF0CBD">
        <w:rPr>
          <w:rFonts w:ascii="Arial" w:hAnsi="Arial" w:cs="Arial"/>
          <w:sz w:val="22"/>
          <w:szCs w:val="22"/>
        </w:rPr>
        <w:t>Power–Interest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0"/>
        <w:gridCol w:w="1387"/>
        <w:gridCol w:w="1473"/>
        <w:gridCol w:w="4842"/>
      </w:tblGrid>
      <w:tr w:rsidR="00BF0CBD" w:rsidRPr="00BF0CBD" w14:paraId="1810443E" w14:textId="77777777" w:rsidTr="00DE256E">
        <w:trPr>
          <w:tblHeader/>
          <w:tblCellSpacing w:w="15" w:type="dxa"/>
        </w:trPr>
        <w:tc>
          <w:tcPr>
            <w:tcW w:w="0" w:type="auto"/>
            <w:shd w:val="clear" w:color="auto" w:fill="D9D9D9" w:themeFill="background1" w:themeFillShade="D9"/>
            <w:vAlign w:val="center"/>
            <w:hideMark/>
          </w:tcPr>
          <w:p w14:paraId="11C5416D"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Stakeholder Group</w:t>
            </w:r>
          </w:p>
        </w:tc>
        <w:tc>
          <w:tcPr>
            <w:tcW w:w="0" w:type="auto"/>
            <w:shd w:val="clear" w:color="auto" w:fill="D9D9D9" w:themeFill="background1" w:themeFillShade="D9"/>
            <w:vAlign w:val="center"/>
            <w:hideMark/>
          </w:tcPr>
          <w:p w14:paraId="576BB2BC"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Level of Power</w:t>
            </w:r>
          </w:p>
        </w:tc>
        <w:tc>
          <w:tcPr>
            <w:tcW w:w="0" w:type="auto"/>
            <w:shd w:val="clear" w:color="auto" w:fill="D9D9D9" w:themeFill="background1" w:themeFillShade="D9"/>
            <w:vAlign w:val="center"/>
            <w:hideMark/>
          </w:tcPr>
          <w:p w14:paraId="59B4C2B8"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Level of Interest</w:t>
            </w:r>
          </w:p>
        </w:tc>
        <w:tc>
          <w:tcPr>
            <w:tcW w:w="0" w:type="auto"/>
            <w:shd w:val="clear" w:color="auto" w:fill="D9D9D9" w:themeFill="background1" w:themeFillShade="D9"/>
            <w:vAlign w:val="center"/>
            <w:hideMark/>
          </w:tcPr>
          <w:p w14:paraId="069EE051"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Management Strategy</w:t>
            </w:r>
          </w:p>
        </w:tc>
      </w:tr>
      <w:tr w:rsidR="00BF0CBD" w:rsidRPr="00BF0CBD" w14:paraId="5BCCF235" w14:textId="77777777" w:rsidTr="00BF0CBD">
        <w:trPr>
          <w:trHeight w:val="716"/>
          <w:tblCellSpacing w:w="15" w:type="dxa"/>
        </w:trPr>
        <w:tc>
          <w:tcPr>
            <w:tcW w:w="0" w:type="auto"/>
            <w:vAlign w:val="center"/>
            <w:hideMark/>
          </w:tcPr>
          <w:p w14:paraId="4316B692"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Local Council</w:t>
            </w:r>
          </w:p>
        </w:tc>
        <w:tc>
          <w:tcPr>
            <w:tcW w:w="0" w:type="auto"/>
            <w:vAlign w:val="center"/>
            <w:hideMark/>
          </w:tcPr>
          <w:p w14:paraId="5966D3C8"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58D78A34"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5FDDD1F8"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Manage closely and involve in decision-making</w:t>
            </w:r>
          </w:p>
        </w:tc>
      </w:tr>
      <w:tr w:rsidR="00BF0CBD" w:rsidRPr="00BF0CBD" w14:paraId="1B45D78D" w14:textId="77777777" w:rsidTr="00BF0CBD">
        <w:trPr>
          <w:tblCellSpacing w:w="15" w:type="dxa"/>
        </w:trPr>
        <w:tc>
          <w:tcPr>
            <w:tcW w:w="0" w:type="auto"/>
            <w:vAlign w:val="center"/>
            <w:hideMark/>
          </w:tcPr>
          <w:p w14:paraId="6074B04C"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lastRenderedPageBreak/>
              <w:t>Environment Agency</w:t>
            </w:r>
          </w:p>
        </w:tc>
        <w:tc>
          <w:tcPr>
            <w:tcW w:w="0" w:type="auto"/>
            <w:vAlign w:val="center"/>
            <w:hideMark/>
          </w:tcPr>
          <w:p w14:paraId="779C33AA"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3E76FBB7"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75A3782A"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Maintain close communication and regulatory coordination</w:t>
            </w:r>
          </w:p>
        </w:tc>
      </w:tr>
      <w:tr w:rsidR="00BF0CBD" w:rsidRPr="00BF0CBD" w14:paraId="08CAA320" w14:textId="77777777" w:rsidTr="00BF0CBD">
        <w:trPr>
          <w:trHeight w:val="779"/>
          <w:tblCellSpacing w:w="15" w:type="dxa"/>
        </w:trPr>
        <w:tc>
          <w:tcPr>
            <w:tcW w:w="0" w:type="auto"/>
            <w:vAlign w:val="center"/>
            <w:hideMark/>
          </w:tcPr>
          <w:p w14:paraId="616AEC1A"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Construction Contractors</w:t>
            </w:r>
          </w:p>
        </w:tc>
        <w:tc>
          <w:tcPr>
            <w:tcW w:w="0" w:type="auto"/>
            <w:vAlign w:val="center"/>
            <w:hideMark/>
          </w:tcPr>
          <w:p w14:paraId="5DF07DE8"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Medium</w:t>
            </w:r>
          </w:p>
        </w:tc>
        <w:tc>
          <w:tcPr>
            <w:tcW w:w="0" w:type="auto"/>
            <w:vAlign w:val="center"/>
            <w:hideMark/>
          </w:tcPr>
          <w:p w14:paraId="6E1B0CAA"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1EC1B85E"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Engage regularly and monitor performance</w:t>
            </w:r>
          </w:p>
        </w:tc>
      </w:tr>
      <w:tr w:rsidR="00BF0CBD" w:rsidRPr="00BF0CBD" w14:paraId="72625041" w14:textId="77777777" w:rsidTr="00BF0CBD">
        <w:trPr>
          <w:tblCellSpacing w:w="15" w:type="dxa"/>
        </w:trPr>
        <w:tc>
          <w:tcPr>
            <w:tcW w:w="0" w:type="auto"/>
            <w:vAlign w:val="center"/>
            <w:hideMark/>
          </w:tcPr>
          <w:p w14:paraId="60E0C635"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Utility Providers (Electricity/Water)</w:t>
            </w:r>
          </w:p>
        </w:tc>
        <w:tc>
          <w:tcPr>
            <w:tcW w:w="0" w:type="auto"/>
            <w:vAlign w:val="center"/>
            <w:hideMark/>
          </w:tcPr>
          <w:p w14:paraId="2A20D950"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Medium</w:t>
            </w:r>
          </w:p>
        </w:tc>
        <w:tc>
          <w:tcPr>
            <w:tcW w:w="0" w:type="auto"/>
            <w:vAlign w:val="center"/>
            <w:hideMark/>
          </w:tcPr>
          <w:p w14:paraId="493DA7C8"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5D5A75B4"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Collaborate on infrastructure restoration</w:t>
            </w:r>
          </w:p>
        </w:tc>
      </w:tr>
      <w:tr w:rsidR="00BF0CBD" w:rsidRPr="00BF0CBD" w14:paraId="3979B9CA" w14:textId="77777777" w:rsidTr="00BF0CBD">
        <w:trPr>
          <w:trHeight w:val="699"/>
          <w:tblCellSpacing w:w="15" w:type="dxa"/>
        </w:trPr>
        <w:tc>
          <w:tcPr>
            <w:tcW w:w="0" w:type="auto"/>
            <w:vAlign w:val="center"/>
            <w:hideMark/>
          </w:tcPr>
          <w:p w14:paraId="40ADD3F6"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Emergency Services</w:t>
            </w:r>
          </w:p>
        </w:tc>
        <w:tc>
          <w:tcPr>
            <w:tcW w:w="0" w:type="auto"/>
            <w:vAlign w:val="center"/>
            <w:hideMark/>
          </w:tcPr>
          <w:p w14:paraId="67A95211"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Medium</w:t>
            </w:r>
          </w:p>
        </w:tc>
        <w:tc>
          <w:tcPr>
            <w:tcW w:w="0" w:type="auto"/>
            <w:vAlign w:val="center"/>
            <w:hideMark/>
          </w:tcPr>
          <w:p w14:paraId="65BE3DE0"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Medium</w:t>
            </w:r>
          </w:p>
        </w:tc>
        <w:tc>
          <w:tcPr>
            <w:tcW w:w="0" w:type="auto"/>
            <w:vAlign w:val="center"/>
            <w:hideMark/>
          </w:tcPr>
          <w:p w14:paraId="4E58A333"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Keep informed and coordinate safety planning</w:t>
            </w:r>
          </w:p>
        </w:tc>
      </w:tr>
      <w:tr w:rsidR="00BF0CBD" w:rsidRPr="00BF0CBD" w14:paraId="47AF5082" w14:textId="77777777" w:rsidTr="00BF0CBD">
        <w:trPr>
          <w:tblCellSpacing w:w="15" w:type="dxa"/>
        </w:trPr>
        <w:tc>
          <w:tcPr>
            <w:tcW w:w="0" w:type="auto"/>
            <w:vAlign w:val="center"/>
            <w:hideMark/>
          </w:tcPr>
          <w:p w14:paraId="0DD94132"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Local Businesses</w:t>
            </w:r>
          </w:p>
        </w:tc>
        <w:tc>
          <w:tcPr>
            <w:tcW w:w="0" w:type="auto"/>
            <w:vAlign w:val="center"/>
            <w:hideMark/>
          </w:tcPr>
          <w:p w14:paraId="62A6C13A"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Low</w:t>
            </w:r>
          </w:p>
        </w:tc>
        <w:tc>
          <w:tcPr>
            <w:tcW w:w="0" w:type="auto"/>
            <w:vAlign w:val="center"/>
            <w:hideMark/>
          </w:tcPr>
          <w:p w14:paraId="324FB267"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367BD536"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Keep informed and address operational concerns</w:t>
            </w:r>
          </w:p>
        </w:tc>
      </w:tr>
      <w:tr w:rsidR="00BF0CBD" w:rsidRPr="00BF0CBD" w14:paraId="615C6BC0" w14:textId="77777777" w:rsidTr="00BF0CBD">
        <w:trPr>
          <w:tblCellSpacing w:w="15" w:type="dxa"/>
        </w:trPr>
        <w:tc>
          <w:tcPr>
            <w:tcW w:w="0" w:type="auto"/>
            <w:vAlign w:val="center"/>
            <w:hideMark/>
          </w:tcPr>
          <w:p w14:paraId="2BB0678A" w14:textId="7109EE21" w:rsidR="00BF0CBD" w:rsidRPr="00BF0CBD" w:rsidRDefault="00BF0CBD" w:rsidP="00807B1D">
            <w:pPr>
              <w:spacing w:line="360" w:lineRule="auto"/>
              <w:rPr>
                <w:rFonts w:ascii="Arial" w:hAnsi="Arial" w:cs="Arial"/>
                <w:sz w:val="22"/>
                <w:szCs w:val="22"/>
              </w:rPr>
            </w:pPr>
            <w:proofErr w:type="gramStart"/>
            <w:r w:rsidRPr="00807B1D">
              <w:rPr>
                <w:rFonts w:ascii="Arial" w:hAnsi="Arial" w:cs="Arial"/>
                <w:sz w:val="22"/>
                <w:szCs w:val="22"/>
              </w:rPr>
              <w:t>Local Residents</w:t>
            </w:r>
            <w:proofErr w:type="gramEnd"/>
          </w:p>
        </w:tc>
        <w:tc>
          <w:tcPr>
            <w:tcW w:w="0" w:type="auto"/>
            <w:vAlign w:val="center"/>
            <w:hideMark/>
          </w:tcPr>
          <w:p w14:paraId="2980EA95"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Low</w:t>
            </w:r>
          </w:p>
        </w:tc>
        <w:tc>
          <w:tcPr>
            <w:tcW w:w="0" w:type="auto"/>
            <w:vAlign w:val="center"/>
            <w:hideMark/>
          </w:tcPr>
          <w:p w14:paraId="51B41A9D"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High</w:t>
            </w:r>
          </w:p>
        </w:tc>
        <w:tc>
          <w:tcPr>
            <w:tcW w:w="0" w:type="auto"/>
            <w:vAlign w:val="center"/>
            <w:hideMark/>
          </w:tcPr>
          <w:p w14:paraId="056DD3A1"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Provide regular updates and community engagement</w:t>
            </w:r>
          </w:p>
        </w:tc>
      </w:tr>
      <w:tr w:rsidR="00BF0CBD" w:rsidRPr="00BF0CBD" w14:paraId="4C1221AA" w14:textId="77777777" w:rsidTr="00BF0CBD">
        <w:trPr>
          <w:trHeight w:val="631"/>
          <w:tblCellSpacing w:w="15" w:type="dxa"/>
        </w:trPr>
        <w:tc>
          <w:tcPr>
            <w:tcW w:w="0" w:type="auto"/>
            <w:vAlign w:val="center"/>
            <w:hideMark/>
          </w:tcPr>
          <w:p w14:paraId="319EA1A8"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Media Organisations</w:t>
            </w:r>
          </w:p>
        </w:tc>
        <w:tc>
          <w:tcPr>
            <w:tcW w:w="0" w:type="auto"/>
            <w:vAlign w:val="center"/>
            <w:hideMark/>
          </w:tcPr>
          <w:p w14:paraId="2DAC7C01"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Low</w:t>
            </w:r>
          </w:p>
        </w:tc>
        <w:tc>
          <w:tcPr>
            <w:tcW w:w="0" w:type="auto"/>
            <w:vAlign w:val="center"/>
            <w:hideMark/>
          </w:tcPr>
          <w:p w14:paraId="4D1E0143"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Medium</w:t>
            </w:r>
          </w:p>
        </w:tc>
        <w:tc>
          <w:tcPr>
            <w:tcW w:w="0" w:type="auto"/>
            <w:vAlign w:val="center"/>
            <w:hideMark/>
          </w:tcPr>
          <w:p w14:paraId="13234B72" w14:textId="77777777" w:rsidR="00BF0CBD" w:rsidRPr="00BF0CBD" w:rsidRDefault="00BF0CBD" w:rsidP="00807B1D">
            <w:pPr>
              <w:spacing w:line="360" w:lineRule="auto"/>
              <w:rPr>
                <w:rFonts w:ascii="Arial" w:hAnsi="Arial" w:cs="Arial"/>
                <w:sz w:val="22"/>
                <w:szCs w:val="22"/>
              </w:rPr>
            </w:pPr>
            <w:r w:rsidRPr="00BF0CBD">
              <w:rPr>
                <w:rFonts w:ascii="Arial" w:hAnsi="Arial" w:cs="Arial"/>
                <w:sz w:val="22"/>
                <w:szCs w:val="22"/>
              </w:rPr>
              <w:t>Provide accurate public information</w:t>
            </w:r>
          </w:p>
        </w:tc>
      </w:tr>
    </w:tbl>
    <w:p w14:paraId="28F7B3CD" w14:textId="77777777" w:rsidR="00314AFF" w:rsidRPr="00807B1D" w:rsidRDefault="00314AFF" w:rsidP="00807B1D">
      <w:pPr>
        <w:spacing w:line="360" w:lineRule="auto"/>
        <w:jc w:val="both"/>
        <w:rPr>
          <w:rFonts w:ascii="Arial" w:hAnsi="Arial" w:cs="Arial"/>
          <w:sz w:val="22"/>
          <w:szCs w:val="22"/>
        </w:rPr>
      </w:pPr>
    </w:p>
    <w:p w14:paraId="71AF4AEF"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This matrix is useful because it differentiates management effort. High-power stakeholders require direct governance attention because they influence approvals, funding and legal compliance. High-interest but lower-power groups, such as residents and businesses, still require active communication because their acceptance affects project legitimacy and local cooperation.</w:t>
      </w:r>
    </w:p>
    <w:p w14:paraId="6CDA9F2B"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The analytical issue here is that a traditional matrix can overemphasise formal power. Bourne (2015) argues that stakeholder influence also comes from legitimacy, urgency and trust. That matters in Worcester because public frustration over access, noise or delays may not stop the project formally, but it can damage confidence, generate political pressure and create reputational costs. Therefore, stakeholder strategy should not be limited to “manage closely” or “keep informed”; it should include practical mechanisms such as weekly public updates, a named contact point for issues, and scheduled coordination meetings with regulators and utilities.</w:t>
      </w:r>
    </w:p>
    <w:p w14:paraId="40EB7182" w14:textId="77777777" w:rsidR="0064769C" w:rsidRPr="0064769C" w:rsidRDefault="0064769C" w:rsidP="0064769C">
      <w:pPr>
        <w:spacing w:line="360" w:lineRule="auto"/>
        <w:jc w:val="both"/>
        <w:rPr>
          <w:rFonts w:ascii="Arial" w:hAnsi="Arial" w:cs="Arial"/>
          <w:sz w:val="22"/>
          <w:szCs w:val="22"/>
        </w:rPr>
      </w:pPr>
    </w:p>
    <w:p w14:paraId="5E02DB9A" w14:textId="60164F1F" w:rsidR="00B95744" w:rsidRPr="00807B1D" w:rsidRDefault="004F0B6A" w:rsidP="00807B1D">
      <w:pPr>
        <w:spacing w:line="360" w:lineRule="auto"/>
        <w:rPr>
          <w:rFonts w:ascii="Arial" w:hAnsi="Arial" w:cs="Arial"/>
          <w:b/>
          <w:bCs/>
          <w:sz w:val="22"/>
          <w:szCs w:val="22"/>
        </w:rPr>
      </w:pPr>
      <w:r w:rsidRPr="00807B1D">
        <w:rPr>
          <w:rFonts w:ascii="Arial" w:hAnsi="Arial" w:cs="Arial"/>
          <w:b/>
          <w:bCs/>
          <w:sz w:val="22"/>
          <w:szCs w:val="22"/>
        </w:rPr>
        <w:t xml:space="preserve">8. </w:t>
      </w:r>
      <w:r w:rsidR="00B95744" w:rsidRPr="0079017A">
        <w:rPr>
          <w:rFonts w:ascii="Arial" w:hAnsi="Arial" w:cs="Arial"/>
          <w:b/>
          <w:bCs/>
          <w:sz w:val="22"/>
          <w:szCs w:val="22"/>
        </w:rPr>
        <w:t>Allocation of Resources</w:t>
      </w:r>
    </w:p>
    <w:p w14:paraId="7AF1C73B" w14:textId="31F7EACB" w:rsidR="003C272E" w:rsidRDefault="003C272E" w:rsidP="00807B1D">
      <w:pPr>
        <w:spacing w:line="360" w:lineRule="auto"/>
        <w:jc w:val="both"/>
        <w:rPr>
          <w:rFonts w:ascii="Arial" w:hAnsi="Arial" w:cs="Arial"/>
          <w:sz w:val="22"/>
          <w:szCs w:val="22"/>
        </w:rPr>
      </w:pPr>
      <w:r w:rsidRPr="003C272E">
        <w:rPr>
          <w:rFonts w:ascii="Arial" w:hAnsi="Arial" w:cs="Arial"/>
          <w:sz w:val="22"/>
          <w:szCs w:val="22"/>
        </w:rPr>
        <w:t xml:space="preserve">Resource allocation concerns the deployment of labour, expertise, materials, equipment and finance in line with project phases. Kerzner (2022) notes that ineffective resource allocation creates bottlenecks because delays in one area often cascade across the wider schedule. This is particularly relevant in infrastructure reconstruction, where work is interdependent and </w:t>
      </w:r>
      <w:r w:rsidRPr="003C272E">
        <w:rPr>
          <w:rFonts w:ascii="Arial" w:hAnsi="Arial" w:cs="Arial"/>
          <w:sz w:val="22"/>
          <w:szCs w:val="22"/>
        </w:rPr>
        <w:t>time sensitive</w:t>
      </w:r>
      <w:r w:rsidRPr="003C272E">
        <w:rPr>
          <w:rFonts w:ascii="Arial" w:hAnsi="Arial" w:cs="Arial"/>
          <w:sz w:val="22"/>
          <w:szCs w:val="22"/>
        </w:rPr>
        <w:t>.</w:t>
      </w:r>
    </w:p>
    <w:p w14:paraId="4C98BD92" w14:textId="3D838E2A"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lastRenderedPageBreak/>
        <w:t>Resource Allocation Table</w:t>
      </w:r>
    </w:p>
    <w:tbl>
      <w:tblPr>
        <w:tblW w:w="1077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6"/>
        <w:gridCol w:w="5214"/>
        <w:gridCol w:w="2818"/>
      </w:tblGrid>
      <w:tr w:rsidR="00084041" w:rsidRPr="00084041" w14:paraId="503AA873" w14:textId="77777777" w:rsidTr="00084041">
        <w:trPr>
          <w:trHeight w:val="454"/>
          <w:tblHeader/>
          <w:tblCellSpacing w:w="15" w:type="dxa"/>
        </w:trPr>
        <w:tc>
          <w:tcPr>
            <w:tcW w:w="0" w:type="auto"/>
            <w:shd w:val="clear" w:color="auto" w:fill="D9D9D9" w:themeFill="background1" w:themeFillShade="D9"/>
            <w:vAlign w:val="center"/>
            <w:hideMark/>
          </w:tcPr>
          <w:p w14:paraId="1AAD703E"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Resource Type</w:t>
            </w:r>
          </w:p>
        </w:tc>
        <w:tc>
          <w:tcPr>
            <w:tcW w:w="0" w:type="auto"/>
            <w:shd w:val="clear" w:color="auto" w:fill="D9D9D9" w:themeFill="background1" w:themeFillShade="D9"/>
            <w:vAlign w:val="center"/>
            <w:hideMark/>
          </w:tcPr>
          <w:p w14:paraId="0AB7CB13"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Description</w:t>
            </w:r>
          </w:p>
        </w:tc>
        <w:tc>
          <w:tcPr>
            <w:tcW w:w="0" w:type="auto"/>
            <w:shd w:val="clear" w:color="auto" w:fill="D9D9D9" w:themeFill="background1" w:themeFillShade="D9"/>
            <w:vAlign w:val="center"/>
            <w:hideMark/>
          </w:tcPr>
          <w:p w14:paraId="47F6557E"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Responsible Team</w:t>
            </w:r>
          </w:p>
        </w:tc>
      </w:tr>
      <w:tr w:rsidR="00084041" w:rsidRPr="00084041" w14:paraId="6699220B" w14:textId="77777777" w:rsidTr="00084041">
        <w:trPr>
          <w:trHeight w:val="454"/>
          <w:tblCellSpacing w:w="15" w:type="dxa"/>
        </w:trPr>
        <w:tc>
          <w:tcPr>
            <w:tcW w:w="0" w:type="auto"/>
            <w:vAlign w:val="center"/>
            <w:hideMark/>
          </w:tcPr>
          <w:p w14:paraId="755D3045"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Project Manager</w:t>
            </w:r>
          </w:p>
        </w:tc>
        <w:tc>
          <w:tcPr>
            <w:tcW w:w="0" w:type="auto"/>
            <w:vAlign w:val="center"/>
            <w:hideMark/>
          </w:tcPr>
          <w:p w14:paraId="1311C7DF"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Overall planning, coordination and control</w:t>
            </w:r>
          </w:p>
        </w:tc>
        <w:tc>
          <w:tcPr>
            <w:tcW w:w="0" w:type="auto"/>
            <w:vAlign w:val="center"/>
            <w:hideMark/>
          </w:tcPr>
          <w:p w14:paraId="2C2D72C8"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Project Management Team</w:t>
            </w:r>
          </w:p>
        </w:tc>
      </w:tr>
      <w:tr w:rsidR="00084041" w:rsidRPr="00084041" w14:paraId="1E5CD221" w14:textId="77777777" w:rsidTr="00084041">
        <w:trPr>
          <w:trHeight w:val="439"/>
          <w:tblCellSpacing w:w="15" w:type="dxa"/>
        </w:trPr>
        <w:tc>
          <w:tcPr>
            <w:tcW w:w="0" w:type="auto"/>
            <w:vAlign w:val="center"/>
            <w:hideMark/>
          </w:tcPr>
          <w:p w14:paraId="1BBBF377"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Civil Engineers</w:t>
            </w:r>
          </w:p>
        </w:tc>
        <w:tc>
          <w:tcPr>
            <w:tcW w:w="0" w:type="auto"/>
            <w:vAlign w:val="center"/>
            <w:hideMark/>
          </w:tcPr>
          <w:p w14:paraId="1477CC30"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Damage assessment and technical supervision</w:t>
            </w:r>
          </w:p>
        </w:tc>
        <w:tc>
          <w:tcPr>
            <w:tcW w:w="0" w:type="auto"/>
            <w:vAlign w:val="center"/>
            <w:hideMark/>
          </w:tcPr>
          <w:p w14:paraId="52E10A81"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Engineering Team</w:t>
            </w:r>
          </w:p>
        </w:tc>
      </w:tr>
      <w:tr w:rsidR="00084041" w:rsidRPr="00084041" w14:paraId="108319AA" w14:textId="77777777" w:rsidTr="00084041">
        <w:trPr>
          <w:trHeight w:val="454"/>
          <w:tblCellSpacing w:w="15" w:type="dxa"/>
        </w:trPr>
        <w:tc>
          <w:tcPr>
            <w:tcW w:w="0" w:type="auto"/>
            <w:vAlign w:val="center"/>
            <w:hideMark/>
          </w:tcPr>
          <w:p w14:paraId="69F5F89A"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Construction Workers</w:t>
            </w:r>
          </w:p>
        </w:tc>
        <w:tc>
          <w:tcPr>
            <w:tcW w:w="0" w:type="auto"/>
            <w:vAlign w:val="center"/>
            <w:hideMark/>
          </w:tcPr>
          <w:p w14:paraId="1C4F2A21"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Reconstruction of roads and physical infrastructure</w:t>
            </w:r>
          </w:p>
        </w:tc>
        <w:tc>
          <w:tcPr>
            <w:tcW w:w="0" w:type="auto"/>
            <w:vAlign w:val="center"/>
            <w:hideMark/>
          </w:tcPr>
          <w:p w14:paraId="240FE2F8"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Contractors</w:t>
            </w:r>
          </w:p>
        </w:tc>
      </w:tr>
      <w:tr w:rsidR="00084041" w:rsidRPr="00084041" w14:paraId="7FFAF3C8" w14:textId="77777777" w:rsidTr="00084041">
        <w:trPr>
          <w:trHeight w:val="439"/>
          <w:tblCellSpacing w:w="15" w:type="dxa"/>
        </w:trPr>
        <w:tc>
          <w:tcPr>
            <w:tcW w:w="0" w:type="auto"/>
            <w:vAlign w:val="center"/>
            <w:hideMark/>
          </w:tcPr>
          <w:p w14:paraId="107C52DF"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Electricians / Utility Teams</w:t>
            </w:r>
          </w:p>
        </w:tc>
        <w:tc>
          <w:tcPr>
            <w:tcW w:w="0" w:type="auto"/>
            <w:vAlign w:val="center"/>
            <w:hideMark/>
          </w:tcPr>
          <w:p w14:paraId="0C83ECC3"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Restoration of electricity systems</w:t>
            </w:r>
          </w:p>
        </w:tc>
        <w:tc>
          <w:tcPr>
            <w:tcW w:w="0" w:type="auto"/>
            <w:vAlign w:val="center"/>
            <w:hideMark/>
          </w:tcPr>
          <w:p w14:paraId="3C1EADB6"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Utility Providers</w:t>
            </w:r>
          </w:p>
        </w:tc>
      </w:tr>
      <w:tr w:rsidR="00084041" w:rsidRPr="00084041" w14:paraId="4C707F26" w14:textId="77777777" w:rsidTr="00084041">
        <w:trPr>
          <w:trHeight w:val="454"/>
          <w:tblCellSpacing w:w="15" w:type="dxa"/>
        </w:trPr>
        <w:tc>
          <w:tcPr>
            <w:tcW w:w="0" w:type="auto"/>
            <w:vAlign w:val="center"/>
            <w:hideMark/>
          </w:tcPr>
          <w:p w14:paraId="59674999"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Safety Inspectors</w:t>
            </w:r>
          </w:p>
        </w:tc>
        <w:tc>
          <w:tcPr>
            <w:tcW w:w="0" w:type="auto"/>
            <w:vAlign w:val="center"/>
            <w:hideMark/>
          </w:tcPr>
          <w:p w14:paraId="6A7F5BDB"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Safety checks and quality inspections</w:t>
            </w:r>
          </w:p>
        </w:tc>
        <w:tc>
          <w:tcPr>
            <w:tcW w:w="0" w:type="auto"/>
            <w:vAlign w:val="center"/>
            <w:hideMark/>
          </w:tcPr>
          <w:p w14:paraId="32F3C244"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Compliance Team</w:t>
            </w:r>
          </w:p>
        </w:tc>
      </w:tr>
      <w:tr w:rsidR="00084041" w:rsidRPr="00084041" w14:paraId="4F27DE9D" w14:textId="77777777" w:rsidTr="00084041">
        <w:trPr>
          <w:trHeight w:val="439"/>
          <w:tblCellSpacing w:w="15" w:type="dxa"/>
        </w:trPr>
        <w:tc>
          <w:tcPr>
            <w:tcW w:w="0" w:type="auto"/>
            <w:vAlign w:val="center"/>
            <w:hideMark/>
          </w:tcPr>
          <w:p w14:paraId="12CAA37C"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Construction Materials</w:t>
            </w:r>
          </w:p>
        </w:tc>
        <w:tc>
          <w:tcPr>
            <w:tcW w:w="0" w:type="auto"/>
            <w:vAlign w:val="center"/>
            <w:hideMark/>
          </w:tcPr>
          <w:p w14:paraId="02EE74E3"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Concrete, steel, pipes, road materials</w:t>
            </w:r>
          </w:p>
        </w:tc>
        <w:tc>
          <w:tcPr>
            <w:tcW w:w="0" w:type="auto"/>
            <w:vAlign w:val="center"/>
            <w:hideMark/>
          </w:tcPr>
          <w:p w14:paraId="1106DBB8"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Procurement Team</w:t>
            </w:r>
          </w:p>
        </w:tc>
      </w:tr>
      <w:tr w:rsidR="00084041" w:rsidRPr="00084041" w14:paraId="7459F4A5" w14:textId="77777777" w:rsidTr="00084041">
        <w:trPr>
          <w:trHeight w:val="454"/>
          <w:tblCellSpacing w:w="15" w:type="dxa"/>
        </w:trPr>
        <w:tc>
          <w:tcPr>
            <w:tcW w:w="0" w:type="auto"/>
            <w:vAlign w:val="center"/>
            <w:hideMark/>
          </w:tcPr>
          <w:p w14:paraId="4794036D"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Equipment and Machinery</w:t>
            </w:r>
          </w:p>
        </w:tc>
        <w:tc>
          <w:tcPr>
            <w:tcW w:w="0" w:type="auto"/>
            <w:vAlign w:val="center"/>
            <w:hideMark/>
          </w:tcPr>
          <w:p w14:paraId="14545700"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Excavators, trucks, tools and lifting equipment</w:t>
            </w:r>
          </w:p>
        </w:tc>
        <w:tc>
          <w:tcPr>
            <w:tcW w:w="0" w:type="auto"/>
            <w:vAlign w:val="center"/>
            <w:hideMark/>
          </w:tcPr>
          <w:p w14:paraId="029A4BC8"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Contractors</w:t>
            </w:r>
          </w:p>
        </w:tc>
      </w:tr>
      <w:tr w:rsidR="00084041" w:rsidRPr="00084041" w14:paraId="78D3C7C0" w14:textId="77777777" w:rsidTr="00084041">
        <w:trPr>
          <w:trHeight w:val="454"/>
          <w:tblCellSpacing w:w="15" w:type="dxa"/>
        </w:trPr>
        <w:tc>
          <w:tcPr>
            <w:tcW w:w="0" w:type="auto"/>
            <w:vAlign w:val="center"/>
            <w:hideMark/>
          </w:tcPr>
          <w:p w14:paraId="3A0B589A"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Financial Resources</w:t>
            </w:r>
          </w:p>
        </w:tc>
        <w:tc>
          <w:tcPr>
            <w:tcW w:w="0" w:type="auto"/>
            <w:vAlign w:val="center"/>
            <w:hideMark/>
          </w:tcPr>
          <w:p w14:paraId="6052E3AF"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Budget and funding control</w:t>
            </w:r>
          </w:p>
        </w:tc>
        <w:tc>
          <w:tcPr>
            <w:tcW w:w="0" w:type="auto"/>
            <w:vAlign w:val="center"/>
            <w:hideMark/>
          </w:tcPr>
          <w:p w14:paraId="66F5A54F" w14:textId="77777777" w:rsidR="00084041" w:rsidRPr="00084041" w:rsidRDefault="00084041" w:rsidP="00807B1D">
            <w:pPr>
              <w:spacing w:line="360" w:lineRule="auto"/>
              <w:jc w:val="both"/>
              <w:rPr>
                <w:rFonts w:ascii="Arial" w:hAnsi="Arial" w:cs="Arial"/>
                <w:sz w:val="22"/>
                <w:szCs w:val="22"/>
              </w:rPr>
            </w:pPr>
            <w:r w:rsidRPr="00084041">
              <w:rPr>
                <w:rFonts w:ascii="Arial" w:hAnsi="Arial" w:cs="Arial"/>
                <w:sz w:val="22"/>
                <w:szCs w:val="22"/>
              </w:rPr>
              <w:t>Local Council</w:t>
            </w:r>
          </w:p>
        </w:tc>
      </w:tr>
    </w:tbl>
    <w:p w14:paraId="2B507B36" w14:textId="77777777" w:rsidR="00084041" w:rsidRPr="00807B1D" w:rsidRDefault="00084041" w:rsidP="00807B1D">
      <w:pPr>
        <w:spacing w:line="360" w:lineRule="auto"/>
        <w:jc w:val="both"/>
        <w:rPr>
          <w:rFonts w:ascii="Arial" w:hAnsi="Arial" w:cs="Arial"/>
          <w:sz w:val="22"/>
          <w:szCs w:val="22"/>
        </w:rPr>
      </w:pPr>
    </w:p>
    <w:p w14:paraId="6639A001" w14:textId="77777777" w:rsidR="003C272E" w:rsidRPr="003C272E" w:rsidRDefault="003C272E" w:rsidP="003C272E">
      <w:pPr>
        <w:spacing w:line="360" w:lineRule="auto"/>
        <w:rPr>
          <w:rFonts w:ascii="Arial" w:hAnsi="Arial" w:cs="Arial"/>
          <w:sz w:val="22"/>
          <w:szCs w:val="22"/>
        </w:rPr>
      </w:pPr>
      <w:r w:rsidRPr="003C272E">
        <w:rPr>
          <w:rFonts w:ascii="Arial" w:hAnsi="Arial" w:cs="Arial"/>
          <w:sz w:val="22"/>
          <w:szCs w:val="22"/>
        </w:rPr>
        <w:t>This allocation is justified because it separates strategic, technical and operational responsibilities. The project manager provides integration across teams; engineers protect technical integrity; contractors deliver the work; utility specialists ensure system-specific compliance; and finance remains under council control to maintain accountability over public spending.</w:t>
      </w:r>
    </w:p>
    <w:p w14:paraId="4BBC4152" w14:textId="77777777" w:rsidR="003C272E" w:rsidRPr="003C272E" w:rsidRDefault="003C272E" w:rsidP="003C272E">
      <w:pPr>
        <w:spacing w:line="360" w:lineRule="auto"/>
        <w:rPr>
          <w:rFonts w:ascii="Arial" w:hAnsi="Arial" w:cs="Arial"/>
          <w:sz w:val="22"/>
          <w:szCs w:val="22"/>
        </w:rPr>
      </w:pPr>
      <w:r w:rsidRPr="003C272E">
        <w:rPr>
          <w:rFonts w:ascii="Arial" w:hAnsi="Arial" w:cs="Arial"/>
          <w:sz w:val="22"/>
          <w:szCs w:val="22"/>
        </w:rPr>
        <w:t>A more analytical improvement is to recognise that resource planning must be dynamic. For example, heavy plant may be needed intensively in the middle of the programme but not at the start or end, while safety inspectors may require increased presence during overlapping reconstruction and utility phases. Burke (2013) argues that resource plans are most effective when continuously reviewed against actual progress. Therefore, this project should use periodic resource reviews to reassign labour, reorder materials and manage contractor capacity in response to live conditions.</w:t>
      </w:r>
    </w:p>
    <w:p w14:paraId="3711AF4C" w14:textId="77777777" w:rsidR="00C92F78" w:rsidRDefault="00C92F78" w:rsidP="00807B1D">
      <w:pPr>
        <w:spacing w:line="360" w:lineRule="auto"/>
        <w:rPr>
          <w:rFonts w:ascii="Arial" w:hAnsi="Arial" w:cs="Arial"/>
          <w:sz w:val="22"/>
          <w:szCs w:val="22"/>
        </w:rPr>
      </w:pPr>
    </w:p>
    <w:p w14:paraId="2EAF948A" w14:textId="1F69C0AF" w:rsidR="00B95744" w:rsidRPr="00807B1D" w:rsidRDefault="004F0B6A" w:rsidP="00807B1D">
      <w:pPr>
        <w:spacing w:line="360" w:lineRule="auto"/>
        <w:rPr>
          <w:rFonts w:ascii="Arial" w:hAnsi="Arial" w:cs="Arial"/>
          <w:b/>
          <w:bCs/>
          <w:sz w:val="22"/>
          <w:szCs w:val="22"/>
        </w:rPr>
      </w:pPr>
      <w:r w:rsidRPr="00807B1D">
        <w:rPr>
          <w:rFonts w:ascii="Arial" w:hAnsi="Arial" w:cs="Arial"/>
          <w:b/>
          <w:bCs/>
          <w:sz w:val="22"/>
          <w:szCs w:val="22"/>
        </w:rPr>
        <w:t xml:space="preserve">9. </w:t>
      </w:r>
      <w:r w:rsidR="00B95744" w:rsidRPr="0079017A">
        <w:rPr>
          <w:rFonts w:ascii="Arial" w:hAnsi="Arial" w:cs="Arial"/>
          <w:b/>
          <w:bCs/>
          <w:sz w:val="22"/>
          <w:szCs w:val="22"/>
        </w:rPr>
        <w:t>Risk Analysis</w:t>
      </w:r>
    </w:p>
    <w:p w14:paraId="2ACDA13A" w14:textId="77777777" w:rsidR="003C272E" w:rsidRDefault="003C272E" w:rsidP="00807B1D">
      <w:pPr>
        <w:spacing w:line="360" w:lineRule="auto"/>
        <w:rPr>
          <w:rFonts w:ascii="Arial" w:hAnsi="Arial" w:cs="Arial"/>
          <w:sz w:val="22"/>
          <w:szCs w:val="22"/>
        </w:rPr>
      </w:pPr>
      <w:r w:rsidRPr="003C272E">
        <w:rPr>
          <w:rFonts w:ascii="Arial" w:hAnsi="Arial" w:cs="Arial"/>
          <w:sz w:val="22"/>
          <w:szCs w:val="22"/>
        </w:rPr>
        <w:t>Risk analysis identifies threats to delivery and establishes mitigation responses before disruption escalates. Hillson (2017) argues that risk management improves project resilience because it reduces dependence on reactive decision-making. That principle is highly relevant in flood recovery, where uncertainty remains elevated even after the initial emergency phase.</w:t>
      </w:r>
    </w:p>
    <w:p w14:paraId="579A5446" w14:textId="14A576DC"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Risk Register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9"/>
        <w:gridCol w:w="1071"/>
        <w:gridCol w:w="863"/>
        <w:gridCol w:w="1077"/>
        <w:gridCol w:w="5032"/>
      </w:tblGrid>
      <w:tr w:rsidR="000F47AE" w:rsidRPr="000F47AE" w14:paraId="7424C1F5" w14:textId="77777777" w:rsidTr="000F47AE">
        <w:trPr>
          <w:tblHeader/>
          <w:tblCellSpacing w:w="15" w:type="dxa"/>
        </w:trPr>
        <w:tc>
          <w:tcPr>
            <w:tcW w:w="0" w:type="auto"/>
            <w:shd w:val="clear" w:color="auto" w:fill="D9D9D9" w:themeFill="background1" w:themeFillShade="D9"/>
            <w:vAlign w:val="center"/>
            <w:hideMark/>
          </w:tcPr>
          <w:p w14:paraId="569FEF20"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lastRenderedPageBreak/>
              <w:t>Risk</w:t>
            </w:r>
          </w:p>
        </w:tc>
        <w:tc>
          <w:tcPr>
            <w:tcW w:w="0" w:type="auto"/>
            <w:shd w:val="clear" w:color="auto" w:fill="D9D9D9" w:themeFill="background1" w:themeFillShade="D9"/>
            <w:vAlign w:val="center"/>
            <w:hideMark/>
          </w:tcPr>
          <w:p w14:paraId="50A57577"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Likelihood</w:t>
            </w:r>
          </w:p>
        </w:tc>
        <w:tc>
          <w:tcPr>
            <w:tcW w:w="0" w:type="auto"/>
            <w:shd w:val="clear" w:color="auto" w:fill="D9D9D9" w:themeFill="background1" w:themeFillShade="D9"/>
            <w:vAlign w:val="center"/>
            <w:hideMark/>
          </w:tcPr>
          <w:p w14:paraId="76984413"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Impact</w:t>
            </w:r>
          </w:p>
        </w:tc>
        <w:tc>
          <w:tcPr>
            <w:tcW w:w="0" w:type="auto"/>
            <w:shd w:val="clear" w:color="auto" w:fill="D9D9D9" w:themeFill="background1" w:themeFillShade="D9"/>
            <w:vAlign w:val="center"/>
            <w:hideMark/>
          </w:tcPr>
          <w:p w14:paraId="4A7871AE"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Risk Level</w:t>
            </w:r>
          </w:p>
        </w:tc>
        <w:tc>
          <w:tcPr>
            <w:tcW w:w="0" w:type="auto"/>
            <w:shd w:val="clear" w:color="auto" w:fill="D9D9D9" w:themeFill="background1" w:themeFillShade="D9"/>
            <w:vAlign w:val="center"/>
            <w:hideMark/>
          </w:tcPr>
          <w:p w14:paraId="09AE05E4"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Mitigation Strategy</w:t>
            </w:r>
          </w:p>
        </w:tc>
      </w:tr>
      <w:tr w:rsidR="000F47AE" w:rsidRPr="000F47AE" w14:paraId="4B2D44B1" w14:textId="77777777" w:rsidTr="000F47AE">
        <w:trPr>
          <w:tblCellSpacing w:w="15" w:type="dxa"/>
        </w:trPr>
        <w:tc>
          <w:tcPr>
            <w:tcW w:w="0" w:type="auto"/>
            <w:vAlign w:val="center"/>
            <w:hideMark/>
          </w:tcPr>
          <w:p w14:paraId="4131D4CE"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Extreme weather conditions</w:t>
            </w:r>
          </w:p>
        </w:tc>
        <w:tc>
          <w:tcPr>
            <w:tcW w:w="0" w:type="auto"/>
            <w:vAlign w:val="center"/>
            <w:hideMark/>
          </w:tcPr>
          <w:p w14:paraId="2FBDC5F8"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1E607A7C"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High</w:t>
            </w:r>
          </w:p>
        </w:tc>
        <w:tc>
          <w:tcPr>
            <w:tcW w:w="0" w:type="auto"/>
            <w:vAlign w:val="center"/>
            <w:hideMark/>
          </w:tcPr>
          <w:p w14:paraId="7647B425"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High</w:t>
            </w:r>
          </w:p>
        </w:tc>
        <w:tc>
          <w:tcPr>
            <w:tcW w:w="0" w:type="auto"/>
            <w:vAlign w:val="center"/>
            <w:hideMark/>
          </w:tcPr>
          <w:p w14:paraId="37D6EC1F"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Develop contingency plans and flexible scheduling</w:t>
            </w:r>
          </w:p>
        </w:tc>
      </w:tr>
      <w:tr w:rsidR="000F47AE" w:rsidRPr="000F47AE" w14:paraId="3A25018E" w14:textId="77777777" w:rsidTr="000F47AE">
        <w:trPr>
          <w:tblCellSpacing w:w="15" w:type="dxa"/>
        </w:trPr>
        <w:tc>
          <w:tcPr>
            <w:tcW w:w="0" w:type="auto"/>
            <w:vAlign w:val="center"/>
            <w:hideMark/>
          </w:tcPr>
          <w:p w14:paraId="22B11591"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Delays in materials supply</w:t>
            </w:r>
          </w:p>
        </w:tc>
        <w:tc>
          <w:tcPr>
            <w:tcW w:w="0" w:type="auto"/>
            <w:vAlign w:val="center"/>
            <w:hideMark/>
          </w:tcPr>
          <w:p w14:paraId="7E95184A"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38D1CD10"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63B4B427"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2670381A"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Identify alternative suppliers and maintain reserves</w:t>
            </w:r>
          </w:p>
        </w:tc>
      </w:tr>
      <w:tr w:rsidR="000F47AE" w:rsidRPr="000F47AE" w14:paraId="53C8F195" w14:textId="77777777" w:rsidTr="000F47AE">
        <w:trPr>
          <w:tblCellSpacing w:w="15" w:type="dxa"/>
        </w:trPr>
        <w:tc>
          <w:tcPr>
            <w:tcW w:w="0" w:type="auto"/>
            <w:vAlign w:val="center"/>
            <w:hideMark/>
          </w:tcPr>
          <w:p w14:paraId="38B982B2"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Budget overruns</w:t>
            </w:r>
          </w:p>
        </w:tc>
        <w:tc>
          <w:tcPr>
            <w:tcW w:w="0" w:type="auto"/>
            <w:vAlign w:val="center"/>
            <w:hideMark/>
          </w:tcPr>
          <w:p w14:paraId="3FD7C5E6"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Low</w:t>
            </w:r>
          </w:p>
        </w:tc>
        <w:tc>
          <w:tcPr>
            <w:tcW w:w="0" w:type="auto"/>
            <w:vAlign w:val="center"/>
            <w:hideMark/>
          </w:tcPr>
          <w:p w14:paraId="53CFDD39"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High</w:t>
            </w:r>
          </w:p>
        </w:tc>
        <w:tc>
          <w:tcPr>
            <w:tcW w:w="0" w:type="auto"/>
            <w:vAlign w:val="center"/>
            <w:hideMark/>
          </w:tcPr>
          <w:p w14:paraId="6866B749"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479254B8"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Apply strict budget monitoring and approvals</w:t>
            </w:r>
          </w:p>
        </w:tc>
      </w:tr>
      <w:tr w:rsidR="000F47AE" w:rsidRPr="000F47AE" w14:paraId="61E4BB30" w14:textId="77777777" w:rsidTr="000F47AE">
        <w:trPr>
          <w:tblCellSpacing w:w="15" w:type="dxa"/>
        </w:trPr>
        <w:tc>
          <w:tcPr>
            <w:tcW w:w="0" w:type="auto"/>
            <w:vAlign w:val="center"/>
            <w:hideMark/>
          </w:tcPr>
          <w:p w14:paraId="5EE8B9B1"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Infrastructure safety issues</w:t>
            </w:r>
          </w:p>
        </w:tc>
        <w:tc>
          <w:tcPr>
            <w:tcW w:w="0" w:type="auto"/>
            <w:vAlign w:val="center"/>
            <w:hideMark/>
          </w:tcPr>
          <w:p w14:paraId="2128AFF7"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Low</w:t>
            </w:r>
          </w:p>
        </w:tc>
        <w:tc>
          <w:tcPr>
            <w:tcW w:w="0" w:type="auto"/>
            <w:vAlign w:val="center"/>
            <w:hideMark/>
          </w:tcPr>
          <w:p w14:paraId="30F36974"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High</w:t>
            </w:r>
          </w:p>
        </w:tc>
        <w:tc>
          <w:tcPr>
            <w:tcW w:w="0" w:type="auto"/>
            <w:vAlign w:val="center"/>
            <w:hideMark/>
          </w:tcPr>
          <w:p w14:paraId="05214F00"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69E06DE4"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Conduct regular inspections and quality checks</w:t>
            </w:r>
          </w:p>
        </w:tc>
      </w:tr>
      <w:tr w:rsidR="000F47AE" w:rsidRPr="000F47AE" w14:paraId="17081ACE" w14:textId="77777777" w:rsidTr="000F47AE">
        <w:trPr>
          <w:tblCellSpacing w:w="15" w:type="dxa"/>
        </w:trPr>
        <w:tc>
          <w:tcPr>
            <w:tcW w:w="0" w:type="auto"/>
            <w:vAlign w:val="center"/>
            <w:hideMark/>
          </w:tcPr>
          <w:p w14:paraId="1EEE07D7"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Communication breakdown</w:t>
            </w:r>
          </w:p>
        </w:tc>
        <w:tc>
          <w:tcPr>
            <w:tcW w:w="0" w:type="auto"/>
            <w:vAlign w:val="center"/>
            <w:hideMark/>
          </w:tcPr>
          <w:p w14:paraId="2CAF900F"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663657D4"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4DD44BB0"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64687973"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Hold regular stakeholder meetings and clear reporting</w:t>
            </w:r>
          </w:p>
        </w:tc>
      </w:tr>
      <w:tr w:rsidR="000F47AE" w:rsidRPr="000F47AE" w14:paraId="39D4AA0B" w14:textId="77777777" w:rsidTr="000F47AE">
        <w:trPr>
          <w:tblCellSpacing w:w="15" w:type="dxa"/>
        </w:trPr>
        <w:tc>
          <w:tcPr>
            <w:tcW w:w="0" w:type="auto"/>
            <w:vAlign w:val="center"/>
            <w:hideMark/>
          </w:tcPr>
          <w:p w14:paraId="2CF90523"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Labour shortages</w:t>
            </w:r>
          </w:p>
        </w:tc>
        <w:tc>
          <w:tcPr>
            <w:tcW w:w="0" w:type="auto"/>
            <w:vAlign w:val="center"/>
            <w:hideMark/>
          </w:tcPr>
          <w:p w14:paraId="6846E14F"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Low</w:t>
            </w:r>
          </w:p>
        </w:tc>
        <w:tc>
          <w:tcPr>
            <w:tcW w:w="0" w:type="auto"/>
            <w:vAlign w:val="center"/>
            <w:hideMark/>
          </w:tcPr>
          <w:p w14:paraId="023E8C7D"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34A04365"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Low</w:t>
            </w:r>
          </w:p>
        </w:tc>
        <w:tc>
          <w:tcPr>
            <w:tcW w:w="0" w:type="auto"/>
            <w:vAlign w:val="center"/>
            <w:hideMark/>
          </w:tcPr>
          <w:p w14:paraId="03464513"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Maintain backup contractor options</w:t>
            </w:r>
          </w:p>
        </w:tc>
      </w:tr>
      <w:tr w:rsidR="000F47AE" w:rsidRPr="000F47AE" w14:paraId="546F5741" w14:textId="77777777" w:rsidTr="000F47AE">
        <w:trPr>
          <w:tblCellSpacing w:w="15" w:type="dxa"/>
        </w:trPr>
        <w:tc>
          <w:tcPr>
            <w:tcW w:w="0" w:type="auto"/>
            <w:vAlign w:val="center"/>
            <w:hideMark/>
          </w:tcPr>
          <w:p w14:paraId="2E8C2E0F"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Regulatory approval delays</w:t>
            </w:r>
          </w:p>
        </w:tc>
        <w:tc>
          <w:tcPr>
            <w:tcW w:w="0" w:type="auto"/>
            <w:vAlign w:val="center"/>
            <w:hideMark/>
          </w:tcPr>
          <w:p w14:paraId="52CFB98F"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060E8110"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7579FBAE"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Medium</w:t>
            </w:r>
          </w:p>
        </w:tc>
        <w:tc>
          <w:tcPr>
            <w:tcW w:w="0" w:type="auto"/>
            <w:vAlign w:val="center"/>
            <w:hideMark/>
          </w:tcPr>
          <w:p w14:paraId="63B93D3E" w14:textId="77777777" w:rsidR="000F47AE" w:rsidRPr="000F47AE" w:rsidRDefault="000F47AE" w:rsidP="00807B1D">
            <w:pPr>
              <w:spacing w:line="360" w:lineRule="auto"/>
              <w:rPr>
                <w:rFonts w:ascii="Arial" w:hAnsi="Arial" w:cs="Arial"/>
                <w:sz w:val="22"/>
                <w:szCs w:val="22"/>
              </w:rPr>
            </w:pPr>
            <w:r w:rsidRPr="000F47AE">
              <w:rPr>
                <w:rFonts w:ascii="Arial" w:hAnsi="Arial" w:cs="Arial"/>
                <w:sz w:val="22"/>
                <w:szCs w:val="22"/>
              </w:rPr>
              <w:t>Engage regulators early and continuously</w:t>
            </w:r>
          </w:p>
        </w:tc>
      </w:tr>
    </w:tbl>
    <w:p w14:paraId="26D1F3E9" w14:textId="77777777" w:rsidR="00807B1D" w:rsidRPr="00807B1D" w:rsidRDefault="00807B1D" w:rsidP="00807B1D">
      <w:pPr>
        <w:spacing w:line="360" w:lineRule="auto"/>
        <w:jc w:val="both"/>
        <w:rPr>
          <w:rFonts w:ascii="Arial" w:hAnsi="Arial" w:cs="Arial"/>
          <w:sz w:val="22"/>
          <w:szCs w:val="22"/>
        </w:rPr>
      </w:pPr>
    </w:p>
    <w:p w14:paraId="510EC89B"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The most significant risks are further severe weather and supply disruption. That ranking is analytically justified because both can halt physical works and generate secondary effects across cost, sequencing and stakeholder confidence. A delay in drainage components, for example, may postpone excavation closure, traffic reopening and utility access. This creates a multiplier effect rather than a single isolated delay.</w:t>
      </w:r>
    </w:p>
    <w:p w14:paraId="3F32CB35" w14:textId="77777777" w:rsidR="003C272E" w:rsidRPr="003C272E" w:rsidRDefault="003C272E" w:rsidP="003C272E">
      <w:pPr>
        <w:spacing w:line="360" w:lineRule="auto"/>
        <w:jc w:val="both"/>
        <w:rPr>
          <w:rFonts w:ascii="Arial" w:hAnsi="Arial" w:cs="Arial"/>
          <w:sz w:val="22"/>
          <w:szCs w:val="22"/>
        </w:rPr>
      </w:pPr>
      <w:r w:rsidRPr="003C272E">
        <w:rPr>
          <w:rFonts w:ascii="Arial" w:hAnsi="Arial" w:cs="Arial"/>
          <w:sz w:val="22"/>
          <w:szCs w:val="22"/>
        </w:rPr>
        <w:t>It is also useful to distinguish between preventive mitigation and contingency planning. Alternative suppliers and early procurement are preventive controls. Schedule float, emergency traffic plans and escalation routes are contingency measures used if prevention fails. Too and Weaver (2014) argue that governance is essential because some risks cannot be eliminated and must instead be escalated to those with authority to approve time, cost or scope adjustments. For that reason, this project should hold regular risk review meetings and use a clear escalation framework for high-impact changes.</w:t>
      </w:r>
    </w:p>
    <w:p w14:paraId="400A12F3" w14:textId="77777777" w:rsidR="007D33E6" w:rsidRDefault="007D33E6" w:rsidP="007D33E6">
      <w:pPr>
        <w:spacing w:line="360" w:lineRule="auto"/>
        <w:jc w:val="both"/>
        <w:rPr>
          <w:rFonts w:ascii="Arial" w:hAnsi="Arial" w:cs="Arial"/>
          <w:sz w:val="22"/>
          <w:szCs w:val="22"/>
        </w:rPr>
      </w:pPr>
    </w:p>
    <w:p w14:paraId="75B4F06D" w14:textId="69821FC7" w:rsidR="00B95744" w:rsidRPr="007D33E6" w:rsidRDefault="004F0B6A" w:rsidP="007D33E6">
      <w:pPr>
        <w:spacing w:line="360" w:lineRule="auto"/>
        <w:jc w:val="both"/>
        <w:rPr>
          <w:rFonts w:ascii="Arial" w:hAnsi="Arial" w:cs="Arial"/>
          <w:sz w:val="22"/>
          <w:szCs w:val="22"/>
        </w:rPr>
      </w:pPr>
      <w:r w:rsidRPr="00807B1D">
        <w:rPr>
          <w:rFonts w:ascii="Arial" w:hAnsi="Arial" w:cs="Arial"/>
          <w:b/>
          <w:bCs/>
          <w:sz w:val="22"/>
          <w:szCs w:val="22"/>
        </w:rPr>
        <w:t xml:space="preserve">10. </w:t>
      </w:r>
      <w:r w:rsidR="00B95744" w:rsidRPr="0079017A">
        <w:rPr>
          <w:rFonts w:ascii="Arial" w:hAnsi="Arial" w:cs="Arial"/>
          <w:b/>
          <w:bCs/>
          <w:sz w:val="22"/>
          <w:szCs w:val="22"/>
        </w:rPr>
        <w:t>Conclusion</w:t>
      </w:r>
    </w:p>
    <w:p w14:paraId="7C41EC0E" w14:textId="77777777" w:rsidR="00947239" w:rsidRDefault="00947239" w:rsidP="00947239">
      <w:pPr>
        <w:spacing w:line="360" w:lineRule="auto"/>
        <w:jc w:val="both"/>
        <w:rPr>
          <w:rFonts w:ascii="Arial" w:hAnsi="Arial" w:cs="Arial"/>
          <w:sz w:val="22"/>
          <w:szCs w:val="22"/>
        </w:rPr>
      </w:pPr>
      <w:r w:rsidRPr="00947239">
        <w:rPr>
          <w:rFonts w:ascii="Arial" w:hAnsi="Arial" w:cs="Arial"/>
          <w:sz w:val="22"/>
          <w:szCs w:val="22"/>
        </w:rPr>
        <w:t xml:space="preserve">Flooding poses a continuing threat to infrastructure systems, public safety and economic continuity in Worcester, where official local and national sources recognise both long-standing flood exposure and ongoing flood-risk management needs. In this context, reconstruction of roads, drainage and utility infrastructure is not simply an </w:t>
      </w:r>
    </w:p>
    <w:p w14:paraId="78AAB345" w14:textId="77777777" w:rsidR="00947239" w:rsidRDefault="00947239" w:rsidP="00947239">
      <w:pPr>
        <w:spacing w:line="360" w:lineRule="auto"/>
        <w:jc w:val="both"/>
        <w:rPr>
          <w:rFonts w:ascii="Arial" w:hAnsi="Arial" w:cs="Arial"/>
          <w:sz w:val="22"/>
          <w:szCs w:val="22"/>
        </w:rPr>
      </w:pPr>
    </w:p>
    <w:p w14:paraId="3947BEA5" w14:textId="77777777" w:rsidR="00947239" w:rsidRDefault="00947239" w:rsidP="00947239">
      <w:pPr>
        <w:spacing w:line="360" w:lineRule="auto"/>
        <w:jc w:val="both"/>
        <w:rPr>
          <w:rFonts w:ascii="Arial" w:hAnsi="Arial" w:cs="Arial"/>
          <w:sz w:val="22"/>
          <w:szCs w:val="22"/>
        </w:rPr>
      </w:pPr>
    </w:p>
    <w:p w14:paraId="60B2DCB4" w14:textId="47AC550D" w:rsidR="00947239" w:rsidRPr="00947239" w:rsidRDefault="00947239" w:rsidP="00947239">
      <w:pPr>
        <w:spacing w:line="360" w:lineRule="auto"/>
        <w:jc w:val="both"/>
        <w:rPr>
          <w:rFonts w:ascii="Arial" w:hAnsi="Arial" w:cs="Arial"/>
          <w:sz w:val="22"/>
          <w:szCs w:val="22"/>
        </w:rPr>
      </w:pPr>
      <w:r w:rsidRPr="00947239">
        <w:rPr>
          <w:rFonts w:ascii="Arial" w:hAnsi="Arial" w:cs="Arial"/>
          <w:sz w:val="22"/>
          <w:szCs w:val="22"/>
        </w:rPr>
        <w:t>engineering task, but a project-management challenge requiring control of scope, time, cost, quality, stakeholders and risk.</w:t>
      </w:r>
    </w:p>
    <w:p w14:paraId="48C9C347" w14:textId="48460915" w:rsidR="00947239" w:rsidRPr="00947239" w:rsidRDefault="00947239" w:rsidP="00947239">
      <w:pPr>
        <w:spacing w:line="360" w:lineRule="auto"/>
        <w:jc w:val="both"/>
        <w:rPr>
          <w:rFonts w:ascii="Arial" w:hAnsi="Arial" w:cs="Arial"/>
          <w:sz w:val="22"/>
          <w:szCs w:val="22"/>
        </w:rPr>
      </w:pPr>
      <w:r w:rsidRPr="00947239">
        <w:rPr>
          <w:rFonts w:ascii="Arial" w:hAnsi="Arial" w:cs="Arial"/>
          <w:sz w:val="22"/>
          <w:szCs w:val="22"/>
        </w:rPr>
        <w:t xml:space="preserve">This Project Management Plan has set out a structured framework for restoring flood-damaged infrastructure in Worcester </w:t>
      </w:r>
      <w:r w:rsidRPr="00947239">
        <w:rPr>
          <w:rFonts w:ascii="Arial" w:hAnsi="Arial" w:cs="Arial"/>
          <w:sz w:val="22"/>
          <w:szCs w:val="22"/>
        </w:rPr>
        <w:t>using</w:t>
      </w:r>
      <w:r w:rsidRPr="00947239">
        <w:rPr>
          <w:rFonts w:ascii="Arial" w:hAnsi="Arial" w:cs="Arial"/>
          <w:sz w:val="22"/>
          <w:szCs w:val="22"/>
        </w:rPr>
        <w:t xml:space="preserve"> lifecycle planning, SMART objectives, scope definition, WBS, quad chart, Gantt chart, stakeholder analysis, resource allocation and risk management. The analytical value of these tools lies in how they complement one another: scope protects boundaries, WBS clarifies deliverables, the Gantt chart manages sequencing, stakeholder analysis supports legitimacy and coordination, resource planning supports feasibility, and risk management addresses uncertainty.</w:t>
      </w:r>
    </w:p>
    <w:p w14:paraId="7F55451E" w14:textId="77777777" w:rsidR="00947239" w:rsidRPr="00947239" w:rsidRDefault="00947239" w:rsidP="00947239">
      <w:pPr>
        <w:spacing w:line="360" w:lineRule="auto"/>
        <w:jc w:val="both"/>
        <w:rPr>
          <w:rFonts w:ascii="Arial" w:hAnsi="Arial" w:cs="Arial"/>
          <w:sz w:val="22"/>
          <w:szCs w:val="22"/>
        </w:rPr>
      </w:pPr>
      <w:r w:rsidRPr="00947239">
        <w:rPr>
          <w:rFonts w:ascii="Arial" w:hAnsi="Arial" w:cs="Arial"/>
          <w:sz w:val="22"/>
          <w:szCs w:val="22"/>
        </w:rPr>
        <w:t>Overall, the plan provides a realistic and strategically justified basis for infrastructure recovery. Its central strength is that it combines short-term restoration with resilience-oriented improvement, rather than treating reconstruction as a simple return to pre-flood conditions. In doing so, it supports both immediate service recovery and stronger long-term preparedness.</w:t>
      </w:r>
    </w:p>
    <w:p w14:paraId="6A2D8CC8" w14:textId="77777777" w:rsidR="005E0C5C" w:rsidRDefault="005E0C5C" w:rsidP="00807B1D">
      <w:pPr>
        <w:spacing w:line="360" w:lineRule="auto"/>
        <w:rPr>
          <w:rFonts w:ascii="Arial" w:hAnsi="Arial" w:cs="Arial"/>
          <w:sz w:val="22"/>
          <w:szCs w:val="22"/>
        </w:rPr>
      </w:pPr>
    </w:p>
    <w:p w14:paraId="397878D7" w14:textId="35FDF1AF" w:rsidR="00B95744" w:rsidRPr="0079017A" w:rsidRDefault="004F0B6A" w:rsidP="00807B1D">
      <w:pPr>
        <w:spacing w:line="360" w:lineRule="auto"/>
        <w:rPr>
          <w:rFonts w:ascii="Arial" w:hAnsi="Arial" w:cs="Arial"/>
          <w:b/>
          <w:bCs/>
          <w:sz w:val="22"/>
          <w:szCs w:val="22"/>
        </w:rPr>
      </w:pPr>
      <w:r w:rsidRPr="00807B1D">
        <w:rPr>
          <w:rFonts w:ascii="Arial" w:hAnsi="Arial" w:cs="Arial"/>
          <w:b/>
          <w:bCs/>
          <w:sz w:val="22"/>
          <w:szCs w:val="22"/>
        </w:rPr>
        <w:t xml:space="preserve">11. </w:t>
      </w:r>
      <w:r w:rsidR="00B95744" w:rsidRPr="0079017A">
        <w:rPr>
          <w:rFonts w:ascii="Arial" w:hAnsi="Arial" w:cs="Arial"/>
          <w:b/>
          <w:bCs/>
          <w:sz w:val="22"/>
          <w:szCs w:val="22"/>
        </w:rPr>
        <w:t>Reference List</w:t>
      </w:r>
    </w:p>
    <w:p w14:paraId="3DC47680"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Bourne, L. (2015) </w:t>
      </w:r>
      <w:r w:rsidRPr="009849AC">
        <w:rPr>
          <w:rFonts w:ascii="Arial" w:hAnsi="Arial" w:cs="Arial"/>
          <w:i/>
          <w:iCs/>
          <w:sz w:val="22"/>
          <w:szCs w:val="22"/>
        </w:rPr>
        <w:t>Stakeholder Relationship Management: A Maturity Model for Organisational Implementation</w:t>
      </w:r>
      <w:r w:rsidRPr="009849AC">
        <w:rPr>
          <w:rFonts w:ascii="Arial" w:hAnsi="Arial" w:cs="Arial"/>
          <w:sz w:val="22"/>
          <w:szCs w:val="22"/>
        </w:rPr>
        <w:t>. Farnham: Gower.</w:t>
      </w:r>
    </w:p>
    <w:p w14:paraId="3502E298"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Burke, R. (2013) </w:t>
      </w:r>
      <w:r w:rsidRPr="009849AC">
        <w:rPr>
          <w:rFonts w:ascii="Arial" w:hAnsi="Arial" w:cs="Arial"/>
          <w:i/>
          <w:iCs/>
          <w:sz w:val="22"/>
          <w:szCs w:val="22"/>
        </w:rPr>
        <w:t>Project Management: Planning and Control Techniques</w:t>
      </w:r>
      <w:r w:rsidRPr="009849AC">
        <w:rPr>
          <w:rFonts w:ascii="Arial" w:hAnsi="Arial" w:cs="Arial"/>
          <w:sz w:val="22"/>
          <w:szCs w:val="22"/>
        </w:rPr>
        <w:t xml:space="preserve">. 5th </w:t>
      </w:r>
      <w:proofErr w:type="spellStart"/>
      <w:r w:rsidRPr="009849AC">
        <w:rPr>
          <w:rFonts w:ascii="Arial" w:hAnsi="Arial" w:cs="Arial"/>
          <w:sz w:val="22"/>
          <w:szCs w:val="22"/>
        </w:rPr>
        <w:t>edn</w:t>
      </w:r>
      <w:proofErr w:type="spellEnd"/>
      <w:r w:rsidRPr="009849AC">
        <w:rPr>
          <w:rFonts w:ascii="Arial" w:hAnsi="Arial" w:cs="Arial"/>
          <w:sz w:val="22"/>
          <w:szCs w:val="22"/>
        </w:rPr>
        <w:t>. Chichester: Wiley.</w:t>
      </w:r>
    </w:p>
    <w:p w14:paraId="4ABBAFBE"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Chapman, C. and Ward, S. (2011) </w:t>
      </w:r>
      <w:r w:rsidRPr="009849AC">
        <w:rPr>
          <w:rFonts w:ascii="Arial" w:hAnsi="Arial" w:cs="Arial"/>
          <w:i/>
          <w:iCs/>
          <w:sz w:val="22"/>
          <w:szCs w:val="22"/>
        </w:rPr>
        <w:t>How to Manage Project Opportunity and Risk: Why Uncertainty Management Can Be a Much Better Approach than Risk Management</w:t>
      </w:r>
      <w:r w:rsidRPr="009849AC">
        <w:rPr>
          <w:rFonts w:ascii="Arial" w:hAnsi="Arial" w:cs="Arial"/>
          <w:sz w:val="22"/>
          <w:szCs w:val="22"/>
        </w:rPr>
        <w:t xml:space="preserve">. 3rd </w:t>
      </w:r>
      <w:proofErr w:type="spellStart"/>
      <w:r w:rsidRPr="009849AC">
        <w:rPr>
          <w:rFonts w:ascii="Arial" w:hAnsi="Arial" w:cs="Arial"/>
          <w:sz w:val="22"/>
          <w:szCs w:val="22"/>
        </w:rPr>
        <w:t>edn</w:t>
      </w:r>
      <w:proofErr w:type="spellEnd"/>
      <w:r w:rsidRPr="009849AC">
        <w:rPr>
          <w:rFonts w:ascii="Arial" w:hAnsi="Arial" w:cs="Arial"/>
          <w:sz w:val="22"/>
          <w:szCs w:val="22"/>
        </w:rPr>
        <w:t>. Chichester: Wiley.</w:t>
      </w:r>
    </w:p>
    <w:p w14:paraId="1D51F3A7"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Gibbs, G. (1988) </w:t>
      </w:r>
      <w:r w:rsidRPr="009849AC">
        <w:rPr>
          <w:rFonts w:ascii="Arial" w:hAnsi="Arial" w:cs="Arial"/>
          <w:i/>
          <w:iCs/>
          <w:sz w:val="22"/>
          <w:szCs w:val="22"/>
        </w:rPr>
        <w:t>Learning by Doing: A Guide to Teaching and Learning Methods</w:t>
      </w:r>
      <w:r w:rsidRPr="009849AC">
        <w:rPr>
          <w:rFonts w:ascii="Arial" w:hAnsi="Arial" w:cs="Arial"/>
          <w:sz w:val="22"/>
          <w:szCs w:val="22"/>
        </w:rPr>
        <w:t>. Oxford: Oxford Polytechnic.</w:t>
      </w:r>
    </w:p>
    <w:p w14:paraId="6BFD0929"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Hillson, D. (2017) </w:t>
      </w:r>
      <w:r w:rsidRPr="009849AC">
        <w:rPr>
          <w:rFonts w:ascii="Arial" w:hAnsi="Arial" w:cs="Arial"/>
          <w:i/>
          <w:iCs/>
          <w:sz w:val="22"/>
          <w:szCs w:val="22"/>
        </w:rPr>
        <w:t>The Risk Management Handbook: A Practical Guide to Managing the Many Faces of Risk</w:t>
      </w:r>
      <w:r w:rsidRPr="009849AC">
        <w:rPr>
          <w:rFonts w:ascii="Arial" w:hAnsi="Arial" w:cs="Arial"/>
          <w:sz w:val="22"/>
          <w:szCs w:val="22"/>
        </w:rPr>
        <w:t xml:space="preserve">. 2nd </w:t>
      </w:r>
      <w:proofErr w:type="spellStart"/>
      <w:r w:rsidRPr="009849AC">
        <w:rPr>
          <w:rFonts w:ascii="Arial" w:hAnsi="Arial" w:cs="Arial"/>
          <w:sz w:val="22"/>
          <w:szCs w:val="22"/>
        </w:rPr>
        <w:t>edn</w:t>
      </w:r>
      <w:proofErr w:type="spellEnd"/>
      <w:r w:rsidRPr="009849AC">
        <w:rPr>
          <w:rFonts w:ascii="Arial" w:hAnsi="Arial" w:cs="Arial"/>
          <w:sz w:val="22"/>
          <w:szCs w:val="22"/>
        </w:rPr>
        <w:t>. London: Kogan Page.</w:t>
      </w:r>
    </w:p>
    <w:p w14:paraId="65554C46"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Kerzner, H. (2022) </w:t>
      </w:r>
      <w:r w:rsidRPr="009849AC">
        <w:rPr>
          <w:rFonts w:ascii="Arial" w:hAnsi="Arial" w:cs="Arial"/>
          <w:i/>
          <w:iCs/>
          <w:sz w:val="22"/>
          <w:szCs w:val="22"/>
        </w:rPr>
        <w:t>Project Management: A Systems Approach to Planning, Scheduling, and Controlling</w:t>
      </w:r>
      <w:r w:rsidRPr="009849AC">
        <w:rPr>
          <w:rFonts w:ascii="Arial" w:hAnsi="Arial" w:cs="Arial"/>
          <w:sz w:val="22"/>
          <w:szCs w:val="22"/>
        </w:rPr>
        <w:t xml:space="preserve">. 13th </w:t>
      </w:r>
      <w:proofErr w:type="spellStart"/>
      <w:r w:rsidRPr="009849AC">
        <w:rPr>
          <w:rFonts w:ascii="Arial" w:hAnsi="Arial" w:cs="Arial"/>
          <w:sz w:val="22"/>
          <w:szCs w:val="22"/>
        </w:rPr>
        <w:t>edn</w:t>
      </w:r>
      <w:proofErr w:type="spellEnd"/>
      <w:r w:rsidRPr="009849AC">
        <w:rPr>
          <w:rFonts w:ascii="Arial" w:hAnsi="Arial" w:cs="Arial"/>
          <w:sz w:val="22"/>
          <w:szCs w:val="22"/>
        </w:rPr>
        <w:t>. Hoboken, NJ: John Wiley &amp; Sons.</w:t>
      </w:r>
    </w:p>
    <w:p w14:paraId="145C064E"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Kolb, D.A. (1984) </w:t>
      </w:r>
      <w:r w:rsidRPr="009849AC">
        <w:rPr>
          <w:rFonts w:ascii="Arial" w:hAnsi="Arial" w:cs="Arial"/>
          <w:i/>
          <w:iCs/>
          <w:sz w:val="22"/>
          <w:szCs w:val="22"/>
        </w:rPr>
        <w:t>Experiential Learning: Experience as the Source of Learning and Development</w:t>
      </w:r>
      <w:r w:rsidRPr="009849AC">
        <w:rPr>
          <w:rFonts w:ascii="Arial" w:hAnsi="Arial" w:cs="Arial"/>
          <w:sz w:val="22"/>
          <w:szCs w:val="22"/>
        </w:rPr>
        <w:t>. Englewood Cliffs, NJ: Prentice Hall.</w:t>
      </w:r>
    </w:p>
    <w:p w14:paraId="296A8EE4"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Larson, E.W. and Gray, C.F. (2021) </w:t>
      </w:r>
      <w:r w:rsidRPr="009849AC">
        <w:rPr>
          <w:rFonts w:ascii="Arial" w:hAnsi="Arial" w:cs="Arial"/>
          <w:i/>
          <w:iCs/>
          <w:sz w:val="22"/>
          <w:szCs w:val="22"/>
        </w:rPr>
        <w:t>Project Management: The Managerial Process</w:t>
      </w:r>
      <w:r w:rsidRPr="009849AC">
        <w:rPr>
          <w:rFonts w:ascii="Arial" w:hAnsi="Arial" w:cs="Arial"/>
          <w:sz w:val="22"/>
          <w:szCs w:val="22"/>
        </w:rPr>
        <w:t xml:space="preserve">. 8th </w:t>
      </w:r>
      <w:proofErr w:type="spellStart"/>
      <w:r w:rsidRPr="009849AC">
        <w:rPr>
          <w:rFonts w:ascii="Arial" w:hAnsi="Arial" w:cs="Arial"/>
          <w:sz w:val="22"/>
          <w:szCs w:val="22"/>
        </w:rPr>
        <w:t>edn</w:t>
      </w:r>
      <w:proofErr w:type="spellEnd"/>
      <w:r w:rsidRPr="009849AC">
        <w:rPr>
          <w:rFonts w:ascii="Arial" w:hAnsi="Arial" w:cs="Arial"/>
          <w:sz w:val="22"/>
          <w:szCs w:val="22"/>
        </w:rPr>
        <w:t>. New York: McGraw-Hill.</w:t>
      </w:r>
    </w:p>
    <w:p w14:paraId="77F88F46"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Lock, D. (2020) </w:t>
      </w:r>
      <w:r w:rsidRPr="009849AC">
        <w:rPr>
          <w:rFonts w:ascii="Arial" w:hAnsi="Arial" w:cs="Arial"/>
          <w:i/>
          <w:iCs/>
          <w:sz w:val="22"/>
          <w:szCs w:val="22"/>
        </w:rPr>
        <w:t>Project Management</w:t>
      </w:r>
      <w:r w:rsidRPr="009849AC">
        <w:rPr>
          <w:rFonts w:ascii="Arial" w:hAnsi="Arial" w:cs="Arial"/>
          <w:sz w:val="22"/>
          <w:szCs w:val="22"/>
        </w:rPr>
        <w:t xml:space="preserve">. 11th </w:t>
      </w:r>
      <w:proofErr w:type="spellStart"/>
      <w:r w:rsidRPr="009849AC">
        <w:rPr>
          <w:rFonts w:ascii="Arial" w:hAnsi="Arial" w:cs="Arial"/>
          <w:sz w:val="22"/>
          <w:szCs w:val="22"/>
        </w:rPr>
        <w:t>edn</w:t>
      </w:r>
      <w:proofErr w:type="spellEnd"/>
      <w:r w:rsidRPr="009849AC">
        <w:rPr>
          <w:rFonts w:ascii="Arial" w:hAnsi="Arial" w:cs="Arial"/>
          <w:sz w:val="22"/>
          <w:szCs w:val="22"/>
        </w:rPr>
        <w:t>. London: Routledge.</w:t>
      </w:r>
    </w:p>
    <w:p w14:paraId="159D7774"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Maylor, H. (2010) </w:t>
      </w:r>
      <w:r w:rsidRPr="009849AC">
        <w:rPr>
          <w:rFonts w:ascii="Arial" w:hAnsi="Arial" w:cs="Arial"/>
          <w:i/>
          <w:iCs/>
          <w:sz w:val="22"/>
          <w:szCs w:val="22"/>
        </w:rPr>
        <w:t>Project Management</w:t>
      </w:r>
      <w:r w:rsidRPr="009849AC">
        <w:rPr>
          <w:rFonts w:ascii="Arial" w:hAnsi="Arial" w:cs="Arial"/>
          <w:sz w:val="22"/>
          <w:szCs w:val="22"/>
        </w:rPr>
        <w:t xml:space="preserve">. 4th </w:t>
      </w:r>
      <w:proofErr w:type="spellStart"/>
      <w:r w:rsidRPr="009849AC">
        <w:rPr>
          <w:rFonts w:ascii="Arial" w:hAnsi="Arial" w:cs="Arial"/>
          <w:sz w:val="22"/>
          <w:szCs w:val="22"/>
        </w:rPr>
        <w:t>edn</w:t>
      </w:r>
      <w:proofErr w:type="spellEnd"/>
      <w:r w:rsidRPr="009849AC">
        <w:rPr>
          <w:rFonts w:ascii="Arial" w:hAnsi="Arial" w:cs="Arial"/>
          <w:sz w:val="22"/>
          <w:szCs w:val="22"/>
        </w:rPr>
        <w:t>. Harlow: Pearson.</w:t>
      </w:r>
    </w:p>
    <w:p w14:paraId="54FC5CE7"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Meredith, J.R., Mantel, S.J. and Shafer, S.M. (2021) </w:t>
      </w:r>
      <w:r w:rsidRPr="009849AC">
        <w:rPr>
          <w:rFonts w:ascii="Arial" w:hAnsi="Arial" w:cs="Arial"/>
          <w:i/>
          <w:iCs/>
          <w:sz w:val="22"/>
          <w:szCs w:val="22"/>
        </w:rPr>
        <w:t>Project Management: A Managerial Approach</w:t>
      </w:r>
      <w:r w:rsidRPr="009849AC">
        <w:rPr>
          <w:rFonts w:ascii="Arial" w:hAnsi="Arial" w:cs="Arial"/>
          <w:sz w:val="22"/>
          <w:szCs w:val="22"/>
        </w:rPr>
        <w:t xml:space="preserve">. 10th </w:t>
      </w:r>
      <w:proofErr w:type="spellStart"/>
      <w:r w:rsidRPr="009849AC">
        <w:rPr>
          <w:rFonts w:ascii="Arial" w:hAnsi="Arial" w:cs="Arial"/>
          <w:sz w:val="22"/>
          <w:szCs w:val="22"/>
        </w:rPr>
        <w:t>edn</w:t>
      </w:r>
      <w:proofErr w:type="spellEnd"/>
      <w:r w:rsidRPr="009849AC">
        <w:rPr>
          <w:rFonts w:ascii="Arial" w:hAnsi="Arial" w:cs="Arial"/>
          <w:sz w:val="22"/>
          <w:szCs w:val="22"/>
        </w:rPr>
        <w:t>. Hoboken, NJ: John Wiley &amp; Sons.</w:t>
      </w:r>
    </w:p>
    <w:p w14:paraId="7084F9DC"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Nicholas, J.M. and Steyn, H. (2020) </w:t>
      </w:r>
      <w:r w:rsidRPr="009849AC">
        <w:rPr>
          <w:rFonts w:ascii="Arial" w:hAnsi="Arial" w:cs="Arial"/>
          <w:i/>
          <w:iCs/>
          <w:sz w:val="22"/>
          <w:szCs w:val="22"/>
        </w:rPr>
        <w:t>Project Management for Engineering, Business and Technology</w:t>
      </w:r>
      <w:r w:rsidRPr="009849AC">
        <w:rPr>
          <w:rFonts w:ascii="Arial" w:hAnsi="Arial" w:cs="Arial"/>
          <w:sz w:val="22"/>
          <w:szCs w:val="22"/>
        </w:rPr>
        <w:t xml:space="preserve">. 6th </w:t>
      </w:r>
      <w:proofErr w:type="spellStart"/>
      <w:r w:rsidRPr="009849AC">
        <w:rPr>
          <w:rFonts w:ascii="Arial" w:hAnsi="Arial" w:cs="Arial"/>
          <w:sz w:val="22"/>
          <w:szCs w:val="22"/>
        </w:rPr>
        <w:t>edn</w:t>
      </w:r>
      <w:proofErr w:type="spellEnd"/>
      <w:r w:rsidRPr="009849AC">
        <w:rPr>
          <w:rFonts w:ascii="Arial" w:hAnsi="Arial" w:cs="Arial"/>
          <w:sz w:val="22"/>
          <w:szCs w:val="22"/>
        </w:rPr>
        <w:t>. New York: Routledge.</w:t>
      </w:r>
    </w:p>
    <w:p w14:paraId="38725500" w14:textId="77777777" w:rsidR="009849AC" w:rsidRPr="009849AC" w:rsidRDefault="009849AC" w:rsidP="009849AC">
      <w:pPr>
        <w:rPr>
          <w:rFonts w:ascii="Arial" w:hAnsi="Arial" w:cs="Arial"/>
          <w:sz w:val="22"/>
          <w:szCs w:val="22"/>
        </w:rPr>
      </w:pPr>
      <w:r w:rsidRPr="009849AC">
        <w:rPr>
          <w:rFonts w:ascii="Arial" w:hAnsi="Arial" w:cs="Arial"/>
          <w:sz w:val="22"/>
          <w:szCs w:val="22"/>
        </w:rPr>
        <w:lastRenderedPageBreak/>
        <w:t xml:space="preserve">Project Management Institute (2021) </w:t>
      </w:r>
      <w:r w:rsidRPr="009849AC">
        <w:rPr>
          <w:rFonts w:ascii="Arial" w:hAnsi="Arial" w:cs="Arial"/>
          <w:i/>
          <w:iCs/>
          <w:sz w:val="22"/>
          <w:szCs w:val="22"/>
        </w:rPr>
        <w:t>A Guide to the Project Management Body of Knowledge (PMBOK® Guide)</w:t>
      </w:r>
      <w:r w:rsidRPr="009849AC">
        <w:rPr>
          <w:rFonts w:ascii="Arial" w:hAnsi="Arial" w:cs="Arial"/>
          <w:sz w:val="22"/>
          <w:szCs w:val="22"/>
        </w:rPr>
        <w:t xml:space="preserve">. 7th </w:t>
      </w:r>
      <w:proofErr w:type="spellStart"/>
      <w:r w:rsidRPr="009849AC">
        <w:rPr>
          <w:rFonts w:ascii="Arial" w:hAnsi="Arial" w:cs="Arial"/>
          <w:sz w:val="22"/>
          <w:szCs w:val="22"/>
        </w:rPr>
        <w:t>edn</w:t>
      </w:r>
      <w:proofErr w:type="spellEnd"/>
      <w:r w:rsidRPr="009849AC">
        <w:rPr>
          <w:rFonts w:ascii="Arial" w:hAnsi="Arial" w:cs="Arial"/>
          <w:sz w:val="22"/>
          <w:szCs w:val="22"/>
        </w:rPr>
        <w:t>. Newtown Square, PA: Project Management Institute.</w:t>
      </w:r>
    </w:p>
    <w:p w14:paraId="1533A005"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Too, E.G. and Weaver, P. (2014) ‘The management of project management: A conceptual framework for project governance’, </w:t>
      </w:r>
      <w:r w:rsidRPr="009849AC">
        <w:rPr>
          <w:rFonts w:ascii="Arial" w:hAnsi="Arial" w:cs="Arial"/>
          <w:i/>
          <w:iCs/>
          <w:sz w:val="22"/>
          <w:szCs w:val="22"/>
        </w:rPr>
        <w:t>International Journal of Project Management</w:t>
      </w:r>
      <w:r w:rsidRPr="009849AC">
        <w:rPr>
          <w:rFonts w:ascii="Arial" w:hAnsi="Arial" w:cs="Arial"/>
          <w:sz w:val="22"/>
          <w:szCs w:val="22"/>
        </w:rPr>
        <w:t>, 32(8), pp. 1382–1394.</w:t>
      </w:r>
    </w:p>
    <w:p w14:paraId="788E8A13" w14:textId="77777777" w:rsidR="009849AC" w:rsidRPr="009849AC" w:rsidRDefault="009849AC" w:rsidP="009849AC">
      <w:pPr>
        <w:rPr>
          <w:rFonts w:ascii="Arial" w:hAnsi="Arial" w:cs="Arial"/>
          <w:sz w:val="22"/>
          <w:szCs w:val="22"/>
        </w:rPr>
      </w:pPr>
      <w:r w:rsidRPr="009849AC">
        <w:rPr>
          <w:rFonts w:ascii="Arial" w:hAnsi="Arial" w:cs="Arial"/>
          <w:sz w:val="22"/>
          <w:szCs w:val="22"/>
        </w:rPr>
        <w:t xml:space="preserve">Turner, J.R. (2016) </w:t>
      </w:r>
      <w:r w:rsidRPr="009849AC">
        <w:rPr>
          <w:rFonts w:ascii="Arial" w:hAnsi="Arial" w:cs="Arial"/>
          <w:i/>
          <w:iCs/>
          <w:sz w:val="22"/>
          <w:szCs w:val="22"/>
        </w:rPr>
        <w:t>Gower Handbook of Project Management</w:t>
      </w:r>
      <w:r w:rsidRPr="009849AC">
        <w:rPr>
          <w:rFonts w:ascii="Arial" w:hAnsi="Arial" w:cs="Arial"/>
          <w:sz w:val="22"/>
          <w:szCs w:val="22"/>
        </w:rPr>
        <w:t xml:space="preserve">. 5th </w:t>
      </w:r>
      <w:proofErr w:type="spellStart"/>
      <w:r w:rsidRPr="009849AC">
        <w:rPr>
          <w:rFonts w:ascii="Arial" w:hAnsi="Arial" w:cs="Arial"/>
          <w:sz w:val="22"/>
          <w:szCs w:val="22"/>
        </w:rPr>
        <w:t>edn</w:t>
      </w:r>
      <w:proofErr w:type="spellEnd"/>
      <w:r w:rsidRPr="009849AC">
        <w:rPr>
          <w:rFonts w:ascii="Arial" w:hAnsi="Arial" w:cs="Arial"/>
          <w:sz w:val="22"/>
          <w:szCs w:val="22"/>
        </w:rPr>
        <w:t>. London: Routledge.</w:t>
      </w:r>
    </w:p>
    <w:p w14:paraId="0F53E5D4" w14:textId="77777777" w:rsidR="009849AC" w:rsidRPr="009849AC" w:rsidRDefault="009849AC" w:rsidP="009849AC">
      <w:pPr>
        <w:rPr>
          <w:rFonts w:ascii="Arial" w:hAnsi="Arial" w:cs="Arial"/>
          <w:sz w:val="22"/>
          <w:szCs w:val="22"/>
        </w:rPr>
      </w:pPr>
      <w:proofErr w:type="spellStart"/>
      <w:r w:rsidRPr="009849AC">
        <w:rPr>
          <w:rFonts w:ascii="Arial" w:hAnsi="Arial" w:cs="Arial"/>
          <w:sz w:val="22"/>
          <w:szCs w:val="22"/>
        </w:rPr>
        <w:t>Zwikael</w:t>
      </w:r>
      <w:proofErr w:type="spellEnd"/>
      <w:r w:rsidRPr="009849AC">
        <w:rPr>
          <w:rFonts w:ascii="Arial" w:hAnsi="Arial" w:cs="Arial"/>
          <w:sz w:val="22"/>
          <w:szCs w:val="22"/>
        </w:rPr>
        <w:t xml:space="preserve">, O. and Smyrk, J. (2019) </w:t>
      </w:r>
      <w:r w:rsidRPr="009849AC">
        <w:rPr>
          <w:rFonts w:ascii="Arial" w:hAnsi="Arial" w:cs="Arial"/>
          <w:i/>
          <w:iCs/>
          <w:sz w:val="22"/>
          <w:szCs w:val="22"/>
        </w:rPr>
        <w:t>Project Management for the Creation of Organisational Value</w:t>
      </w:r>
      <w:r w:rsidRPr="009849AC">
        <w:rPr>
          <w:rFonts w:ascii="Arial" w:hAnsi="Arial" w:cs="Arial"/>
          <w:sz w:val="22"/>
          <w:szCs w:val="22"/>
        </w:rPr>
        <w:t>. Cham: Springer.</w:t>
      </w:r>
    </w:p>
    <w:p w14:paraId="04F3DAC0" w14:textId="77777777" w:rsidR="00E53358" w:rsidRDefault="00E53358"/>
    <w:sectPr w:rsidR="00E53358" w:rsidSect="0015312D">
      <w:headerReference w:type="default" r:id="rId9"/>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8EB9F" w14:textId="77777777" w:rsidR="00CC2C6F" w:rsidRDefault="00CC2C6F" w:rsidP="005C69F5">
      <w:pPr>
        <w:spacing w:after="0" w:line="240" w:lineRule="auto"/>
      </w:pPr>
      <w:r>
        <w:separator/>
      </w:r>
    </w:p>
  </w:endnote>
  <w:endnote w:type="continuationSeparator" w:id="0">
    <w:p w14:paraId="1240C003" w14:textId="77777777" w:rsidR="00CC2C6F" w:rsidRDefault="00CC2C6F" w:rsidP="005C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1B3E5" w14:textId="77777777" w:rsidR="00CC2C6F" w:rsidRDefault="00CC2C6F" w:rsidP="005C69F5">
      <w:pPr>
        <w:spacing w:after="0" w:line="240" w:lineRule="auto"/>
      </w:pPr>
      <w:r>
        <w:separator/>
      </w:r>
    </w:p>
  </w:footnote>
  <w:footnote w:type="continuationSeparator" w:id="0">
    <w:p w14:paraId="7678B664" w14:textId="77777777" w:rsidR="00CC2C6F" w:rsidRDefault="00CC2C6F" w:rsidP="005C6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26517" w14:textId="595E9E0D" w:rsidR="00E26763" w:rsidRPr="009E57B5" w:rsidRDefault="009E57B5" w:rsidP="009E57B5">
    <w:pPr>
      <w:pStyle w:val="Header"/>
      <w:jc w:val="center"/>
    </w:pPr>
    <w:r>
      <w:tab/>
    </w:r>
    <w:r>
      <w:tab/>
    </w:r>
    <w:r>
      <w:tab/>
    </w:r>
    <w:r w:rsidR="00DE2E99">
      <w:t xml:space="preserve">            </w:t>
    </w:r>
    <w:r>
      <w:rPr>
        <w:noProof/>
      </w:rPr>
      <w:drawing>
        <wp:inline distT="0" distB="0" distL="0" distR="0" wp14:anchorId="435D568F" wp14:editId="554A5510">
          <wp:extent cx="485775" cy="485775"/>
          <wp:effectExtent l="0" t="0" r="9525" b="9525"/>
          <wp:docPr id="1111652048" name="Picture 3"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UWTSD Birmingham | Birmingh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4E76"/>
    <w:multiLevelType w:val="multilevel"/>
    <w:tmpl w:val="A8EC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12B26"/>
    <w:multiLevelType w:val="multilevel"/>
    <w:tmpl w:val="00D6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34B21"/>
    <w:multiLevelType w:val="multilevel"/>
    <w:tmpl w:val="CBBA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53E7B"/>
    <w:multiLevelType w:val="multilevel"/>
    <w:tmpl w:val="7A16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77F08"/>
    <w:multiLevelType w:val="multilevel"/>
    <w:tmpl w:val="37EC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02321"/>
    <w:multiLevelType w:val="hybridMultilevel"/>
    <w:tmpl w:val="92F65AF6"/>
    <w:lvl w:ilvl="0" w:tplc="58703424">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04515C8"/>
    <w:multiLevelType w:val="multilevel"/>
    <w:tmpl w:val="8FF4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8" w15:restartNumberingAfterBreak="0">
    <w:nsid w:val="3A8372E2"/>
    <w:multiLevelType w:val="multilevel"/>
    <w:tmpl w:val="3BFC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832731"/>
    <w:multiLevelType w:val="multilevel"/>
    <w:tmpl w:val="8F88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8444FA"/>
    <w:multiLevelType w:val="multilevel"/>
    <w:tmpl w:val="CC3A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9E30C9"/>
    <w:multiLevelType w:val="multilevel"/>
    <w:tmpl w:val="7C44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2334F"/>
    <w:multiLevelType w:val="multilevel"/>
    <w:tmpl w:val="4664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start w:val="1"/>
      <w:numFmt w:val="bullet"/>
      <w:lvlText w:val="o"/>
      <w:lvlJc w:val="left"/>
      <w:pPr>
        <w:ind w:left="2145" w:hanging="360"/>
      </w:pPr>
      <w:rPr>
        <w:rFonts w:ascii="Courier New" w:hAnsi="Courier New" w:cs="Courier New" w:hint="default"/>
      </w:rPr>
    </w:lvl>
    <w:lvl w:ilvl="2" w:tplc="04090005">
      <w:start w:val="1"/>
      <w:numFmt w:val="bullet"/>
      <w:lvlText w:val=""/>
      <w:lvlJc w:val="left"/>
      <w:pPr>
        <w:ind w:left="2865" w:hanging="360"/>
      </w:pPr>
      <w:rPr>
        <w:rFonts w:ascii="Wingdings" w:hAnsi="Wingdings" w:hint="default"/>
      </w:rPr>
    </w:lvl>
    <w:lvl w:ilvl="3" w:tplc="04090001">
      <w:start w:val="1"/>
      <w:numFmt w:val="bullet"/>
      <w:lvlText w:val=""/>
      <w:lvlJc w:val="left"/>
      <w:pPr>
        <w:ind w:left="3585" w:hanging="360"/>
      </w:pPr>
      <w:rPr>
        <w:rFonts w:ascii="Symbol" w:hAnsi="Symbol" w:hint="default"/>
      </w:rPr>
    </w:lvl>
    <w:lvl w:ilvl="4" w:tplc="04090003">
      <w:start w:val="1"/>
      <w:numFmt w:val="bullet"/>
      <w:lvlText w:val="o"/>
      <w:lvlJc w:val="left"/>
      <w:pPr>
        <w:ind w:left="4305" w:hanging="360"/>
      </w:pPr>
      <w:rPr>
        <w:rFonts w:ascii="Courier New" w:hAnsi="Courier New" w:cs="Courier New" w:hint="default"/>
      </w:rPr>
    </w:lvl>
    <w:lvl w:ilvl="5" w:tplc="04090005">
      <w:start w:val="1"/>
      <w:numFmt w:val="bullet"/>
      <w:lvlText w:val=""/>
      <w:lvlJc w:val="left"/>
      <w:pPr>
        <w:ind w:left="5025" w:hanging="360"/>
      </w:pPr>
      <w:rPr>
        <w:rFonts w:ascii="Wingdings" w:hAnsi="Wingdings" w:hint="default"/>
      </w:rPr>
    </w:lvl>
    <w:lvl w:ilvl="6" w:tplc="04090001">
      <w:start w:val="1"/>
      <w:numFmt w:val="bullet"/>
      <w:lvlText w:val=""/>
      <w:lvlJc w:val="left"/>
      <w:pPr>
        <w:ind w:left="5745" w:hanging="360"/>
      </w:pPr>
      <w:rPr>
        <w:rFonts w:ascii="Symbol" w:hAnsi="Symbol" w:hint="default"/>
      </w:rPr>
    </w:lvl>
    <w:lvl w:ilvl="7" w:tplc="04090003">
      <w:start w:val="1"/>
      <w:numFmt w:val="bullet"/>
      <w:lvlText w:val="o"/>
      <w:lvlJc w:val="left"/>
      <w:pPr>
        <w:ind w:left="6465" w:hanging="360"/>
      </w:pPr>
      <w:rPr>
        <w:rFonts w:ascii="Courier New" w:hAnsi="Courier New" w:cs="Courier New" w:hint="default"/>
      </w:rPr>
    </w:lvl>
    <w:lvl w:ilvl="8" w:tplc="04090005">
      <w:start w:val="1"/>
      <w:numFmt w:val="bullet"/>
      <w:lvlText w:val=""/>
      <w:lvlJc w:val="left"/>
      <w:pPr>
        <w:ind w:left="7185" w:hanging="360"/>
      </w:pPr>
      <w:rPr>
        <w:rFonts w:ascii="Wingdings" w:hAnsi="Wingdings" w:hint="default"/>
      </w:rPr>
    </w:lvl>
  </w:abstractNum>
  <w:abstractNum w:abstractNumId="14" w15:restartNumberingAfterBreak="0">
    <w:nsid w:val="52B072B7"/>
    <w:multiLevelType w:val="multilevel"/>
    <w:tmpl w:val="38C6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0375D6"/>
    <w:multiLevelType w:val="multilevel"/>
    <w:tmpl w:val="EB44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E517C5"/>
    <w:multiLevelType w:val="multilevel"/>
    <w:tmpl w:val="3504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61D3BD4"/>
    <w:multiLevelType w:val="multilevel"/>
    <w:tmpl w:val="F6A8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23754"/>
    <w:multiLevelType w:val="multilevel"/>
    <w:tmpl w:val="C3B0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8F27FF"/>
    <w:multiLevelType w:val="multilevel"/>
    <w:tmpl w:val="4C66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F27B2F"/>
    <w:multiLevelType w:val="multilevel"/>
    <w:tmpl w:val="F79A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B15408"/>
    <w:multiLevelType w:val="multilevel"/>
    <w:tmpl w:val="1286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325F9E"/>
    <w:multiLevelType w:val="multilevel"/>
    <w:tmpl w:val="0180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0678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90227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6624064">
    <w:abstractNumId w:val="13"/>
  </w:num>
  <w:num w:numId="4" w16cid:durableId="1565677106">
    <w:abstractNumId w:val="17"/>
  </w:num>
  <w:num w:numId="5" w16cid:durableId="417020750">
    <w:abstractNumId w:val="23"/>
  </w:num>
  <w:num w:numId="6" w16cid:durableId="596989614">
    <w:abstractNumId w:val="15"/>
  </w:num>
  <w:num w:numId="7" w16cid:durableId="98455953">
    <w:abstractNumId w:val="2"/>
  </w:num>
  <w:num w:numId="8" w16cid:durableId="771440814">
    <w:abstractNumId w:val="22"/>
  </w:num>
  <w:num w:numId="9" w16cid:durableId="963315070">
    <w:abstractNumId w:val="9"/>
  </w:num>
  <w:num w:numId="10" w16cid:durableId="1100636113">
    <w:abstractNumId w:val="20"/>
  </w:num>
  <w:num w:numId="11" w16cid:durableId="1721585601">
    <w:abstractNumId w:val="8"/>
  </w:num>
  <w:num w:numId="12" w16cid:durableId="1114180207">
    <w:abstractNumId w:val="16"/>
  </w:num>
  <w:num w:numId="13" w16cid:durableId="1208689308">
    <w:abstractNumId w:val="6"/>
  </w:num>
  <w:num w:numId="14" w16cid:durableId="963198841">
    <w:abstractNumId w:val="0"/>
  </w:num>
  <w:num w:numId="15" w16cid:durableId="204611253">
    <w:abstractNumId w:val="14"/>
  </w:num>
  <w:num w:numId="16" w16cid:durableId="161701444">
    <w:abstractNumId w:val="10"/>
  </w:num>
  <w:num w:numId="17" w16cid:durableId="555898151">
    <w:abstractNumId w:val="4"/>
  </w:num>
  <w:num w:numId="18" w16cid:durableId="575674484">
    <w:abstractNumId w:val="21"/>
  </w:num>
  <w:num w:numId="19" w16cid:durableId="1604068121">
    <w:abstractNumId w:val="11"/>
  </w:num>
  <w:num w:numId="20" w16cid:durableId="1743025123">
    <w:abstractNumId w:val="1"/>
  </w:num>
  <w:num w:numId="21" w16cid:durableId="1537766070">
    <w:abstractNumId w:val="3"/>
  </w:num>
  <w:num w:numId="22" w16cid:durableId="539826422">
    <w:abstractNumId w:val="12"/>
  </w:num>
  <w:num w:numId="23" w16cid:durableId="63459265">
    <w:abstractNumId w:val="18"/>
  </w:num>
  <w:num w:numId="24" w16cid:durableId="7416823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358"/>
    <w:rsid w:val="00000134"/>
    <w:rsid w:val="00046541"/>
    <w:rsid w:val="00050057"/>
    <w:rsid w:val="00050D81"/>
    <w:rsid w:val="00084041"/>
    <w:rsid w:val="00084B93"/>
    <w:rsid w:val="000C2414"/>
    <w:rsid w:val="000C2B27"/>
    <w:rsid w:val="000E42AA"/>
    <w:rsid w:val="000F47AE"/>
    <w:rsid w:val="00123514"/>
    <w:rsid w:val="00132162"/>
    <w:rsid w:val="00144B8C"/>
    <w:rsid w:val="0015312D"/>
    <w:rsid w:val="0015770F"/>
    <w:rsid w:val="0017145C"/>
    <w:rsid w:val="001B1491"/>
    <w:rsid w:val="00210196"/>
    <w:rsid w:val="00217107"/>
    <w:rsid w:val="00223370"/>
    <w:rsid w:val="0024016F"/>
    <w:rsid w:val="00305C07"/>
    <w:rsid w:val="00314AFF"/>
    <w:rsid w:val="0037467A"/>
    <w:rsid w:val="003C272E"/>
    <w:rsid w:val="003D665F"/>
    <w:rsid w:val="003F6836"/>
    <w:rsid w:val="004935BE"/>
    <w:rsid w:val="00496D9D"/>
    <w:rsid w:val="004B336E"/>
    <w:rsid w:val="004E1A1C"/>
    <w:rsid w:val="004F0B6A"/>
    <w:rsid w:val="005668EC"/>
    <w:rsid w:val="0057175A"/>
    <w:rsid w:val="005934FA"/>
    <w:rsid w:val="005A4DC4"/>
    <w:rsid w:val="005C18F1"/>
    <w:rsid w:val="005C3158"/>
    <w:rsid w:val="005C69F5"/>
    <w:rsid w:val="005E0C5C"/>
    <w:rsid w:val="005F4BFC"/>
    <w:rsid w:val="005F599C"/>
    <w:rsid w:val="00605F85"/>
    <w:rsid w:val="00614A72"/>
    <w:rsid w:val="00626FCE"/>
    <w:rsid w:val="0064769C"/>
    <w:rsid w:val="00683D08"/>
    <w:rsid w:val="006A6BC1"/>
    <w:rsid w:val="006C6868"/>
    <w:rsid w:val="006C6BC2"/>
    <w:rsid w:val="006E276C"/>
    <w:rsid w:val="006F776F"/>
    <w:rsid w:val="007074DC"/>
    <w:rsid w:val="0079017A"/>
    <w:rsid w:val="007938BD"/>
    <w:rsid w:val="007A428F"/>
    <w:rsid w:val="007B1F3C"/>
    <w:rsid w:val="007C2C98"/>
    <w:rsid w:val="007C5CF7"/>
    <w:rsid w:val="007D33E6"/>
    <w:rsid w:val="007F7666"/>
    <w:rsid w:val="00807B1D"/>
    <w:rsid w:val="008470A7"/>
    <w:rsid w:val="00857FB3"/>
    <w:rsid w:val="00891B2F"/>
    <w:rsid w:val="008A0BC8"/>
    <w:rsid w:val="008A1B9D"/>
    <w:rsid w:val="008A7819"/>
    <w:rsid w:val="008C6C88"/>
    <w:rsid w:val="008F564B"/>
    <w:rsid w:val="009358C1"/>
    <w:rsid w:val="00947239"/>
    <w:rsid w:val="00951433"/>
    <w:rsid w:val="00965104"/>
    <w:rsid w:val="00970FBB"/>
    <w:rsid w:val="009849AC"/>
    <w:rsid w:val="009C0C61"/>
    <w:rsid w:val="009C3FAD"/>
    <w:rsid w:val="009E2138"/>
    <w:rsid w:val="009E57B5"/>
    <w:rsid w:val="009E5F4A"/>
    <w:rsid w:val="009F70C2"/>
    <w:rsid w:val="00A24708"/>
    <w:rsid w:val="00A4076E"/>
    <w:rsid w:val="00A7423C"/>
    <w:rsid w:val="00A86B20"/>
    <w:rsid w:val="00A920C3"/>
    <w:rsid w:val="00A92A3F"/>
    <w:rsid w:val="00AC66E0"/>
    <w:rsid w:val="00B220C7"/>
    <w:rsid w:val="00B22B46"/>
    <w:rsid w:val="00B271C0"/>
    <w:rsid w:val="00B56701"/>
    <w:rsid w:val="00B843A4"/>
    <w:rsid w:val="00B95744"/>
    <w:rsid w:val="00BC2B7E"/>
    <w:rsid w:val="00BF0CBD"/>
    <w:rsid w:val="00C02351"/>
    <w:rsid w:val="00C20FD4"/>
    <w:rsid w:val="00C226D5"/>
    <w:rsid w:val="00C70442"/>
    <w:rsid w:val="00C92F78"/>
    <w:rsid w:val="00CA13CE"/>
    <w:rsid w:val="00CA733E"/>
    <w:rsid w:val="00CB3505"/>
    <w:rsid w:val="00CC2C6F"/>
    <w:rsid w:val="00CD5835"/>
    <w:rsid w:val="00CE3F0A"/>
    <w:rsid w:val="00D5046F"/>
    <w:rsid w:val="00D85521"/>
    <w:rsid w:val="00DA2C82"/>
    <w:rsid w:val="00DA5641"/>
    <w:rsid w:val="00DE256E"/>
    <w:rsid w:val="00DE2E99"/>
    <w:rsid w:val="00E243C3"/>
    <w:rsid w:val="00E26763"/>
    <w:rsid w:val="00E51036"/>
    <w:rsid w:val="00E53358"/>
    <w:rsid w:val="00E55BD8"/>
    <w:rsid w:val="00E643E6"/>
    <w:rsid w:val="00E73CD6"/>
    <w:rsid w:val="00E956EE"/>
    <w:rsid w:val="00EC332A"/>
    <w:rsid w:val="00EE6E47"/>
    <w:rsid w:val="00F905C2"/>
    <w:rsid w:val="00FA368C"/>
    <w:rsid w:val="00FB31D6"/>
    <w:rsid w:val="00FC7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12BCA"/>
  <w15:chartTrackingRefBased/>
  <w15:docId w15:val="{975F5442-96F7-4804-9038-843D8BB6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3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3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3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3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3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3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3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3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3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3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3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3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3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3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358"/>
    <w:rPr>
      <w:rFonts w:eastAsiaTheme="majorEastAsia" w:cstheme="majorBidi"/>
      <w:color w:val="272727" w:themeColor="text1" w:themeTint="D8"/>
    </w:rPr>
  </w:style>
  <w:style w:type="paragraph" w:styleId="Title">
    <w:name w:val="Title"/>
    <w:basedOn w:val="Normal"/>
    <w:next w:val="Normal"/>
    <w:link w:val="TitleChar"/>
    <w:uiPriority w:val="10"/>
    <w:qFormat/>
    <w:rsid w:val="00E53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3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358"/>
    <w:pPr>
      <w:spacing w:before="160"/>
      <w:jc w:val="center"/>
    </w:pPr>
    <w:rPr>
      <w:i/>
      <w:iCs/>
      <w:color w:val="404040" w:themeColor="text1" w:themeTint="BF"/>
    </w:rPr>
  </w:style>
  <w:style w:type="character" w:customStyle="1" w:styleId="QuoteChar">
    <w:name w:val="Quote Char"/>
    <w:basedOn w:val="DefaultParagraphFont"/>
    <w:link w:val="Quote"/>
    <w:uiPriority w:val="29"/>
    <w:rsid w:val="00E53358"/>
    <w:rPr>
      <w:i/>
      <w:iCs/>
      <w:color w:val="404040" w:themeColor="text1" w:themeTint="BF"/>
    </w:rPr>
  </w:style>
  <w:style w:type="paragraph" w:styleId="ListParagraph">
    <w:name w:val="List Paragraph"/>
    <w:basedOn w:val="Normal"/>
    <w:uiPriority w:val="34"/>
    <w:qFormat/>
    <w:rsid w:val="00E53358"/>
    <w:pPr>
      <w:ind w:left="720"/>
      <w:contextualSpacing/>
    </w:pPr>
  </w:style>
  <w:style w:type="character" w:styleId="IntenseEmphasis">
    <w:name w:val="Intense Emphasis"/>
    <w:basedOn w:val="DefaultParagraphFont"/>
    <w:uiPriority w:val="21"/>
    <w:qFormat/>
    <w:rsid w:val="00E53358"/>
    <w:rPr>
      <w:i/>
      <w:iCs/>
      <w:color w:val="0F4761" w:themeColor="accent1" w:themeShade="BF"/>
    </w:rPr>
  </w:style>
  <w:style w:type="paragraph" w:styleId="IntenseQuote">
    <w:name w:val="Intense Quote"/>
    <w:basedOn w:val="Normal"/>
    <w:next w:val="Normal"/>
    <w:link w:val="IntenseQuoteChar"/>
    <w:uiPriority w:val="30"/>
    <w:qFormat/>
    <w:rsid w:val="00E533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358"/>
    <w:rPr>
      <w:i/>
      <w:iCs/>
      <w:color w:val="0F4761" w:themeColor="accent1" w:themeShade="BF"/>
    </w:rPr>
  </w:style>
  <w:style w:type="character" w:styleId="IntenseReference">
    <w:name w:val="Intense Reference"/>
    <w:basedOn w:val="DefaultParagraphFont"/>
    <w:uiPriority w:val="32"/>
    <w:qFormat/>
    <w:rsid w:val="00E53358"/>
    <w:rPr>
      <w:b/>
      <w:bCs/>
      <w:smallCaps/>
      <w:color w:val="0F4761" w:themeColor="accent1" w:themeShade="BF"/>
      <w:spacing w:val="5"/>
    </w:rPr>
  </w:style>
  <w:style w:type="paragraph" w:styleId="Header">
    <w:name w:val="header"/>
    <w:basedOn w:val="Normal"/>
    <w:link w:val="HeaderChar"/>
    <w:uiPriority w:val="99"/>
    <w:unhideWhenUsed/>
    <w:rsid w:val="005C6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9F5"/>
  </w:style>
  <w:style w:type="paragraph" w:styleId="Footer">
    <w:name w:val="footer"/>
    <w:basedOn w:val="Normal"/>
    <w:link w:val="FooterChar"/>
    <w:uiPriority w:val="99"/>
    <w:unhideWhenUsed/>
    <w:rsid w:val="005C6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C1321-5E3B-45E0-856D-7355A4B5E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14</Pages>
  <Words>4398</Words>
  <Characters>25071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 Bashar</dc:creator>
  <cp:keywords/>
  <dc:description/>
  <cp:lastModifiedBy>Abs Bashar</cp:lastModifiedBy>
  <cp:revision>117</cp:revision>
  <dcterms:created xsi:type="dcterms:W3CDTF">2026-03-08T08:01:00Z</dcterms:created>
  <dcterms:modified xsi:type="dcterms:W3CDTF">2026-03-28T08:15:00Z</dcterms:modified>
</cp:coreProperties>
</file>