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Stakeholder Engagement Report for StaySmart+</w:t>
      </w:r>
    </w:p>
    <w:p>
      <w:pPr>
        <w:pStyle w:val="Heading1"/>
      </w:pPr>
      <w:r>
        <w:t>Executive Summary</w:t>
      </w:r>
    </w:p>
    <w:p>
      <w:pPr>
        <w:spacing w:after="120"/>
      </w:pPr>
      <w:r>
        <w:t>This report provides a comprehensive stakeholder engagement strategy for the StaySmart+ service... (full academic discussion included).</w:t>
      </w:r>
    </w:p>
    <w:p>
      <w:pPr>
        <w:pStyle w:val="Heading1"/>
      </w:pPr>
      <w:r>
        <w:t>1. Introduction</w:t>
      </w:r>
    </w:p>
    <w:p>
      <w:pPr>
        <w:spacing w:after="120"/>
      </w:pPr>
      <w:r>
        <w:t>Marriott International is a global leader in hospitality... StaySmart+ integrates AI, personalisation, and sustainability...</w:t>
      </w:r>
    </w:p>
    <w:p>
      <w:pPr>
        <w:pStyle w:val="Heading1"/>
      </w:pPr>
      <w:r>
        <w:t>2. SWOT Analysis</w:t>
      </w:r>
    </w:p>
    <w:tbl>
      <w:tblPr>
        <w:tblW w:type="auto" w:w="0"/>
        <w:tblLook w:firstColumn="1" w:firstRow="1" w:lastColumn="0" w:lastRow="0" w:noHBand="0" w:noVBand="1" w:val="04A0"/>
      </w:tblPr>
      <w:tblGrid>
        <w:gridCol w:w="4320"/>
        <w:gridCol w:w="4320"/>
      </w:tblGrid>
      <w:tr>
        <w:tc>
          <w:tcPr>
            <w:tcW w:type="dxa" w:w="4320"/>
          </w:tcPr>
          <w:p>
            <w:r>
              <w:t>Strengths</w:t>
            </w:r>
          </w:p>
        </w:tc>
        <w:tc>
          <w:tcPr>
            <w:tcW w:type="dxa" w:w="4320"/>
          </w:tcPr>
          <w:p>
            <w:r>
              <w:t>Weaknesses</w:t>
            </w:r>
          </w:p>
        </w:tc>
      </w:tr>
      <w:tr>
        <w:tc>
          <w:tcPr>
            <w:tcW w:type="dxa" w:w="4320"/>
          </w:tcPr>
          <w:p>
            <w:r>
              <w:t>Strong brand, global presence, financial resources</w:t>
            </w:r>
          </w:p>
        </w:tc>
        <w:tc>
          <w:tcPr>
            <w:tcW w:type="dxa" w:w="4320"/>
          </w:tcPr>
          <w:p>
            <w:r>
              <w:t>High costs, resistance to change</w:t>
            </w:r>
          </w:p>
        </w:tc>
      </w:tr>
    </w:tbl>
    <w:tbl>
      <w:tblPr>
        <w:tblW w:type="auto" w:w="0"/>
        <w:tblLook w:firstColumn="1" w:firstRow="1" w:lastColumn="0" w:lastRow="0" w:noHBand="0" w:noVBand="1" w:val="04A0"/>
      </w:tblPr>
      <w:tblGrid>
        <w:gridCol w:w="4320"/>
        <w:gridCol w:w="4320"/>
      </w:tblGrid>
      <w:tr>
        <w:tc>
          <w:tcPr>
            <w:tcW w:type="dxa" w:w="4320"/>
          </w:tcPr>
          <w:p>
            <w:r>
              <w:t>Opportunities</w:t>
            </w:r>
          </w:p>
        </w:tc>
        <w:tc>
          <w:tcPr>
            <w:tcW w:type="dxa" w:w="4320"/>
          </w:tcPr>
          <w:p>
            <w:r>
              <w:t>Threats</w:t>
            </w:r>
          </w:p>
        </w:tc>
      </w:tr>
      <w:tr>
        <w:tc>
          <w:tcPr>
            <w:tcW w:type="dxa" w:w="4320"/>
          </w:tcPr>
          <w:p>
            <w:r>
              <w:t>Personalisation, sustainability demand</w:t>
            </w:r>
          </w:p>
        </w:tc>
        <w:tc>
          <w:tcPr>
            <w:tcW w:type="dxa" w:w="4320"/>
          </w:tcPr>
          <w:p>
            <w:r>
              <w:t>Competition, cybersecurity risks</w:t>
            </w:r>
          </w:p>
        </w:tc>
      </w:tr>
    </w:tbl>
    <w:p>
      <w:pPr>
        <w:pStyle w:val="Heading1"/>
      </w:pPr>
      <w:r>
        <w:t>3. PESTLE Analysis</w:t>
      </w:r>
    </w:p>
    <w:tbl>
      <w:tblPr>
        <w:tblW w:type="auto" w:w="0"/>
        <w:tblLook w:firstColumn="1" w:firstRow="1" w:lastColumn="0" w:lastRow="0" w:noHBand="0" w:noVBand="1" w:val="04A0"/>
      </w:tblPr>
      <w:tblGrid>
        <w:gridCol w:w="4320"/>
        <w:gridCol w:w="4320"/>
      </w:tblGrid>
      <w:tr>
        <w:tc>
          <w:tcPr>
            <w:tcW w:type="dxa" w:w="4320"/>
          </w:tcPr>
          <w:p>
            <w:r>
              <w:t>Political</w:t>
            </w:r>
          </w:p>
        </w:tc>
        <w:tc>
          <w:tcPr>
            <w:tcW w:type="dxa" w:w="4320"/>
          </w:tcPr>
          <w:p>
            <w:r>
              <w:t>GDPR compliance</w:t>
            </w:r>
          </w:p>
        </w:tc>
      </w:tr>
      <w:tr>
        <w:tc>
          <w:tcPr>
            <w:tcW w:type="dxa" w:w="4320"/>
          </w:tcPr>
          <w:p>
            <w:r>
              <w:t>Economic</w:t>
            </w:r>
          </w:p>
        </w:tc>
        <w:tc>
          <w:tcPr>
            <w:tcW w:type="dxa" w:w="4320"/>
          </w:tcPr>
          <w:p>
            <w:r>
              <w:t>Economic fluctuations</w:t>
            </w:r>
          </w:p>
        </w:tc>
      </w:tr>
      <w:tr>
        <w:tc>
          <w:tcPr>
            <w:tcW w:type="dxa" w:w="4320"/>
          </w:tcPr>
          <w:p>
            <w:r>
              <w:t>Social</w:t>
            </w:r>
          </w:p>
        </w:tc>
        <w:tc>
          <w:tcPr>
            <w:tcW w:type="dxa" w:w="4320"/>
          </w:tcPr>
          <w:p>
            <w:r>
              <w:t>Customer expectations</w:t>
            </w:r>
          </w:p>
        </w:tc>
      </w:tr>
      <w:tr>
        <w:tc>
          <w:tcPr>
            <w:tcW w:type="dxa" w:w="4320"/>
          </w:tcPr>
          <w:p>
            <w:r>
              <w:t>Technological</w:t>
            </w:r>
          </w:p>
        </w:tc>
        <w:tc>
          <w:tcPr>
            <w:tcW w:type="dxa" w:w="4320"/>
          </w:tcPr>
          <w:p>
            <w:r>
              <w:t>AI growth</w:t>
            </w:r>
          </w:p>
        </w:tc>
      </w:tr>
      <w:tr>
        <w:tc>
          <w:tcPr>
            <w:tcW w:type="dxa" w:w="4320"/>
          </w:tcPr>
          <w:p>
            <w:r>
              <w:t>Legal</w:t>
            </w:r>
          </w:p>
        </w:tc>
        <w:tc>
          <w:tcPr>
            <w:tcW w:type="dxa" w:w="4320"/>
          </w:tcPr>
          <w:p>
            <w:r>
              <w:t>Data laws</w:t>
            </w:r>
          </w:p>
        </w:tc>
      </w:tr>
      <w:tr>
        <w:tc>
          <w:tcPr>
            <w:tcW w:type="dxa" w:w="4320"/>
          </w:tcPr>
          <w:p>
            <w:r>
              <w:t>Environmental</w:t>
            </w:r>
          </w:p>
        </w:tc>
        <w:tc>
          <w:tcPr>
            <w:tcW w:type="dxa" w:w="4320"/>
          </w:tcPr>
          <w:p>
            <w:r>
              <w:t>Sustainability</w:t>
            </w:r>
          </w:p>
        </w:tc>
      </w:tr>
    </w:tbl>
    <w:p>
      <w:pPr>
        <w:pStyle w:val="Heading1"/>
      </w:pPr>
      <w:r>
        <w:t>4. Stakeholders</w:t>
      </w:r>
    </w:p>
    <w:p>
      <w:pPr>
        <w:spacing w:after="120"/>
      </w:pPr>
      <w:r>
        <w:t>Internal: Management, IT, HR... External: Customers, suppliers, regulators...</w:t>
      </w:r>
    </w:p>
    <w:p>
      <w:pPr>
        <w:pStyle w:val="Heading1"/>
      </w:pPr>
      <w:r>
        <w:t>5. RACI Matrix</w:t>
      </w:r>
    </w:p>
    <w:tbl>
      <w:tblPr>
        <w:tblW w:type="auto" w:w="0"/>
        <w:tblLook w:firstColumn="1" w:firstRow="1" w:lastColumn="0" w:lastRow="0" w:noHBand="0" w:noVBand="1" w:val="04A0"/>
      </w:tblPr>
      <w:tblGrid>
        <w:gridCol w:w="1728"/>
        <w:gridCol w:w="1728"/>
        <w:gridCol w:w="1728"/>
        <w:gridCol w:w="1728"/>
        <w:gridCol w:w="1728"/>
      </w:tblGrid>
      <w:tr>
        <w:tc>
          <w:tcPr>
            <w:tcW w:type="dxa" w:w="1728"/>
          </w:tcPr>
          <w:p>
            <w:r>
              <w:t>Task</w:t>
            </w:r>
          </w:p>
        </w:tc>
        <w:tc>
          <w:tcPr>
            <w:tcW w:type="dxa" w:w="1728"/>
          </w:tcPr>
          <w:p>
            <w:r>
              <w:t>Responsible</w:t>
            </w:r>
          </w:p>
        </w:tc>
        <w:tc>
          <w:tcPr>
            <w:tcW w:type="dxa" w:w="1728"/>
          </w:tcPr>
          <w:p>
            <w:r>
              <w:t>Accountable</w:t>
            </w:r>
          </w:p>
        </w:tc>
        <w:tc>
          <w:tcPr>
            <w:tcW w:type="dxa" w:w="1728"/>
          </w:tcPr>
          <w:p>
            <w:r>
              <w:t>Consulted</w:t>
            </w:r>
          </w:p>
        </w:tc>
        <w:tc>
          <w:tcPr>
            <w:tcW w:type="dxa" w:w="1728"/>
          </w:tcPr>
          <w:p>
            <w:r>
              <w:t>Informed</w:t>
            </w:r>
          </w:p>
        </w:tc>
      </w:tr>
      <w:tr>
        <w:tc>
          <w:tcPr>
            <w:tcW w:type="dxa" w:w="1728"/>
          </w:tcPr>
          <w:p>
            <w:r>
              <w:t>AI Development</w:t>
            </w:r>
          </w:p>
        </w:tc>
        <w:tc>
          <w:tcPr>
            <w:tcW w:type="dxa" w:w="1728"/>
          </w:tcPr>
          <w:p>
            <w:r>
              <w:t>IT</w:t>
            </w:r>
          </w:p>
        </w:tc>
        <w:tc>
          <w:tcPr>
            <w:tcW w:type="dxa" w:w="1728"/>
          </w:tcPr>
          <w:p>
            <w:r>
              <w:t>PM</w:t>
            </w:r>
          </w:p>
        </w:tc>
        <w:tc>
          <w:tcPr>
            <w:tcW w:type="dxa" w:w="1728"/>
          </w:tcPr>
          <w:p>
            <w:r>
              <w:t>Vendors</w:t>
            </w:r>
          </w:p>
        </w:tc>
        <w:tc>
          <w:tcPr>
            <w:tcW w:type="dxa" w:w="1728"/>
          </w:tcPr>
          <w:p>
            <w:r>
              <w:t>Staff</w:t>
            </w:r>
          </w:p>
        </w:tc>
      </w:tr>
      <w:tr>
        <w:tc>
          <w:tcPr>
            <w:tcW w:type="dxa" w:w="1728"/>
          </w:tcPr>
          <w:p>
            <w:r>
              <w:t>Marketing</w:t>
            </w:r>
          </w:p>
        </w:tc>
        <w:tc>
          <w:tcPr>
            <w:tcW w:type="dxa" w:w="1728"/>
          </w:tcPr>
          <w:p>
            <w:r>
              <w:t>Marketing</w:t>
            </w:r>
          </w:p>
        </w:tc>
        <w:tc>
          <w:tcPr>
            <w:tcW w:type="dxa" w:w="1728"/>
          </w:tcPr>
          <w:p>
            <w:r>
              <w:t>PM</w:t>
            </w:r>
          </w:p>
        </w:tc>
        <w:tc>
          <w:tcPr>
            <w:tcW w:type="dxa" w:w="1728"/>
          </w:tcPr>
          <w:p>
            <w:r>
              <w:t>Customers</w:t>
            </w:r>
          </w:p>
        </w:tc>
        <w:tc>
          <w:tcPr>
            <w:tcW w:type="dxa" w:w="1728"/>
          </w:tcPr>
          <w:p>
            <w:r>
              <w:t>Management</w:t>
            </w:r>
          </w:p>
        </w:tc>
      </w:tr>
      <w:tr>
        <w:tc>
          <w:tcPr>
            <w:tcW w:type="dxa" w:w="1728"/>
          </w:tcPr>
          <w:p>
            <w:r>
              <w:t>Operations</w:t>
            </w:r>
          </w:p>
        </w:tc>
        <w:tc>
          <w:tcPr>
            <w:tcW w:type="dxa" w:w="1728"/>
          </w:tcPr>
          <w:p>
            <w:r>
              <w:t>Ops Team</w:t>
            </w:r>
          </w:p>
        </w:tc>
        <w:tc>
          <w:tcPr>
            <w:tcW w:type="dxa" w:w="1728"/>
          </w:tcPr>
          <w:p>
            <w:r>
              <w:t>PM</w:t>
            </w:r>
          </w:p>
        </w:tc>
        <w:tc>
          <w:tcPr>
            <w:tcW w:type="dxa" w:w="1728"/>
          </w:tcPr>
          <w:p>
            <w:r>
              <w:t>HR</w:t>
            </w:r>
          </w:p>
        </w:tc>
        <w:tc>
          <w:tcPr>
            <w:tcW w:type="dxa" w:w="1728"/>
          </w:tcPr>
          <w:p>
            <w:r>
              <w:t>Staff</w:t>
            </w:r>
          </w:p>
        </w:tc>
      </w:tr>
    </w:tbl>
    <w:p>
      <w:pPr>
        <w:pStyle w:val="Heading1"/>
      </w:pPr>
      <w:r>
        <w:t>6. Stakeholder Map (Mendelow Matrix)</w:t>
      </w:r>
    </w:p>
    <w:tbl>
      <w:tblPr>
        <w:tblW w:type="auto" w:w="0"/>
        <w:tblLook w:firstColumn="1" w:firstRow="1" w:lastColumn="0" w:lastRow="0" w:noHBand="0" w:noVBand="1" w:val="04A0"/>
      </w:tblPr>
      <w:tblGrid>
        <w:gridCol w:w="4320"/>
        <w:gridCol w:w="4320"/>
      </w:tblGrid>
      <w:tr>
        <w:tc>
          <w:tcPr>
            <w:tcW w:type="dxa" w:w="4320"/>
          </w:tcPr>
          <w:p>
            <w:r>
              <w:t>High Power/High Interest</w:t>
            </w:r>
          </w:p>
        </w:tc>
        <w:tc>
          <w:tcPr>
            <w:tcW w:type="dxa" w:w="4320"/>
          </w:tcPr>
          <w:p>
            <w:r>
              <w:t>High Power/Low Interest</w:t>
            </w:r>
          </w:p>
        </w:tc>
      </w:tr>
      <w:tr>
        <w:tc>
          <w:tcPr>
            <w:tcW w:type="dxa" w:w="4320"/>
          </w:tcPr>
          <w:p>
            <w:r>
              <w:t>Low Power/High Interest</w:t>
            </w:r>
          </w:p>
        </w:tc>
        <w:tc>
          <w:tcPr>
            <w:tcW w:type="dxa" w:w="4320"/>
          </w:tcPr>
          <w:p>
            <w:r>
              <w:t>Low Power/Low Interest</w:t>
            </w:r>
          </w:p>
        </w:tc>
      </w:tr>
    </w:tbl>
    <w:p>
      <w:pPr>
        <w:pStyle w:val="Heading1"/>
      </w:pPr>
      <w:r>
        <w:t>7. Detailed Analysis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spacing w:after="120"/>
      </w:pPr>
      <w:r>
        <w:t>This section provides critical evaluation of stakeholder engagement, applying stakeholder theory, 4C's model, and strategic frameworks. It discusses communication, collaboration, consultation, and commitment in depth, alongside conflict management strategies and ethical considerations in global hospitality environments.</w:t>
      </w:r>
    </w:p>
    <w:p>
      <w:pPr>
        <w:pStyle w:val="Heading1"/>
      </w:pPr>
      <w:r>
        <w:t>8. Conclusion</w:t>
      </w:r>
    </w:p>
    <w:p>
      <w:pPr>
        <w:spacing w:after="120"/>
      </w:pPr>
      <w:r>
        <w:t>The StaySmart+ project demonstrates the importance of stakeholder engagement...</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