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2.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rPr>
          <w:rFonts w:eastAsiaTheme="minorHAnsi"/>
          <w:color w:val="4472C4" w:themeColor="accent1"/>
          <w:lang w:val="en-GB"/>
        </w:rPr>
        <w:id w:val="815844514"/>
        <w:docPartObj>
          <w:docPartGallery w:val="Cover Pages"/>
          <w:docPartUnique/>
        </w:docPartObj>
      </w:sdtPr>
      <w:sdtEndPr>
        <w:rPr>
          <w:color w:val="auto"/>
        </w:rPr>
      </w:sdtEndPr>
      <w:sdtContent>
        <w:p w:rsidR="00A60461" w:rsidRDefault="00A60461" w14:paraId="27CA0781" w14:textId="58AA4CC9">
          <w:pPr>
            <w:pStyle w:val="NoSpacing"/>
            <w:spacing w:before="1540" w:after="240"/>
            <w:jc w:val="center"/>
            <w:rPr>
              <w:color w:val="4472C4" w:themeColor="accent1"/>
            </w:rPr>
          </w:pPr>
          <w:r>
            <w:rPr>
              <w:noProof/>
              <w:color w:val="4472C4" w:themeColor="accent1"/>
            </w:rPr>
            <w:drawing>
              <wp:inline distT="0" distB="0" distL="0" distR="0" wp14:anchorId="1C2B5530" wp14:editId="456FCFC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4472C4" w:themeColor="accent1"/>
              <w:sz w:val="72"/>
              <w:szCs w:val="72"/>
            </w:rPr>
            <w:alias w:val="Title"/>
            <w:tag w:val=""/>
            <w:id w:val="1735040861"/>
            <w:placeholder>
              <w:docPart w:val="48AC27DE690C4C699C4CDC17CF21FFA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A60461" w:rsidRDefault="00EC1B2C" w14:paraId="0C8EAB52" w14:textId="19597FD6">
              <w:pPr>
                <w:pStyle w:val="NoSpacing"/>
                <w:pBdr>
                  <w:top w:val="single" w:color="4472C4" w:themeColor="accent1" w:sz="6" w:space="6"/>
                  <w:bottom w:val="single" w:color="4472C4" w:themeColor="accent1" w:sz="6" w:space="6"/>
                </w:pBdr>
                <w:spacing w:after="240"/>
                <w:jc w:val="center"/>
                <w:rPr>
                  <w:rFonts w:asciiTheme="majorHAnsi" w:hAnsiTheme="majorHAnsi" w:eastAsiaTheme="majorEastAsia" w:cstheme="majorBidi"/>
                  <w:caps/>
                  <w:color w:val="4472C4" w:themeColor="accent1"/>
                  <w:sz w:val="80"/>
                  <w:szCs w:val="80"/>
                </w:rPr>
              </w:pPr>
              <w:r>
                <w:rPr>
                  <w:rFonts w:asciiTheme="majorHAnsi" w:hAnsiTheme="majorHAnsi" w:eastAsiaTheme="majorEastAsia" w:cstheme="majorBidi"/>
                  <w:caps/>
                  <w:color w:val="4472C4" w:themeColor="accent1"/>
                  <w:sz w:val="72"/>
                  <w:szCs w:val="72"/>
                </w:rPr>
                <w:t>Contract law</w:t>
              </w:r>
            </w:p>
          </w:sdtContent>
        </w:sdt>
        <w:sdt>
          <w:sdtPr>
            <w:rPr>
              <w:color w:val="4472C4" w:themeColor="accent1"/>
              <w:sz w:val="28"/>
              <w:szCs w:val="28"/>
            </w:rPr>
            <w:alias w:val="Subtitle"/>
            <w:tag w:val=""/>
            <w:id w:val="328029620"/>
            <w:placeholder>
              <w:docPart w:val="819672F30DA749BF8F0D8E0783FB59B6"/>
            </w:placeholder>
            <w:dataBinding w:prefixMappings="xmlns:ns0='http://purl.org/dc/elements/1.1/' xmlns:ns1='http://schemas.openxmlformats.org/package/2006/metadata/core-properties' " w:xpath="/ns1:coreProperties[1]/ns0:subject[1]" w:storeItemID="{6C3C8BC8-F283-45AE-878A-BAB7291924A1}"/>
            <w:text/>
          </w:sdtPr>
          <w:sdtContent>
            <w:p w:rsidR="00A60461" w:rsidRDefault="00A60461" w14:paraId="584F18E4" w14:textId="028EE030">
              <w:pPr>
                <w:pStyle w:val="NoSpacing"/>
                <w:jc w:val="center"/>
                <w:rPr>
                  <w:color w:val="4472C4" w:themeColor="accent1"/>
                  <w:sz w:val="28"/>
                  <w:szCs w:val="28"/>
                </w:rPr>
              </w:pPr>
              <w:r>
                <w:rPr>
                  <w:color w:val="4472C4" w:themeColor="accent1"/>
                  <w:sz w:val="28"/>
                  <w:szCs w:val="28"/>
                </w:rPr>
                <w:t>BMLW5006</w:t>
              </w:r>
            </w:p>
          </w:sdtContent>
        </w:sdt>
        <w:p w:rsidR="00A60461" w:rsidRDefault="00A60461" w14:paraId="6D7AD431" w14:textId="7777777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6D83E29B" wp14:editId="77994D2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04T00:00:00Z">
                                    <w:dateFormat w:val="MMMM d, yyyy"/>
                                    <w:lid w:val="en-US"/>
                                    <w:storeMappedDataAs w:val="dateTime"/>
                                    <w:calendar w:val="gregorian"/>
                                  </w:date>
                                </w:sdtPr>
                                <w:sdtContent>
                                  <w:p w:rsidR="00A60461" w:rsidRDefault="00A60461" w14:paraId="2DE801D2" w14:textId="2F98E621">
                                    <w:pPr>
                                      <w:pStyle w:val="NoSpacing"/>
                                      <w:spacing w:after="40"/>
                                      <w:jc w:val="center"/>
                                      <w:rPr>
                                        <w:caps/>
                                        <w:color w:val="4472C4" w:themeColor="accent1"/>
                                        <w:sz w:val="28"/>
                                        <w:szCs w:val="28"/>
                                      </w:rPr>
                                    </w:pPr>
                                    <w:r>
                                      <w:rPr>
                                        <w:caps/>
                                        <w:color w:val="4472C4" w:themeColor="accent1"/>
                                        <w:sz w:val="28"/>
                                        <w:szCs w:val="28"/>
                                      </w:rPr>
                                      <w:t>February 4, 2022</w:t>
                                    </w:r>
                                  </w:p>
                                </w:sdtContent>
                              </w:sdt>
                              <w:p w:rsidR="00A60461" w:rsidRDefault="00A3330D" w14:paraId="389AA071" w14:textId="2A003D1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60461">
                                      <w:rPr>
                                        <w:caps/>
                                        <w:color w:val="4472C4" w:themeColor="accent1"/>
                                      </w:rPr>
                                      <w:t>uwtsd</w:t>
                                    </w:r>
                                  </w:sdtContent>
                                </w:sdt>
                              </w:p>
                              <w:p w:rsidR="00A60461" w:rsidRDefault="00A3330D" w14:paraId="1F09F003" w14:textId="78C50E3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A60461">
                                      <w:rPr>
                                        <w:color w:val="4472C4" w:themeColor="accent1"/>
                                      </w:rPr>
                                      <w:t>2003429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w14:anchorId="6D83E29B">
                    <v:stroke joinstyle="miter"/>
                    <v:path gradientshapeok="t" o:connecttype="rect"/>
                  </v:shapetype>
                  <v:shape id="Text Box 14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04T00:00:00Z">
                              <w:dateFormat w:val="MMMM d, yyyy"/>
                              <w:lid w:val="en-US"/>
                              <w:storeMappedDataAs w:val="dateTime"/>
                              <w:calendar w:val="gregorian"/>
                            </w:date>
                          </w:sdtPr>
                          <w:sdtContent>
                            <w:p w:rsidR="00A60461" w:rsidRDefault="00A60461" w14:paraId="2DE801D2" w14:textId="2F98E621">
                              <w:pPr>
                                <w:pStyle w:val="NoSpacing"/>
                                <w:spacing w:after="40"/>
                                <w:jc w:val="center"/>
                                <w:rPr>
                                  <w:caps/>
                                  <w:color w:val="4472C4" w:themeColor="accent1"/>
                                  <w:sz w:val="28"/>
                                  <w:szCs w:val="28"/>
                                </w:rPr>
                              </w:pPr>
                              <w:r>
                                <w:rPr>
                                  <w:caps/>
                                  <w:color w:val="4472C4" w:themeColor="accent1"/>
                                  <w:sz w:val="28"/>
                                  <w:szCs w:val="28"/>
                                </w:rPr>
                                <w:t>February 4, 2022</w:t>
                              </w:r>
                            </w:p>
                          </w:sdtContent>
                        </w:sdt>
                        <w:p w:rsidR="00A60461" w:rsidRDefault="00A3330D" w14:paraId="389AA071" w14:textId="2A003D1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60461">
                                <w:rPr>
                                  <w:caps/>
                                  <w:color w:val="4472C4" w:themeColor="accent1"/>
                                </w:rPr>
                                <w:t>uwtsd</w:t>
                              </w:r>
                            </w:sdtContent>
                          </w:sdt>
                        </w:p>
                        <w:p w:rsidR="00A60461" w:rsidRDefault="00A3330D" w14:paraId="1F09F003" w14:textId="78C50E3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A60461">
                                <w:rPr>
                                  <w:color w:val="4472C4" w:themeColor="accent1"/>
                                </w:rPr>
                                <w:t>2003429</w:t>
                              </w:r>
                            </w:sdtContent>
                          </w:sdt>
                        </w:p>
                      </w:txbxContent>
                    </v:textbox>
                    <w10:wrap anchorx="margin" anchory="page"/>
                  </v:shape>
                </w:pict>
              </mc:Fallback>
            </mc:AlternateContent>
          </w:r>
          <w:r>
            <w:rPr>
              <w:noProof/>
              <w:color w:val="4472C4" w:themeColor="accent1"/>
            </w:rPr>
            <w:drawing>
              <wp:inline distT="0" distB="0" distL="0" distR="0" wp14:anchorId="4F324403" wp14:editId="5667F56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A60461" w:rsidRDefault="00A60461" w14:paraId="2FAB76AD" w14:textId="307403E0">
          <w:r>
            <w:br w:type="page"/>
          </w:r>
        </w:p>
      </w:sdtContent>
    </w:sdt>
    <w:p w:rsidR="32E278B3" w:rsidP="32E278B3" w:rsidRDefault="32E278B3" w14:paraId="793BC8AB" w14:textId="0E650112"/>
    <w:p w:rsidR="004530E5" w:rsidRDefault="00937F8F" w14:paraId="2F1CBEFD" w14:textId="496695BD">
      <w:r w:rsidRPr="2253E22F" w:rsidR="00937F8F">
        <w:rPr>
          <w:b w:val="1"/>
          <w:bCs w:val="1"/>
        </w:rPr>
        <w:t>Question a</w:t>
      </w:r>
      <w:r w:rsidR="00937F8F">
        <w:rPr/>
        <w:t xml:space="preserve"> </w:t>
      </w:r>
    </w:p>
    <w:p w:rsidR="005423E0" w:rsidP="2253E22F" w:rsidRDefault="32E278B3" w14:paraId="3D9F669F" w14:textId="37317F57">
      <w:pPr>
        <w:pStyle w:val="Normal"/>
      </w:pPr>
      <w:r w:rsidR="19CABDD6">
        <w:rPr/>
        <w:t>“In English law the privity doctrine means among other things that a non-party cannot bring an action on the contract.” (</w:t>
      </w:r>
      <w:r w:rsidR="19CABDD6">
        <w:rPr/>
        <w:t>Kotz</w:t>
      </w:r>
      <w:r w:rsidR="19CABDD6">
        <w:rPr/>
        <w:t xml:space="preserve">, H., 1990) </w:t>
      </w:r>
    </w:p>
    <w:p w:rsidR="005423E0" w:rsidP="2253E22F" w:rsidRDefault="32E278B3" w14:paraId="0A9915EE" w14:textId="74205D9C">
      <w:pPr>
        <w:pStyle w:val="Normal"/>
      </w:pPr>
      <w:r w:rsidR="19CABDD6">
        <w:rPr/>
        <w:t xml:space="preserve">(Tweddle v Atkinson (1861) involved privity of contract. In this case a third party attempted to enforce the contract to benefit them, this failed due to the rule of privity and lack of consideration. The law of privity had been judged for leading to harsh and unfair outcomes, so several exceptions have been developed to the rule of privity. These are, exceptions provided by statute, collateral contracts, agency, covenants in land law and trusts. </w:t>
      </w:r>
    </w:p>
    <w:p w:rsidR="00937F8F" w:rsidP="00937F8F" w:rsidRDefault="00937F8F" w14:paraId="6B11E13F" w14:textId="69D3F364">
      <w:r w:rsidR="2253E22F">
        <w:rPr/>
        <w:t>There are however exceptions to the privity doctrine that have been developed due to the potential harshness of the privity doctrine. This includes S.11 Married Womens’s property Act 1882. This is that a spouse who insures his or her life for the benefit of their spouse, civil partner or child will create a trust in favour of the beneficiaries of the policy</w:t>
      </w:r>
      <w:r w:rsidR="2253E22F">
        <w:rPr/>
        <w:t xml:space="preserve">. </w:t>
      </w:r>
      <w:r w:rsidR="2253E22F">
        <w:rPr/>
        <w:t xml:space="preserve">This means that the surviving spouse can enforce the contract although they were not party to the contract. </w:t>
      </w:r>
    </w:p>
    <w:p w:rsidR="001B3DB6" w:rsidP="00937F8F" w:rsidRDefault="00937F8F" w14:paraId="64CA43B3" w14:textId="5741C458">
      <w:r w:rsidRPr="5E918E3C">
        <w:rPr>
          <w:b/>
          <w:bCs/>
        </w:rPr>
        <w:t>Question b</w:t>
      </w:r>
      <w:r>
        <w:t xml:space="preserve"> </w:t>
      </w:r>
    </w:p>
    <w:p w:rsidR="00D15D45" w:rsidP="5E918E3C" w:rsidRDefault="5E918E3C" w14:paraId="77540772" w14:textId="4586D21B">
      <w:pPr>
        <w:ind w:left="45"/>
      </w:pPr>
      <w:r w:rsidR="5E918E3C">
        <w:rPr/>
        <w:t xml:space="preserve">There are three types of consideration, these are executory consideration which is where consideration arises when promises are exchanged to perform acts in the future. And executed consideration which arises when one party performs an act to fulfil a promise made by the other party. </w:t>
      </w:r>
      <w:r w:rsidRPr="2253E22F" w:rsidR="5E918E3C">
        <w:rPr>
          <w:rFonts w:ascii="Calibri" w:hAnsi="Calibri" w:eastAsia="Calibri" w:cs="Calibri"/>
          <w:color w:val="000000" w:themeColor="text1" w:themeTint="FF" w:themeShade="FF"/>
        </w:rPr>
        <w:t>Past consideration is consideration that is completed before a promise has been made. Past consideration will not support a valid contract. The</w:t>
      </w:r>
      <w:r w:rsidR="5E918E3C">
        <w:rPr/>
        <w:t xml:space="preserve"> general rule is that consideration must not be past. (Re </w:t>
      </w:r>
      <w:r w:rsidR="5E918E3C">
        <w:rPr/>
        <w:t>McArdle</w:t>
      </w:r>
      <w:r w:rsidR="5E918E3C">
        <w:rPr/>
        <w:t xml:space="preserve"> (1951) If a promise is made in respect of something after it has been sold, then there is no consideration for that promise and therefore it is not binding. (</w:t>
      </w:r>
      <w:r w:rsidR="5E918E3C">
        <w:rPr/>
        <w:t>Roscorla</w:t>
      </w:r>
      <w:r w:rsidR="5E918E3C">
        <w:rPr/>
        <w:t xml:space="preserve"> v Thomas (1842)</w:t>
      </w:r>
    </w:p>
    <w:p w:rsidR="00D15D45" w:rsidP="5E918E3C" w:rsidRDefault="5E918E3C" w14:paraId="65CAE1DB" w14:textId="445DA53F">
      <w:pPr>
        <w:ind w:left="45"/>
      </w:pPr>
      <w:r w:rsidR="5E918E3C">
        <w:rPr/>
        <w:t xml:space="preserve">There is, however, an exception to the general rule that </w:t>
      </w:r>
      <w:r w:rsidR="5E918E3C">
        <w:rPr/>
        <w:t>conidiation</w:t>
      </w:r>
      <w:r w:rsidR="5E918E3C">
        <w:rPr/>
        <w:t xml:space="preserve"> must not be past. The act of consideration must have been done at the promisor’s </w:t>
      </w:r>
      <w:r w:rsidR="5E918E3C">
        <w:rPr/>
        <w:t>requestion</w:t>
      </w:r>
      <w:r w:rsidR="5E918E3C">
        <w:rPr/>
        <w:t>, both parties must have understood that the act was to be compensated further by a payment or a promise to pay later. Also, the payment, if promised in advance, must have been legally enforceable. (</w:t>
      </w:r>
      <w:r w:rsidR="5E918E3C">
        <w:rPr/>
        <w:t>Lampleigh</w:t>
      </w:r>
      <w:r w:rsidR="5E918E3C">
        <w:rPr/>
        <w:t xml:space="preserve"> v Braithwaite (1615). </w:t>
      </w:r>
    </w:p>
    <w:p w:rsidR="00D15D45" w:rsidP="5E918E3C" w:rsidRDefault="5E918E3C" w14:paraId="698E0CE6" w14:textId="0BCA77FF">
      <w:pPr>
        <w:ind w:left="45"/>
      </w:pPr>
      <w:r w:rsidR="5E918E3C">
        <w:rPr/>
        <w:t xml:space="preserve">It was known early on the history of contract law that goods or services delivered in the past could not provide for a valid contract for the present time. (LWF, 1924). </w:t>
      </w:r>
      <w:r w:rsidR="5E918E3C">
        <w:rPr/>
        <w:t xml:space="preserve">To be good consideration, the consideration must have some value. When the parties exchange the value, this must be sufficient but does not need to be adequate. (Midland Bank v Green (1981) In British law, </w:t>
      </w:r>
      <w:r w:rsidR="5E918E3C">
        <w:rPr/>
        <w:t>past</w:t>
      </w:r>
      <w:r w:rsidR="5E918E3C">
        <w:rPr/>
        <w:t xml:space="preserve"> consideration does not amount to good consideration. </w:t>
      </w:r>
    </w:p>
    <w:p w:rsidR="00D15D45" w:rsidP="5E918E3C" w:rsidRDefault="00D15D45" w14:paraId="0BC8AFA5" w14:textId="2D2D0D62">
      <w:pPr>
        <w:ind w:left="45"/>
      </w:pPr>
    </w:p>
    <w:p w:rsidR="00D15D45" w:rsidP="2253E22F" w:rsidRDefault="5E918E3C" w14:paraId="660A2834" w14:textId="0B66F93E" w14:noSpellErr="1">
      <w:pPr>
        <w:ind w:left="45"/>
        <w:rPr>
          <w:b w:val="1"/>
          <w:bCs w:val="1"/>
        </w:rPr>
      </w:pPr>
      <w:r w:rsidRPr="2253E22F" w:rsidR="5E918E3C">
        <w:rPr>
          <w:b w:val="1"/>
          <w:bCs w:val="1"/>
        </w:rPr>
        <w:t xml:space="preserve">Question c  </w:t>
      </w:r>
    </w:p>
    <w:p w:rsidR="00051D06" w:rsidP="00937F8F" w:rsidRDefault="00051D06" w14:paraId="4E93AD55" w14:textId="61AD8C39">
      <w:r w:rsidR="00A67AEB">
        <w:rPr/>
        <w:t xml:space="preserve"> </w:t>
      </w:r>
      <w:r w:rsidR="00DC7576">
        <w:rPr/>
        <w:t xml:space="preserve">A contract is not exercised until all obligations under the contract have been performed precisely and correctly. (Cutter v Powell (1795) This principle has led to strictness in contracts for the sale of goods. This strictness has now been diminished by statute. </w:t>
      </w:r>
      <w:r w:rsidR="00051D06">
        <w:rPr/>
        <w:t>Sale of Goods Act 1979</w:t>
      </w:r>
    </w:p>
    <w:p w:rsidR="2253E22F" w:rsidP="2253E22F" w:rsidRDefault="2253E22F" w14:paraId="43FF1D08" w14:textId="36F44849">
      <w:pPr>
        <w:pStyle w:val="Normal"/>
      </w:pPr>
      <w:r w:rsidR="2253E22F">
        <w:rPr/>
        <w:t xml:space="preserve">There are several exceptions to the entire performance rule. </w:t>
      </w:r>
      <w:r w:rsidR="00EC1B2C">
        <w:rPr/>
        <w:t>One exception is partial performance, this is if a contract is severable, then, provided that the whole contract is not breached, payment can be expected for part performance. (Roberts v Havelock (1832) Partial</w:t>
      </w:r>
      <w:r w:rsidR="2253E22F">
        <w:rPr/>
        <w:t xml:space="preserve"> performance may however be accepted; this is shown in the case (Christy v Row (1808). Where partial performance is accepted then payment is enforceable in respect of partial performance. </w:t>
      </w:r>
    </w:p>
    <w:p w:rsidR="00EC1B2C" w:rsidP="00937F8F" w:rsidRDefault="00EC1B2C" w14:paraId="602B72AC" w14:textId="5282694C">
      <w:r w:rsidR="009F4944">
        <w:rPr/>
        <w:t xml:space="preserve"> </w:t>
      </w:r>
      <w:r w:rsidR="00EC1B2C">
        <w:rPr/>
        <w:t xml:space="preserve">A second exception to the entire performance rule is </w:t>
      </w:r>
      <w:r w:rsidR="009F4944">
        <w:rPr/>
        <w:t xml:space="preserve">substantial performance, this is where performance Is substantial, then the contract can be </w:t>
      </w:r>
      <w:r w:rsidR="00DC7576">
        <w:rPr/>
        <w:t xml:space="preserve">enforced, though damages can be payable in regard of the incomplete performance. The amount payable corresponds to the price of the contract minus the cost of incomplete component. (H. </w:t>
      </w:r>
      <w:r w:rsidR="00DC7576">
        <w:rPr/>
        <w:t>Dakin</w:t>
      </w:r>
      <w:r w:rsidR="00DC7576">
        <w:rPr/>
        <w:t xml:space="preserve"> &amp; Co Ltd v Lee (1916) However this exception brings up the question of what specifically means ‘substantial</w:t>
      </w:r>
      <w:r w:rsidR="00DC7576">
        <w:rPr/>
        <w:t>’ performance</w:t>
      </w:r>
      <w:r w:rsidR="00DC7576">
        <w:rPr/>
        <w:t xml:space="preserve"> in contractual obligations. </w:t>
      </w:r>
      <w:proofErr w:type="spellStart"/>
      <w:proofErr w:type="spellEnd"/>
    </w:p>
    <w:p w:rsidR="00EC1B2C" w:rsidP="00937F8F" w:rsidRDefault="00EC1B2C" w14:paraId="18BDC9C2" w14:textId="2CD62C00">
      <w:r w:rsidR="00051D06">
        <w:rPr/>
        <w:t xml:space="preserve">A third exception to the entire performance rule is tender of performance. This is where is a party is unable to complete its contractual obligations without the cooperation of the other party, then this can make a tender of performance which can be accepted or rejected by the other party. </w:t>
      </w:r>
      <w:r w:rsidR="000B3C25">
        <w:rPr/>
        <w:t xml:space="preserve">If a tender performance is the rejected, the party who tried to complete their contractual obligations will be discharged from further liability. (Start-up v </w:t>
      </w:r>
      <w:r w:rsidR="000B3C25">
        <w:rPr/>
        <w:t>Macdonald</w:t>
      </w:r>
      <w:r w:rsidR="000B3C25">
        <w:rPr/>
        <w:t xml:space="preserve"> (1843)</w:t>
      </w:r>
      <w:r w:rsidR="00051D06">
        <w:rPr/>
        <w:t xml:space="preserve"> </w:t>
      </w:r>
    </w:p>
    <w:p w:rsidR="000E338D" w:rsidP="2253E22F" w:rsidRDefault="000E338D" w14:paraId="0DC0C87A" w14:textId="2309D9D0">
      <w:pPr>
        <w:pStyle w:val="ListParagraph"/>
        <w:ind w:left="0"/>
      </w:pPr>
      <w:r w:rsidRPr="2253E22F" w:rsidR="2253E22F">
        <w:rPr>
          <w:b w:val="1"/>
          <w:bCs w:val="1"/>
        </w:rPr>
        <w:t>Question d</w:t>
      </w:r>
      <w:r w:rsidR="2253E22F">
        <w:rPr/>
        <w:t xml:space="preserve"> </w:t>
      </w:r>
    </w:p>
    <w:p w:rsidR="007970BA" w:rsidP="006111BD" w:rsidRDefault="00E16404" w14:paraId="3412747B" w14:textId="2A72A9AE">
      <w:r>
        <w:t xml:space="preserve">English law has no formal definition of what a contract is. </w:t>
      </w:r>
      <w:r w:rsidR="00B92821">
        <w:t>However,</w:t>
      </w:r>
      <w:r>
        <w:t xml:space="preserve"> it can be defined as “The branch of the law which determines the circumstances in which promise shall be legally binding on the person making it.” </w:t>
      </w:r>
      <w:r w:rsidR="00CC46B0">
        <w:t xml:space="preserve">There are </w:t>
      </w:r>
      <w:r w:rsidR="00B92821">
        <w:t xml:space="preserve">two distinct types of contracts, these are simple contracts, which do not need to be in writing, simple contract can be made orally or implied by conduct. There are also speciality contracts which are required to be made in writing, these re concerned with the sale of land and other credit transactions. </w:t>
      </w:r>
    </w:p>
    <w:p w:rsidR="00A7532A" w:rsidP="006111BD" w:rsidRDefault="00A7532A" w14:paraId="55E4EAF7" w14:textId="7FABDB96">
      <w:r w:rsidR="00A7532A">
        <w:rPr/>
        <w:t xml:space="preserve">There are three basic requirements for a valid contract to exist, these are Agreement, </w:t>
      </w:r>
      <w:r w:rsidR="00257009">
        <w:rPr/>
        <w:t>consideration,</w:t>
      </w:r>
      <w:r w:rsidR="00A7532A">
        <w:rPr/>
        <w:t xml:space="preserve"> and intention to create legal relations. </w:t>
      </w:r>
      <w:r w:rsidR="00257009">
        <w:rPr/>
        <w:t xml:space="preserve">An agreement is made when there is an offer that has been accepted. </w:t>
      </w:r>
    </w:p>
    <w:p w:rsidR="001C5A6B" w:rsidP="2253E22F" w:rsidRDefault="001C5A6B" w14:paraId="7B0547FB" w14:textId="14D1C782">
      <w:pPr>
        <w:pStyle w:val="Normal"/>
      </w:pPr>
      <w:r w:rsidR="001C5A6B">
        <w:rPr/>
        <w:t>There are several elements that make a contract which are Agreement, capacity, consideration, intention to create legal relations, consent, form, and legality. A contract can be entered into in several ways, these include face to face, written, telephone and mere conduct. When a contract exists, parties are given legal rights.</w:t>
      </w:r>
    </w:p>
    <w:p w:rsidR="00B265DF" w:rsidP="2253E22F" w:rsidRDefault="001C5A6B" w14:paraId="72ACB803" w14:textId="31F5B565">
      <w:pPr>
        <w:pStyle w:val="Normal"/>
      </w:pPr>
      <w:r w:rsidR="001C5A6B">
        <w:rPr/>
        <w:t>A</w:t>
      </w:r>
      <w:r w:rsidR="00F96329">
        <w:rPr/>
        <w:t xml:space="preserve">n agreement is made between parties when there is an offer, and then acceptance of the offer. (Kennedy v Lee (1817). The acceptance of a valid offer completes the agreement. For an agreement to be enforceable, there must be an intention to create legal relations and consideration. Acceptance of an offer is successful when the offer is received by the offeror. The postal rule supports that if an acceptance of an offer is made by post, the contract exists when the acceptance is posted. </w:t>
      </w:r>
    </w:p>
    <w:p w:rsidR="5E918E3C" w:rsidP="2253E22F" w:rsidRDefault="5E918E3C" w14:paraId="2DB79DE0" w14:textId="50056876">
      <w:pPr>
        <w:pStyle w:val="Normal"/>
      </w:pPr>
      <w:r w:rsidR="2253E22F">
        <w:rPr/>
        <w:t xml:space="preserve">An invitation to treat is not an offer, it is a request to others to make an offer, or to open negotiations. An invitation to treat cannot be validly accepted like an offer. Advertisements are considered as an invitation to treat. In this case Ben, Christine and Dennis being the potential purchasers making an offer to buy. (Partridge v Crittenden (1968) </w:t>
      </w:r>
    </w:p>
    <w:p w:rsidR="5E918E3C" w:rsidP="5E918E3C" w:rsidRDefault="5E918E3C" w14:paraId="3435605C" w14:textId="559E50B6">
      <w:r w:rsidR="00CA7BA0">
        <w:rPr/>
        <w:t>Arthur posted an advertisement in a magazine. Arthur makes an invitation to treat. The courts have made it clear that a display of goods for sale amounts to an invitation to treat. (Fisher v Bell (1960)</w:t>
      </w:r>
    </w:p>
    <w:p w:rsidR="5E918E3C" w:rsidP="2253E22F" w:rsidRDefault="5E918E3C" w14:paraId="4E231DE1" w14:textId="5A4DD28B">
      <w:pPr>
        <w:pStyle w:val="Title"/>
        <w:rPr>
          <w:rFonts w:ascii="Calibri" w:hAnsi="Calibri" w:eastAsia="Calibri" w:cs="Calibri" w:asciiTheme="minorAscii" w:hAnsiTheme="minorAscii" w:eastAsiaTheme="minorAscii" w:cstheme="minorAscii"/>
          <w:sz w:val="22"/>
          <w:szCs w:val="22"/>
        </w:rPr>
      </w:pPr>
    </w:p>
    <w:p w:rsidR="5E918E3C" w:rsidP="2253E22F" w:rsidRDefault="5E918E3C" w14:paraId="7A679AF3" w14:textId="029D7EDF">
      <w:pPr>
        <w:pStyle w:val="Title"/>
        <w:rPr>
          <w:rFonts w:ascii="Calibri" w:hAnsi="Calibri" w:eastAsia="Calibri" w:cs="Calibri" w:asciiTheme="minorAscii" w:hAnsiTheme="minorAscii" w:eastAsiaTheme="minorAscii" w:cstheme="minorAscii"/>
          <w:sz w:val="22"/>
          <w:szCs w:val="22"/>
        </w:rPr>
      </w:pPr>
    </w:p>
    <w:p w:rsidR="5E918E3C" w:rsidP="2253E22F" w:rsidRDefault="5E918E3C" w14:paraId="2958D887" w14:textId="68A60450">
      <w:pPr>
        <w:pStyle w:val="Title"/>
        <w:rPr>
          <w:rFonts w:ascii="Calibri" w:hAnsi="Calibri" w:eastAsia="Calibri" w:cs="Calibri" w:asciiTheme="minorAscii" w:hAnsiTheme="minorAscii" w:eastAsiaTheme="minorAscii" w:cstheme="minorAscii"/>
          <w:sz w:val="22"/>
          <w:szCs w:val="22"/>
        </w:rPr>
      </w:pPr>
    </w:p>
    <w:p w:rsidR="5E918E3C" w:rsidP="2253E22F" w:rsidRDefault="5E918E3C" w14:paraId="0954AA23" w14:textId="7AFF278E">
      <w:pPr>
        <w:pStyle w:val="Title"/>
        <w:rPr>
          <w:rFonts w:ascii="Calibri" w:hAnsi="Calibri" w:eastAsia="Calibri" w:cs="Calibri" w:asciiTheme="minorAscii" w:hAnsiTheme="minorAscii" w:eastAsiaTheme="minorAscii" w:cstheme="minorAscii"/>
          <w:sz w:val="22"/>
          <w:szCs w:val="22"/>
        </w:rPr>
      </w:pPr>
    </w:p>
    <w:p w:rsidR="5E918E3C" w:rsidP="2253E22F" w:rsidRDefault="5E918E3C" w14:paraId="29701DA2" w14:textId="3CCA0424">
      <w:pPr>
        <w:pStyle w:val="Title"/>
        <w:rPr>
          <w:rFonts w:ascii="Calibri" w:hAnsi="Calibri" w:eastAsia="Calibri" w:cs="Calibri" w:asciiTheme="minorAscii" w:hAnsiTheme="minorAscii" w:eastAsiaTheme="minorAscii" w:cstheme="minorAscii"/>
          <w:sz w:val="22"/>
          <w:szCs w:val="22"/>
        </w:rPr>
      </w:pPr>
    </w:p>
    <w:p w:rsidR="5E918E3C" w:rsidP="2253E22F" w:rsidRDefault="5E918E3C" w14:paraId="1103E6B9" w14:textId="1E2D9F8C">
      <w:pPr>
        <w:pStyle w:val="Title"/>
        <w:rPr>
          <w:rFonts w:ascii="Calibri" w:hAnsi="Calibri" w:cs="" w:asciiTheme="minorAscii" w:hAnsiTheme="minorAscii" w:cstheme="minorBidi"/>
          <w:sz w:val="22"/>
          <w:szCs w:val="22"/>
        </w:rPr>
      </w:pPr>
      <w:r w:rsidRPr="2253E22F" w:rsidR="00A7532A">
        <w:rPr>
          <w:rFonts w:ascii="Calibri" w:hAnsi="Calibri" w:eastAsia="Calibri" w:cs="Calibri" w:asciiTheme="minorAscii" w:hAnsiTheme="minorAscii" w:eastAsiaTheme="minorAscii" w:cstheme="minorAscii"/>
          <w:sz w:val="22"/>
          <w:szCs w:val="22"/>
        </w:rPr>
        <w:t xml:space="preserve">An offer to </w:t>
      </w:r>
      <w:r w:rsidRPr="2253E22F" w:rsidR="00257009">
        <w:rPr>
          <w:rFonts w:ascii="Calibri" w:hAnsi="Calibri" w:eastAsia="Calibri" w:cs="Calibri" w:asciiTheme="minorAscii" w:hAnsiTheme="minorAscii" w:eastAsiaTheme="minorAscii" w:cstheme="minorAscii"/>
          <w:sz w:val="22"/>
          <w:szCs w:val="22"/>
        </w:rPr>
        <w:t>enter</w:t>
      </w:r>
      <w:r w:rsidRPr="2253E22F" w:rsidR="00A7532A">
        <w:rPr>
          <w:rFonts w:ascii="Calibri" w:hAnsi="Calibri" w:eastAsia="Calibri" w:cs="Calibri" w:asciiTheme="minorAscii" w:hAnsiTheme="minorAscii" w:eastAsiaTheme="minorAscii" w:cstheme="minorAscii"/>
          <w:sz w:val="22"/>
          <w:szCs w:val="22"/>
        </w:rPr>
        <w:t xml:space="preserve"> a contract can be made orally, in writing or by conduct. The party making the offer is the offeror, the party who the offer is being made to is </w:t>
      </w:r>
      <w:r w:rsidRPr="2253E22F" w:rsidR="00257009">
        <w:rPr>
          <w:rFonts w:ascii="Calibri" w:hAnsi="Calibri" w:eastAsia="Calibri" w:cs="Calibri" w:asciiTheme="minorAscii" w:hAnsiTheme="minorAscii" w:eastAsiaTheme="minorAscii" w:cstheme="minorAscii"/>
          <w:sz w:val="22"/>
          <w:szCs w:val="22"/>
        </w:rPr>
        <w:t>the offeree. An offer can be validly accepted, it is a statement of terms which parties are willing to be bound to. The offer must be successfully communicated to the offeree to be valid. (Taylor v Lairs (1856)</w:t>
      </w:r>
      <w:r w:rsidRPr="2253E22F" w:rsidR="00257009">
        <w:rPr>
          <w:rFonts w:ascii="Calibri" w:hAnsi="Calibri" w:eastAsia="Calibri" w:cs="Calibri" w:asciiTheme="minorAscii" w:hAnsiTheme="minorAscii" w:eastAsiaTheme="minorAscii" w:cstheme="minorAscii"/>
        </w:rPr>
        <w:t xml:space="preserve"> </w:t>
      </w:r>
      <w:r w:rsidRPr="2253E22F" w:rsidR="335E1E9B">
        <w:rPr>
          <w:rFonts w:ascii="Calibri" w:hAnsi="Calibri" w:cs="" w:asciiTheme="minorAscii" w:hAnsiTheme="minorAscii" w:cstheme="minorBidi"/>
          <w:sz w:val="22"/>
          <w:szCs w:val="22"/>
        </w:rPr>
        <w:t xml:space="preserve">Offers are made in </w:t>
      </w:r>
      <w:r w:rsidRPr="2253E22F" w:rsidR="29C051D1">
        <w:rPr>
          <w:rFonts w:ascii="Calibri" w:hAnsi="Calibri" w:cs="" w:asciiTheme="minorAscii" w:hAnsiTheme="minorAscii" w:cstheme="minorBidi"/>
          <w:sz w:val="22"/>
          <w:szCs w:val="22"/>
        </w:rPr>
        <w:t xml:space="preserve">unilateral contracts </w:t>
      </w:r>
      <w:r w:rsidRPr="2253E22F" w:rsidR="001C5A6B">
        <w:rPr>
          <w:rFonts w:ascii="Calibri" w:hAnsi="Calibri" w:cs="" w:asciiTheme="minorAscii" w:hAnsiTheme="minorAscii" w:cstheme="minorBidi"/>
          <w:sz w:val="22"/>
          <w:szCs w:val="22"/>
        </w:rPr>
        <w:t>which Is a one-way exchange, where the offeror says to the offeree, if you do something, then I promise to do something in return, whereas a bilateral offer is a two-way exchange, where both parties in the contract have obligations. A bilateral contract is more commonly used than unilateral contracts.</w:t>
      </w:r>
    </w:p>
    <w:p w:rsidR="5E918E3C" w:rsidP="5E918E3C" w:rsidRDefault="5E918E3C" w14:paraId="4CD5FAA9" w14:textId="4FC6364D">
      <w:r w:rsidR="00257009">
        <w:rPr/>
        <w:t xml:space="preserve">An invitation to treat Is simply a request to make an offer, or a request to open negotiations. Parties may want to negotiate terms of the contract before committing to formal contractual obligations. An invitation to treat cannot be validly accepted like an offer. </w:t>
      </w:r>
      <w:r w:rsidR="00D1509C">
        <w:rPr/>
        <w:t>Examples of invitations to treat are a</w:t>
      </w:r>
      <w:r w:rsidR="33F38737">
        <w:rPr/>
        <w:t xml:space="preserve">dvertisements, auctions, requests for tenders, displays of goods for sales and statements for price are situations which would usually involve an invitation to treat. </w:t>
      </w:r>
      <w:r w:rsidR="00D1509C">
        <w:rPr/>
        <w:t xml:space="preserve">Advertisements are commonly considered to be invitations to treat, the potential purchaser makes the offer to buy. Partridge v </w:t>
      </w:r>
      <w:r w:rsidR="00D1509C">
        <w:rPr/>
        <w:t>Crittenden</w:t>
      </w:r>
      <w:r w:rsidR="00D1509C">
        <w:rPr/>
        <w:t xml:space="preserve"> (1968)  </w:t>
      </w:r>
    </w:p>
    <w:p w:rsidR="5E918E3C" w:rsidP="2253E22F" w:rsidRDefault="5E918E3C" w14:paraId="3EC59356" w14:textId="385F0591">
      <w:pPr>
        <w:pStyle w:val="Normal"/>
      </w:pPr>
    </w:p>
    <w:p w:rsidR="5E918E3C" w:rsidP="2253E22F" w:rsidRDefault="5E918E3C" w14:paraId="1E7C9896" w14:textId="0855F762">
      <w:pPr>
        <w:pStyle w:val="Normal"/>
      </w:pPr>
      <w:r w:rsidR="2253E22F">
        <w:rPr/>
        <w:t>In this case Christine has made an offer to ben for the watch of £11,000 which Arthur rejects and makes a counteroffer to Christine of £13,000. Christine also made a request for information to Arthur when she sent an email asking to pay £11,000 now and £2000 later. A request for information is different to a counteroffer. If a response is made to an offer which does not attempt to vary the terms of the offer it is not a counteroffer since it is not rejecting the terms of the offer, this means it is still open to acceptance by the offeree. (Stevenson, Jacques &amp; CO v McLean (1880)</w:t>
      </w:r>
    </w:p>
    <w:p w:rsidR="5E918E3C" w:rsidP="2253E22F" w:rsidRDefault="5E918E3C" w14:paraId="2F14B9A7" w14:textId="09A84DAB">
      <w:pPr>
        <w:pStyle w:val="Normal"/>
      </w:pPr>
      <w:r w:rsidR="2253E22F">
        <w:rPr/>
        <w:t xml:space="preserve">Acceptance is demonstrated by a person when one person creates a binding contract by acting in agreement with an offer and the terms of the contract. </w:t>
      </w:r>
      <w:r w:rsidR="2253E22F">
        <w:rPr/>
        <w:t xml:space="preserve">Acceptance must coincide exactly with the terms of the offer for it to be valid, the response of a counteroffer destroys the original offer, rendering it incapable of acceptance. (Hyde v Wrench (1840) Therefore a counteroffer destroys the original offer, this reverses the roles of the offeror and offeree. The party who made the original offer may accept the counteroffer, reject the counteroffer, or make a counteroffer. </w:t>
      </w:r>
    </w:p>
    <w:p w:rsidR="5E918E3C" w:rsidP="2253E22F" w:rsidRDefault="5E918E3C" w14:paraId="737215D2" w14:textId="2A6468C5">
      <w:pPr>
        <w:pStyle w:val="Normal"/>
      </w:pPr>
      <w:r w:rsidR="2253E22F">
        <w:rPr/>
        <w:t>Arthur made Christine an offer of £13,000, this amounts to a counteroffer.(</w:t>
      </w:r>
      <w:proofErr w:type="gramStart"/>
      <w:r w:rsidR="2253E22F">
        <w:rPr/>
        <w:t xml:space="preserve">Hyde </w:t>
      </w:r>
      <w:r w:rsidR="2253E22F">
        <w:rPr/>
        <w:t>v Wrench (1840)</w:t>
      </w:r>
      <w:r w:rsidR="2253E22F">
        <w:rPr/>
        <w:t xml:space="preserve">. </w:t>
      </w:r>
      <w:r w:rsidR="2253E22F">
        <w:rPr/>
        <w:t xml:space="preserve">As a result, using the traditional concepts of offer and acceptance to lead to a valid contract, it is not possible to </w:t>
      </w:r>
      <w:r w:rsidR="2253E22F">
        <w:rPr/>
        <w:t>establish</w:t>
      </w:r>
      <w:r w:rsidR="2253E22F">
        <w:rPr/>
        <w:t xml:space="preserve"> a legally binding contract. </w:t>
      </w:r>
      <w:proofErr w:type="gramEnd"/>
    </w:p>
    <w:p w:rsidR="5E918E3C" w:rsidP="2253E22F" w:rsidRDefault="5E918E3C" w14:paraId="3FE1E0FE" w14:textId="564498A1">
      <w:pPr>
        <w:pStyle w:val="Normal"/>
      </w:pPr>
      <w:r w:rsidRPr="2253E22F" w:rsidR="2253E22F">
        <w:rPr>
          <w:rFonts w:ascii="Calibri" w:hAnsi="Calibri" w:eastAsia="Calibri" w:cs="Calibri"/>
          <w:b w:val="0"/>
          <w:bCs w:val="0"/>
          <w:i w:val="0"/>
          <w:iCs w:val="0"/>
          <w:caps w:val="0"/>
          <w:smallCaps w:val="0"/>
          <w:noProof w:val="0"/>
          <w:color w:val="000000" w:themeColor="text1" w:themeTint="FF" w:themeShade="FF"/>
          <w:sz w:val="22"/>
          <w:szCs w:val="22"/>
          <w:lang w:val="en-GB"/>
        </w:rPr>
        <w:t>In this case, Ben has made an offer to Arthur via post. The</w:t>
      </w:r>
      <w:r w:rsidR="2253E22F">
        <w:rPr/>
        <w:t xml:space="preserve"> postal rule is that when a letter of acceptance of an offer is poste, the acceptance takes effect as soon as the letter is posted. The postal rule however to acceptance of an offer through email, this is because an email is argued to be instantaneous (Counts and Martin (1996). It has also been argued that an email is the digital equivalent to a letter by post so it would not be instantaneous (Gardner,1992)</w:t>
      </w:r>
      <w:r w:rsidR="2253E22F">
        <w:rPr/>
        <w:t xml:space="preserve">. </w:t>
      </w:r>
    </w:p>
    <w:p w:rsidR="5E918E3C" w:rsidP="2253E22F" w:rsidRDefault="5E918E3C" w14:paraId="381A5553" w14:textId="5043D4ED">
      <w:pPr>
        <w:pStyle w:val="Normal"/>
      </w:pPr>
      <w:r w:rsidR="5E918E3C">
        <w:rPr/>
        <w:t xml:space="preserve">Consideration in a contract involves a promise made to perform a service, money, a promise to refrain from a course of action and handing over of goods. </w:t>
      </w:r>
      <w:r w:rsidR="5E918E3C">
        <w:rPr/>
        <w:t>Consideration can be defined as “An act or forbearance of one party; or the promise thereof, is the price for which the promise of the other is bought, and the promise thus given for value is enforceable.”</w:t>
      </w:r>
      <w:r w:rsidR="5E918E3C">
        <w:rPr/>
        <w:t xml:space="preserve"> Dunlop v Selfridge (1915) There are two types of consideration, these are executed consideration and executory consideration. Executed consideration is where a party performs their part of the contract at the time of entering the contract. Whereas executory consideration is where both parties exchange promises to do something in the future. In a contract, consideration may be a mix of both executed and executory, both these types of consideration amount to a valid contract. Consideration that Is completed before any promise is made is known as past consideration and will not support a valid contract. To enforce a promise, a claimant must show in court that they supplied consideration for that promise. Tweddle v Atkinson (1861)</w:t>
      </w:r>
    </w:p>
    <w:p w:rsidR="2253E22F" w:rsidP="2253E22F" w:rsidRDefault="2253E22F" w14:paraId="254F729B" w14:textId="16B1C4F8">
      <w:pPr>
        <w:pStyle w:val="Normal"/>
      </w:pPr>
      <w:r w:rsidR="2253E22F">
        <w:rPr/>
        <w:t xml:space="preserve">Intention to create legal relations is the third essential element of a contract. Intention to create legal relations aims to prevent agreements from taking up the courts time that never intended to have legal liability. The courts have developed two rebuttable presumptions to establish a person's intentions, these presumptions are family social agreements (Jones v Padavatton(1969), and business agreements. </w:t>
      </w:r>
    </w:p>
    <w:p w:rsidR="00625456" w:rsidP="006111BD" w:rsidRDefault="00625456" w14:paraId="30D6CEA1" w14:textId="0C0B3EB6">
      <w:r>
        <w:t xml:space="preserve">When negotiating the terms of a contract, parties may make several statements. However not all statements made will be a contractual term. These statements are split into three categories. The categories are Mere puffs, which are extravagant claims being made for the thing being sold, which traditionally have no legal effect. Mead v </w:t>
      </w:r>
      <w:proofErr w:type="spellStart"/>
      <w:r>
        <w:t>Babington</w:t>
      </w:r>
      <w:proofErr w:type="spellEnd"/>
      <w:r>
        <w:t xml:space="preserve"> (2007). Representations, which are pre-contractual statements which are used to persuade the other party to enter the contract, which if are false can lead to legal remedies. And </w:t>
      </w:r>
      <w:proofErr w:type="spellStart"/>
      <w:r>
        <w:t>lasty</w:t>
      </w:r>
      <w:proofErr w:type="spellEnd"/>
      <w:r>
        <w:t xml:space="preserve"> terms, which are statements which will be included in the contract. </w:t>
      </w:r>
    </w:p>
    <w:p w:rsidR="00625456" w:rsidP="006111BD" w:rsidRDefault="00625456" w14:paraId="71C736DD" w14:textId="64317FD5">
      <w:r w:rsidR="00625456">
        <w:rPr/>
        <w:t xml:space="preserve">Terms of a contract can be express terms or implied terms. An express term is a term that has been clearly and precisely discussed and agreed by both parties. Whereas implied terms are terms that have not been openly considered by parties but are read into the contract by the courts. </w:t>
      </w:r>
    </w:p>
    <w:p w:rsidR="32E278B3" w:rsidP="32E278B3" w:rsidRDefault="32E278B3" w14:paraId="7A4D14C9" w14:textId="53417B92"/>
    <w:p w:rsidR="00CA7BA0" w:rsidP="001C5A6B" w:rsidRDefault="00CA7BA0" w14:paraId="66C38C05" w14:textId="573E0322">
      <w:pPr>
        <w:tabs>
          <w:tab w:val="left" w:pos="6882"/>
        </w:tabs>
      </w:pPr>
    </w:p>
    <w:p w:rsidR="001C5A6B" w:rsidP="001C5A6B" w:rsidRDefault="001C5A6B" w14:paraId="27287314" w14:textId="77777777">
      <w:pPr>
        <w:tabs>
          <w:tab w:val="left" w:pos="6882"/>
        </w:tabs>
      </w:pPr>
    </w:p>
    <w:p w:rsidR="00CA7BA0" w:rsidP="00A67AEB" w:rsidRDefault="00CA7BA0" w14:paraId="54545365" w14:textId="77777777"/>
    <w:p w:rsidR="32E278B3" w:rsidP="32E278B3" w:rsidRDefault="32E278B3" w14:paraId="798E5544" w14:textId="3CF27460"/>
    <w:p w:rsidR="32E278B3" w:rsidP="32E278B3" w:rsidRDefault="32E278B3" w14:paraId="1B7DE697" w14:textId="3621F845" w14:noSpellErr="1"/>
    <w:p w:rsidR="2253E22F" w:rsidP="2253E22F" w:rsidRDefault="2253E22F" w14:paraId="22BB3F9B" w14:textId="3FE64BCD">
      <w:pPr>
        <w:pStyle w:val="Normal"/>
      </w:pPr>
    </w:p>
    <w:p w:rsidR="2253E22F" w:rsidP="2253E22F" w:rsidRDefault="2253E22F" w14:paraId="63E06F98" w14:textId="47A4D986">
      <w:pPr>
        <w:pStyle w:val="Normal"/>
      </w:pPr>
    </w:p>
    <w:p w:rsidR="2253E22F" w:rsidP="2253E22F" w:rsidRDefault="2253E22F" w14:paraId="0904E8C3" w14:textId="119B8E3E">
      <w:pPr>
        <w:pStyle w:val="Normal"/>
      </w:pPr>
    </w:p>
    <w:p w:rsidR="2253E22F" w:rsidP="2253E22F" w:rsidRDefault="2253E22F" w14:paraId="66C1F7F1" w14:textId="67109272">
      <w:pPr>
        <w:pStyle w:val="Normal"/>
      </w:pPr>
    </w:p>
    <w:p w:rsidR="2253E22F" w:rsidP="2253E22F" w:rsidRDefault="2253E22F" w14:paraId="35D6C0AD" w14:textId="553096E3">
      <w:pPr>
        <w:pStyle w:val="Normal"/>
      </w:pPr>
    </w:p>
    <w:p w:rsidR="2253E22F" w:rsidP="2253E22F" w:rsidRDefault="2253E22F" w14:paraId="1025E415" w14:textId="7074B4C1">
      <w:pPr>
        <w:pStyle w:val="Normal"/>
      </w:pPr>
    </w:p>
    <w:p w:rsidR="2253E22F" w:rsidP="2253E22F" w:rsidRDefault="2253E22F" w14:paraId="672DF1EE" w14:textId="4072E247">
      <w:pPr>
        <w:pStyle w:val="Normal"/>
      </w:pPr>
    </w:p>
    <w:p w:rsidR="2253E22F" w:rsidP="2253E22F" w:rsidRDefault="2253E22F" w14:paraId="17F5CC90" w14:textId="6451BBDB">
      <w:pPr>
        <w:pStyle w:val="Normal"/>
      </w:pPr>
    </w:p>
    <w:p w:rsidR="2253E22F" w:rsidP="2253E22F" w:rsidRDefault="2253E22F" w14:paraId="173FC46A" w14:textId="2634FE40">
      <w:pPr>
        <w:pStyle w:val="Normal"/>
      </w:pPr>
    </w:p>
    <w:p w:rsidR="2253E22F" w:rsidP="2253E22F" w:rsidRDefault="2253E22F" w14:paraId="2DB2DDE9" w14:textId="0D9F7094">
      <w:pPr>
        <w:pStyle w:val="Normal"/>
      </w:pPr>
    </w:p>
    <w:p w:rsidR="32E278B3" w:rsidP="32E278B3" w:rsidRDefault="32E278B3" w14:paraId="75349F4A" w14:textId="182377AC"/>
    <w:p w:rsidR="32E278B3" w:rsidP="2253E22F" w:rsidRDefault="32E278B3" w14:paraId="48E1F80E" w14:textId="3F661407" w14:noSpellErr="1">
      <w:pPr>
        <w:rPr>
          <w:b w:val="1"/>
          <w:bCs w:val="1"/>
          <w:u w:val="single"/>
        </w:rPr>
      </w:pPr>
      <w:r w:rsidRPr="2253E22F" w:rsidR="19CABDD6">
        <w:rPr>
          <w:b w:val="1"/>
          <w:bCs w:val="1"/>
          <w:u w:val="single"/>
        </w:rPr>
        <w:t>Reference List</w:t>
      </w:r>
      <w:r w:rsidRPr="2253E22F" w:rsidR="19CABDD6">
        <w:rPr>
          <w:b w:val="1"/>
          <w:bCs w:val="1"/>
        </w:rPr>
        <w:t xml:space="preserve"> </w:t>
      </w:r>
    </w:p>
    <w:p w:rsidR="32E278B3" w:rsidP="32E278B3" w:rsidRDefault="32E278B3" w14:paraId="3E33D280" w14:textId="6B844C85"/>
    <w:p w:rsidR="32E278B3" w:rsidP="32E278B3" w:rsidRDefault="32E278B3" w14:paraId="05842044" w14:textId="32E2E61D">
      <w:r w:rsidRPr="32E278B3">
        <w:rPr>
          <w:rFonts w:ascii="Arial" w:hAnsi="Arial" w:eastAsia="Arial" w:cs="Arial"/>
          <w:color w:val="222222"/>
          <w:sz w:val="19"/>
          <w:szCs w:val="19"/>
        </w:rPr>
        <w:t xml:space="preserve">LWF, 1924. Contracts: Modern Rules as to past Consideration Furnished at Request. </w:t>
      </w:r>
      <w:r w:rsidRPr="32E278B3">
        <w:rPr>
          <w:rFonts w:ascii="Arial" w:hAnsi="Arial" w:eastAsia="Arial" w:cs="Arial"/>
          <w:i/>
          <w:iCs/>
          <w:color w:val="222222"/>
          <w:sz w:val="19"/>
          <w:szCs w:val="19"/>
        </w:rPr>
        <w:t>Michigan Law Review</w:t>
      </w:r>
      <w:r w:rsidRPr="32E278B3">
        <w:rPr>
          <w:rFonts w:ascii="Arial" w:hAnsi="Arial" w:eastAsia="Arial" w:cs="Arial"/>
          <w:color w:val="222222"/>
          <w:sz w:val="19"/>
          <w:szCs w:val="19"/>
        </w:rPr>
        <w:t>, pp.713-717.</w:t>
      </w:r>
    </w:p>
    <w:p w:rsidR="32E278B3" w:rsidP="32E278B3" w:rsidRDefault="32E278B3" w14:paraId="1A898D0B" w14:textId="561FA990">
      <w:r w:rsidRPr="2253E22F" w:rsidR="19CABDD6">
        <w:rPr>
          <w:rFonts w:ascii="Arial" w:hAnsi="Arial" w:eastAsia="Arial" w:cs="Arial"/>
          <w:color w:val="222222"/>
          <w:sz w:val="19"/>
          <w:szCs w:val="19"/>
        </w:rPr>
        <w:t>Kotz</w:t>
      </w:r>
      <w:r w:rsidRPr="2253E22F" w:rsidR="19CABDD6">
        <w:rPr>
          <w:rFonts w:ascii="Arial" w:hAnsi="Arial" w:eastAsia="Arial" w:cs="Arial"/>
          <w:color w:val="222222"/>
          <w:sz w:val="19"/>
          <w:szCs w:val="19"/>
        </w:rPr>
        <w:t xml:space="preserve">, H., 1990. The Doctrine of Privity of </w:t>
      </w:r>
      <w:r w:rsidRPr="2253E22F" w:rsidR="19CABDD6">
        <w:rPr>
          <w:rFonts w:ascii="Arial" w:hAnsi="Arial" w:eastAsia="Arial" w:cs="Arial"/>
          <w:color w:val="222222"/>
          <w:sz w:val="19"/>
          <w:szCs w:val="19"/>
        </w:rPr>
        <w:t>Contr</w:t>
      </w:r>
      <w:r w:rsidRPr="2253E22F" w:rsidR="19CABDD6">
        <w:rPr>
          <w:rFonts w:ascii="Arial" w:hAnsi="Arial" w:eastAsia="Arial" w:cs="Arial"/>
          <w:color w:val="222222"/>
          <w:sz w:val="19"/>
          <w:szCs w:val="19"/>
        </w:rPr>
        <w:t xml:space="preserve">act in the Context of Contracts Protecting the Interests of Third Parties. </w:t>
      </w:r>
      <w:r w:rsidRPr="2253E22F" w:rsidR="19CABDD6">
        <w:rPr>
          <w:rFonts w:ascii="Arial" w:hAnsi="Arial" w:eastAsia="Arial" w:cs="Arial"/>
          <w:i w:val="1"/>
          <w:iCs w:val="1"/>
          <w:color w:val="222222"/>
          <w:sz w:val="19"/>
          <w:szCs w:val="19"/>
        </w:rPr>
        <w:t>Tel Aviv U. Stud. L.</w:t>
      </w:r>
      <w:r w:rsidRPr="2253E22F" w:rsidR="19CABDD6">
        <w:rPr>
          <w:rFonts w:ascii="Arial" w:hAnsi="Arial" w:eastAsia="Arial" w:cs="Arial"/>
          <w:color w:val="222222"/>
          <w:sz w:val="19"/>
          <w:szCs w:val="19"/>
        </w:rPr>
        <w:t xml:space="preserve">, </w:t>
      </w:r>
      <w:r w:rsidRPr="2253E22F" w:rsidR="19CABDD6">
        <w:rPr>
          <w:rFonts w:ascii="Arial" w:hAnsi="Arial" w:eastAsia="Arial" w:cs="Arial"/>
          <w:i w:val="1"/>
          <w:iCs w:val="1"/>
          <w:color w:val="222222"/>
          <w:sz w:val="19"/>
          <w:szCs w:val="19"/>
        </w:rPr>
        <w:t>10</w:t>
      </w:r>
      <w:r w:rsidRPr="2253E22F" w:rsidR="19CABDD6">
        <w:rPr>
          <w:rFonts w:ascii="Arial" w:hAnsi="Arial" w:eastAsia="Arial" w:cs="Arial"/>
          <w:color w:val="222222"/>
          <w:sz w:val="19"/>
          <w:szCs w:val="19"/>
        </w:rPr>
        <w:t>, p.195.</w:t>
      </w:r>
    </w:p>
    <w:p w:rsidR="32E278B3" w:rsidP="2253E22F" w:rsidRDefault="32E278B3" w14:paraId="3FAF8017" w14:textId="3AD6C95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53E22F" w:rsidR="2253E22F">
        <w:rPr>
          <w:rFonts w:ascii="Calibri" w:hAnsi="Calibri" w:eastAsia="Calibri" w:cs="Calibri"/>
          <w:b w:val="0"/>
          <w:bCs w:val="0"/>
          <w:i w:val="0"/>
          <w:iCs w:val="0"/>
          <w:caps w:val="0"/>
          <w:smallCaps w:val="0"/>
          <w:noProof w:val="0"/>
          <w:color w:val="000000" w:themeColor="text1" w:themeTint="FF" w:themeShade="FF"/>
          <w:sz w:val="22"/>
          <w:szCs w:val="22"/>
          <w:lang w:val="en-GB"/>
        </w:rPr>
        <w:t>S.11 Married Women’s Property Act 1882</w:t>
      </w:r>
    </w:p>
    <w:p w:rsidR="32E278B3" w:rsidP="2253E22F" w:rsidRDefault="32E278B3" w14:paraId="6C4E374A" w14:textId="1C1DAB0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53E22F" w:rsidR="2253E22F">
        <w:rPr>
          <w:rFonts w:ascii="Calibri" w:hAnsi="Calibri" w:eastAsia="Calibri" w:cs="Calibri"/>
          <w:b w:val="0"/>
          <w:bCs w:val="0"/>
          <w:i w:val="0"/>
          <w:iCs w:val="0"/>
          <w:caps w:val="0"/>
          <w:smallCaps w:val="0"/>
          <w:noProof w:val="0"/>
          <w:color w:val="000000" w:themeColor="text1" w:themeTint="FF" w:themeShade="FF"/>
          <w:sz w:val="22"/>
          <w:szCs w:val="22"/>
          <w:lang w:val="en-GB"/>
        </w:rPr>
        <w:t>Sale of Goods Act 1979</w:t>
      </w:r>
    </w:p>
    <w:p w:rsidR="32E278B3" w:rsidP="2253E22F" w:rsidRDefault="32E278B3" w14:paraId="2F7C5303" w14:textId="6AA79B9A">
      <w:pPr>
        <w:pStyle w:val="Normal"/>
        <w:rPr>
          <w:rFonts w:ascii="Arial" w:hAnsi="Arial" w:eastAsia="Arial" w:cs="Arial"/>
          <w:color w:val="222222"/>
          <w:sz w:val="19"/>
          <w:szCs w:val="19"/>
        </w:rPr>
      </w:pPr>
    </w:p>
    <w:p w:rsidR="32E278B3" w:rsidP="2253E22F" w:rsidRDefault="32E278B3" w14:paraId="42075A9F" w14:textId="6627F2AF">
      <w:pPr>
        <w:pStyle w:val="Normal"/>
      </w:pPr>
      <w:hyperlink r:id="Rff1607732e8645dd">
        <w:r w:rsidRPr="2253E22F" w:rsidR="2253E22F">
          <w:rPr>
            <w:rStyle w:val="Hyperlink"/>
            <w:rFonts w:ascii="Arial" w:hAnsi="Arial" w:eastAsia="Arial" w:cs="Arial"/>
            <w:noProof w:val="0"/>
            <w:sz w:val="19"/>
            <w:szCs w:val="19"/>
            <w:lang w:val="en-GB"/>
          </w:rPr>
          <w:t>Married Women’s Property Act 1882 (legislation.gov.uk)</w:t>
        </w:r>
      </w:hyperlink>
    </w:p>
    <w:p w:rsidR="32E278B3" w:rsidP="32E278B3" w:rsidRDefault="32E278B3" w14:paraId="1F7F8952" w14:textId="7571C2F8">
      <w:pPr>
        <w:rPr>
          <w:rFonts w:ascii="Arial" w:hAnsi="Arial" w:eastAsia="Arial" w:cs="Arial"/>
          <w:color w:val="222222"/>
          <w:sz w:val="19"/>
          <w:szCs w:val="19"/>
        </w:rPr>
      </w:pPr>
    </w:p>
    <w:p w:rsidR="32E278B3" w:rsidP="2253E22F" w:rsidRDefault="32E278B3" w14:paraId="1AD2FB73" w14:textId="01EBB3F2">
      <w:pPr>
        <w:rPr>
          <w:rFonts w:ascii="Arial" w:hAnsi="Arial" w:eastAsia="Arial" w:cs="Arial"/>
          <w:b w:val="1"/>
          <w:bCs w:val="1"/>
          <w:color w:val="222222"/>
          <w:sz w:val="19"/>
          <w:szCs w:val="19"/>
          <w:u w:val="single"/>
        </w:rPr>
      </w:pPr>
      <w:r w:rsidRPr="2253E22F" w:rsidR="19CABDD6">
        <w:rPr>
          <w:rFonts w:ascii="Arial" w:hAnsi="Arial" w:eastAsia="Arial" w:cs="Arial"/>
          <w:b w:val="1"/>
          <w:bCs w:val="1"/>
          <w:color w:val="222222"/>
          <w:sz w:val="19"/>
          <w:szCs w:val="19"/>
          <w:u w:val="single"/>
        </w:rPr>
        <w:t>Case law</w:t>
      </w:r>
      <w:r w:rsidRPr="2253E22F" w:rsidR="19CABDD6">
        <w:rPr>
          <w:rFonts w:ascii="Arial" w:hAnsi="Arial" w:eastAsia="Arial" w:cs="Arial"/>
          <w:b w:val="1"/>
          <w:bCs w:val="1"/>
          <w:color w:val="222222"/>
          <w:sz w:val="19"/>
          <w:szCs w:val="19"/>
        </w:rPr>
        <w:t xml:space="preserve"> </w:t>
      </w:r>
    </w:p>
    <w:p w:rsidR="32E278B3" w:rsidP="2253E22F" w:rsidRDefault="32E278B3" w14:paraId="301024D6" w14:textId="7EC384E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53E22F" w:rsidR="2253E22F">
        <w:rPr>
          <w:rFonts w:ascii="Calibri" w:hAnsi="Calibri" w:eastAsia="Calibri" w:cs="Calibri"/>
          <w:b w:val="0"/>
          <w:bCs w:val="0"/>
          <w:i w:val="0"/>
          <w:iCs w:val="0"/>
          <w:caps w:val="0"/>
          <w:smallCaps w:val="0"/>
          <w:noProof w:val="0"/>
          <w:color w:val="000000" w:themeColor="text1" w:themeTint="FF" w:themeShade="FF"/>
          <w:sz w:val="22"/>
          <w:szCs w:val="22"/>
          <w:lang w:val="en-GB"/>
        </w:rPr>
        <w:t>Tweddle v Atkinson (1861)</w:t>
      </w:r>
    </w:p>
    <w:p w:rsidR="32E278B3" w:rsidP="2253E22F" w:rsidRDefault="32E278B3" w14:paraId="72C6F3B7" w14:textId="1F4AED3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53E22F" w:rsidR="2253E22F">
        <w:rPr>
          <w:rFonts w:ascii="Calibri" w:hAnsi="Calibri" w:eastAsia="Calibri" w:cs="Calibri"/>
          <w:b w:val="0"/>
          <w:bCs w:val="0"/>
          <w:i w:val="0"/>
          <w:iCs w:val="0"/>
          <w:caps w:val="0"/>
          <w:smallCaps w:val="0"/>
          <w:noProof w:val="0"/>
          <w:color w:val="000000" w:themeColor="text1" w:themeTint="FF" w:themeShade="FF"/>
          <w:sz w:val="22"/>
          <w:szCs w:val="22"/>
          <w:lang w:val="en-GB"/>
        </w:rPr>
        <w:t>Re McArdle (1951)</w:t>
      </w:r>
    </w:p>
    <w:p w:rsidR="32E278B3" w:rsidP="2253E22F" w:rsidRDefault="32E278B3" w14:paraId="24943A37" w14:textId="6BC80FB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53E22F" w:rsidR="2253E22F">
        <w:rPr>
          <w:rFonts w:ascii="Calibri" w:hAnsi="Calibri" w:eastAsia="Calibri" w:cs="Calibri"/>
          <w:b w:val="0"/>
          <w:bCs w:val="0"/>
          <w:i w:val="0"/>
          <w:iCs w:val="0"/>
          <w:caps w:val="0"/>
          <w:smallCaps w:val="0"/>
          <w:noProof w:val="0"/>
          <w:color w:val="000000" w:themeColor="text1" w:themeTint="FF" w:themeShade="FF"/>
          <w:sz w:val="22"/>
          <w:szCs w:val="22"/>
          <w:lang w:val="en-GB"/>
        </w:rPr>
        <w:t>Roscorla v Thomas (1842)</w:t>
      </w:r>
    </w:p>
    <w:p w:rsidR="32E278B3" w:rsidP="2253E22F" w:rsidRDefault="32E278B3" w14:paraId="057C5935" w14:textId="134C881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53E22F" w:rsidR="2253E22F">
        <w:rPr>
          <w:rFonts w:ascii="Calibri" w:hAnsi="Calibri" w:eastAsia="Calibri" w:cs="Calibri"/>
          <w:b w:val="0"/>
          <w:bCs w:val="0"/>
          <w:i w:val="0"/>
          <w:iCs w:val="0"/>
          <w:caps w:val="0"/>
          <w:smallCaps w:val="0"/>
          <w:noProof w:val="0"/>
          <w:color w:val="000000" w:themeColor="text1" w:themeTint="FF" w:themeShade="FF"/>
          <w:sz w:val="22"/>
          <w:szCs w:val="22"/>
          <w:lang w:val="en-GB"/>
        </w:rPr>
        <w:t>Lampleigh v Braithwaite (1615)</w:t>
      </w:r>
    </w:p>
    <w:p w:rsidR="32E278B3" w:rsidP="2253E22F" w:rsidRDefault="32E278B3" w14:paraId="2201BB01" w14:textId="7BAA974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53E22F" w:rsidR="2253E22F">
        <w:rPr>
          <w:rFonts w:ascii="Calibri" w:hAnsi="Calibri" w:eastAsia="Calibri" w:cs="Calibri"/>
          <w:b w:val="0"/>
          <w:bCs w:val="0"/>
          <w:i w:val="0"/>
          <w:iCs w:val="0"/>
          <w:caps w:val="0"/>
          <w:smallCaps w:val="0"/>
          <w:noProof w:val="0"/>
          <w:color w:val="000000" w:themeColor="text1" w:themeTint="FF" w:themeShade="FF"/>
          <w:sz w:val="22"/>
          <w:szCs w:val="22"/>
          <w:lang w:val="en-GB"/>
        </w:rPr>
        <w:t>Midland Bank v Green (1981)</w:t>
      </w:r>
    </w:p>
    <w:p w:rsidR="32E278B3" w:rsidP="2253E22F" w:rsidRDefault="32E278B3" w14:paraId="7D28ED73" w14:textId="17BDCE4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53E22F" w:rsidR="2253E22F">
        <w:rPr>
          <w:rFonts w:ascii="Calibri" w:hAnsi="Calibri" w:eastAsia="Calibri" w:cs="Calibri"/>
          <w:b w:val="0"/>
          <w:bCs w:val="0"/>
          <w:i w:val="0"/>
          <w:iCs w:val="0"/>
          <w:caps w:val="0"/>
          <w:smallCaps w:val="0"/>
          <w:noProof w:val="0"/>
          <w:color w:val="000000" w:themeColor="text1" w:themeTint="FF" w:themeShade="FF"/>
          <w:sz w:val="22"/>
          <w:szCs w:val="22"/>
          <w:lang w:val="en-GB"/>
        </w:rPr>
        <w:t>Cutter v Powell (1795)</w:t>
      </w:r>
    </w:p>
    <w:p w:rsidR="32E278B3" w:rsidP="2253E22F" w:rsidRDefault="32E278B3" w14:paraId="748F37D4" w14:textId="4ED1B07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53E22F" w:rsidR="2253E22F">
        <w:rPr>
          <w:rFonts w:ascii="Calibri" w:hAnsi="Calibri" w:eastAsia="Calibri" w:cs="Calibri"/>
          <w:b w:val="0"/>
          <w:bCs w:val="0"/>
          <w:i w:val="0"/>
          <w:iCs w:val="0"/>
          <w:caps w:val="0"/>
          <w:smallCaps w:val="0"/>
          <w:noProof w:val="0"/>
          <w:color w:val="000000" w:themeColor="text1" w:themeTint="FF" w:themeShade="FF"/>
          <w:sz w:val="22"/>
          <w:szCs w:val="22"/>
          <w:lang w:val="en-GB"/>
        </w:rPr>
        <w:t>Roberts v Havelock (1832)</w:t>
      </w:r>
    </w:p>
    <w:p w:rsidR="32E278B3" w:rsidP="2253E22F" w:rsidRDefault="32E278B3" w14:paraId="5A44BEB7" w14:textId="0CF8945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53E22F" w:rsidR="2253E22F">
        <w:rPr>
          <w:rFonts w:ascii="Calibri" w:hAnsi="Calibri" w:eastAsia="Calibri" w:cs="Calibri"/>
          <w:b w:val="0"/>
          <w:bCs w:val="0"/>
          <w:i w:val="0"/>
          <w:iCs w:val="0"/>
          <w:caps w:val="0"/>
          <w:smallCaps w:val="0"/>
          <w:noProof w:val="0"/>
          <w:color w:val="000000" w:themeColor="text1" w:themeTint="FF" w:themeShade="FF"/>
          <w:sz w:val="22"/>
          <w:szCs w:val="22"/>
          <w:lang w:val="en-GB"/>
        </w:rPr>
        <w:t>Christy v Row (1808)</w:t>
      </w:r>
    </w:p>
    <w:p w:rsidR="32E278B3" w:rsidP="2253E22F" w:rsidRDefault="32E278B3" w14:paraId="2F8BF4CD" w14:textId="53F9C43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53E22F" w:rsidR="2253E22F">
        <w:rPr>
          <w:rFonts w:ascii="Calibri" w:hAnsi="Calibri" w:eastAsia="Calibri" w:cs="Calibri"/>
          <w:b w:val="0"/>
          <w:bCs w:val="0"/>
          <w:i w:val="0"/>
          <w:iCs w:val="0"/>
          <w:caps w:val="0"/>
          <w:smallCaps w:val="0"/>
          <w:noProof w:val="0"/>
          <w:color w:val="000000" w:themeColor="text1" w:themeTint="FF" w:themeShade="FF"/>
          <w:sz w:val="22"/>
          <w:szCs w:val="22"/>
          <w:lang w:val="en-GB"/>
        </w:rPr>
        <w:t>H.Dakin &amp; Co Ltd v Lee (1916)</w:t>
      </w:r>
    </w:p>
    <w:p w:rsidR="32E278B3" w:rsidP="2253E22F" w:rsidRDefault="32E278B3" w14:paraId="14F9112D" w14:textId="24AF4BA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53E22F" w:rsidR="2253E22F">
        <w:rPr>
          <w:rFonts w:ascii="Calibri" w:hAnsi="Calibri" w:eastAsia="Calibri" w:cs="Calibri"/>
          <w:b w:val="0"/>
          <w:bCs w:val="0"/>
          <w:i w:val="0"/>
          <w:iCs w:val="0"/>
          <w:caps w:val="0"/>
          <w:smallCaps w:val="0"/>
          <w:noProof w:val="0"/>
          <w:color w:val="000000" w:themeColor="text1" w:themeTint="FF" w:themeShade="FF"/>
          <w:sz w:val="22"/>
          <w:szCs w:val="22"/>
          <w:lang w:val="en-GB"/>
        </w:rPr>
        <w:t>Start-up v Macdonald (1843)</w:t>
      </w:r>
    </w:p>
    <w:p w:rsidR="32E278B3" w:rsidP="2253E22F" w:rsidRDefault="32E278B3" w14:paraId="38A131F5" w14:textId="24F26565">
      <w:pPr>
        <w:pStyle w:val="Normal"/>
        <w:rPr>
          <w:rFonts w:ascii="Arial" w:hAnsi="Arial" w:eastAsia="Arial" w:cs="Arial"/>
          <w:color w:val="222222"/>
          <w:sz w:val="19"/>
          <w:szCs w:val="19"/>
        </w:rPr>
      </w:pPr>
    </w:p>
    <w:sectPr w:rsidR="32E278B3" w:rsidSect="00A60461">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xml><?xml version="1.0" encoding="utf-8"?>
<int:Intelligence xmlns:int="http://schemas.microsoft.com/office/intelligence/2019/intelligence" xmlns:oel="http://schemas.microsoft.com/office/2019/extlst">
  <int:OnDemandWorkflows>
    <int:OnDemandWorkflow Type="SimilarityCheck" ParagraphVersions="667551617-1487555785 210676562-425295830 1481578724-42917936 1836766257-2004318071 799766189-812909536 2033961131-241500434 790413053-1231459773 1033856671-925990743 177804782-1948278172 1796333887-1775498084 1690977203-1463927896 2001995634-1166463515 1707794907-1146987839 1770917094-197818367 197701541-757927266 1711941684-191297854 1318301013-1638763577 1140792584-921978953 1613460140-1384278348 415091138-752233472 230738042-587848144 873624699-712157614 1441065719-2141969302 2063943675-349292418 1923921923-838186341 767008224-1342531702 875913308-1436438710 1053135702-1290674505 511482006-139851618 789887399-162024875 1936856530-1913465012 1071767806-1073326872 480100774-442981279 941249875-1053152224 625963675-984214618 819383969-202063542 1908881117-1680965589 21379646-1707327606 1329628256-1338390093 1606847704-2004318071 913686173-1445563261 2051871945-1396800402 1724091397-1463681826 656962324-2004318071 1414812517-2004318071 2039371076-1022522464 461235863-908195909 582696859-1072057293 1675653016-1201985926 151316675-295407166 1723987953-1729139314 903266477-1429247715 270918677-1886696641 1731064302-1081270855 401984656-1683078107 390055018-641007168 766696937-228552852 1966382922-404977580 1222768654-1063654407 1043583616-1803832453 92545092-853730845 445222155-1444915600 1068466199-987154769 1817065290-471706375 796676867-1789369242 1107778207-1713894063 528451922-1970389752 450034547-32224242 806364374-2126742761 1925641143-525004086 613694007-1808273333 92035381-323782681 570538753-2074777422 2099834227-398315075 1955542996-1322365055 1514454711-217617490 797701325-1408877618 351867181-615467945 950088181-619865445"/>
  </int:OnDemandWorkflows>
  <int:IntelligenceSettings/>
  <int:Manifest>
    <int:WordHash hashCode="HV6DiByd639idI" id="vEjWvutq"/>
    <int:ParagraphRange paragraphId="1770917094" textId="1900599890" start="206" length="4" invalidationStart="206" invalidationLength="4" id="DP9FTWXx"/>
    <int:ParagraphRange paragraphId="1770917094" textId="2068749538" start="205" length="4" invalidationStart="205" invalidationLength="4" id="haKDLu29"/>
    <int:ParagraphRange paragraphId="1770917094" textId="197818367" start="375" length="4" invalidationStart="375" invalidationLength="4" id="wFiwA2i9"/>
    <int:ParagraphRange paragraphId="929509382" textId="1500319080" start="0" length="149" invalidationStart="0" invalidationLength="149" id="9kgB6Flv"/>
    <int:EntireDocument id="i12oRlDy"/>
    <int:ParagraphRange paragraphId="2001995634" textId="1166463515" start="482" length="168" invalidationStart="482" invalidationLength="168" id="PP2vVA6P"/>
    <int:ParagraphRange paragraphId="1707794907" textId="1146987839" start="279" length="78" invalidationStart="279" invalidationLength="78" id="rG9io5Ah"/>
    <int:ParagraphRange paragraphId="1140792584" textId="921978953" start="61" length="175" invalidationStart="61" invalidationLength="175" id="YeTMGMqj"/>
    <int:ParagraphRange paragraphId="873624699" textId="712157614" start="0" length="59" invalidationStart="0" invalidationLength="59" id="57kX7Eni"/>
    <int:ParagraphRange paragraphId="873624699" textId="712157614" start="60" length="155" invalidationStart="60" invalidationLength="155" id="wekFRWyK"/>
    <int:ParagraphRange paragraphId="767008224" textId="1342531702" start="0" length="108" invalidationStart="0" invalidationLength="108" id="s4LX7BHW"/>
    <int:ParagraphRange paragraphId="511482006" textId="139851618" start="324" length="220" invalidationStart="324" invalidationLength="220" id="FNE8lTxv"/>
    <int:ParagraphRange paragraphId="789887399" textId="162024875" start="0" length="149" invalidationStart="0" invalidationLength="149" id="i4grJkr5"/>
    <int:ParagraphRange paragraphId="1908881117" textId="1680965589" start="0" length="58" invalidationStart="0" invalidationLength="58" id="cB9UEJLv"/>
    <int:WordHash hashCode="NOEQKa1Vj5ToDG" id="19sWyHMA"/>
    <int:WordHash hashCode="ZmplTD9zjwgYr+" id="RLokabxh"/>
    <int:WordHash hashCode="CKDkE5NMYAGhpy" id="sUSyEIrL"/>
  </int:Manifest>
  <int:Observations>
    <int:Content id="vEjWvutq">
      <int:Rejection type="LegacyProofing"/>
    </int:Content>
    <int:Content id="DP9FTWXx">
      <int:Rejection type="LegacyProofing"/>
    </int:Content>
    <int:Content id="haKDLu29">
      <int:Rejection type="LegacyProofing"/>
    </int:Content>
    <int:Content id="wFiwA2i9">
      <int:Rejection type="LegacyProofing"/>
    </int:Content>
    <int:Content id="9kgB6Flv">
      <int:extLst>
        <oel:ext uri="426473B9-03D8-482F-96C9-C2C85392BACA">
          <int:SimilarityCritique Version="1" Context="Acceptance is demonstrated by a person when one person creates a binding contract by acting in agreement with an offer and the terms of the contract." SourceType="Online" SourceTitle="Meaning of Acceptance In Law | UpCounsel 2022" SourceUrl="https://www.upcounsel.com/meaning-of-acceptance-in-law" SourceSnippet="The meaning of acceptance in law is the agreement of an offer and its terms by an individual or group. Definition of Acceptance. An individual demonstrates acceptance when he or she creates a binding contract by speaking or acting in agreement with an offer and its suggested or required terms.">
            <int:Suggestions CitationType="Inline">
              <int:Suggestion CitationStyle="Mla" IsIdentical="0">
                <int:CitationText>(“Meaning of Acceptance In Law | UpCounsel 2022”)</int:CitationText>
              </int:Suggestion>
              <int:Suggestion CitationStyle="Apa" IsIdentical="0">
                <int:CitationText>(“Meaning of Acceptance In Law | UpCounsel 2022”)</int:CitationText>
              </int:Suggestion>
              <int:Suggestion CitationStyle="Chicago" IsIdentical="0">
                <int:CitationText>(“Meaning of Acceptance In Law | UpCounsel 2022”)</int:CitationText>
              </int:Suggestion>
            </int:Suggestions>
            <int:Suggestions CitationType="Full">
              <int:Suggestion CitationStyle="Mla" IsIdentical="0">
                <int:CitationText>&lt;i&gt;Meaning of Acceptance In Law | UpCounsel 2022&lt;/i&gt;, https://www.upcounsel.com/meaning-of-acceptance-in-law.</int:CitationText>
              </int:Suggestion>
              <int:Suggestion CitationStyle="Apa" IsIdentical="0">
                <int:CitationText>&lt;i&gt;Meaning of Acceptance In Law | UpCounsel 2022&lt;/i&gt;. (n.d.). Retrieved from https://www.upcounsel.com/meaning-of-acceptance-in-law</int:CitationText>
              </int:Suggestion>
              <int:Suggestion CitationStyle="Chicago" IsIdentical="0">
                <int:CitationText>“Meaning of Acceptance In Law | UpCounsel 2022” n.d., https://www.upcounsel.com/meaning-of-acceptance-in-law.</int:CitationText>
              </int:Suggestion>
            </int:Suggestions>
          </int:SimilarityCritique>
        </oel:ext>
      </int:extLst>
    </int:Content>
    <int:Content id="i12oRlDy">
      <int:extLst>
        <oel:ext uri="E302BA01-7950-474C-9AD3-286E660C40A8">
          <int:SimilaritySummary Version="1" RunId="1646411114327" TilesCheckedInThisRun="52" TotalNumOfTiles="52" SimilarityAnnotationCount="16" NumWords="2145" NumFlaggedWords="385"/>
        </oel:ext>
      </int:extLst>
    </int:Content>
    <int:Content id="PP2vVA6P">
      <int:extLst>
        <oel:ext uri="426473B9-03D8-482F-96C9-C2C85392BACA">
          <int:SimilarityCritique Version="1" Context="(Re McArdle (1951) If a promise is made in respect of something after it has been sold, then there is no consideration for that promise and therefore it is not binding." SourceType="Online" SourceTitle="Contract revision Flashcards - Quizlet" SourceUrl="https://quizlet.com/209362824/contract-revision-flash-cards/" SourceSnippet="If a guarantee is made in respect of something after it has been sold, then there is no consideration for that guarantee and it is not binding or enforceable. Re McArdle Mother died - left house to children. 1 son+wife lived there before - wife made improvements.">
            <int:Suggestions CitationType="Inline">
              <int:Suggestion CitationStyle="Mla" IsIdentical="0">
                <int:CitationText>(“Contract revision Flashcards - Quizlet”)</int:CitationText>
              </int:Suggestion>
              <int:Suggestion CitationStyle="Apa" IsIdentical="0">
                <int:CitationText>(“Contract revision Flashcards - Quizlet”)</int:CitationText>
              </int:Suggestion>
              <int:Suggestion CitationStyle="Chicago" IsIdentical="0">
                <int:CitationText>(“Contract revision Flashcards - Quizlet”)</int:CitationText>
              </int:Suggestion>
            </int:Suggestions>
            <int:Suggestions CitationType="Full">
              <int:Suggestion CitationStyle="Mla" IsIdentical="0">
                <int:CitationText>&lt;i&gt;Contract revision Flashcards - Quizlet&lt;/i&gt;, https://quizlet.com/209362824/contract-revision-flash-cards/.</int:CitationText>
              </int:Suggestion>
              <int:Suggestion CitationStyle="Apa" IsIdentical="0">
                <int:CitationText>&lt;i&gt;Contract revision Flashcards - Quizlet&lt;/i&gt;. (n.d.). Retrieved from https://quizlet.com/209362824/contract-revision-flash-cards/</int:CitationText>
              </int:Suggestion>
              <int:Suggestion CitationStyle="Chicago" IsIdentical="0">
                <int:CitationText>“Contract revision Flashcards - Quizlet” n.d., https://quizlet.com/209362824/contract-revision-flash-cards/.</int:CitationText>
              </int:Suggestion>
            </int:Suggestions>
          </int:SimilarityCritique>
        </oel:ext>
      </int:extLst>
    </int:Content>
    <int:Content id="rG9io5Ah">
      <int:extLst>
        <oel:ext uri="426473B9-03D8-482F-96C9-C2C85392BACA">
          <int:SimilarityCritique Version="1" Context="Also, the payment, if promised in advance, must have been legally enforceable." SourceType="Online" SourceTitle="CLAW5001 2014_CLAW5001_intention_百度文库 - Baidu" SourceUrl="https://wenku.baidu.com/view/644301b39ec3d5bbfd0a74b9.html" SourceSnippet="When services are performed BEFORE the promise of payment, this will be good consideration where: - the services were performed at the request of the promisor - there was an understanding between the parties that the services were to be paid for - payment, if it had been promised in advance, must have been legally enforceable Re Casey’s ...">
            <int:Suggestions CitationType="Inline">
              <int:Suggestion CitationStyle="Mla" IsIdentical="0">
                <int:CitationText>(“CLAW5001 2014_CLAW5001_intention_百度文库 - Baidu”)</int:CitationText>
              </int:Suggestion>
              <int:Suggestion CitationStyle="Apa" IsIdentical="0">
                <int:CitationText>(“CLAW5001 2014_CLAW5001_intention_百度文库 - Baidu”)</int:CitationText>
              </int:Suggestion>
              <int:Suggestion CitationStyle="Chicago" IsIdentical="0">
                <int:CitationText>(“CLAW5001 2014_CLAW5001_intention_百度文库 - Baidu”)</int:CitationText>
              </int:Suggestion>
            </int:Suggestions>
            <int:Suggestions CitationType="Full">
              <int:Suggestion CitationStyle="Mla" IsIdentical="0">
                <int:CitationText>&lt;i&gt;CLAW5001 2014_CLAW5001_intention_百度文库 - Baidu&lt;/i&gt;, https://wenku.baidu.com/view/644301b39ec3d5bbfd0a74b9.html.</int:CitationText>
              </int:Suggestion>
              <int:Suggestion CitationStyle="Apa" IsIdentical="0">
                <int:CitationText>&lt;i&gt;CLAW5001 2014_CLAW5001_intention_百度文库 - Baidu&lt;/i&gt;. (n.d.). Retrieved from https://wenku.baidu.com/view/644301b39ec3d5bbfd0a74b9.html</int:CitationText>
              </int:Suggestion>
              <int:Suggestion CitationStyle="Chicago" IsIdentical="0">
                <int:CitationText>“CLAW5001 2014_CLAW5001_intention_百度文库 - Baidu” n.d., https://wenku.baidu.com/view/644301b39ec3d5bbfd0a74b9.html.</int:CitationText>
              </int:Suggestion>
            </int:Suggestions>
          </int:SimilarityCritique>
        </oel:ext>
      </int:extLst>
    </int:Content>
    <int:Content id="YeTMGMqj">
      <int:extLst>
        <oel:ext uri="426473B9-03D8-482F-96C9-C2C85392BACA">
          <int:SimilarityCritique Version="1" Context="One exception is partial performance, this is if a contract is severable, then, provided that the whole contract is not breached, payment can be expected for part performance." SourceType="Online" SourceTitle="as performance of a specified part of the contract is ..." SourceUrl="https://www.coursehero.com/file/p6etgl03/as-performance-of-a-specified-part-of-the-contract-is-rendered-Question-of/" SourceSnippet="As performance of a specified part of the contract is. as performance of a specified part of the contract is rendered Question of interpretation for the court to decide Work and material contracts usually considered severable PARTIAL PERFORMANCE If a contract is severable, then, provided that the whole contract is not breached, payment can be ...">
            <int:Suggestions CitationType="Inline">
              <int:Suggestion CitationStyle="Mla" IsIdentical="0">
                <int:CitationText>(“as performance of a specified part of the contract is ...”)</int:CitationText>
              </int:Suggestion>
              <int:Suggestion CitationStyle="Apa" IsIdentical="0">
                <int:CitationText>(“as performance of a specified part of the contract is ...”)</int:CitationText>
              </int:Suggestion>
              <int:Suggestion CitationStyle="Chicago" IsIdentical="0">
                <int:CitationText>(“as performance of a specified part of the contract is ...”)</int:CitationText>
              </int:Suggestion>
            </int:Suggestions>
            <int:Suggestions CitationType="Full">
              <int:Suggestion CitationStyle="Mla" IsIdentical="0">
                <int:CitationText>&lt;i&gt;as performance of a specified part of the contract is ...&lt;/i&gt;, https://www.coursehero.com/file/p6etgl03/as-performance-of-a-specified-part-of-the-contract-is-rendered-Question-of/.</int:CitationText>
              </int:Suggestion>
              <int:Suggestion CitationStyle="Apa" IsIdentical="0">
                <int:CitationText>&lt;i&gt;as performance of a specified part of the contract is ...&lt;/i&gt;. (n.d.). Retrieved from https://www.coursehero.com/file/p6etgl03/as-performance-of-a-specified-part-of-the-contract-is-rendered-Question-of/</int:CitationText>
              </int:Suggestion>
              <int:Suggestion CitationStyle="Chicago" IsIdentical="0">
                <int:CitationText>“as performance of a specified part of the contract is ...” n.d., https://www.coursehero.com/file/p6etgl03/as-performance-of-a-specified-part-of-the-contract-is-rendered-Question-of/.</int:CitationText>
              </int:Suggestion>
            </int:Suggestions>
          </int:SimilarityCritique>
        </oel:ext>
      </int:extLst>
    </int:Content>
    <int:Content id="57kX7Eni">
      <int:extLst>
        <oel:ext uri="426473B9-03D8-482F-96C9-C2C85392BACA">
          <int:SimilarityCritique Version="1" Context="English law has no formal definition of what a contract is." SourceType="Online" SourceTitle="A contract in English law must be in writing and is based ..." SourceUrl="https://www.studocu.com/en-gb/document/university-of-westminster/contract-law/a-contract-in-english-law-must-be-in-writing-and-is-based-upon-common-law/21571586" SourceSnippet="English law has no formal definition of what a contract is – different definitions can be found – how would you define what a contract is? What is a unilateral contract? What is a bilateral contract? Give an example of a unilateral contract and a bilateral contract.">
            <int:Suggestions CitationType="Inline">
              <int:Suggestion CitationStyle="Mla" IsIdentical="0">
                <int:CitationText>(“A contract in English law must be in writing and is based ...”)</int:CitationText>
              </int:Suggestion>
              <int:Suggestion CitationStyle="Apa" IsIdentical="0">
                <int:CitationText>(“A contract in English law must be in writing and is based ...”)</int:CitationText>
              </int:Suggestion>
              <int:Suggestion CitationStyle="Chicago" IsIdentical="0">
                <int:CitationText>(“A contract in English law must be in writing and is based ...”)</int:CitationText>
              </int:Suggestion>
            </int:Suggestions>
            <int:Suggestions CitationType="Full">
              <int:Suggestion CitationStyle="Mla" IsIdentical="0">
                <int:CitationText>&lt;i&gt;A contract in English law must be in writing and is based ...&lt;/i&gt;, https://www.studocu.com/en-gb/document/university-of-westminster/contract-law/a-contract-in-english-law-must-be-in-writing-and-is-based-upon-common-law/21571586.</int:CitationText>
              </int:Suggestion>
              <int:Suggestion CitationStyle="Apa" IsIdentical="0">
                <int:CitationText>&lt;i&gt;A contract in English law must be in writing and is based ...&lt;/i&gt;. (n.d.). Retrieved from https://www.studocu.com/en-gb/document/university-of-westminster/contract-law/a-contract-in-english-law-must-be-in-writing-and-is-based-upon-common-law/21571586</int:CitationText>
              </int:Suggestion>
              <int:Suggestion CitationStyle="Chicago" IsIdentical="0">
                <int:CitationText>“A contract in English law must be in writing and is based ...” n.d., https://www.studocu.com/en-gb/document/university-of-westminster/contract-law/a-contract-in-english-law-must-be-in-writing-and-is-based-upon-common-law/21571586.</int:CitationText>
              </int:Suggestion>
            </int:Suggestions>
            <int:AdditionalSources SourceType="Online" SourceTitle="A contract in English law must be in writing and is based ..." SourceUrl="https://www.coursehero.com/file/121330169/A-contract-in-English-law-must-be-in-writing-and-is-based-upon-common-lawdocx/" SourceSnippet="English law has no formal definition of what a contract is – different definitions can be found – how would you define what a contract is? 3. What is a unilateral contract? What is a bilateral contract? Give an example of a unilateral contract and a bilateral contract. 4.">
              <int:Suggestions CitationType="Inline">
                <int:Suggestion CitationStyle="Mla" IsIdentical="0">
                  <int:CitationText>(“A contract in English law must be in writing and is based ...”)</int:CitationText>
                </int:Suggestion>
                <int:Suggestion CitationStyle="Apa" IsIdentical="0">
                  <int:CitationText>(“A contract in English law must be in writing and is based ...”)</int:CitationText>
                </int:Suggestion>
                <int:Suggestion CitationStyle="Chicago" IsIdentical="0">
                  <int:CitationText>(“A contract in English law must be in writing and is based ...”)</int:CitationText>
                </int:Suggestion>
              </int:Suggestions>
              <int:Suggestions CitationType="Full">
                <int:Suggestion CitationStyle="Mla" IsIdentical="0">
                  <int:CitationText>&lt;i&gt;A contract in English law must be in writing and is based ...&lt;/i&gt;, https://www.coursehero.com/file/121330169/A-contract-in-English-law-must-be-in-writing-and-is-based-upon-common-lawdocx/.</int:CitationText>
                </int:Suggestion>
                <int:Suggestion CitationStyle="Apa" IsIdentical="0">
                  <int:CitationText>&lt;i&gt;A contract in English law must be in writing and is based ...&lt;/i&gt;. (n.d.). Retrieved from https://www.coursehero.com/file/121330169/A-contract-in-English-law-must-be-in-writing-and-is-based-upon-common-lawdocx/</int:CitationText>
                </int:Suggestion>
                <int:Suggestion CitationStyle="Chicago" IsIdentical="0">
                  <int:CitationText>“A contract in English law must be in writing and is based ...” n.d., https://www.coursehero.com/file/121330169/A-contract-in-English-law-must-be-in-writing-and-is-based-upon-common-lawdocx/.</int:CitationText>
                </int:Suggestion>
              </int:Suggestions>
            </int:AdditionalSources>
          </int:SimilarityCritique>
        </oel:ext>
      </int:extLst>
    </int:Content>
    <int:Content id="wekFRWyK">
      <int:extLst>
        <oel:ext uri="426473B9-03D8-482F-96C9-C2C85392BACA">
          <int:SimilarityCritique Version="1" Context="However, it can be defined as “The branch of the law which determines the circumstances in which promise shall be legally binding on the person making it.”" SourceType="Online" SourceTitle="Acryliccandy's Weblog | Just another WordPress.com weblog" SourceUrl="https://acryliccandy.wordpress.com/" SourceSnippet="The law of contract may be provisionally described as that branch of the law which determines the circumstances in which a promise shall be legally binding on the person making it. Section 1 of the American Law Institute’s Restatement Second of the Law of Contracts gives the following definition:">
            <int:Suggestions CitationType="Inline">
              <int:Suggestion CitationStyle="Mla" IsIdentical="0">
                <int:CitationText>(“Acryliccandy's Weblog | Just another WordPress.com weblog”)</int:CitationText>
              </int:Suggestion>
              <int:Suggestion CitationStyle="Apa" IsIdentical="0">
                <int:CitationText>(“Acryliccandy's Weblog | Just another WordPress.com weblog”)</int:CitationText>
              </int:Suggestion>
              <int:Suggestion CitationStyle="Chicago" IsIdentical="0">
                <int:CitationText>(“Acryliccandy's Weblog | Just another WordPress.com weblog”)</int:CitationText>
              </int:Suggestion>
            </int:Suggestions>
            <int:Suggestions CitationType="Full">
              <int:Suggestion CitationStyle="Mla" IsIdentical="0">
                <int:CitationText>&lt;i&gt;Acryliccandy's Weblog | Just another WordPress.com weblog&lt;/i&gt;, https://acryliccandy.wordpress.com/.</int:CitationText>
              </int:Suggestion>
              <int:Suggestion CitationStyle="Apa" IsIdentical="0">
                <int:CitationText>&lt;i&gt;Acryliccandy's Weblog | Just another WordPress.com weblog&lt;/i&gt;. (n.d.). Retrieved from https://acryliccandy.wordpress.com/</int:CitationText>
              </int:Suggestion>
              <int:Suggestion CitationStyle="Chicago" IsIdentical="0">
                <int:CitationText>“Acryliccandy's Weblog | Just another WordPress.com weblog” n.d., https://acryliccandy.wordpress.com/.</int:CitationText>
              </int:Suggestion>
            </int:Suggestions>
            <int:AdditionalSources SourceType="Online" SourceTitle="Promissory estoppel under contract law. it’s ... - CORE" SourceUrl="https://core.ac.uk/display/286779642" SourceSnippet="The law of contract can be described on that branch of the law which determines the circumstances in which a promise shall be legally binding on tile person making it. A contract is also an agreement enforceable at law. Contract is a species off an agreement whereby a legal obligation is constituted and define between the parties to it.">
              <int:Suggestions CitationType="Inline">
                <int:Suggestion CitationStyle="Mla" IsIdentical="0">
                  <int:CitationText>(“Promissory estoppel under contract law. it’s ... - CORE”)</int:CitationText>
                </int:Suggestion>
                <int:Suggestion CitationStyle="Apa" IsIdentical="0">
                  <int:CitationText>(“Promissory estoppel under contract law. it’s ... - CORE”)</int:CitationText>
                </int:Suggestion>
                <int:Suggestion CitationStyle="Chicago" IsIdentical="0">
                  <int:CitationText>(“Promissory estoppel under contract law. it’s ... - CORE”)</int:CitationText>
                </int:Suggestion>
              </int:Suggestions>
              <int:Suggestions CitationType="Full">
                <int:Suggestion CitationStyle="Mla" IsIdentical="0">
                  <int:CitationText>&lt;i&gt;Promissory estoppel under contract law. it’s ... - CORE&lt;/i&gt;, https://core.ac.uk/display/286779642.</int:CitationText>
                </int:Suggestion>
                <int:Suggestion CitationStyle="Apa" IsIdentical="0">
                  <int:CitationText>&lt;i&gt;Promissory estoppel under contract law. it’s ... - CORE&lt;/i&gt;. (n.d.). Retrieved from https://core.ac.uk/display/286779642</int:CitationText>
                </int:Suggestion>
                <int:Suggestion CitationStyle="Chicago" IsIdentical="0">
                  <int:CitationText>“Promissory estoppel under contract law. it’s ... - CORE” n.d., https://core.ac.uk/display/286779642.</int:CitationText>
                </int:Suggestion>
              </int:Suggestions>
            </int:AdditionalSources>
          </int:SimilarityCritique>
        </oel:ext>
      </int:extLst>
    </int:Content>
    <int:Content id="s4LX7BHW">
      <int:extLst>
        <oel:ext uri="426473B9-03D8-482F-96C9-C2C85392BACA">
          <int:SimilarityCritique Version="1" Context="An invitation to treat is not an offer, it is a request to others to make an offer, or to open negotiations." SourceType="Online" SourceTitle="What makes a contract legally binding?" SourceUrl="https://loio.com/blog/what-makes-a-contract-legally-binding/" SourceSnippet="An invitation to treat is simply an invitation to somebody else for them to make an offer or to open negotiations. For example, publishing an advertisement or displaying goods for sale in a store would normally be considered as just an invitation to treat, not an offer. Acceptance.">
            <int:Suggestions CitationType="Inline">
              <int:Suggestion CitationStyle="Mla" IsIdentical="0">
                <int:CitationText>(“What makes a contract legally binding?”)</int:CitationText>
              </int:Suggestion>
              <int:Suggestion CitationStyle="Apa" IsIdentical="0">
                <int:CitationText>(“What makes a contract legally binding?”)</int:CitationText>
              </int:Suggestion>
              <int:Suggestion CitationStyle="Chicago" IsIdentical="0">
                <int:CitationText>(“What makes a contract legally binding?”)</int:CitationText>
              </int:Suggestion>
            </int:Suggestions>
            <int:Suggestions CitationType="Full">
              <int:Suggestion CitationStyle="Mla" IsIdentical="0">
                <int:CitationText>&lt;i&gt;What makes a contract legally binding?&lt;/i&gt;, https://loio.com/blog/what-makes-a-contract-legally-binding/.</int:CitationText>
              </int:Suggestion>
              <int:Suggestion CitationStyle="Apa" IsIdentical="0">
                <int:CitationText>&lt;i&gt;What makes a contract legally binding?&lt;/i&gt;. (n.d.). Retrieved from https://loio.com/blog/what-makes-a-contract-legally-binding/</int:CitationText>
              </int:Suggestion>
              <int:Suggestion CitationStyle="Chicago" IsIdentical="0">
                <int:CitationText>“What makes a contract legally binding?” n.d., https://loio.com/blog/what-makes-a-contract-legally-binding/.</int:CitationText>
              </int:Suggestion>
            </int:Suggestions>
          </int:SimilarityCritique>
        </oel:ext>
      </int:extLst>
    </int:Content>
    <int:Content id="FNE8lTxv">
      <int:extLst>
        <oel:ext uri="426473B9-03D8-482F-96C9-C2C85392BACA">
          <int:SimilarityCritique Version="1" Context="If a response is made to an offer which does not attempt to vary the terms of the offer it is not a counteroffer since it is not rejecting the terms of the offer, this means it is still open to acceptance by the offeree." SourceType="Online" SourceTitle="Contract Case Law - Contract Law Cases Partridge v ..." SourceUrl="https://www.studocu.com/en-gb/document/bpp-university/contract-law/contract-case-law/13828789" SourceSnippet="Therefore, if a response is made to an offer that does not attempt to vary the terms of the offer it is not a counter offer, since it does not reject the terms of the offer. It is therefore still open to acceptance by the offeree. Felthouse v Bindley [1863] 142 ER 1037 [‘silence cannot amount to acceptance’] Key Facts">
            <int:Suggestions CitationType="Inline">
              <int:Suggestion CitationStyle="Mla" IsIdentical="0">
                <int:CitationText>(“Contract Case Law - Contract Law Cases Partridge v ...”)</int:CitationText>
              </int:Suggestion>
              <int:Suggestion CitationStyle="Apa" IsIdentical="0">
                <int:CitationText>(“Contract Case Law - Contract Law Cases Partridge v ...”)</int:CitationText>
              </int:Suggestion>
              <int:Suggestion CitationStyle="Chicago" IsIdentical="0">
                <int:CitationText>(“Contract Case Law - Contract Law Cases Partridge v ...”)</int:CitationText>
              </int:Suggestion>
            </int:Suggestions>
            <int:Suggestions CitationType="Full">
              <int:Suggestion CitationStyle="Mla" IsIdentical="0">
                <int:CitationText>&lt;i&gt;Contract Case Law - Contract Law Cases Partridge v ...&lt;/i&gt;, https://www.studocu.com/en-gb/document/bpp-university/contract-law/contract-case-law/13828789.</int:CitationText>
              </int:Suggestion>
              <int:Suggestion CitationStyle="Apa" IsIdentical="0">
                <int:CitationText>&lt;i&gt;Contract Case Law - Contract Law Cases Partridge v ...&lt;/i&gt;. (n.d.). Retrieved from https://www.studocu.com/en-gb/document/bpp-university/contract-law/contract-case-law/13828789</int:CitationText>
              </int:Suggestion>
              <int:Suggestion CitationStyle="Chicago" IsIdentical="0">
                <int:CitationText>“Contract Case Law - Contract Law Cases Partridge v ...” n.d., https://www.studocu.com/en-gb/document/bpp-university/contract-law/contract-case-law/13828789.</int:CitationText>
              </int:Suggestion>
            </int:Suggestions>
          </int:SimilarityCritique>
        </oel:ext>
      </int:extLst>
    </int:Content>
    <int:Content id="i4grJkr5">
      <int:extLst>
        <oel:ext uri="426473B9-03D8-482F-96C9-C2C85392BACA">
          <int:SimilarityCritique Version="1" Context="Acceptance is demonstrated by a person when one person creates a binding contract by acting in agreement with an offer and the terms of the contract." SourceType="Online" SourceTitle="Meaning of Acceptance In Law | UpCounsel 2022" SourceUrl="https://www.upcounsel.com/meaning-of-acceptance-in-law" SourceSnippet="The meaning of acceptance in law is the agreement of an offer and its terms by an individual or group. Definition of Acceptance. An individual demonstrates acceptance when he or she creates a binding contract by speaking or acting in agreement with an offer and its suggested or required terms.">
            <int:Suggestions CitationType="Inline">
              <int:Suggestion CitationStyle="Mla" IsIdentical="0">
                <int:CitationText>(“Meaning of Acceptance In Law | UpCounsel 2022”)</int:CitationText>
              </int:Suggestion>
              <int:Suggestion CitationStyle="Apa" IsIdentical="0">
                <int:CitationText>(“Meaning of Acceptance In Law | UpCounsel 2022”)</int:CitationText>
              </int:Suggestion>
              <int:Suggestion CitationStyle="Chicago" IsIdentical="0">
                <int:CitationText>(“Meaning of Acceptance In Law | UpCounsel 2022”)</int:CitationText>
              </int:Suggestion>
            </int:Suggestions>
            <int:Suggestions CitationType="Full">
              <int:Suggestion CitationStyle="Mla" IsIdentical="0">
                <int:CitationText>&lt;i&gt;Meaning of Acceptance In Law | UpCounsel 2022&lt;/i&gt;, https://www.upcounsel.com/meaning-of-acceptance-in-law.</int:CitationText>
              </int:Suggestion>
              <int:Suggestion CitationStyle="Apa" IsIdentical="0">
                <int:CitationText>&lt;i&gt;Meaning of Acceptance In Law | UpCounsel 2022&lt;/i&gt;. (n.d.). Retrieved from https://www.upcounsel.com/meaning-of-acceptance-in-law</int:CitationText>
              </int:Suggestion>
              <int:Suggestion CitationStyle="Chicago" IsIdentical="0">
                <int:CitationText>“Meaning of Acceptance In Law | UpCounsel 2022” n.d., https://www.upcounsel.com/meaning-of-acceptance-in-law.</int:CitationText>
              </int:Suggestion>
            </int:Suggestions>
          </int:SimilarityCritique>
        </oel:ext>
      </int:extLst>
    </int:Content>
    <int:Content id="cB9UEJLv">
      <int:extLst>
        <oel:ext uri="426473B9-03D8-482F-96C9-C2C85392BACA">
          <int:SimilarityCritique Version="1" Context="Terms of a contract can be express terms or implied terms." SourceType="Online" SourceTitle="Business Law And Ethics: Case Of Poussard V Spiers" SourceUrl="https://myassignmenthelp.com/free-samples/business-law-and-ethics-case-of-poussard-v-spiers" SourceSnippet="Terms of a contract can be express or implied. Express terms are those contained in the written contract which can be pointed out by any party. Implied terms are not contained in the contract document and may be implied by common law though reluctantly to protect the weaker party.">
            <int:Suggestions CitationType="Inline">
              <int:Suggestion CitationStyle="Mla" IsIdentical="0">
                <int:CitationText>(“Business Law And Ethics: Case Of Poussard V Spiers”)</int:CitationText>
              </int:Suggestion>
              <int:Suggestion CitationStyle="Apa" IsIdentical="0">
                <int:CitationText>(“Business Law And Ethics: Case Of Poussard V Spiers”)</int:CitationText>
              </int:Suggestion>
              <int:Suggestion CitationStyle="Chicago" IsIdentical="0">
                <int:CitationText>(“Business Law And Ethics: Case Of Poussard V Spiers”)</int:CitationText>
              </int:Suggestion>
            </int:Suggestions>
            <int:Suggestions CitationType="Full">
              <int:Suggestion CitationStyle="Mla" IsIdentical="0">
                <int:CitationText>&lt;i&gt;Business Law And Ethics: Case Of Poussard V Spiers&lt;/i&gt;, https://myassignmenthelp.com/free-samples/business-law-and-ethics-case-of-poussard-v-spiers.</int:CitationText>
              </int:Suggestion>
              <int:Suggestion CitationStyle="Apa" IsIdentical="0">
                <int:CitationText>&lt;i&gt;Business Law And Ethics: Case Of Poussard V Spiers&lt;/i&gt;. (n.d.). Retrieved from https://myassignmenthelp.com/free-samples/business-law-and-ethics-case-of-poussard-v-spiers</int:CitationText>
              </int:Suggestion>
              <int:Suggestion CitationStyle="Chicago" IsIdentical="0">
                <int:CitationText>“Business Law And Ethics: Case Of Poussard V Spiers” n.d., https://myassignmenthelp.com/free-samples/business-law-and-ethics-case-of-poussard-v-spiers.</int:CitationText>
              </int:Suggestion>
            </int:Suggestions>
          </int:SimilarityCritique>
        </oel:ext>
      </int:extLst>
    </int:Content>
    <int:Content id="19sWyHMA">
      <int:Rejection type="LegacyProofing"/>
    </int:Content>
    <int:Content id="RLokabxh">
      <int:Rejection type="LegacyProofing"/>
    </int:Content>
    <int:Content id="sUSyEIrL">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65612"/>
    <w:multiLevelType w:val="hybridMultilevel"/>
    <w:tmpl w:val="6CD0FD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8A5455E"/>
    <w:multiLevelType w:val="hybridMultilevel"/>
    <w:tmpl w:val="0A7CB558"/>
    <w:lvl w:ilvl="0" w:tplc="011E3866">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E502558"/>
    <w:multiLevelType w:val="hybridMultilevel"/>
    <w:tmpl w:val="ADCC1C88"/>
    <w:lvl w:ilvl="0" w:tplc="011E3866">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F963742"/>
    <w:multiLevelType w:val="hybridMultilevel"/>
    <w:tmpl w:val="2B5E01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A4E6795"/>
    <w:multiLevelType w:val="hybridMultilevel"/>
    <w:tmpl w:val="33FE0606"/>
    <w:lvl w:ilvl="0" w:tplc="011E3866">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5DFD6B78"/>
    <w:multiLevelType w:val="hybridMultilevel"/>
    <w:tmpl w:val="53EC0E7E"/>
    <w:lvl w:ilvl="0" w:tplc="011E3866">
      <w:numFmt w:val="bullet"/>
      <w:lvlText w:val="-"/>
      <w:lvlJc w:val="left"/>
      <w:pPr>
        <w:ind w:left="765" w:hanging="360"/>
      </w:pPr>
      <w:rPr>
        <w:rFonts w:hint="default" w:ascii="Calibri" w:hAnsi="Calibri" w:cs="Calibri" w:eastAsiaTheme="minorHAnsi"/>
      </w:rPr>
    </w:lvl>
    <w:lvl w:ilvl="1" w:tplc="08090003" w:tentative="1">
      <w:start w:val="1"/>
      <w:numFmt w:val="bullet"/>
      <w:lvlText w:val="o"/>
      <w:lvlJc w:val="left"/>
      <w:pPr>
        <w:ind w:left="1485" w:hanging="360"/>
      </w:pPr>
      <w:rPr>
        <w:rFonts w:hint="default" w:ascii="Courier New" w:hAnsi="Courier New" w:cs="Courier New"/>
      </w:rPr>
    </w:lvl>
    <w:lvl w:ilvl="2" w:tplc="08090005" w:tentative="1">
      <w:start w:val="1"/>
      <w:numFmt w:val="bullet"/>
      <w:lvlText w:val=""/>
      <w:lvlJc w:val="left"/>
      <w:pPr>
        <w:ind w:left="2205" w:hanging="360"/>
      </w:pPr>
      <w:rPr>
        <w:rFonts w:hint="default" w:ascii="Wingdings" w:hAnsi="Wingdings"/>
      </w:rPr>
    </w:lvl>
    <w:lvl w:ilvl="3" w:tplc="08090001" w:tentative="1">
      <w:start w:val="1"/>
      <w:numFmt w:val="bullet"/>
      <w:lvlText w:val=""/>
      <w:lvlJc w:val="left"/>
      <w:pPr>
        <w:ind w:left="2925" w:hanging="360"/>
      </w:pPr>
      <w:rPr>
        <w:rFonts w:hint="default" w:ascii="Symbol" w:hAnsi="Symbol"/>
      </w:rPr>
    </w:lvl>
    <w:lvl w:ilvl="4" w:tplc="08090003" w:tentative="1">
      <w:start w:val="1"/>
      <w:numFmt w:val="bullet"/>
      <w:lvlText w:val="o"/>
      <w:lvlJc w:val="left"/>
      <w:pPr>
        <w:ind w:left="3645" w:hanging="360"/>
      </w:pPr>
      <w:rPr>
        <w:rFonts w:hint="default" w:ascii="Courier New" w:hAnsi="Courier New" w:cs="Courier New"/>
      </w:rPr>
    </w:lvl>
    <w:lvl w:ilvl="5" w:tplc="08090005" w:tentative="1">
      <w:start w:val="1"/>
      <w:numFmt w:val="bullet"/>
      <w:lvlText w:val=""/>
      <w:lvlJc w:val="left"/>
      <w:pPr>
        <w:ind w:left="4365" w:hanging="360"/>
      </w:pPr>
      <w:rPr>
        <w:rFonts w:hint="default" w:ascii="Wingdings" w:hAnsi="Wingdings"/>
      </w:rPr>
    </w:lvl>
    <w:lvl w:ilvl="6" w:tplc="08090001" w:tentative="1">
      <w:start w:val="1"/>
      <w:numFmt w:val="bullet"/>
      <w:lvlText w:val=""/>
      <w:lvlJc w:val="left"/>
      <w:pPr>
        <w:ind w:left="5085" w:hanging="360"/>
      </w:pPr>
      <w:rPr>
        <w:rFonts w:hint="default" w:ascii="Symbol" w:hAnsi="Symbol"/>
      </w:rPr>
    </w:lvl>
    <w:lvl w:ilvl="7" w:tplc="08090003" w:tentative="1">
      <w:start w:val="1"/>
      <w:numFmt w:val="bullet"/>
      <w:lvlText w:val="o"/>
      <w:lvlJc w:val="left"/>
      <w:pPr>
        <w:ind w:left="5805" w:hanging="360"/>
      </w:pPr>
      <w:rPr>
        <w:rFonts w:hint="default" w:ascii="Courier New" w:hAnsi="Courier New" w:cs="Courier New"/>
      </w:rPr>
    </w:lvl>
    <w:lvl w:ilvl="8" w:tplc="08090005" w:tentative="1">
      <w:start w:val="1"/>
      <w:numFmt w:val="bullet"/>
      <w:lvlText w:val=""/>
      <w:lvlJc w:val="left"/>
      <w:pPr>
        <w:ind w:left="6525" w:hanging="360"/>
      </w:pPr>
      <w:rPr>
        <w:rFonts w:hint="default" w:ascii="Wingdings" w:hAnsi="Wingdings"/>
      </w:rPr>
    </w:lvl>
  </w:abstractNum>
  <w:abstractNum w:abstractNumId="6" w15:restartNumberingAfterBreak="0">
    <w:nsid w:val="7ED21127"/>
    <w:multiLevelType w:val="hybridMultilevel"/>
    <w:tmpl w:val="5CB4D1AA"/>
    <w:lvl w:ilvl="0" w:tplc="011E3866">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3"/>
  </w:num>
  <w:num w:numId="2">
    <w:abstractNumId w:val="1"/>
  </w:num>
  <w:num w:numId="3">
    <w:abstractNumId w:val="5"/>
  </w:num>
  <w:num w:numId="4">
    <w:abstractNumId w:val="0"/>
  </w:num>
  <w:num w:numId="5">
    <w:abstractNumId w:val="4"/>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F8F"/>
    <w:rsid w:val="00051D06"/>
    <w:rsid w:val="00066615"/>
    <w:rsid w:val="000B3C25"/>
    <w:rsid w:val="000E338D"/>
    <w:rsid w:val="00161DCC"/>
    <w:rsid w:val="00176475"/>
    <w:rsid w:val="001901F5"/>
    <w:rsid w:val="001B0831"/>
    <w:rsid w:val="001B3DB6"/>
    <w:rsid w:val="001C5A6B"/>
    <w:rsid w:val="002558BD"/>
    <w:rsid w:val="00257009"/>
    <w:rsid w:val="00346045"/>
    <w:rsid w:val="00393F69"/>
    <w:rsid w:val="004530E5"/>
    <w:rsid w:val="005423E0"/>
    <w:rsid w:val="00587BEC"/>
    <w:rsid w:val="005B344C"/>
    <w:rsid w:val="006111BD"/>
    <w:rsid w:val="00625456"/>
    <w:rsid w:val="00644253"/>
    <w:rsid w:val="00790046"/>
    <w:rsid w:val="007970BA"/>
    <w:rsid w:val="007B2B06"/>
    <w:rsid w:val="0080B9FF"/>
    <w:rsid w:val="00824919"/>
    <w:rsid w:val="00851CA2"/>
    <w:rsid w:val="008749DD"/>
    <w:rsid w:val="008D6F1F"/>
    <w:rsid w:val="00904E4B"/>
    <w:rsid w:val="00937F8F"/>
    <w:rsid w:val="009A1FC5"/>
    <w:rsid w:val="009A3324"/>
    <w:rsid w:val="009F4944"/>
    <w:rsid w:val="00A3330D"/>
    <w:rsid w:val="00A37EA4"/>
    <w:rsid w:val="00A60461"/>
    <w:rsid w:val="00A67AEB"/>
    <w:rsid w:val="00A7532A"/>
    <w:rsid w:val="00A850D6"/>
    <w:rsid w:val="00B265DF"/>
    <w:rsid w:val="00B4766B"/>
    <w:rsid w:val="00B92821"/>
    <w:rsid w:val="00BEEEDA"/>
    <w:rsid w:val="00C41D2F"/>
    <w:rsid w:val="00CA7BA0"/>
    <w:rsid w:val="00CC46B0"/>
    <w:rsid w:val="00CD08B8"/>
    <w:rsid w:val="00D1509C"/>
    <w:rsid w:val="00D15D45"/>
    <w:rsid w:val="00D62069"/>
    <w:rsid w:val="00DC7576"/>
    <w:rsid w:val="00E10DE8"/>
    <w:rsid w:val="00E16404"/>
    <w:rsid w:val="00EC1B2C"/>
    <w:rsid w:val="00EE005E"/>
    <w:rsid w:val="00F96329"/>
    <w:rsid w:val="00FB535F"/>
    <w:rsid w:val="00FD7950"/>
    <w:rsid w:val="0178298A"/>
    <w:rsid w:val="017ED66E"/>
    <w:rsid w:val="0274287F"/>
    <w:rsid w:val="0281C5CF"/>
    <w:rsid w:val="041D9630"/>
    <w:rsid w:val="04598356"/>
    <w:rsid w:val="04E524EF"/>
    <w:rsid w:val="06305330"/>
    <w:rsid w:val="0676D1E0"/>
    <w:rsid w:val="07E68B95"/>
    <w:rsid w:val="0881D569"/>
    <w:rsid w:val="08DBECB7"/>
    <w:rsid w:val="0931F73F"/>
    <w:rsid w:val="0967F3F2"/>
    <w:rsid w:val="09B89612"/>
    <w:rsid w:val="0A8CD7B4"/>
    <w:rsid w:val="0B0C9057"/>
    <w:rsid w:val="0B546673"/>
    <w:rsid w:val="0B9654F5"/>
    <w:rsid w:val="0CB3BB6B"/>
    <w:rsid w:val="0CF10022"/>
    <w:rsid w:val="0D707460"/>
    <w:rsid w:val="0DA0FB16"/>
    <w:rsid w:val="0E8C0735"/>
    <w:rsid w:val="0EAAE633"/>
    <w:rsid w:val="0ECDF5B7"/>
    <w:rsid w:val="0EE17A45"/>
    <w:rsid w:val="0FD73576"/>
    <w:rsid w:val="106E080D"/>
    <w:rsid w:val="10D5538B"/>
    <w:rsid w:val="10E6FE9C"/>
    <w:rsid w:val="10FC1938"/>
    <w:rsid w:val="111EDE01"/>
    <w:rsid w:val="119684DD"/>
    <w:rsid w:val="12000FEF"/>
    <w:rsid w:val="12697F7B"/>
    <w:rsid w:val="128CDBFF"/>
    <w:rsid w:val="130ED638"/>
    <w:rsid w:val="148F5EC0"/>
    <w:rsid w:val="14E8663B"/>
    <w:rsid w:val="15BE5A1C"/>
    <w:rsid w:val="162B2F21"/>
    <w:rsid w:val="1669F600"/>
    <w:rsid w:val="1723C841"/>
    <w:rsid w:val="176EF3CA"/>
    <w:rsid w:val="17E2475B"/>
    <w:rsid w:val="18057C5E"/>
    <w:rsid w:val="190B4376"/>
    <w:rsid w:val="19148010"/>
    <w:rsid w:val="198ED146"/>
    <w:rsid w:val="19A14CBF"/>
    <w:rsid w:val="19AFC68B"/>
    <w:rsid w:val="19CABDD6"/>
    <w:rsid w:val="1AEB42F4"/>
    <w:rsid w:val="1B19E81D"/>
    <w:rsid w:val="1B568F80"/>
    <w:rsid w:val="1BD34F23"/>
    <w:rsid w:val="1BE4A0AB"/>
    <w:rsid w:val="1D905314"/>
    <w:rsid w:val="1DF84319"/>
    <w:rsid w:val="1E624269"/>
    <w:rsid w:val="1E69612D"/>
    <w:rsid w:val="1FBEB417"/>
    <w:rsid w:val="20613AFB"/>
    <w:rsid w:val="21066998"/>
    <w:rsid w:val="213D9161"/>
    <w:rsid w:val="215A8478"/>
    <w:rsid w:val="21879C29"/>
    <w:rsid w:val="2229684A"/>
    <w:rsid w:val="2253E22F"/>
    <w:rsid w:val="2368C201"/>
    <w:rsid w:val="23738D5D"/>
    <w:rsid w:val="23746257"/>
    <w:rsid w:val="2424FF9E"/>
    <w:rsid w:val="2478FCDD"/>
    <w:rsid w:val="2524785A"/>
    <w:rsid w:val="2561090C"/>
    <w:rsid w:val="2757829A"/>
    <w:rsid w:val="276B1B51"/>
    <w:rsid w:val="27B1339B"/>
    <w:rsid w:val="27F71B16"/>
    <w:rsid w:val="284F8E16"/>
    <w:rsid w:val="291021D1"/>
    <w:rsid w:val="2965965D"/>
    <w:rsid w:val="29BFA812"/>
    <w:rsid w:val="29C051D1"/>
    <w:rsid w:val="29EB5E77"/>
    <w:rsid w:val="2A8DB55D"/>
    <w:rsid w:val="2C366A77"/>
    <w:rsid w:val="2C7A8408"/>
    <w:rsid w:val="2D47AB89"/>
    <w:rsid w:val="2E165469"/>
    <w:rsid w:val="2E483D0A"/>
    <w:rsid w:val="2E683E9C"/>
    <w:rsid w:val="2EC99FCB"/>
    <w:rsid w:val="2EE37BEA"/>
    <w:rsid w:val="2F5CA4AB"/>
    <w:rsid w:val="2F7CB617"/>
    <w:rsid w:val="2FB224CA"/>
    <w:rsid w:val="30E8CDCC"/>
    <w:rsid w:val="30F80BEC"/>
    <w:rsid w:val="31304D14"/>
    <w:rsid w:val="3136A746"/>
    <w:rsid w:val="32E278B3"/>
    <w:rsid w:val="33417DDA"/>
    <w:rsid w:val="335E1E9B"/>
    <w:rsid w:val="33DD2C12"/>
    <w:rsid w:val="33F38737"/>
    <w:rsid w:val="3419121E"/>
    <w:rsid w:val="342FACAE"/>
    <w:rsid w:val="345A8E32"/>
    <w:rsid w:val="3467EDD6"/>
    <w:rsid w:val="346E4808"/>
    <w:rsid w:val="34DD4E3B"/>
    <w:rsid w:val="360A1869"/>
    <w:rsid w:val="367C4151"/>
    <w:rsid w:val="36A5D758"/>
    <w:rsid w:val="36EE8DCF"/>
    <w:rsid w:val="381811B2"/>
    <w:rsid w:val="388A5E30"/>
    <w:rsid w:val="39F27D6D"/>
    <w:rsid w:val="3A7A7DA5"/>
    <w:rsid w:val="3AD4623B"/>
    <w:rsid w:val="3ADD898C"/>
    <w:rsid w:val="3B336762"/>
    <w:rsid w:val="3BD53207"/>
    <w:rsid w:val="3C164E06"/>
    <w:rsid w:val="3D4B4847"/>
    <w:rsid w:val="3D5DCF53"/>
    <w:rsid w:val="3D6E92D6"/>
    <w:rsid w:val="3D710268"/>
    <w:rsid w:val="3D853D2F"/>
    <w:rsid w:val="3DC0E4F0"/>
    <w:rsid w:val="3DCD5432"/>
    <w:rsid w:val="3DE4D56E"/>
    <w:rsid w:val="3E0F5F5A"/>
    <w:rsid w:val="3E81B872"/>
    <w:rsid w:val="4056F958"/>
    <w:rsid w:val="406FAD02"/>
    <w:rsid w:val="407021B5"/>
    <w:rsid w:val="40E9BF29"/>
    <w:rsid w:val="4104F4F4"/>
    <w:rsid w:val="42858F8A"/>
    <w:rsid w:val="42ACE0C0"/>
    <w:rsid w:val="4448B121"/>
    <w:rsid w:val="44657881"/>
    <w:rsid w:val="4489F200"/>
    <w:rsid w:val="44E5115C"/>
    <w:rsid w:val="45DBDCBC"/>
    <w:rsid w:val="45F31919"/>
    <w:rsid w:val="46299FAF"/>
    <w:rsid w:val="46FAD686"/>
    <w:rsid w:val="4712F718"/>
    <w:rsid w:val="4798C0C7"/>
    <w:rsid w:val="47C17B1B"/>
    <w:rsid w:val="47C72AE5"/>
    <w:rsid w:val="48620B3D"/>
    <w:rsid w:val="49614071"/>
    <w:rsid w:val="49C46B19"/>
    <w:rsid w:val="49F182CA"/>
    <w:rsid w:val="4A3036F0"/>
    <w:rsid w:val="4A49C570"/>
    <w:rsid w:val="4ADFB299"/>
    <w:rsid w:val="4B75B846"/>
    <w:rsid w:val="4B8B493B"/>
    <w:rsid w:val="4BB0271E"/>
    <w:rsid w:val="4BC7EDBA"/>
    <w:rsid w:val="4CB2BD52"/>
    <w:rsid w:val="4D3B6A8E"/>
    <w:rsid w:val="4D57EBEF"/>
    <w:rsid w:val="4D92DE72"/>
    <w:rsid w:val="4E301616"/>
    <w:rsid w:val="4EB0B2C4"/>
    <w:rsid w:val="4EBE1292"/>
    <w:rsid w:val="4F6E0D86"/>
    <w:rsid w:val="4F99FB5F"/>
    <w:rsid w:val="504C8325"/>
    <w:rsid w:val="5071077F"/>
    <w:rsid w:val="51B28B63"/>
    <w:rsid w:val="52F8A2B5"/>
    <w:rsid w:val="5321FED6"/>
    <w:rsid w:val="53C03131"/>
    <w:rsid w:val="53D38EDD"/>
    <w:rsid w:val="54489D6D"/>
    <w:rsid w:val="54BDCF37"/>
    <w:rsid w:val="5622A627"/>
    <w:rsid w:val="5739C0B8"/>
    <w:rsid w:val="57CC13D8"/>
    <w:rsid w:val="589697AC"/>
    <w:rsid w:val="5898D037"/>
    <w:rsid w:val="59DED0D8"/>
    <w:rsid w:val="5A184675"/>
    <w:rsid w:val="5AEE72D9"/>
    <w:rsid w:val="5AF570C1"/>
    <w:rsid w:val="5C316B7A"/>
    <w:rsid w:val="5C451140"/>
    <w:rsid w:val="5C914122"/>
    <w:rsid w:val="5CD3A5BA"/>
    <w:rsid w:val="5E2D1183"/>
    <w:rsid w:val="5E6F761B"/>
    <w:rsid w:val="5E918E3C"/>
    <w:rsid w:val="5EE5C7C4"/>
    <w:rsid w:val="5EF4EF79"/>
    <w:rsid w:val="5F44D29D"/>
    <w:rsid w:val="60888134"/>
    <w:rsid w:val="610F17F7"/>
    <w:rsid w:val="6213C4A4"/>
    <w:rsid w:val="62245195"/>
    <w:rsid w:val="62268A20"/>
    <w:rsid w:val="63734957"/>
    <w:rsid w:val="6385B31E"/>
    <w:rsid w:val="641C85B5"/>
    <w:rsid w:val="648034A7"/>
    <w:rsid w:val="655BF257"/>
    <w:rsid w:val="655E2AE2"/>
    <w:rsid w:val="663B59A7"/>
    <w:rsid w:val="66FE5A53"/>
    <w:rsid w:val="670CBC35"/>
    <w:rsid w:val="682A7F18"/>
    <w:rsid w:val="6846BA7A"/>
    <w:rsid w:val="68592441"/>
    <w:rsid w:val="68C83783"/>
    <w:rsid w:val="693290E2"/>
    <w:rsid w:val="698B5CF6"/>
    <w:rsid w:val="6A1ED689"/>
    <w:rsid w:val="6A2F637A"/>
    <w:rsid w:val="6A319C05"/>
    <w:rsid w:val="6ABC8A7B"/>
    <w:rsid w:val="6B941EBF"/>
    <w:rsid w:val="6BAAB94F"/>
    <w:rsid w:val="6CA87BAF"/>
    <w:rsid w:val="6CB9C11E"/>
    <w:rsid w:val="6D4FCA67"/>
    <w:rsid w:val="6E99C09C"/>
    <w:rsid w:val="6F0CFAAE"/>
    <w:rsid w:val="6FF161E0"/>
    <w:rsid w:val="6FF5370D"/>
    <w:rsid w:val="70876B29"/>
    <w:rsid w:val="71784659"/>
    <w:rsid w:val="7217DED5"/>
    <w:rsid w:val="7263B47E"/>
    <w:rsid w:val="730E8714"/>
    <w:rsid w:val="7317BD33"/>
    <w:rsid w:val="73AB80C9"/>
    <w:rsid w:val="7433A59E"/>
    <w:rsid w:val="7449D99E"/>
    <w:rsid w:val="74B38D94"/>
    <w:rsid w:val="74CA08B3"/>
    <w:rsid w:val="74CC413E"/>
    <w:rsid w:val="74F1A960"/>
    <w:rsid w:val="7547512A"/>
    <w:rsid w:val="761241DF"/>
    <w:rsid w:val="76360E73"/>
    <w:rsid w:val="76362068"/>
    <w:rsid w:val="7640FB31"/>
    <w:rsid w:val="767D9FB0"/>
    <w:rsid w:val="76E3218B"/>
    <w:rsid w:val="77AE1240"/>
    <w:rsid w:val="77D1DED4"/>
    <w:rsid w:val="77DCCB92"/>
    <w:rsid w:val="78D2F602"/>
    <w:rsid w:val="7949E2A1"/>
    <w:rsid w:val="7A6EC663"/>
    <w:rsid w:val="7B72BD1A"/>
    <w:rsid w:val="7BAED653"/>
    <w:rsid w:val="7CBDE0C3"/>
    <w:rsid w:val="7D10CA98"/>
    <w:rsid w:val="7DA66725"/>
    <w:rsid w:val="7EF7309F"/>
    <w:rsid w:val="7F4237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C9D74"/>
  <w15:chartTrackingRefBased/>
  <w15:docId w15:val="{F6AEA997-18AA-4001-9C59-6B0803BBF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937F8F"/>
    <w:pPr>
      <w:ind w:left="720"/>
      <w:contextualSpacing/>
    </w:pPr>
  </w:style>
  <w:style w:type="paragraph" w:styleId="Title">
    <w:name w:val="Title"/>
    <w:basedOn w:val="Normal"/>
    <w:next w:val="Normal"/>
    <w:link w:val="TitleChar"/>
    <w:uiPriority w:val="10"/>
    <w:qFormat/>
    <w:rsid w:val="001901F5"/>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901F5"/>
    <w:rPr>
      <w:rFonts w:asciiTheme="majorHAnsi" w:hAnsiTheme="majorHAnsi" w:eastAsiaTheme="majorEastAsia" w:cstheme="majorBidi"/>
      <w:spacing w:val="-10"/>
      <w:kern w:val="28"/>
      <w:sz w:val="56"/>
      <w:szCs w:val="56"/>
    </w:rPr>
  </w:style>
  <w:style w:type="paragraph" w:styleId="NoSpacing">
    <w:name w:val="No Spacing"/>
    <w:link w:val="NoSpacingChar"/>
    <w:uiPriority w:val="1"/>
    <w:qFormat/>
    <w:rsid w:val="00A60461"/>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A60461"/>
    <w:rPr>
      <w:rFonts w:eastAsiaTheme="minorEastAsia"/>
      <w:lang w:val="en-US"/>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image" Target="media/image2.png"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webSettings" Target="webSettings.xml" Id="rId5" /><Relationship Type="http://schemas.openxmlformats.org/officeDocument/2006/relationships/theme" Target="theme/theme1.xml" Id="rId10" /><Relationship Type="http://schemas.microsoft.com/office/2019/09/relationships/intelligence" Target="intelligence.xml" Id="R1a6e7277be764a73" /><Relationship Type="http://schemas.openxmlformats.org/officeDocument/2006/relationships/settings" Target="settings.xml" Id="rId4" /><Relationship Type="http://schemas.openxmlformats.org/officeDocument/2006/relationships/glossaryDocument" Target="glossary/document.xml" Id="rId9" /><Relationship Type="http://schemas.openxmlformats.org/officeDocument/2006/relationships/hyperlink" Target="https://www.legislation.gov.uk/ukpga/Vict/45-46/75/enacted" TargetMode="External" Id="Rff1607732e8645dd" /></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2.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8AC27DE690C4C699C4CDC17CF21FFA9"/>
        <w:category>
          <w:name w:val="General"/>
          <w:gallery w:val="placeholder"/>
        </w:category>
        <w:types>
          <w:type w:val="bbPlcHdr"/>
        </w:types>
        <w:behaviors>
          <w:behavior w:val="content"/>
        </w:behaviors>
        <w:guid w:val="{28DD36FA-F526-4465-855D-481467855D88}"/>
      </w:docPartPr>
      <w:docPartBody>
        <w:p w:rsidR="00291A08" w:rsidRDefault="00790046" w:rsidP="00790046">
          <w:pPr>
            <w:pStyle w:val="48AC27DE690C4C699C4CDC17CF21FFA9"/>
          </w:pPr>
          <w:r>
            <w:rPr>
              <w:rFonts w:asciiTheme="majorHAnsi" w:eastAsiaTheme="majorEastAsia" w:hAnsiTheme="majorHAnsi" w:cstheme="majorBidi"/>
              <w:caps/>
              <w:color w:val="4472C4" w:themeColor="accent1"/>
              <w:sz w:val="80"/>
              <w:szCs w:val="80"/>
            </w:rPr>
            <w:t>[Document title]</w:t>
          </w:r>
        </w:p>
      </w:docPartBody>
    </w:docPart>
    <w:docPart>
      <w:docPartPr>
        <w:name w:val="819672F30DA749BF8F0D8E0783FB59B6"/>
        <w:category>
          <w:name w:val="General"/>
          <w:gallery w:val="placeholder"/>
        </w:category>
        <w:types>
          <w:type w:val="bbPlcHdr"/>
        </w:types>
        <w:behaviors>
          <w:behavior w:val="content"/>
        </w:behaviors>
        <w:guid w:val="{CA599E61-49BF-4A8F-B48C-E4403700343E}"/>
      </w:docPartPr>
      <w:docPartBody>
        <w:p w:rsidR="00291A08" w:rsidRDefault="00790046" w:rsidP="00790046">
          <w:pPr>
            <w:pStyle w:val="819672F30DA749BF8F0D8E0783FB59B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046"/>
    <w:rsid w:val="00291A08"/>
    <w:rsid w:val="005521DC"/>
    <w:rsid w:val="00790046"/>
    <w:rsid w:val="00A90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8AC27DE690C4C699C4CDC17CF21FFA9">
    <w:name w:val="48AC27DE690C4C699C4CDC17CF21FFA9"/>
    <w:rsid w:val="00790046"/>
  </w:style>
  <w:style w:type="paragraph" w:customStyle="1" w:styleId="819672F30DA749BF8F0D8E0783FB59B6">
    <w:name w:val="819672F30DA749BF8F0D8E0783FB59B6"/>
    <w:rsid w:val="0079004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2022-02-04T00:00:00</PublishDate>
  <Abstract/>
  <CompanyAddress>2003429</CompanyAddress>
  <CompanyPhone/>
  <CompanyFax/>
  <CompanyEmail/>
</CoverPageProperties>
</file>

<file path=customXml/item2.xml><?xml version="1.0" encoding="utf-8"?>
<CoverPageProperties xmlns="http://schemas.microsoft.com/office/2006/coverPageProps">
  <PublishDate>2022-02-04T00:00:00</PublishDate>
  <Abstract/>
  <CompanyAddress>2003429</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uwtsd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Contract law</dc:title>
  <dc:subject>BMLW5006</dc:subject>
  <dc:creator>Kirsty Louise Tanner</dc:creator>
  <keywords/>
  <dc:description/>
  <lastModifiedBy>Kirsty Tanner (2003429)</lastModifiedBy>
  <revision>33</revision>
  <dcterms:created xsi:type="dcterms:W3CDTF">2022-02-23T04:47:00.0000000Z</dcterms:created>
  <dcterms:modified xsi:type="dcterms:W3CDTF">2022-03-04T16:35:36.8973008Z</dcterms:modified>
</coreProperties>
</file>