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widowControl w:val="0"/>
        <w:spacing w:before="120" w:after="120" w:line="240" w:lineRule="auto"/>
        <w:rPr>
          <w:sz w:val="16"/>
          <w:szCs w:val="16"/>
        </w:rPr>
      </w:pPr>
    </w:p>
    <w:tbl>
      <w:tblPr>
        <w:tblW w:w="10314"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951"/>
        <w:gridCol w:w="8363"/>
      </w:tblGrid>
      <w:tr>
        <w:tblPrEx>
          <w:shd w:val="clear" w:color="auto" w:fill="auto"/>
        </w:tblPrEx>
        <w:trPr>
          <w:trHeight w:val="330" w:hRule="atLeast"/>
        </w:trPr>
        <w:tc>
          <w:tcPr>
            <w:tcW w:type="dxa" w:w="1031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f243e"/>
            <w:tcMar>
              <w:top w:type="dxa" w:w="80"/>
              <w:left w:type="dxa" w:w="80"/>
              <w:bottom w:type="dxa" w:w="80"/>
              <w:right w:type="dxa" w:w="80"/>
            </w:tcMar>
            <w:vAlign w:val="top"/>
          </w:tcPr>
          <w:p>
            <w:pPr>
              <w:pStyle w:val="Body"/>
              <w:spacing w:before="120" w:after="120"/>
              <w:jc w:val="center"/>
            </w:pPr>
            <w:r>
              <w:rPr>
                <w:rFonts w:ascii="Calibri" w:cs="Calibri" w:hAnsi="Calibri" w:eastAsia="Calibri"/>
                <w:b w:val="1"/>
                <w:bCs w:val="1"/>
                <w:caps w:val="0"/>
                <w:smallCaps w:val="0"/>
                <w:strike w:val="0"/>
                <w:dstrike w:val="0"/>
                <w:outline w:val="0"/>
                <w:color w:val="ffffff"/>
                <w:spacing w:val="0"/>
                <w:kern w:val="0"/>
                <w:position w:val="0"/>
                <w:sz w:val="28"/>
                <w:szCs w:val="28"/>
                <w:u w:val="none" w:color="ffffff"/>
                <w:vertAlign w:val="baseline"/>
                <w:rtl w:val="0"/>
                <w:lang w:val="en-US"/>
              </w:rPr>
              <w:t>Group Members</w:t>
            </w:r>
          </w:p>
        </w:tc>
      </w:tr>
      <w:tr>
        <w:tblPrEx>
          <w:shd w:val="clear" w:color="auto" w:fill="auto"/>
        </w:tblPrEx>
        <w:trPr>
          <w:trHeight w:val="330" w:hRule="atLeast"/>
        </w:trPr>
        <w:tc>
          <w:tcPr>
            <w:tcW w:type="dxa" w:w="1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f243e"/>
            <w:tcMar>
              <w:top w:type="dxa" w:w="80"/>
              <w:left w:type="dxa" w:w="80"/>
              <w:bottom w:type="dxa" w:w="80"/>
              <w:right w:type="dxa" w:w="80"/>
            </w:tcMar>
            <w:vAlign w:val="top"/>
          </w:tcPr>
          <w:p>
            <w:pPr>
              <w:pStyle w:val="Body"/>
              <w:spacing w:after="0" w:line="240" w:lineRule="auto"/>
              <w:jc w:val="center"/>
            </w:pPr>
            <w:r>
              <w:rPr>
                <w:rFonts w:ascii="Calibri" w:cs="Calibri" w:hAnsi="Calibri" w:eastAsia="Calibri"/>
                <w:b w:val="1"/>
                <w:bCs w:val="1"/>
                <w:caps w:val="0"/>
                <w:smallCaps w:val="0"/>
                <w:strike w:val="0"/>
                <w:dstrike w:val="0"/>
                <w:outline w:val="0"/>
                <w:color w:val="ffffff"/>
                <w:spacing w:val="0"/>
                <w:kern w:val="0"/>
                <w:position w:val="0"/>
                <w:sz w:val="28"/>
                <w:szCs w:val="28"/>
                <w:u w:val="none" w:color="ffffff"/>
                <w:vertAlign w:val="baseline"/>
                <w:rtl w:val="0"/>
                <w:lang w:val="en-US"/>
              </w:rPr>
              <w:t>Names</w:t>
            </w:r>
          </w:p>
        </w:tc>
        <w:tc>
          <w:tcPr>
            <w:tcW w:type="dxa" w:w="836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rebuchet MS"/>
                <w:sz w:val="28"/>
                <w:szCs w:val="28"/>
                <w:rtl w:val="0"/>
              </w:rPr>
              <w:t xml:space="preserve">Rebecca Graham </w:t>
            </w:r>
          </w:p>
          <w:p>
            <w:pPr>
              <w:pStyle w:val="Body"/>
              <w:spacing w:after="0" w:line="240" w:lineRule="auto"/>
            </w:pPr>
            <w:r>
              <w:rPr>
                <w:rFonts w:ascii="Trebuchet MS"/>
                <w:sz w:val="28"/>
                <w:szCs w:val="28"/>
                <w:rtl w:val="0"/>
              </w:rPr>
              <w:t xml:space="preserve">Casey-Jane McDean </w:t>
            </w:r>
          </w:p>
          <w:p>
            <w:pPr>
              <w:pStyle w:val="Body"/>
              <w:spacing w:after="0" w:line="240" w:lineRule="auto"/>
            </w:pPr>
            <w:r>
              <w:rPr>
                <w:rFonts w:ascii="Trebuchet MS"/>
                <w:sz w:val="28"/>
                <w:szCs w:val="28"/>
                <w:rtl w:val="0"/>
              </w:rPr>
              <w:t>Katie John</w:t>
            </w:r>
          </w:p>
        </w:tc>
      </w:tr>
      <w:tr>
        <w:tblPrEx>
          <w:shd w:val="clear" w:color="auto" w:fill="auto"/>
        </w:tblPrEx>
        <w:trPr>
          <w:trHeight w:val="904" w:hRule="atLeast"/>
        </w:trPr>
        <w:tc>
          <w:tcPr>
            <w:tcW w:type="dxa" w:w="1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f243e"/>
            <w:tcMar>
              <w:top w:type="dxa" w:w="80"/>
              <w:left w:type="dxa" w:w="80"/>
              <w:bottom w:type="dxa" w:w="80"/>
              <w:right w:type="dxa" w:w="80"/>
            </w:tcMar>
            <w:vAlign w:val="top"/>
          </w:tcPr>
          <w:p/>
        </w:tc>
        <w:tc>
          <w:tcPr>
            <w:tcW w:type="dxa" w:w="836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auto"/>
        </w:tblPrEx>
        <w:trPr>
          <w:trHeight w:val="330" w:hRule="atLeast"/>
        </w:trPr>
        <w:tc>
          <w:tcPr>
            <w:tcW w:type="dxa" w:w="1031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f243e"/>
            <w:tcMar>
              <w:top w:type="dxa" w:w="80"/>
              <w:left w:type="dxa" w:w="80"/>
              <w:bottom w:type="dxa" w:w="80"/>
              <w:right w:type="dxa" w:w="80"/>
            </w:tcMar>
            <w:vAlign w:val="top"/>
          </w:tcPr>
          <w:p>
            <w:pPr>
              <w:pStyle w:val="Body"/>
              <w:spacing w:before="120" w:after="120" w:line="240" w:lineRule="auto"/>
              <w:jc w:val="center"/>
            </w:pPr>
            <w:r>
              <w:rPr>
                <w:rFonts w:ascii="Calibri" w:cs="Calibri" w:hAnsi="Calibri" w:eastAsia="Calibri"/>
                <w:b w:val="1"/>
                <w:bCs w:val="1"/>
                <w:caps w:val="0"/>
                <w:smallCaps w:val="0"/>
                <w:strike w:val="0"/>
                <w:dstrike w:val="0"/>
                <w:outline w:val="0"/>
                <w:color w:val="ffffff"/>
                <w:spacing w:val="0"/>
                <w:kern w:val="0"/>
                <w:position w:val="0"/>
                <w:sz w:val="28"/>
                <w:szCs w:val="28"/>
                <w:u w:val="none" w:color="ffffff"/>
                <w:vertAlign w:val="baseline"/>
                <w:rtl w:val="0"/>
                <w:lang w:val="en-US"/>
              </w:rPr>
              <w:t>Hot Topic (social issue currently being publicly debated)</w:t>
            </w:r>
          </w:p>
        </w:tc>
      </w:tr>
      <w:tr>
        <w:tblPrEx>
          <w:shd w:val="clear" w:color="auto" w:fill="auto"/>
        </w:tblPrEx>
        <w:trPr>
          <w:trHeight w:val="1650" w:hRule="atLeast"/>
        </w:trPr>
        <w:tc>
          <w:tcPr>
            <w:tcW w:type="dxa" w:w="1031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r>
              <w:rPr>
                <w:rFonts w:ascii="Trebuchet MS"/>
                <w:sz w:val="28"/>
                <w:szCs w:val="28"/>
                <w:rtl w:val="0"/>
                <w:lang w:val="en-US"/>
              </w:rPr>
              <w:t xml:space="preserve">The Criminal Justice System </w:t>
            </w: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pPr>
            <w:r>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r>
          </w:p>
        </w:tc>
      </w:tr>
      <w:tr>
        <w:tblPrEx>
          <w:shd w:val="clear" w:color="auto" w:fill="auto"/>
        </w:tblPrEx>
        <w:trPr>
          <w:trHeight w:val="330" w:hRule="atLeast"/>
        </w:trPr>
        <w:tc>
          <w:tcPr>
            <w:tcW w:type="dxa" w:w="1031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f243e"/>
            <w:tcMar>
              <w:top w:type="dxa" w:w="80"/>
              <w:left w:type="dxa" w:w="80"/>
              <w:bottom w:type="dxa" w:w="80"/>
              <w:right w:type="dxa" w:w="80"/>
            </w:tcMar>
            <w:vAlign w:val="top"/>
          </w:tcPr>
          <w:p>
            <w:pPr>
              <w:pStyle w:val="Body"/>
              <w:spacing w:before="120" w:after="120" w:line="240" w:lineRule="auto"/>
              <w:jc w:val="center"/>
            </w:pPr>
            <w:r>
              <w:rPr>
                <w:rFonts w:ascii="Calibri" w:cs="Calibri" w:hAnsi="Calibri" w:eastAsia="Calibri"/>
                <w:b w:val="1"/>
                <w:bCs w:val="1"/>
                <w:caps w:val="0"/>
                <w:smallCaps w:val="0"/>
                <w:strike w:val="0"/>
                <w:dstrike w:val="0"/>
                <w:outline w:val="0"/>
                <w:color w:val="ffffff"/>
                <w:spacing w:val="0"/>
                <w:kern w:val="0"/>
                <w:position w:val="0"/>
                <w:sz w:val="28"/>
                <w:szCs w:val="28"/>
                <w:u w:val="none" w:color="ffffff"/>
                <w:vertAlign w:val="baseline"/>
                <w:rtl w:val="0"/>
                <w:lang w:val="en-US"/>
              </w:rPr>
              <w:t>Hypothesis / Argument (What will we be arguing in our video?)</w:t>
            </w:r>
          </w:p>
        </w:tc>
      </w:tr>
      <w:tr>
        <w:tblPrEx>
          <w:shd w:val="clear" w:color="auto" w:fill="auto"/>
        </w:tblPrEx>
        <w:trPr>
          <w:trHeight w:val="5450" w:hRule="atLeast"/>
        </w:trPr>
        <w:tc>
          <w:tcPr>
            <w:tcW w:type="dxa" w:w="1031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line="240" w:lineRule="auto"/>
              <w:rPr>
                <w:sz w:val="28"/>
                <w:szCs w:val="28"/>
              </w:rPr>
            </w:pPr>
            <w:r>
              <w:rPr>
                <w:rFonts w:ascii="Trebuchet MS"/>
                <w:sz w:val="28"/>
                <w:szCs w:val="28"/>
                <w:rtl w:val="0"/>
                <w:lang w:val="en-US"/>
              </w:rPr>
              <w:t xml:space="preserve">Each individual has a different aspect that they will be discussing and each aspect has its own debate. </w:t>
            </w:r>
          </w:p>
          <w:p>
            <w:pPr>
              <w:pStyle w:val="Body"/>
              <w:spacing w:before="120" w:after="120" w:line="240" w:lineRule="auto"/>
              <w:rPr>
                <w:sz w:val="28"/>
                <w:szCs w:val="28"/>
              </w:rPr>
            </w:pPr>
            <w:r>
              <w:rPr>
                <w:rFonts w:ascii="Trebuchet MS"/>
                <w:sz w:val="28"/>
                <w:szCs w:val="28"/>
                <w:rtl w:val="0"/>
                <w:lang w:val="en-US"/>
              </w:rPr>
              <w:t>Firstly, Katie</w:t>
            </w:r>
            <w:r>
              <w:rPr>
                <w:rFonts w:hAnsi="Trebuchet MS" w:hint="default"/>
                <w:sz w:val="28"/>
                <w:szCs w:val="28"/>
                <w:rtl w:val="0"/>
                <w:lang w:val="en-US"/>
              </w:rPr>
              <w:t>’</w:t>
            </w:r>
            <w:r>
              <w:rPr>
                <w:rFonts w:ascii="Trebuchet MS"/>
                <w:sz w:val="28"/>
                <w:szCs w:val="28"/>
                <w:rtl w:val="0"/>
                <w:lang w:val="en-US"/>
              </w:rPr>
              <w:t>s aspect is the death penalty. This will include arguments for and against the death penalty.</w:t>
            </w:r>
          </w:p>
          <w:p>
            <w:pPr>
              <w:pStyle w:val="Body"/>
              <w:spacing w:before="120" w:after="120" w:line="240" w:lineRule="auto"/>
              <w:rPr>
                <w:sz w:val="28"/>
                <w:szCs w:val="28"/>
              </w:rPr>
            </w:pPr>
            <w:r>
              <w:rPr>
                <w:rFonts w:ascii="Trebuchet MS"/>
                <w:sz w:val="28"/>
                <w:szCs w:val="28"/>
                <w:rtl w:val="0"/>
                <w:lang w:val="en-US"/>
              </w:rPr>
              <w:t>Secondly, Casey</w:t>
            </w:r>
            <w:r>
              <w:rPr>
                <w:rFonts w:hAnsi="Trebuchet MS" w:hint="default"/>
                <w:sz w:val="28"/>
                <w:szCs w:val="28"/>
                <w:rtl w:val="0"/>
                <w:lang w:val="en-US"/>
              </w:rPr>
              <w:t>’</w:t>
            </w:r>
            <w:r>
              <w:rPr>
                <w:rFonts w:ascii="Trebuchet MS"/>
                <w:sz w:val="28"/>
                <w:szCs w:val="28"/>
                <w:rtl w:val="0"/>
                <w:lang w:val="en-US"/>
              </w:rPr>
              <w:t xml:space="preserve">s aspect is prison conditions. This will include the arguments on whether or not the prison conditions contribute to mental health and will discuss the conditions of the prisons. </w:t>
            </w: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r>
              <w:rPr>
                <w:rFonts w:ascii="Trebuchet MS"/>
                <w:sz w:val="28"/>
                <w:szCs w:val="28"/>
                <w:rtl w:val="0"/>
                <w:lang w:val="en-US"/>
              </w:rPr>
              <w:t>Thirdly, Rebecca</w:t>
            </w:r>
            <w:r>
              <w:rPr>
                <w:rFonts w:hAnsi="Trebuchet MS" w:hint="default"/>
                <w:sz w:val="28"/>
                <w:szCs w:val="28"/>
                <w:rtl w:val="0"/>
                <w:lang w:val="en-US"/>
              </w:rPr>
              <w:t>’</w:t>
            </w:r>
            <w:r>
              <w:rPr>
                <w:rFonts w:ascii="Trebuchet MS"/>
                <w:sz w:val="28"/>
                <w:szCs w:val="28"/>
                <w:rtl w:val="0"/>
                <w:lang w:val="en-US"/>
              </w:rPr>
              <w:t xml:space="preserve">s aspect is the age of criminal responsibility. This will include arguments for and against raising the age of criminal responsibility. </w:t>
            </w: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pPr>
            <w:r>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r>
          </w:p>
        </w:tc>
      </w:tr>
      <w:tr>
        <w:tblPrEx>
          <w:shd w:val="clear" w:color="auto" w:fill="auto"/>
        </w:tblPrEx>
        <w:trPr>
          <w:trHeight w:val="330" w:hRule="atLeast"/>
        </w:trPr>
        <w:tc>
          <w:tcPr>
            <w:tcW w:type="dxa" w:w="1031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f243e"/>
            <w:tcMar>
              <w:top w:type="dxa" w:w="80"/>
              <w:left w:type="dxa" w:w="80"/>
              <w:bottom w:type="dxa" w:w="80"/>
              <w:right w:type="dxa" w:w="80"/>
            </w:tcMar>
            <w:vAlign w:val="top"/>
          </w:tcPr>
          <w:p>
            <w:pPr>
              <w:pStyle w:val="Body"/>
              <w:spacing w:before="120" w:after="120" w:line="240" w:lineRule="auto"/>
              <w:jc w:val="center"/>
            </w:pPr>
            <w:r>
              <w:rPr>
                <w:rFonts w:ascii="Calibri" w:cs="Calibri" w:hAnsi="Calibri" w:eastAsia="Calibri"/>
                <w:b w:val="1"/>
                <w:bCs w:val="1"/>
                <w:caps w:val="0"/>
                <w:smallCaps w:val="0"/>
                <w:strike w:val="0"/>
                <w:dstrike w:val="0"/>
                <w:outline w:val="0"/>
                <w:color w:val="ffffff"/>
                <w:spacing w:val="0"/>
                <w:kern w:val="0"/>
                <w:position w:val="0"/>
                <w:sz w:val="28"/>
                <w:szCs w:val="28"/>
                <w:u w:val="none" w:color="ffffff"/>
                <w:vertAlign w:val="baseline"/>
                <w:rtl w:val="0"/>
                <w:lang w:val="en-US"/>
              </w:rPr>
              <w:t>Content (What can we use to illustrate our hypothesis?)</w:t>
            </w:r>
          </w:p>
        </w:tc>
      </w:tr>
      <w:tr>
        <w:tblPrEx>
          <w:shd w:val="clear" w:color="auto" w:fill="auto"/>
        </w:tblPrEx>
        <w:trPr>
          <w:trHeight w:val="5010" w:hRule="atLeast"/>
        </w:trPr>
        <w:tc>
          <w:tcPr>
            <w:tcW w:type="dxa" w:w="1031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line="240" w:lineRule="auto"/>
              <w:rPr>
                <w:sz w:val="28"/>
                <w:szCs w:val="28"/>
              </w:rPr>
            </w:pPr>
            <w:r>
              <w:rPr>
                <w:rFonts w:ascii="Trebuchet MS"/>
                <w:sz w:val="28"/>
                <w:szCs w:val="28"/>
                <w:rtl w:val="0"/>
                <w:lang w:val="en-US"/>
              </w:rPr>
              <w:t>We will use research regarding policy, theory and practice in order to support our arguments. These will include policies that are in place which determine the death penalty and the criminal age of responsibility. We will include theory into the statements of our for and against points during our arguments.</w:t>
            </w: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r>
              <w:rPr>
                <w:rFonts w:ascii="Trebuchet MS"/>
                <w:sz w:val="28"/>
                <w:szCs w:val="28"/>
                <w:rtl w:val="0"/>
                <w:lang w:val="en-US"/>
              </w:rPr>
              <w:t xml:space="preserve">Regarding the Video itself we will do the video in powerpoint format and we will include pictures associated with the content that we will be speaking about and we will use animation to make the video more interesting. </w:t>
            </w: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pPr>
            <w:r>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r>
          </w:p>
        </w:tc>
      </w:tr>
    </w:tbl>
    <w:p>
      <w:pPr>
        <w:pStyle w:val="Body"/>
        <w:widowControl w:val="0"/>
        <w:spacing w:before="120" w:after="120" w:line="240" w:lineRule="auto"/>
        <w:rPr>
          <w:sz w:val="16"/>
          <w:szCs w:val="16"/>
        </w:rPr>
      </w:pPr>
    </w:p>
    <w:tbl>
      <w:tblPr>
        <w:tblW w:w="10314"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314"/>
      </w:tblGrid>
      <w:tr>
        <w:tblPrEx>
          <w:shd w:val="clear" w:color="auto" w:fill="auto"/>
        </w:tblPrEx>
        <w:trPr>
          <w:trHeight w:val="330" w:hRule="atLeast"/>
        </w:trPr>
        <w:tc>
          <w:tcPr>
            <w:tcW w:type="dxa" w:w="103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f243e"/>
            <w:tcMar>
              <w:top w:type="dxa" w:w="80"/>
              <w:left w:type="dxa" w:w="80"/>
              <w:bottom w:type="dxa" w:w="80"/>
              <w:right w:type="dxa" w:w="80"/>
            </w:tcMar>
            <w:vAlign w:val="top"/>
          </w:tcPr>
          <w:p>
            <w:pPr>
              <w:pStyle w:val="Body"/>
              <w:spacing w:before="120" w:after="120"/>
              <w:jc w:val="center"/>
            </w:pPr>
            <w:r>
              <w:rPr>
                <w:rFonts w:ascii="Calibri" w:cs="Calibri" w:hAnsi="Calibri" w:eastAsia="Calibri"/>
                <w:b w:val="1"/>
                <w:bCs w:val="1"/>
                <w:caps w:val="0"/>
                <w:smallCaps w:val="0"/>
                <w:strike w:val="0"/>
                <w:dstrike w:val="0"/>
                <w:outline w:val="0"/>
                <w:color w:val="ffffff"/>
                <w:spacing w:val="0"/>
                <w:kern w:val="0"/>
                <w:position w:val="0"/>
                <w:sz w:val="28"/>
                <w:szCs w:val="28"/>
                <w:u w:val="none" w:color="ffffff"/>
                <w:vertAlign w:val="baseline"/>
                <w:rtl w:val="0"/>
                <w:lang w:val="en-US"/>
              </w:rPr>
              <w:t>References (What research, theory or policies can we use?)</w:t>
            </w:r>
          </w:p>
        </w:tc>
      </w:tr>
      <w:tr>
        <w:tblPrEx>
          <w:shd w:val="clear" w:color="auto" w:fill="auto"/>
        </w:tblPrEx>
        <w:trPr>
          <w:trHeight w:val="13964" w:hRule="atLeast"/>
        </w:trPr>
        <w:tc>
          <w:tcPr>
            <w:tcW w:type="dxa" w:w="103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line="240" w:lineRule="auto"/>
              <w:rPr>
                <w:sz w:val="24"/>
                <w:szCs w:val="24"/>
                <w:u w:val="single"/>
              </w:rPr>
            </w:pPr>
            <w:r>
              <w:rPr>
                <w:rFonts w:ascii="Trebuchet MS"/>
                <w:sz w:val="24"/>
                <w:szCs w:val="24"/>
                <w:u w:val="single"/>
                <w:rtl w:val="0"/>
                <w:lang w:val="en-US"/>
              </w:rPr>
              <w:t xml:space="preserve">Reference List </w:t>
            </w:r>
          </w:p>
          <w:p>
            <w:pPr>
              <w:pStyle w:val="Body"/>
              <w:spacing w:before="120" w:after="120" w:line="240" w:lineRule="auto"/>
              <w:rPr>
                <w:sz w:val="24"/>
                <w:szCs w:val="24"/>
              </w:rPr>
            </w:pPr>
            <w:r>
              <w:rPr>
                <w:rFonts w:ascii="Trebuchet MS"/>
                <w:sz w:val="24"/>
                <w:szCs w:val="24"/>
                <w:rtl w:val="0"/>
                <w:lang w:val="en-US"/>
              </w:rPr>
              <w:t>Bangor University (2018).</w:t>
            </w:r>
            <w:r>
              <w:rPr>
                <w:rFonts w:ascii="Trebuchet MS"/>
                <w:i w:val="1"/>
                <w:iCs w:val="1"/>
                <w:sz w:val="24"/>
                <w:szCs w:val="24"/>
                <w:rtl w:val="0"/>
                <w:lang w:val="en-US"/>
              </w:rPr>
              <w:t xml:space="preserve"> Criminology</w:t>
            </w:r>
            <w:r>
              <w:rPr>
                <w:rFonts w:ascii="Trebuchet MS"/>
                <w:sz w:val="24"/>
                <w:szCs w:val="24"/>
                <w:rtl w:val="0"/>
                <w:lang w:val="en-US"/>
              </w:rPr>
              <w:t>. [image] Available at: https://criminologyresearchblog.wordpress.com/#jp-carousel-169 [Accessed 28 Apr. 2018].</w:t>
            </w:r>
          </w:p>
          <w:p>
            <w:pPr>
              <w:pStyle w:val="Body"/>
              <w:spacing w:before="120" w:after="120" w:line="240" w:lineRule="auto"/>
              <w:rPr>
                <w:sz w:val="24"/>
                <w:szCs w:val="24"/>
              </w:rPr>
            </w:pPr>
            <w:r>
              <w:rPr>
                <w:rFonts w:ascii="Trebuchet MS"/>
                <w:sz w:val="24"/>
                <w:szCs w:val="24"/>
                <w:rtl w:val="0"/>
              </w:rPr>
              <w:t xml:space="preserve">CPS. (2018). </w:t>
            </w:r>
            <w:r>
              <w:rPr>
                <w:rFonts w:ascii="Trebuchet MS"/>
                <w:i w:val="1"/>
                <w:iCs w:val="1"/>
                <w:sz w:val="24"/>
                <w:szCs w:val="24"/>
                <w:rtl w:val="0"/>
                <w:lang w:val="en-US"/>
              </w:rPr>
              <w:t>Youth Offenders | The Crown Prosecution Service</w:t>
            </w:r>
            <w:r>
              <w:rPr>
                <w:rFonts w:ascii="Trebuchet MS"/>
                <w:sz w:val="24"/>
                <w:szCs w:val="24"/>
                <w:rtl w:val="0"/>
                <w:lang w:val="en-US"/>
              </w:rPr>
              <w:t xml:space="preserve">. [online] Available at: https://www.cps.gov.uk/legal-guidance/youth-offenders [Accessed 18 Apr. 2018]. </w:t>
            </w:r>
          </w:p>
          <w:p>
            <w:pPr>
              <w:pStyle w:val="Body"/>
              <w:spacing w:before="120" w:after="120" w:line="240" w:lineRule="auto"/>
              <w:rPr>
                <w:sz w:val="24"/>
                <w:szCs w:val="24"/>
              </w:rPr>
            </w:pPr>
            <w:r>
              <w:rPr>
                <w:rFonts w:ascii="Trebuchet MS"/>
                <w:sz w:val="24"/>
                <w:szCs w:val="24"/>
                <w:rtl w:val="0"/>
                <w:lang w:val="fr-FR"/>
              </w:rPr>
              <w:t xml:space="preserve">Disquz (2016). </w:t>
            </w:r>
            <w:r>
              <w:rPr>
                <w:rFonts w:ascii="Trebuchet MS"/>
                <w:i w:val="1"/>
                <w:iCs w:val="1"/>
                <w:sz w:val="24"/>
                <w:szCs w:val="24"/>
                <w:rtl w:val="0"/>
                <w:lang w:val="da-DK"/>
              </w:rPr>
              <w:t>Piaget</w:t>
            </w:r>
            <w:r>
              <w:rPr>
                <w:rFonts w:ascii="Trebuchet MS"/>
                <w:sz w:val="24"/>
                <w:szCs w:val="24"/>
                <w:rtl w:val="0"/>
                <w:lang w:val="en-US"/>
              </w:rPr>
              <w:t xml:space="preserve">. [image] Available at: http://www.ctetadda.com/2016/08/study-notes-stage-theory-of-cognitive.html [Accessed 24 Apr. 2018]. </w:t>
            </w:r>
          </w:p>
          <w:p>
            <w:pPr>
              <w:pStyle w:val="Body"/>
              <w:spacing w:before="120" w:after="120" w:line="240" w:lineRule="auto"/>
              <w:rPr>
                <w:sz w:val="24"/>
                <w:szCs w:val="24"/>
              </w:rPr>
            </w:pPr>
            <w:r>
              <w:rPr>
                <w:rFonts w:ascii="Trebuchet MS"/>
                <w:sz w:val="24"/>
                <w:szCs w:val="24"/>
                <w:rtl w:val="0"/>
                <w:lang w:val="en-US"/>
              </w:rPr>
              <w:t xml:space="preserve">Enable Therapy Services. (2016). </w:t>
            </w:r>
            <w:r>
              <w:rPr>
                <w:rFonts w:ascii="Trebuchet MS"/>
                <w:i w:val="1"/>
                <w:iCs w:val="1"/>
                <w:sz w:val="24"/>
                <w:szCs w:val="24"/>
                <w:rtl w:val="0"/>
                <w:lang w:val="en-US"/>
              </w:rPr>
              <w:t>Rehabilitation</w:t>
            </w:r>
            <w:r>
              <w:rPr>
                <w:rFonts w:ascii="Trebuchet MS"/>
                <w:sz w:val="24"/>
                <w:szCs w:val="24"/>
                <w:rtl w:val="0"/>
                <w:lang w:val="en-US"/>
              </w:rPr>
              <w:t xml:space="preserve">. [image] Available at: http://www.enabletherapyservices.co.uk/rehabilitation-case-management/ [Accessed 24 Apr. 2018].  </w:t>
            </w:r>
          </w:p>
          <w:p>
            <w:pPr>
              <w:pStyle w:val="Body"/>
              <w:spacing w:before="120" w:after="120" w:line="240" w:lineRule="auto"/>
              <w:rPr>
                <w:sz w:val="24"/>
                <w:szCs w:val="24"/>
              </w:rPr>
            </w:pPr>
            <w:r>
              <w:rPr>
                <w:rFonts w:ascii="Trebuchet MS"/>
                <w:sz w:val="24"/>
                <w:szCs w:val="24"/>
                <w:rtl w:val="0"/>
                <w:lang w:val="en-US"/>
              </w:rPr>
              <w:t xml:space="preserve">Farrington, D and Murrary J. (2013). </w:t>
            </w:r>
            <w:r>
              <w:rPr>
                <w:rFonts w:ascii="Trebuchet MS"/>
                <w:i w:val="1"/>
                <w:iCs w:val="1"/>
                <w:sz w:val="24"/>
                <w:szCs w:val="24"/>
                <w:rtl w:val="0"/>
                <w:lang w:val="en-US"/>
              </w:rPr>
              <w:t>Labelling Theory Empirical Tests Advances in Criminological Theory</w:t>
            </w:r>
            <w:r>
              <w:rPr>
                <w:rFonts w:ascii="Trebuchet MS"/>
                <w:sz w:val="24"/>
                <w:szCs w:val="24"/>
                <w:rtl w:val="0"/>
                <w:lang w:val="en-US"/>
              </w:rPr>
              <w:t xml:space="preserve">. Taylor &amp; Francis Inc. </w:t>
            </w:r>
          </w:p>
          <w:p>
            <w:pPr>
              <w:pStyle w:val="Body"/>
              <w:spacing w:before="120" w:after="120" w:line="240" w:lineRule="auto"/>
              <w:rPr>
                <w:sz w:val="24"/>
                <w:szCs w:val="24"/>
              </w:rPr>
            </w:pPr>
            <w:r>
              <w:rPr>
                <w:rFonts w:ascii="Trebuchet MS"/>
                <w:sz w:val="24"/>
                <w:szCs w:val="24"/>
                <w:rtl w:val="0"/>
                <w:lang w:val="en-US"/>
              </w:rPr>
              <w:t xml:space="preserve">Gallagher, J. and Reid, D. (2002) </w:t>
            </w:r>
            <w:r>
              <w:rPr>
                <w:rFonts w:ascii="Trebuchet MS"/>
                <w:i w:val="1"/>
                <w:iCs w:val="1"/>
                <w:sz w:val="24"/>
                <w:szCs w:val="24"/>
                <w:rtl w:val="0"/>
                <w:lang w:val="en-US"/>
              </w:rPr>
              <w:t>The Learning Theory of Piaget &amp; Inhelder</w:t>
            </w:r>
            <w:r>
              <w:rPr>
                <w:rFonts w:ascii="Trebuchet MS"/>
                <w:sz w:val="24"/>
                <w:szCs w:val="24"/>
                <w:rtl w:val="0"/>
              </w:rPr>
              <w:t xml:space="preserve">. iUniverse.  </w:t>
            </w:r>
          </w:p>
          <w:p>
            <w:pPr>
              <w:pStyle w:val="Body"/>
              <w:spacing w:before="120" w:after="120" w:line="240" w:lineRule="auto"/>
              <w:rPr>
                <w:sz w:val="24"/>
                <w:szCs w:val="24"/>
              </w:rPr>
            </w:pPr>
            <w:r>
              <w:rPr>
                <w:rFonts w:ascii="Trebuchet MS"/>
                <w:sz w:val="24"/>
                <w:szCs w:val="24"/>
                <w:rtl w:val="0"/>
              </w:rPr>
              <w:t xml:space="preserve">GOV.UK. (2018). </w:t>
            </w:r>
            <w:r>
              <w:rPr>
                <w:rFonts w:ascii="Trebuchet MS"/>
                <w:i w:val="1"/>
                <w:iCs w:val="1"/>
                <w:sz w:val="24"/>
                <w:szCs w:val="24"/>
                <w:rtl w:val="0"/>
                <w:lang w:val="en-US"/>
              </w:rPr>
              <w:t>Age of criminal responsibility - GOV.UK</w:t>
            </w:r>
            <w:r>
              <w:rPr>
                <w:rFonts w:ascii="Trebuchet MS"/>
                <w:sz w:val="24"/>
                <w:szCs w:val="24"/>
                <w:rtl w:val="0"/>
                <w:lang w:val="en-US"/>
              </w:rPr>
              <w:t xml:space="preserve">. [online] Available at: https://www.gov.uk/age-of-criminal-responsibility [Accessed 16 Apr. 2018]. </w:t>
            </w:r>
          </w:p>
          <w:p>
            <w:pPr>
              <w:pStyle w:val="Body"/>
              <w:spacing w:before="120" w:after="120" w:line="240" w:lineRule="auto"/>
              <w:rPr>
                <w:sz w:val="24"/>
                <w:szCs w:val="24"/>
              </w:rPr>
            </w:pPr>
            <w:r>
              <w:rPr>
                <w:rFonts w:ascii="Trebuchet MS"/>
                <w:sz w:val="24"/>
                <w:szCs w:val="24"/>
                <w:rtl w:val="0"/>
                <w:lang w:val="en-US"/>
              </w:rPr>
              <w:t>Jetha, M. and Segalowitz, S. (2012). A</w:t>
            </w:r>
            <w:r>
              <w:rPr>
                <w:rFonts w:ascii="Trebuchet MS"/>
                <w:i w:val="1"/>
                <w:iCs w:val="1"/>
                <w:sz w:val="24"/>
                <w:szCs w:val="24"/>
                <w:rtl w:val="0"/>
                <w:lang w:val="en-US"/>
              </w:rPr>
              <w:t>dolescent Brain Development: Implications for Behavior</w:t>
            </w:r>
            <w:r>
              <w:rPr>
                <w:rFonts w:ascii="Trebuchet MS"/>
                <w:sz w:val="24"/>
                <w:szCs w:val="24"/>
                <w:rtl w:val="0"/>
                <w:lang w:val="de-DE"/>
              </w:rPr>
              <w:t xml:space="preserve">. Elsevier Inc. </w:t>
            </w:r>
          </w:p>
          <w:p>
            <w:pPr>
              <w:pStyle w:val="Body"/>
              <w:spacing w:before="120" w:after="120" w:line="240" w:lineRule="auto"/>
              <w:rPr>
                <w:sz w:val="24"/>
                <w:szCs w:val="24"/>
              </w:rPr>
            </w:pPr>
            <w:r>
              <w:rPr>
                <w:rFonts w:ascii="Trebuchet MS"/>
                <w:sz w:val="24"/>
                <w:szCs w:val="24"/>
                <w:rtl w:val="0"/>
                <w:lang w:val="en-US"/>
              </w:rPr>
              <w:t xml:space="preserve">Legislation. (1998). </w:t>
            </w:r>
            <w:r>
              <w:rPr>
                <w:rFonts w:ascii="Trebuchet MS"/>
                <w:i w:val="1"/>
                <w:iCs w:val="1"/>
                <w:sz w:val="24"/>
                <w:szCs w:val="24"/>
                <w:rtl w:val="0"/>
                <w:lang w:val="en-US"/>
              </w:rPr>
              <w:t>Crime and Disorder Act 1998</w:t>
            </w:r>
            <w:r>
              <w:rPr>
                <w:rFonts w:ascii="Trebuchet MS"/>
                <w:sz w:val="24"/>
                <w:szCs w:val="24"/>
                <w:rtl w:val="0"/>
                <w:lang w:val="en-US"/>
              </w:rPr>
              <w:t xml:space="preserve">. [online] Available at: https://www.legislation.gov.uk/ukpga/1998/37/contents [Accessed 17 Apr. 2018]. </w:t>
            </w:r>
          </w:p>
          <w:p>
            <w:pPr>
              <w:pStyle w:val="Body"/>
              <w:spacing w:before="120" w:after="120" w:line="240" w:lineRule="auto"/>
              <w:rPr>
                <w:sz w:val="24"/>
                <w:szCs w:val="24"/>
              </w:rPr>
            </w:pPr>
            <w:r>
              <w:rPr>
                <w:rFonts w:ascii="Trebuchet MS"/>
                <w:sz w:val="24"/>
                <w:szCs w:val="24"/>
                <w:rtl w:val="0"/>
                <w:lang w:val="en-US"/>
              </w:rPr>
              <w:t>Legislation. (2003).</w:t>
            </w:r>
            <w:r>
              <w:rPr>
                <w:rFonts w:ascii="Trebuchet MS"/>
                <w:i w:val="1"/>
                <w:iCs w:val="1"/>
                <w:sz w:val="24"/>
                <w:szCs w:val="24"/>
                <w:rtl w:val="0"/>
              </w:rPr>
              <w:t xml:space="preserve"> Criminal Justice Act 2003</w:t>
            </w:r>
            <w:r>
              <w:rPr>
                <w:rFonts w:ascii="Trebuchet MS"/>
                <w:sz w:val="24"/>
                <w:szCs w:val="24"/>
                <w:rtl w:val="0"/>
                <w:lang w:val="en-US"/>
              </w:rPr>
              <w:t xml:space="preserve">. [online] Available at: https://www.legislation.gov.uk/ukpga/2003/44/contents [Accessed 17 Apr. 2018]. </w:t>
            </w:r>
          </w:p>
          <w:p>
            <w:pPr>
              <w:pStyle w:val="Body"/>
              <w:spacing w:before="120" w:after="120" w:line="240" w:lineRule="auto"/>
              <w:rPr>
                <w:sz w:val="24"/>
                <w:szCs w:val="24"/>
              </w:rPr>
            </w:pPr>
            <w:r>
              <w:rPr>
                <w:rFonts w:ascii="Trebuchet MS"/>
                <w:sz w:val="24"/>
                <w:szCs w:val="24"/>
                <w:rtl w:val="0"/>
                <w:lang w:val="en-US"/>
              </w:rPr>
              <w:t>Legislation. (2008).</w:t>
            </w:r>
            <w:r>
              <w:rPr>
                <w:rFonts w:ascii="Trebuchet MS"/>
                <w:i w:val="1"/>
                <w:iCs w:val="1"/>
                <w:sz w:val="24"/>
                <w:szCs w:val="24"/>
                <w:rtl w:val="0"/>
                <w:lang w:val="en-US"/>
              </w:rPr>
              <w:t xml:space="preserve"> Criminal Justice and Immigration Act 2008.</w:t>
            </w:r>
            <w:r>
              <w:rPr>
                <w:rFonts w:ascii="Trebuchet MS"/>
                <w:sz w:val="24"/>
                <w:szCs w:val="24"/>
                <w:rtl w:val="0"/>
                <w:lang w:val="en-US"/>
              </w:rPr>
              <w:t xml:space="preserve"> [online] Available at: https://www.legislation.gov.uk/ukpga/2008/4/contents [Accessed 16 Apr. 2018]. </w:t>
            </w:r>
          </w:p>
          <w:p>
            <w:pPr>
              <w:pStyle w:val="Body"/>
              <w:spacing w:before="120" w:after="120" w:line="240" w:lineRule="auto"/>
              <w:rPr>
                <w:sz w:val="24"/>
                <w:szCs w:val="24"/>
              </w:rPr>
            </w:pPr>
            <w:r>
              <w:rPr>
                <w:rFonts w:ascii="Trebuchet MS"/>
                <w:sz w:val="24"/>
                <w:szCs w:val="24"/>
                <w:rtl w:val="0"/>
                <w:lang w:val="en-US"/>
              </w:rPr>
              <w:t xml:space="preserve">Legislation. (2000). </w:t>
            </w:r>
            <w:r>
              <w:rPr>
                <w:rFonts w:ascii="Trebuchet MS"/>
                <w:i w:val="1"/>
                <w:iCs w:val="1"/>
                <w:sz w:val="24"/>
                <w:szCs w:val="24"/>
                <w:rtl w:val="0"/>
                <w:lang w:val="en-US"/>
              </w:rPr>
              <w:t>Powers of Criminal Courts (Sentencing) Act 2000</w:t>
            </w:r>
            <w:r>
              <w:rPr>
                <w:rFonts w:ascii="Trebuchet MS"/>
                <w:sz w:val="24"/>
                <w:szCs w:val="24"/>
                <w:rtl w:val="0"/>
                <w:lang w:val="en-US"/>
              </w:rPr>
              <w:t xml:space="preserve">. [online] Available at: https://www.legislation.gov.uk/ukpga/2000/6/contents [Accessed 16 Apr. 2018]. </w:t>
            </w:r>
          </w:p>
          <w:p>
            <w:pPr>
              <w:pStyle w:val="Body"/>
              <w:spacing w:before="120" w:after="120" w:line="240" w:lineRule="auto"/>
              <w:rPr>
                <w:sz w:val="24"/>
                <w:szCs w:val="24"/>
              </w:rPr>
            </w:pPr>
            <w:r>
              <w:rPr>
                <w:rFonts w:ascii="Trebuchet MS"/>
                <w:sz w:val="24"/>
                <w:szCs w:val="24"/>
                <w:rtl w:val="0"/>
                <w:lang w:val="en-US"/>
              </w:rPr>
              <w:t xml:space="preserve">National Statistics. (2017). </w:t>
            </w:r>
            <w:r>
              <w:rPr>
                <w:rFonts w:ascii="Trebuchet MS"/>
                <w:i w:val="1"/>
                <w:iCs w:val="1"/>
                <w:sz w:val="24"/>
                <w:szCs w:val="24"/>
                <w:rtl w:val="0"/>
                <w:lang w:val="en-US"/>
              </w:rPr>
              <w:t>Youth Justice Statistics 2016/17</w:t>
            </w:r>
            <w:r>
              <w:rPr>
                <w:rFonts w:ascii="Trebuchet MS"/>
                <w:sz w:val="24"/>
                <w:szCs w:val="24"/>
                <w:rtl w:val="0"/>
                <w:lang w:val="en-US"/>
              </w:rPr>
              <w:t xml:space="preserve">. [online] Available at: https://assets.publishing.service.gov.uk/government/uploads/system/uploads/attachment_data/file/676072/youth_justice_statistics_2016-17.pdf [Accessed 16 Apr. 2018]. </w:t>
            </w:r>
          </w:p>
          <w:p>
            <w:pPr>
              <w:pStyle w:val="Body"/>
              <w:spacing w:before="120" w:after="120" w:line="240" w:lineRule="auto"/>
              <w:rPr>
                <w:sz w:val="24"/>
                <w:szCs w:val="24"/>
              </w:rPr>
            </w:pPr>
            <w:r>
              <w:rPr>
                <w:rFonts w:ascii="Trebuchet MS"/>
                <w:sz w:val="24"/>
                <w:szCs w:val="24"/>
                <w:rtl w:val="0"/>
              </w:rPr>
              <w:t xml:space="preserve">pngimg (2013). </w:t>
            </w:r>
            <w:r>
              <w:rPr>
                <w:rFonts w:ascii="Trebuchet MS"/>
                <w:i w:val="1"/>
                <w:iCs w:val="1"/>
                <w:sz w:val="24"/>
                <w:szCs w:val="24"/>
                <w:rtl w:val="0"/>
                <w:lang w:val="it-IT"/>
              </w:rPr>
              <w:t>Question Mark</w:t>
            </w:r>
            <w:r>
              <w:rPr>
                <w:rFonts w:ascii="Trebuchet MS"/>
                <w:sz w:val="24"/>
                <w:szCs w:val="24"/>
                <w:rtl w:val="0"/>
                <w:lang w:val="en-US"/>
              </w:rPr>
              <w:t xml:space="preserve">. [image] Available at: http://pngimg.com/imgs/alphabet/question_mark/ [Accessed 24 Apr. 2018]. </w:t>
            </w:r>
          </w:p>
          <w:p>
            <w:pPr>
              <w:pStyle w:val="Body"/>
              <w:spacing w:before="120" w:after="120" w:line="240" w:lineRule="auto"/>
              <w:rPr>
                <w:sz w:val="24"/>
                <w:szCs w:val="24"/>
              </w:rPr>
            </w:pPr>
            <w:r>
              <w:rPr>
                <w:rFonts w:ascii="Trebuchet MS"/>
                <w:sz w:val="24"/>
                <w:szCs w:val="24"/>
                <w:rtl w:val="0"/>
              </w:rPr>
              <w:t>The Slovenia Times (2018).</w:t>
            </w:r>
            <w:r>
              <w:rPr>
                <w:rFonts w:ascii="Trebuchet MS"/>
                <w:i w:val="1"/>
                <w:iCs w:val="1"/>
                <w:sz w:val="24"/>
                <w:szCs w:val="24"/>
                <w:rtl w:val="0"/>
                <w:lang w:val="en-US"/>
              </w:rPr>
              <w:t xml:space="preserve"> Legislation</w:t>
            </w:r>
            <w:r>
              <w:rPr>
                <w:rFonts w:ascii="Trebuchet MS"/>
                <w:sz w:val="24"/>
                <w:szCs w:val="24"/>
                <w:rtl w:val="0"/>
                <w:lang w:val="en-US"/>
              </w:rPr>
              <w:t xml:space="preserve">. [image] Available at: http://www.sloveniatimes.com/legislation-on-real-estate-agencies-reformed [Accessed 24 Apr. 2018].  </w:t>
            </w:r>
          </w:p>
          <w:p>
            <w:pPr>
              <w:pStyle w:val="Body"/>
              <w:spacing w:before="120" w:after="120" w:line="240" w:lineRule="auto"/>
              <w:rPr>
                <w:sz w:val="24"/>
                <w:szCs w:val="24"/>
              </w:rPr>
            </w:pPr>
            <w:r>
              <w:rPr>
                <w:rFonts w:ascii="Trebuchet MS"/>
                <w:sz w:val="24"/>
                <w:szCs w:val="24"/>
                <w:rtl w:val="0"/>
                <w:lang w:val="en-US"/>
              </w:rPr>
              <w:t xml:space="preserve">University of California (2017). </w:t>
            </w:r>
            <w:r>
              <w:rPr>
                <w:rFonts w:ascii="Trebuchet MS"/>
                <w:i w:val="1"/>
                <w:iCs w:val="1"/>
                <w:sz w:val="24"/>
                <w:szCs w:val="24"/>
                <w:rtl w:val="0"/>
              </w:rPr>
              <w:t>Brain</w:t>
            </w:r>
            <w:r>
              <w:rPr>
                <w:rFonts w:ascii="Trebuchet MS"/>
                <w:sz w:val="24"/>
                <w:szCs w:val="24"/>
                <w:rtl w:val="0"/>
                <w:lang w:val="en-US"/>
              </w:rPr>
              <w:t xml:space="preserve">. [image] Available at: https://medicalxpress.com/news/2017-12-atlas-human-brain.html [Accessed 24 Apr. 2018]. </w:t>
            </w: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pPr>
            <w:r>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r>
          </w:p>
        </w:tc>
      </w:tr>
    </w:tbl>
    <w:p>
      <w:pPr>
        <w:pStyle w:val="Body"/>
        <w:rPr>
          <w:sz w:val="16"/>
          <w:szCs w:val="16"/>
        </w:rPr>
      </w:pPr>
    </w:p>
    <w:p>
      <w:pPr>
        <w:pStyle w:val="Body"/>
        <w:widowControl w:val="0"/>
        <w:jc w:val="right"/>
        <w:rPr>
          <w:rtl w:val="0"/>
        </w:rPr>
      </w:pPr>
      <w:r>
        <w:rPr>
          <w:rFonts w:ascii="Trebuchet MS"/>
          <w:rtl w:val="0"/>
        </w:rPr>
        <w:t>P.T.O.</w:t>
      </w:r>
    </w:p>
    <w:p>
      <w:pPr>
        <w:pStyle w:val="Body"/>
        <w:widowControl w:val="0"/>
        <w:spacing w:line="240" w:lineRule="auto"/>
        <w:jc w:val="right"/>
        <w:rPr>
          <w:rtl w:val="0"/>
        </w:rPr>
      </w:pPr>
    </w:p>
    <w:p>
      <w:pPr>
        <w:pStyle w:val="Body"/>
        <w:widowControl w:val="0"/>
        <w:spacing w:before="120" w:after="120" w:line="240" w:lineRule="auto"/>
        <w:rPr>
          <w:sz w:val="16"/>
          <w:szCs w:val="16"/>
        </w:rPr>
      </w:pPr>
    </w:p>
    <w:tbl>
      <w:tblPr>
        <w:tblW w:w="10314"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314"/>
      </w:tblGrid>
      <w:tr>
        <w:tblPrEx>
          <w:shd w:val="clear" w:color="auto" w:fill="auto"/>
        </w:tblPrEx>
        <w:trPr>
          <w:trHeight w:val="332" w:hRule="atLeast"/>
        </w:trPr>
        <w:tc>
          <w:tcPr>
            <w:tcW w:type="dxa" w:w="103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f243e"/>
            <w:tcMar>
              <w:top w:type="dxa" w:w="80"/>
              <w:left w:type="dxa" w:w="80"/>
              <w:bottom w:type="dxa" w:w="80"/>
              <w:right w:type="dxa" w:w="80"/>
            </w:tcMar>
            <w:vAlign w:val="top"/>
          </w:tcPr>
          <w:p>
            <w:pPr>
              <w:pStyle w:val="Body"/>
              <w:spacing w:before="120" w:after="120"/>
              <w:jc w:val="center"/>
            </w:pPr>
            <w:r>
              <w:rPr>
                <w:rFonts w:ascii="Calibri" w:cs="Calibri" w:hAnsi="Calibri" w:eastAsia="Calibri"/>
                <w:b w:val="1"/>
                <w:bCs w:val="1"/>
                <w:caps w:val="0"/>
                <w:smallCaps w:val="0"/>
                <w:strike w:val="0"/>
                <w:dstrike w:val="0"/>
                <w:outline w:val="0"/>
                <w:color w:val="ffffff"/>
                <w:spacing w:val="0"/>
                <w:kern w:val="0"/>
                <w:position w:val="0"/>
                <w:sz w:val="28"/>
                <w:szCs w:val="28"/>
                <w:u w:val="none" w:color="ffffff"/>
                <w:vertAlign w:val="baseline"/>
                <w:rtl w:val="0"/>
                <w:lang w:val="en-US"/>
              </w:rPr>
              <w:t>Tasks (Other than taking part in the video, who will do what)</w:t>
            </w:r>
          </w:p>
        </w:tc>
      </w:tr>
      <w:tr>
        <w:tblPrEx>
          <w:shd w:val="clear" w:color="auto" w:fill="auto"/>
        </w:tblPrEx>
        <w:trPr>
          <w:trHeight w:val="8928" w:hRule="atLeast"/>
        </w:trPr>
        <w:tc>
          <w:tcPr>
            <w:tcW w:type="dxa" w:w="103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line="240" w:lineRule="auto"/>
              <w:rPr>
                <w:sz w:val="28"/>
                <w:szCs w:val="28"/>
              </w:rPr>
            </w:pPr>
            <w:r>
              <w:rPr>
                <w:rFonts w:ascii="Trebuchet MS"/>
                <w:sz w:val="28"/>
                <w:szCs w:val="28"/>
                <w:rtl w:val="0"/>
                <w:lang w:val="en-US"/>
              </w:rPr>
              <w:t xml:space="preserve">Other than doing our own individual research, we decided to do our video in a powerpoint format. Each individual has to contribute to the powerpoint by designing their area of the video and sorting out the animation of their slides. </w:t>
            </w:r>
          </w:p>
          <w:p>
            <w:pPr>
              <w:pStyle w:val="Body"/>
              <w:spacing w:before="120" w:after="120" w:line="240" w:lineRule="auto"/>
              <w:rPr>
                <w:sz w:val="28"/>
                <w:szCs w:val="28"/>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pPr>
          </w:p>
          <w:p>
            <w:pPr>
              <w:pStyle w:val="Body"/>
              <w:spacing w:before="120" w:after="120" w:line="240" w:lineRule="auto"/>
            </w:pPr>
            <w:r>
              <w:rPr>
                <w:rFonts w:ascii="Calibri" w:cs="Calibri" w:hAnsi="Calibri" w:eastAsia="Calibri"/>
                <w:caps w:val="0"/>
                <w:smallCaps w:val="0"/>
                <w:strike w:val="0"/>
                <w:dstrike w:val="0"/>
                <w:outline w:val="0"/>
                <w:color w:val="000000"/>
                <w:spacing w:val="0"/>
                <w:kern w:val="0"/>
                <w:position w:val="0"/>
                <w:sz w:val="28"/>
                <w:szCs w:val="28"/>
                <w:u w:val="none" w:color="000000"/>
                <w:vertAlign w:val="baseline"/>
                <w:rtl w:val="0"/>
                <w:lang w:val="en-US"/>
              </w:rPr>
            </w:r>
          </w:p>
        </w:tc>
      </w:tr>
    </w:tbl>
    <w:p>
      <w:pPr>
        <w:pStyle w:val="Body"/>
        <w:widowControl w:val="0"/>
        <w:spacing w:before="120" w:after="120" w:line="240" w:lineRule="auto"/>
      </w:pPr>
      <w:r>
        <w:rPr>
          <w:sz w:val="16"/>
          <w:szCs w:val="16"/>
        </w:rPr>
      </w:r>
    </w:p>
    <w:sectPr>
      <w:headerReference w:type="default" r:id="rId4"/>
      <w:footerReference w:type="default" r:id="rId5"/>
      <w:pgSz w:w="11900" w:h="16840" w:orient="portrait"/>
      <w:pgMar w:top="1440" w:right="707" w:bottom="1276" w:left="85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pPr>
    <w:r>
      <mc:AlternateContent>
        <mc:Choice Requires="wpg">
          <w:drawing>
            <wp:anchor distT="152400" distB="152400" distL="152400" distR="152400" simplePos="0" relativeHeight="251658240" behindDoc="1" locked="0" layoutInCell="1" allowOverlap="1">
              <wp:simplePos x="0" y="0"/>
              <wp:positionH relativeFrom="page">
                <wp:posOffset>835659</wp:posOffset>
              </wp:positionH>
              <wp:positionV relativeFrom="page">
                <wp:posOffset>171450</wp:posOffset>
              </wp:positionV>
              <wp:extent cx="5762625" cy="628650"/>
              <wp:effectExtent l="0" t="0" r="0" b="0"/>
              <wp:wrapNone/>
              <wp:docPr id="1073741827" name="officeArt object"/>
              <wp:cNvGraphicFramePr/>
              <a:graphic xmlns:a="http://schemas.openxmlformats.org/drawingml/2006/main">
                <a:graphicData uri="http://schemas.microsoft.com/office/word/2010/wordprocessingGroup">
                  <wpg:wgp>
                    <wpg:cNvGrpSpPr/>
                    <wpg:grpSpPr>
                      <a:xfrm>
                        <a:off x="0" y="0"/>
                        <a:ext cx="5762625" cy="628650"/>
                        <a:chOff x="0" y="0"/>
                        <a:chExt cx="5762625" cy="628650"/>
                      </a:xfrm>
                    </wpg:grpSpPr>
                    <wps:wsp>
                      <wps:cNvPr id="1073741825" name="Shape 1073741825"/>
                      <wps:cNvSpPr/>
                      <wps:spPr>
                        <a:xfrm>
                          <a:off x="0" y="0"/>
                          <a:ext cx="5762625" cy="628650"/>
                        </a:xfrm>
                        <a:prstGeom prst="roundRect">
                          <a:avLst>
                            <a:gd name="adj" fmla="val 16667"/>
                          </a:avLst>
                        </a:prstGeom>
                        <a:gradFill flip="none" rotWithShape="1">
                          <a:gsLst>
                            <a:gs pos="0">
                              <a:srgbClr val="2E5E97"/>
                            </a:gs>
                            <a:gs pos="80000">
                              <a:srgbClr val="3C7BC7"/>
                            </a:gs>
                            <a:gs pos="100000">
                              <a:srgbClr val="3A7CCA"/>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26" name="Shape 1073741826"/>
                      <wps:cNvSpPr/>
                      <wps:spPr>
                        <a:xfrm>
                          <a:off x="30688" y="30688"/>
                          <a:ext cx="5701249" cy="567274"/>
                        </a:xfrm>
                        <a:prstGeom prst="rect">
                          <a:avLst/>
                        </a:prstGeom>
                        <a:noFill/>
                        <a:ln w="12700" cap="flat">
                          <a:noFill/>
                          <a:miter lim="400000"/>
                        </a:ln>
                        <a:effectLst/>
                      </wps:spPr>
                      <wps:txbx>
                        <w:txbxContent>
                          <w:p>
                            <w:pPr>
                              <w:pStyle w:val="Body"/>
                              <w:spacing w:after="0" w:line="240" w:lineRule="auto"/>
                              <w:jc w:val="center"/>
                            </w:pPr>
                            <w:r>
                              <w:rPr>
                                <w:rFonts w:ascii="Trebuchet MS"/>
                                <w:sz w:val="48"/>
                                <w:szCs w:val="48"/>
                                <w:rtl w:val="0"/>
                                <w:lang w:val="en-US"/>
                              </w:rPr>
                              <w:t xml:space="preserve">Video Assignment Planner </w:t>
                            </w:r>
                          </w:p>
                        </w:txbxContent>
                      </wps:txbx>
                      <wps:bodyPr wrap="square" lIns="45719" tIns="45719" rIns="45719" bIns="45719" numCol="1" anchor="ctr">
                        <a:noAutofit/>
                      </wps:bodyPr>
                    </wps:wsp>
                  </wpg:wgp>
                </a:graphicData>
              </a:graphic>
            </wp:anchor>
          </w:drawing>
        </mc:Choice>
        <mc:Fallback>
          <w:pict>
            <v:group id="_x0000_s1026" style="visibility:visible;position:absolute;margin-left:65.8pt;margin-top:13.5pt;width:453.8pt;height:49.5pt;z-index:-251658240;mso-position-horizontal:absolute;mso-position-horizontal-relative:page;mso-position-vertical:absolute;mso-position-vertical-relative:page;mso-wrap-distance-left:12.0pt;mso-wrap-distance-top:12.0pt;mso-wrap-distance-right:12.0pt;mso-wrap-distance-bottom:12.0pt;" coordorigin="0,0" coordsize="5762625,628650">
              <w10:wrap type="none" side="bothSides" anchorx="page" anchory="page"/>
              <v:roundrect id="_x0000_s1027" style="position:absolute;left:0;top:0;width:5762625;height:628650;" adj="3600">
                <v:fill angle="0fd" focus="0%" colors="80.0% #3C7BC7" color="#2E5E97" opacity="100.0%" color2="#3A7CCA"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roundrect>
              <v:rect id="_x0000_s1028" style="position:absolute;left:30688;top:30688;width:5701249;height:567274;">
                <v:fill on="f"/>
                <v:stroke on="f" weight="1.0pt" dashstyle="solid" endcap="flat" miterlimit="400.0%" joinstyle="miter" linestyle="single" startarrow="none" startarrowwidth="medium" startarrowlength="medium" endarrow="none" endarrowwidth="medium" endarrowlength="medium"/>
                <v:textbox>
                  <w:txbxContent>
                    <w:p>
                      <w:pPr>
                        <w:pStyle w:val="Body"/>
                        <w:spacing w:after="0" w:line="240" w:lineRule="auto"/>
                        <w:jc w:val="center"/>
                      </w:pPr>
                      <w:r>
                        <w:rPr>
                          <w:rFonts w:ascii="Trebuchet MS"/>
                          <w:sz w:val="48"/>
                          <w:szCs w:val="48"/>
                          <w:rtl w:val="0"/>
                          <w:lang w:val="en-US"/>
                        </w:rPr>
                        <w:t xml:space="preserve">Video Assignment Planner </w:t>
                      </w:r>
                    </w:p>
                  </w:txbxContent>
                </v:textbox>
              </v:rect>
            </v:group>
          </w:pict>
        </mc:Fallback>
      </mc:AlternateContent>
    </w:r>
    <w:r>
      <w:drawing>
        <wp:anchor distT="152400" distB="152400" distL="152400" distR="152400" simplePos="0" relativeHeight="251659264" behindDoc="1" locked="0" layoutInCell="1" allowOverlap="1">
          <wp:simplePos x="0" y="0"/>
          <wp:positionH relativeFrom="page">
            <wp:posOffset>559434</wp:posOffset>
          </wp:positionH>
          <wp:positionV relativeFrom="page">
            <wp:posOffset>9829165</wp:posOffset>
          </wp:positionV>
          <wp:extent cx="1371600" cy="467033"/>
          <wp:effectExtent l="0" t="0" r="0"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1.png"/>
                  <pic:cNvPicPr/>
                </pic:nvPicPr>
                <pic:blipFill>
                  <a:blip r:embed="rId1">
                    <a:extLst/>
                  </a:blip>
                  <a:stretch>
                    <a:fillRect/>
                  </a:stretch>
                </pic:blipFill>
                <pic:spPr>
                  <a:xfrm>
                    <a:off x="0" y="0"/>
                    <a:ext cx="1371600" cy="467033"/>
                  </a:xfrm>
                  <a:prstGeom prst="rect">
                    <a:avLst/>
                  </a:prstGeom>
                  <a:ln w="12700" cap="flat">
                    <a:noFill/>
                    <a:miter lim="400000"/>
                  </a:ln>
                  <a:effectLst/>
                </pic:spPr>
              </pic:pic>
            </a:graphicData>
          </a:graphic>
        </wp:anchor>
      </w:drawing>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_rels/header1.xml.rels><?xml version="1.0" encoding="UTF-8" standalone="yes"?><Relationships xmlns="http://schemas.openxmlformats.org/package/2006/relationships"><Relationship Id="rId1" Type="http://schemas.openxmlformats.org/officeDocument/2006/relationships/image" Target="media/image2.png"/></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10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