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09007492"/>
      </w:sdtPr>
      <w:sdtContent>
        <w:p w14:paraId="7B32E2DC">
          <w:r>
            <mc:AlternateContent>
              <mc:Choice Requires="wpg">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0288;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9"/>
                      <v:stroke on="f" weight="1pt" miterlimit="8" joinstyle="miter"/>
                      <v:imagedata o:title=""/>
                      <o:lock v:ext="edit" aspectratio="f"/>
                    </v:rect>
                  </v:group>
                </w:pict>
              </mc:Fallback>
            </mc:AlternateContent>
          </w:r>
          <w: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3DDAC">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r>
                                      <w:rPr>
                                        <w:rFonts w:hint="eastAsia" w:eastAsia="宋体"/>
                                        <w:caps/>
                                        <w:color w:val="4472C4" w:themeColor="accent1"/>
                                        <w:sz w:val="64"/>
                                        <w:szCs w:val="64"/>
                                        <w:lang w:val="en-US" w:eastAsia="zh-CN"/>
                                        <w14:textFill>
                                          <w14:solidFill>
                                            <w14:schemeClr w14:val="accent1"/>
                                          </w14:solidFill>
                                        </w14:textFill>
                                      </w:rPr>
                                      <w:t>An Exploration of Cultural Differences in Business Ethics</w:t>
                                    </w:r>
                                  </w:sdtContent>
                                </w:sdt>
                              </w:p>
                              <w:p w14:paraId="6B5C0B1D">
                                <w:pPr>
                                  <w:jc w:val="right"/>
                                  <w:rPr>
                                    <w:smallCaps/>
                                    <w:color w:val="404040" w:themeColor="text1" w:themeTint="BF"/>
                                    <w:sz w:val="36"/>
                                    <w:szCs w:val="36"/>
                                    <w14:textFill>
                                      <w14:solidFill>
                                        <w14:schemeClr w14:val="tx1">
                                          <w14:lumMod w14:val="75000"/>
                                          <w14:lumOff w14:val="25000"/>
                                        </w14:schemeClr>
                                      </w14:solidFill>
                                    </w14:textFill>
                                  </w:rPr>
                                </w:pPr>
                                <w:r>
                                  <w:rPr>
                                    <w:rFonts w:hint="eastAsia" w:eastAsiaTheme="minorEastAsia"/>
                                    <w:color w:val="404040" w:themeColor="text1" w:themeTint="BF"/>
                                    <w:sz w:val="36"/>
                                    <w:szCs w:val="36"/>
                                    <w:lang w:eastAsia="zh-CN"/>
                                    <w14:textFill>
                                      <w14:solidFill>
                                        <w14:schemeClr w14:val="tx1">
                                          <w14:lumMod w14:val="75000"/>
                                          <w14:lumOff w14:val="25000"/>
                                        </w14:schemeClr>
                                      </w14:solidFill>
                                    </w14:textFill>
                                  </w:rPr>
                                  <w:t>Taking</w:t>
                                </w:r>
                                <w:r>
                                  <w:rPr>
                                    <w:rFonts w:hint="eastAsia"/>
                                    <w:color w:val="404040" w:themeColor="text1" w:themeTint="BF"/>
                                    <w:sz w:val="36"/>
                                    <w:szCs w:val="36"/>
                                    <w14:textFill>
                                      <w14:solidFill>
                                        <w14:schemeClr w14:val="tx1">
                                          <w14:lumMod w14:val="75000"/>
                                          <w14:lumOff w14:val="25000"/>
                                        </w14:schemeClr>
                                      </w14:solidFill>
                                    </w14:textFill>
                                  </w:rPr>
                                  <w:t xml:space="preserve"> McDonald</w:t>
                                </w:r>
                                <w:r>
                                  <w:rPr>
                                    <w:rFonts w:eastAsiaTheme="minorEastAsia"/>
                                    <w:color w:val="404040" w:themeColor="text1" w:themeTint="BF"/>
                                    <w:sz w:val="36"/>
                                    <w:szCs w:val="36"/>
                                    <w:lang w:eastAsia="zh-CN"/>
                                    <w14:textFill>
                                      <w14:solidFill>
                                        <w14:schemeClr w14:val="tx1">
                                          <w14:lumMod w14:val="75000"/>
                                          <w14:lumOff w14:val="25000"/>
                                        </w14:schemeClr>
                                      </w14:solidFill>
                                    </w14:textFill>
                                  </w:rPr>
                                  <w:t>’</w:t>
                                </w:r>
                                <w:r>
                                  <w:rPr>
                                    <w:rFonts w:hint="eastAsia"/>
                                    <w:color w:val="404040" w:themeColor="text1" w:themeTint="BF"/>
                                    <w:sz w:val="36"/>
                                    <w:szCs w:val="36"/>
                                    <w14:textFill>
                                      <w14:solidFill>
                                        <w14:schemeClr w14:val="tx1">
                                          <w14:lumMod w14:val="75000"/>
                                          <w14:lumOff w14:val="25000"/>
                                        </w14:schemeClr>
                                      </w14:solidFill>
                                    </w14:textFill>
                                  </w:rPr>
                                  <w:t>s as an example</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252.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A92KB1wAAAAYBAAAPAAAAAAAAAAEAIAAAACIAAABkcnMvZG93bnJldi54&#10;bWxQSwECFAAUAAAACACHTuJAvFmcRDQCAABzBAAADgAAAAAAAAABACAAAAAmAQAAZHJzL2Uyb0Rv&#10;Yy54bWxQSwUGAAAAAAYABgBZAQAAzAUAAAAA&#10;">
                    <v:fill on="f" focussize="0,0"/>
                    <v:stroke on="f" weight="0.5pt"/>
                    <v:imagedata o:title=""/>
                    <o:lock v:ext="edit" aspectratio="f"/>
                    <v:textbox inset="44.45mm,0mm,19.05mm,0mm">
                      <w:txbxContent>
                        <w:p w14:paraId="6C03DDAC">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r>
                                <w:rPr>
                                  <w:rFonts w:hint="eastAsia" w:eastAsia="宋体"/>
                                  <w:caps/>
                                  <w:color w:val="4472C4" w:themeColor="accent1"/>
                                  <w:sz w:val="64"/>
                                  <w:szCs w:val="64"/>
                                  <w:lang w:val="en-US" w:eastAsia="zh-CN"/>
                                  <w14:textFill>
                                    <w14:solidFill>
                                      <w14:schemeClr w14:val="accent1"/>
                                    </w14:solidFill>
                                  </w14:textFill>
                                </w:rPr>
                                <w:t>An Exploration of Cultural Differences in Business Ethics</w:t>
                              </w:r>
                            </w:sdtContent>
                          </w:sdt>
                        </w:p>
                        <w:p w14:paraId="6B5C0B1D">
                          <w:pPr>
                            <w:jc w:val="right"/>
                            <w:rPr>
                              <w:smallCaps/>
                              <w:color w:val="404040" w:themeColor="text1" w:themeTint="BF"/>
                              <w:sz w:val="36"/>
                              <w:szCs w:val="36"/>
                              <w14:textFill>
                                <w14:solidFill>
                                  <w14:schemeClr w14:val="tx1">
                                    <w14:lumMod w14:val="75000"/>
                                    <w14:lumOff w14:val="25000"/>
                                  </w14:schemeClr>
                                </w14:solidFill>
                              </w14:textFill>
                            </w:rPr>
                          </w:pPr>
                          <w:r>
                            <w:rPr>
                              <w:rFonts w:hint="eastAsia" w:eastAsiaTheme="minorEastAsia"/>
                              <w:color w:val="404040" w:themeColor="text1" w:themeTint="BF"/>
                              <w:sz w:val="36"/>
                              <w:szCs w:val="36"/>
                              <w:lang w:eastAsia="zh-CN"/>
                              <w14:textFill>
                                <w14:solidFill>
                                  <w14:schemeClr w14:val="tx1">
                                    <w14:lumMod w14:val="75000"/>
                                    <w14:lumOff w14:val="25000"/>
                                  </w14:schemeClr>
                                </w14:solidFill>
                              </w14:textFill>
                            </w:rPr>
                            <w:t>Taking</w:t>
                          </w:r>
                          <w:r>
                            <w:rPr>
                              <w:rFonts w:hint="eastAsia"/>
                              <w:color w:val="404040" w:themeColor="text1" w:themeTint="BF"/>
                              <w:sz w:val="36"/>
                              <w:szCs w:val="36"/>
                              <w14:textFill>
                                <w14:solidFill>
                                  <w14:schemeClr w14:val="tx1">
                                    <w14:lumMod w14:val="75000"/>
                                    <w14:lumOff w14:val="25000"/>
                                  </w14:schemeClr>
                                </w14:solidFill>
                              </w14:textFill>
                            </w:rPr>
                            <w:t xml:space="preserve"> McDonald</w:t>
                          </w:r>
                          <w:r>
                            <w:rPr>
                              <w:rFonts w:eastAsiaTheme="minorEastAsia"/>
                              <w:color w:val="404040" w:themeColor="text1" w:themeTint="BF"/>
                              <w:sz w:val="36"/>
                              <w:szCs w:val="36"/>
                              <w:lang w:eastAsia="zh-CN"/>
                              <w14:textFill>
                                <w14:solidFill>
                                  <w14:schemeClr w14:val="tx1">
                                    <w14:lumMod w14:val="75000"/>
                                    <w14:lumOff w14:val="25000"/>
                                  </w14:schemeClr>
                                </w14:solidFill>
                              </w14:textFill>
                            </w:rPr>
                            <w:t>’</w:t>
                          </w:r>
                          <w:r>
                            <w:rPr>
                              <w:rFonts w:hint="eastAsia"/>
                              <w:color w:val="404040" w:themeColor="text1" w:themeTint="BF"/>
                              <w:sz w:val="36"/>
                              <w:szCs w:val="36"/>
                              <w14:textFill>
                                <w14:solidFill>
                                  <w14:schemeClr w14:val="tx1">
                                    <w14:lumMod w14:val="75000"/>
                                    <w14:lumOff w14:val="25000"/>
                                  </w14:schemeClr>
                                </w14:solidFill>
                              </w14:textFill>
                            </w:rPr>
                            <w:t>s as an example</w:t>
                          </w:r>
                        </w:p>
                      </w:txbxContent>
                    </v:textbox>
                    <w10:wrap type="square"/>
                  </v:shape>
                </w:pict>
              </mc:Fallback>
            </mc:AlternateContent>
          </w:r>
        </w:p>
        <w:p w14:paraId="6A361797">
          <w:r>
            <w:rPr>
              <w:sz w:val="24"/>
            </w:rPr>
            <mc:AlternateContent>
              <mc:Choice Requires="wps">
                <w:drawing>
                  <wp:anchor distT="0" distB="0" distL="114300" distR="114300" simplePos="0" relativeHeight="251661312" behindDoc="0" locked="0" layoutInCell="1" allowOverlap="1">
                    <wp:simplePos x="0" y="0"/>
                    <wp:positionH relativeFrom="column">
                      <wp:posOffset>362585</wp:posOffset>
                    </wp:positionH>
                    <wp:positionV relativeFrom="paragraph">
                      <wp:posOffset>6075045</wp:posOffset>
                    </wp:positionV>
                    <wp:extent cx="5368290" cy="3140710"/>
                    <wp:effectExtent l="0" t="0" r="3810" b="8890"/>
                    <wp:wrapNone/>
                    <wp:docPr id="1" name="文本框 1"/>
                    <wp:cNvGraphicFramePr/>
                    <a:graphic xmlns:a="http://schemas.openxmlformats.org/drawingml/2006/main">
                      <a:graphicData uri="http://schemas.microsoft.com/office/word/2010/wordprocessingShape">
                        <wps:wsp>
                          <wps:cNvSpPr txBox="1"/>
                          <wps:spPr>
                            <a:xfrm>
                              <a:off x="1774825" y="7270115"/>
                              <a:ext cx="5368290" cy="314071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61E635F2">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Module code: BMBM6008</w:t>
                                </w:r>
                              </w:p>
                              <w:p w14:paraId="7D46990A">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Module name: Global Ethics</w:t>
                                </w:r>
                              </w:p>
                              <w:p w14:paraId="5A5F5F81">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Student name: Shuqi Xin</w:t>
                                </w:r>
                              </w:p>
                              <w:p w14:paraId="42F9B0F5">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Student id: 2317430</w:t>
                                </w:r>
                              </w:p>
                              <w:p w14:paraId="7B39E822">
                                <w:pPr>
                                  <w:pStyle w:val="21"/>
                                  <w:widowControl/>
                                  <w:jc w:val="center"/>
                                  <w:rPr>
                                    <w:rFonts w:hint="default"/>
                                    <w:color w:val="ED7D31"/>
                                    <w:sz w:val="32"/>
                                    <w:szCs w:val="32"/>
                                    <w:lang w:val="en-US"/>
                                  </w:rPr>
                                </w:pPr>
                                <w:r>
                                  <w:rPr>
                                    <w:rFonts w:hint="default" w:ascii="Arial" w:hAnsi="Arial" w:cs="Arial"/>
                                    <w:color w:val="000000"/>
                                    <w:sz w:val="32"/>
                                    <w:szCs w:val="32"/>
                                    <w:lang w:val="en-US" w:eastAsia="zh-CN"/>
                                  </w:rPr>
                                  <w:t>Words count:</w:t>
                                </w:r>
                                <w:r>
                                  <w:rPr>
                                    <w:rFonts w:hint="eastAsia" w:ascii="Arial" w:hAnsi="Arial" w:cs="Arial"/>
                                    <w:color w:val="000000"/>
                                    <w:sz w:val="32"/>
                                    <w:szCs w:val="32"/>
                                    <w:lang w:val="en-US" w:eastAsia="zh-CN"/>
                                  </w:rPr>
                                  <w:t>2550</w:t>
                                </w:r>
                              </w:p>
                              <w:p w14:paraId="06EC5498"/>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5pt;margin-top:478.35pt;height:247.3pt;width:422.7pt;z-index:251661312;mso-width-relative:page;mso-height-relative:page;" filled="f" stroked="f" coordsize="21600,21600" o:gfxdata="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F+1urrcAAAACwEAAA8AAAAAAAAAAQAgAAAA&#10;IgAAAGRycy9kb3ducmV2LnhtbFBLAQIUABQAAAAIAIdO4kALpk7MsgIAAFsFAAAOAAAAAAAAAAEA&#10;IAAAACsBAABkcnMvZTJvRG9jLnhtbFBLBQYAAAAABgAGAFkBAABPBgAAAAA=&#10;">
                    <v:fill on="f" focussize="0,0"/>
                    <v:stroke on="f" weight="0.5pt"/>
                    <v:imagedata o:title=""/>
                    <o:lock v:ext="edit" aspectratio="f"/>
                    <v:textbox>
                      <w:txbxContent>
                        <w:p w14:paraId="61E635F2">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Module code: BMBM6008</w:t>
                          </w:r>
                        </w:p>
                        <w:p w14:paraId="7D46990A">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Module name: Global Ethics</w:t>
                          </w:r>
                        </w:p>
                        <w:p w14:paraId="5A5F5F81">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Student name: Shuqi Xin</w:t>
                          </w:r>
                        </w:p>
                        <w:p w14:paraId="42F9B0F5">
                          <w:pPr>
                            <w:keepNext w:val="0"/>
                            <w:keepLines w:val="0"/>
                            <w:widowControl/>
                            <w:suppressLineNumbers w:val="0"/>
                            <w:spacing w:before="0" w:beforeAutospacing="0" w:after="160" w:afterAutospacing="0" w:line="480" w:lineRule="auto"/>
                            <w:ind w:left="0" w:right="0"/>
                            <w:jc w:val="center"/>
                            <w:rPr>
                              <w:rFonts w:cs="Arial"/>
                              <w:color w:val="000000"/>
                              <w:sz w:val="32"/>
                              <w:szCs w:val="32"/>
                              <w:lang w:val="en-US" w:eastAsia="zh-CN"/>
                            </w:rPr>
                          </w:pPr>
                          <w:r>
                            <w:rPr>
                              <w:rFonts w:ascii="Arial" w:hAnsi="Arial" w:eastAsia="Calibri" w:cs="Arial"/>
                              <w:color w:val="000000"/>
                              <w:kern w:val="0"/>
                              <w:sz w:val="32"/>
                              <w:szCs w:val="32"/>
                              <w:lang w:val="en-US" w:eastAsia="zh-CN" w:bidi="ar"/>
                            </w:rPr>
                            <w:t>Student id: 2317430</w:t>
                          </w:r>
                        </w:p>
                        <w:p w14:paraId="7B39E822">
                          <w:pPr>
                            <w:pStyle w:val="21"/>
                            <w:widowControl/>
                            <w:jc w:val="center"/>
                            <w:rPr>
                              <w:rFonts w:hint="default"/>
                              <w:color w:val="ED7D31"/>
                              <w:sz w:val="32"/>
                              <w:szCs w:val="32"/>
                              <w:lang w:val="en-US"/>
                            </w:rPr>
                          </w:pPr>
                          <w:r>
                            <w:rPr>
                              <w:rFonts w:hint="default" w:ascii="Arial" w:hAnsi="Arial" w:cs="Arial"/>
                              <w:color w:val="000000"/>
                              <w:sz w:val="32"/>
                              <w:szCs w:val="32"/>
                              <w:lang w:val="en-US" w:eastAsia="zh-CN"/>
                            </w:rPr>
                            <w:t>Words count:</w:t>
                          </w:r>
                          <w:r>
                            <w:rPr>
                              <w:rFonts w:hint="eastAsia" w:ascii="Arial" w:hAnsi="Arial" w:cs="Arial"/>
                              <w:color w:val="000000"/>
                              <w:sz w:val="32"/>
                              <w:szCs w:val="32"/>
                              <w:lang w:val="en-US" w:eastAsia="zh-CN"/>
                            </w:rPr>
                            <w:t>2550</w:t>
                          </w:r>
                        </w:p>
                        <w:p w14:paraId="06EC5498"/>
                      </w:txbxContent>
                    </v:textbox>
                  </v:shape>
                </w:pict>
              </mc:Fallback>
            </mc:AlternateContent>
          </w:r>
          <w:r>
            <w:br w:type="page"/>
          </w:r>
        </w:p>
      </w:sdtContent>
    </w:sdt>
    <w:p w14:paraId="3833FDDB">
      <w:pPr>
        <w:rPr>
          <w:rFonts w:cs="Arial"/>
          <w:color w:val="2F5597" w:themeColor="accent1" w:themeShade="BF"/>
          <w:sz w:val="32"/>
          <w:szCs w:val="32"/>
        </w:rPr>
      </w:pPr>
      <w:r>
        <w:rPr>
          <w:rFonts w:cs="Arial"/>
          <w:color w:val="2F5597" w:themeColor="accent1" w:themeShade="BF"/>
          <w:sz w:val="32"/>
          <w:szCs w:val="32"/>
        </w:rPr>
        <w:t>Executive Summary</w:t>
      </w:r>
    </w:p>
    <w:p w14:paraId="3D9E9A05">
      <w:pPr>
        <w:pStyle w:val="9"/>
        <w:spacing w:line="480" w:lineRule="auto"/>
        <w:jc w:val="both"/>
        <w:rPr>
          <w:rFonts w:eastAsia="Calibri"/>
        </w:rPr>
      </w:pPr>
      <w:r>
        <w:rPr>
          <w:rFonts w:hint="eastAsia" w:eastAsia="Calibri"/>
        </w:rPr>
        <w:t>This record analyzes and evaluates McDonald</w:t>
      </w:r>
      <w:r>
        <w:rPr>
          <w:rFonts w:eastAsiaTheme="minorEastAsia"/>
        </w:rPr>
        <w:t>’</w:t>
      </w:r>
      <w:r>
        <w:rPr>
          <w:rFonts w:hint="eastAsia" w:eastAsia="Calibri"/>
        </w:rPr>
        <w:t>s cultural adaptation and company social duty (CSR) practices in the context of globalization. By applying the idea of cultural relativism and Carroll</w:t>
      </w:r>
      <w:r>
        <w:rPr>
          <w:rFonts w:eastAsiaTheme="minorEastAsia"/>
        </w:rPr>
        <w:t>’</w:t>
      </w:r>
      <w:r>
        <w:rPr>
          <w:rFonts w:hint="eastAsia" w:eastAsia="Calibri"/>
        </w:rPr>
        <w:t>s CSR Pyramid, the file examines how McDonald</w:t>
      </w:r>
      <w:r>
        <w:rPr>
          <w:rFonts w:eastAsiaTheme="minorEastAsia"/>
        </w:rPr>
        <w:t>’</w:t>
      </w:r>
      <w:r>
        <w:rPr>
          <w:rFonts w:hint="eastAsia" w:eastAsia="Calibri"/>
        </w:rPr>
        <w:t xml:space="preserve">s fulfills its social obligations throughout economic, legal, ethical, and philanthropic dimensions whilst balancing the moral conflicts between globalization and localization. The </w:t>
      </w:r>
      <w:r>
        <w:rPr>
          <w:rFonts w:hint="eastAsia" w:eastAsia="宋体"/>
        </w:rPr>
        <w:t xml:space="preserve">report </w:t>
      </w:r>
      <w:r>
        <w:rPr>
          <w:rFonts w:hint="eastAsia" w:eastAsia="Calibri"/>
        </w:rPr>
        <w:t>finds that McDonald</w:t>
      </w:r>
      <w:r>
        <w:rPr>
          <w:rFonts w:eastAsiaTheme="minorEastAsia"/>
        </w:rPr>
        <w:t>’</w:t>
      </w:r>
      <w:r>
        <w:rPr>
          <w:rFonts w:hint="eastAsia" w:eastAsia="Calibri"/>
        </w:rPr>
        <w:t>s CSR practices are commonly positive, with its Ronald McDonald House Charities (RMHC) taking part in a key position in enhancing children</w:t>
      </w:r>
      <w:r>
        <w:rPr>
          <w:rFonts w:eastAsiaTheme="minorEastAsia"/>
        </w:rPr>
        <w:t>’</w:t>
      </w:r>
      <w:r>
        <w:rPr>
          <w:rFonts w:hint="eastAsia" w:eastAsia="Calibri"/>
        </w:rPr>
        <w:t>s fitness and aiding household well-being, demonstrating McDonald</w:t>
      </w:r>
      <w:r>
        <w:rPr>
          <w:rFonts w:eastAsiaTheme="minorEastAsia"/>
        </w:rPr>
        <w:t>’</w:t>
      </w:r>
      <w:r>
        <w:rPr>
          <w:rFonts w:hint="eastAsia" w:eastAsia="Calibri"/>
        </w:rPr>
        <w:t>s efforts in the philanthropic dimension</w:t>
      </w:r>
      <w:r>
        <w:rPr>
          <w:rFonts w:eastAsia="Calibri"/>
        </w:rPr>
        <w:t xml:space="preserve">. </w:t>
      </w:r>
      <w:r>
        <w:rPr>
          <w:rFonts w:hint="eastAsia" w:eastAsia="Calibri"/>
        </w:rPr>
        <w:t xml:space="preserve">The study does, however, also point out areas in which McDonald's has to improve, including its healthy meal options, employee welfare, and environmental sustainability. More </w:t>
      </w:r>
      <w:r>
        <w:rPr>
          <w:rFonts w:hint="eastAsia" w:eastAsia="宋体"/>
        </w:rPr>
        <w:t>must</w:t>
      </w:r>
      <w:r>
        <w:rPr>
          <w:rFonts w:hint="eastAsia" w:eastAsia="Calibri"/>
        </w:rPr>
        <w:t xml:space="preserve"> be done to address these shortcomings, such as boosting RMHC's direct funding, improving employee welfare programs, bolstering efforts to recycle plastic and use renewable energy, and maximizing the production and distribution of nutritious food items. To strike a balance between financial success and social commitment, McDonald's should strengthen its international legal and ethical standards while implementing culturally sensitive tactics suited to regional situations. McDonald's can strengthen its position as a worldwide leader and provide other multinational firms with important lessons by putting these approaches into practice.</w:t>
      </w:r>
    </w:p>
    <w:p w14:paraId="08877508">
      <w:r>
        <w:t>.</w:t>
      </w:r>
      <w:r>
        <w:br w:type="page"/>
      </w:r>
    </w:p>
    <w:sdt>
      <w:sdtPr>
        <w:rPr>
          <w:rFonts w:eastAsiaTheme="minorHAnsi" w:cstheme="minorBidi"/>
          <w:color w:val="auto"/>
          <w:sz w:val="24"/>
          <w:szCs w:val="22"/>
          <w:lang w:val="en-GB"/>
        </w:rPr>
        <w:id w:val="1461154688"/>
        <w:docPartObj>
          <w:docPartGallery w:val="Table of Contents"/>
          <w:docPartUnique/>
        </w:docPartObj>
      </w:sdtPr>
      <w:sdtEndPr>
        <w:rPr>
          <w:rFonts w:eastAsiaTheme="minorHAnsi" w:cstheme="minorBidi"/>
          <w:b/>
          <w:bCs/>
          <w:color w:val="auto"/>
          <w:sz w:val="24"/>
          <w:szCs w:val="22"/>
          <w:lang w:val="en-GB"/>
        </w:rPr>
      </w:sdtEndPr>
      <w:sdtContent>
        <w:p w14:paraId="4FA164C2">
          <w:pPr>
            <w:pStyle w:val="20"/>
          </w:pPr>
          <w:r>
            <w:t>Contents</w:t>
          </w:r>
        </w:p>
        <w:p w14:paraId="3E0FBD0E"/>
        <w:p w14:paraId="7DA350CC">
          <w:pPr>
            <w:pStyle w:val="7"/>
            <w:tabs>
              <w:tab w:val="right" w:leader="dot" w:pos="9026"/>
            </w:tabs>
          </w:pPr>
          <w:r>
            <w:fldChar w:fldCharType="begin"/>
          </w:r>
          <w:r>
            <w:instrText xml:space="preserve"> TOC \o "1-3" \h \z \u </w:instrText>
          </w:r>
          <w:r>
            <w:fldChar w:fldCharType="separate"/>
          </w:r>
          <w:r>
            <w:fldChar w:fldCharType="begin"/>
          </w:r>
          <w:r>
            <w:instrText xml:space="preserve"> HYPERLINK \l "_Toc5972" </w:instrText>
          </w:r>
          <w:r>
            <w:fldChar w:fldCharType="separate"/>
          </w:r>
          <w:r>
            <w:t>Introduction</w:t>
          </w:r>
          <w:r>
            <w:tab/>
          </w:r>
          <w:r>
            <w:fldChar w:fldCharType="begin"/>
          </w:r>
          <w:r>
            <w:instrText xml:space="preserve"> PAGEREF _Toc5972 \h </w:instrText>
          </w:r>
          <w:r>
            <w:fldChar w:fldCharType="separate"/>
          </w:r>
          <w:r>
            <w:t>3</w:t>
          </w:r>
          <w:r>
            <w:fldChar w:fldCharType="end"/>
          </w:r>
          <w:r>
            <w:fldChar w:fldCharType="end"/>
          </w:r>
        </w:p>
        <w:p w14:paraId="7D5F98A4">
          <w:pPr>
            <w:pStyle w:val="7"/>
            <w:tabs>
              <w:tab w:val="right" w:leader="dot" w:pos="9026"/>
            </w:tabs>
          </w:pPr>
          <w:r>
            <w:fldChar w:fldCharType="begin"/>
          </w:r>
          <w:r>
            <w:instrText xml:space="preserve"> HYPERLINK \l "_Toc31940" </w:instrText>
          </w:r>
          <w:r>
            <w:fldChar w:fldCharType="separate"/>
          </w:r>
          <w:r>
            <w:t>Background to the Case Study</w:t>
          </w:r>
          <w:r>
            <w:tab/>
          </w:r>
          <w:r>
            <w:fldChar w:fldCharType="begin"/>
          </w:r>
          <w:r>
            <w:instrText xml:space="preserve"> PAGEREF _Toc31940 \h </w:instrText>
          </w:r>
          <w:r>
            <w:fldChar w:fldCharType="separate"/>
          </w:r>
          <w:r>
            <w:t>4</w:t>
          </w:r>
          <w:r>
            <w:fldChar w:fldCharType="end"/>
          </w:r>
          <w:r>
            <w:fldChar w:fldCharType="end"/>
          </w:r>
        </w:p>
        <w:p w14:paraId="576FD991">
          <w:pPr>
            <w:pStyle w:val="7"/>
            <w:tabs>
              <w:tab w:val="right" w:leader="dot" w:pos="9026"/>
            </w:tabs>
          </w:pPr>
          <w:r>
            <w:fldChar w:fldCharType="begin"/>
          </w:r>
          <w:r>
            <w:instrText xml:space="preserve"> HYPERLINK \l "_Toc8556" </w:instrText>
          </w:r>
          <w:r>
            <w:fldChar w:fldCharType="separate"/>
          </w:r>
          <w:r>
            <w:t>Methods</w:t>
          </w:r>
          <w:r>
            <w:tab/>
          </w:r>
          <w:r>
            <w:fldChar w:fldCharType="begin"/>
          </w:r>
          <w:r>
            <w:instrText xml:space="preserve"> PAGEREF _Toc8556 \h </w:instrText>
          </w:r>
          <w:r>
            <w:fldChar w:fldCharType="separate"/>
          </w:r>
          <w:r>
            <w:t>6</w:t>
          </w:r>
          <w:r>
            <w:fldChar w:fldCharType="end"/>
          </w:r>
          <w:r>
            <w:fldChar w:fldCharType="end"/>
          </w:r>
        </w:p>
        <w:p w14:paraId="78FA719B">
          <w:pPr>
            <w:pStyle w:val="7"/>
            <w:tabs>
              <w:tab w:val="right" w:leader="dot" w:pos="9026"/>
            </w:tabs>
          </w:pPr>
          <w:r>
            <w:fldChar w:fldCharType="begin"/>
          </w:r>
          <w:r>
            <w:instrText xml:space="preserve"> HYPERLINK \l "_Toc23296" </w:instrText>
          </w:r>
          <w:r>
            <w:fldChar w:fldCharType="separate"/>
          </w:r>
          <w:r>
            <w:t>Main Body</w:t>
          </w:r>
          <w:r>
            <w:tab/>
          </w:r>
          <w:r>
            <w:fldChar w:fldCharType="begin"/>
          </w:r>
          <w:r>
            <w:instrText xml:space="preserve"> PAGEREF _Toc23296 \h </w:instrText>
          </w:r>
          <w:r>
            <w:fldChar w:fldCharType="separate"/>
          </w:r>
          <w:r>
            <w:t>7</w:t>
          </w:r>
          <w:r>
            <w:fldChar w:fldCharType="end"/>
          </w:r>
          <w:r>
            <w:fldChar w:fldCharType="end"/>
          </w:r>
        </w:p>
        <w:p w14:paraId="3AE530A9">
          <w:pPr>
            <w:pStyle w:val="8"/>
            <w:tabs>
              <w:tab w:val="right" w:leader="dot" w:pos="9026"/>
            </w:tabs>
          </w:pPr>
          <w:r>
            <w:fldChar w:fldCharType="begin"/>
          </w:r>
          <w:r>
            <w:instrText xml:space="preserve"> HYPERLINK \l "_Toc1105" </w:instrText>
          </w:r>
          <w:r>
            <w:fldChar w:fldCharType="separate"/>
          </w:r>
          <w:r>
            <w:t>Cultural Relativism and McDonald’s Ethical Adaptation</w:t>
          </w:r>
          <w:r>
            <w:tab/>
          </w:r>
          <w:r>
            <w:fldChar w:fldCharType="begin"/>
          </w:r>
          <w:r>
            <w:instrText xml:space="preserve"> PAGEREF _Toc1105 \h </w:instrText>
          </w:r>
          <w:r>
            <w:fldChar w:fldCharType="separate"/>
          </w:r>
          <w:r>
            <w:t>7</w:t>
          </w:r>
          <w:r>
            <w:fldChar w:fldCharType="end"/>
          </w:r>
          <w:r>
            <w:fldChar w:fldCharType="end"/>
          </w:r>
        </w:p>
        <w:p w14:paraId="058885DC">
          <w:pPr>
            <w:pStyle w:val="8"/>
            <w:tabs>
              <w:tab w:val="right" w:leader="dot" w:pos="9026"/>
            </w:tabs>
          </w:pPr>
          <w:r>
            <w:fldChar w:fldCharType="begin"/>
          </w:r>
          <w:r>
            <w:instrText xml:space="preserve"> HYPERLINK \l "_Toc24613" </w:instrText>
          </w:r>
          <w:r>
            <w:fldChar w:fldCharType="separate"/>
          </w:r>
          <w:r>
            <w:t>Managerial Responses to Ethical Challenges Using Carroll’s CSR Pyramid</w:t>
          </w:r>
          <w:r>
            <w:tab/>
          </w:r>
          <w:r>
            <w:fldChar w:fldCharType="begin"/>
          </w:r>
          <w:r>
            <w:instrText xml:space="preserve"> PAGEREF _Toc24613 \h </w:instrText>
          </w:r>
          <w:r>
            <w:fldChar w:fldCharType="separate"/>
          </w:r>
          <w:r>
            <w:t>9</w:t>
          </w:r>
          <w:r>
            <w:fldChar w:fldCharType="end"/>
          </w:r>
          <w:r>
            <w:fldChar w:fldCharType="end"/>
          </w:r>
        </w:p>
        <w:p w14:paraId="618400D1">
          <w:pPr>
            <w:pStyle w:val="7"/>
            <w:tabs>
              <w:tab w:val="right" w:leader="dot" w:pos="9026"/>
            </w:tabs>
          </w:pPr>
          <w:r>
            <w:fldChar w:fldCharType="begin"/>
          </w:r>
          <w:r>
            <w:instrText xml:space="preserve"> HYPERLINK \l "_Toc30595" </w:instrText>
          </w:r>
          <w:r>
            <w:fldChar w:fldCharType="separate"/>
          </w:r>
          <w:r>
            <w:t>Conclusion</w:t>
          </w:r>
          <w:r>
            <w:rPr>
              <w:rFonts w:hint="eastAsia"/>
              <w:lang w:val="en-US" w:eastAsia="zh-CN"/>
            </w:rPr>
            <w:t>s and Recommendations</w:t>
          </w:r>
          <w:r>
            <w:tab/>
          </w:r>
          <w:r>
            <w:fldChar w:fldCharType="begin"/>
          </w:r>
          <w:r>
            <w:instrText xml:space="preserve"> PAGEREF _Toc30595 \h </w:instrText>
          </w:r>
          <w:r>
            <w:fldChar w:fldCharType="separate"/>
          </w:r>
          <w:r>
            <w:t>12</w:t>
          </w:r>
          <w:r>
            <w:fldChar w:fldCharType="end"/>
          </w:r>
          <w:r>
            <w:fldChar w:fldCharType="end"/>
          </w:r>
        </w:p>
        <w:p w14:paraId="20203F19">
          <w:pPr>
            <w:pStyle w:val="7"/>
            <w:tabs>
              <w:tab w:val="right" w:leader="dot" w:pos="9026"/>
            </w:tabs>
          </w:pPr>
          <w:r>
            <w:fldChar w:fldCharType="begin"/>
          </w:r>
          <w:r>
            <w:instrText xml:space="preserve"> HYPERLINK \l "_Toc23109" </w:instrText>
          </w:r>
          <w:r>
            <w:fldChar w:fldCharType="separate"/>
          </w:r>
          <w:r>
            <w:t>References</w:t>
          </w:r>
          <w:r>
            <w:tab/>
          </w:r>
          <w:r>
            <w:fldChar w:fldCharType="begin"/>
          </w:r>
          <w:r>
            <w:instrText xml:space="preserve"> PAGEREF _Toc23109 \h </w:instrText>
          </w:r>
          <w:r>
            <w:fldChar w:fldCharType="separate"/>
          </w:r>
          <w:r>
            <w:t>14</w:t>
          </w:r>
          <w:r>
            <w:fldChar w:fldCharType="end"/>
          </w:r>
          <w:r>
            <w:fldChar w:fldCharType="end"/>
          </w:r>
        </w:p>
        <w:p w14:paraId="10216E83">
          <w:r>
            <w:rPr>
              <w:bCs/>
            </w:rPr>
            <w:fldChar w:fldCharType="end"/>
          </w:r>
        </w:p>
      </w:sdtContent>
    </w:sdt>
    <w:p w14:paraId="6D99558E">
      <w:pPr>
        <w:rPr>
          <w:rFonts w:eastAsiaTheme="majorEastAsia" w:cstheme="majorBidi"/>
          <w:color w:val="2F5597" w:themeColor="accent1" w:themeShade="BF"/>
          <w:sz w:val="32"/>
          <w:szCs w:val="32"/>
        </w:rPr>
      </w:pPr>
      <w:r>
        <w:br w:type="page"/>
      </w:r>
    </w:p>
    <w:p w14:paraId="2E740ABE">
      <w:pPr>
        <w:pStyle w:val="2"/>
      </w:pPr>
      <w:bookmarkStart w:id="0" w:name="_Toc5972"/>
      <w:r>
        <w:t>Introduction</w:t>
      </w:r>
      <w:bookmarkEnd w:id="0"/>
    </w:p>
    <w:p w14:paraId="5AC7A187"/>
    <w:p w14:paraId="34CCF311">
      <w:pPr>
        <w:pStyle w:val="9"/>
        <w:spacing w:beforeAutospacing="0" w:afterAutospacing="0" w:line="480" w:lineRule="auto"/>
        <w:jc w:val="both"/>
        <w:rPr>
          <w:color w:val="0E101A"/>
        </w:rPr>
      </w:pPr>
      <w:r>
        <w:rPr>
          <w:rFonts w:hint="eastAsia"/>
          <w:color w:val="0E101A"/>
        </w:rPr>
        <w:t>The technique of globalization has added extraordinary possibilities and challenges for businesses. On the one hand, globalization has facilitated the formation of homogenized customer culture, enabling agencies to meet international patron needs via standardized merchandise and services, thereby increasing market attain and improving operational efficiency</w:t>
      </w:r>
      <w:r>
        <w:rPr>
          <w:rFonts w:hint="eastAsia" w:eastAsia="宋体"/>
          <w:color w:val="0E101A"/>
        </w:rPr>
        <w:t xml:space="preserve"> </w:t>
      </w:r>
      <w:r>
        <w:rPr>
          <w:rFonts w:hint="eastAsia"/>
          <w:color w:val="0E101A"/>
        </w:rPr>
        <w:t>(DesJardins 2023, p.23). Multinational firms can leverage international grant chains and economies of scale to obtain decrease manufacturing fees whilst setting up a unified manufacturer picture throughout markets. On the different hand, the cultural traditions, social backgrounds, and moral requirements of one of a kind nations and areas impose numerous necessities on how agencies operate.</w:t>
      </w:r>
      <w:r>
        <w:rPr>
          <w:rFonts w:hint="eastAsia" w:eastAsia="宋体"/>
          <w:color w:val="0E101A"/>
        </w:rPr>
        <w:t xml:space="preserve"> </w:t>
      </w:r>
      <w:r>
        <w:rPr>
          <w:rFonts w:hint="eastAsia"/>
          <w:color w:val="0E101A"/>
        </w:rPr>
        <w:t xml:space="preserve">When getting into new markets, groups regularly want to alter their products, services, and administration techniques to meet the expectations of nearby customers and align with societal and cultural norms (Trevino and Nelson 2021, p.29). This range poses larger challenges for groups working on </w:t>
      </w:r>
      <w:r>
        <w:rPr>
          <w:color w:val="0E101A"/>
        </w:rPr>
        <w:t>an</w:t>
      </w:r>
      <w:r>
        <w:rPr>
          <w:rFonts w:hint="eastAsia"/>
          <w:color w:val="0E101A"/>
        </w:rPr>
        <w:t xml:space="preserve"> international scale, in particular in </w:t>
      </w:r>
      <w:r>
        <w:rPr>
          <w:rFonts w:hint="eastAsia" w:eastAsia="宋体"/>
          <w:color w:val="0E101A"/>
        </w:rPr>
        <w:t>terms</w:t>
      </w:r>
      <w:r>
        <w:rPr>
          <w:rFonts w:hint="eastAsia"/>
          <w:color w:val="0E101A"/>
        </w:rPr>
        <w:t xml:space="preserve"> of adhering to moral requirements and satisfying social responsibilities. In this context, corporations want to strike a stability between international consistency and cultural relativism (Schaltegger and Burritt 2018, p.250).</w:t>
      </w:r>
      <w:r>
        <w:rPr>
          <w:color w:val="0E101A"/>
        </w:rPr>
        <w:t xml:space="preserve"> </w:t>
      </w:r>
      <w:r>
        <w:rPr>
          <w:rFonts w:hint="eastAsia"/>
          <w:color w:val="0E101A"/>
        </w:rPr>
        <w:t xml:space="preserve">Global consistency argues for universal ethical norms to ensure corporations maintain uniform behavioral standards throughout diverse markets, while cultural relativism emphasizes the need to respect local cultures and ethical ideals (DesJardins 2023, p. 530). The contrast between these two methods produces complicated dilemmas for multinational firms in creating ethical procedures, forming a core challenge in the ethics of global business. </w:t>
      </w:r>
      <w:r>
        <w:rPr>
          <w:color w:val="0E101A"/>
        </w:rPr>
        <w:t>McDonald’s serves as a quintessential example of a globalized company, with its success largely attributed to its cultural adaptation strategies (Trevino and Nelson 2021</w:t>
      </w:r>
      <w:r>
        <w:rPr>
          <w:rFonts w:hint="eastAsia" w:eastAsia="宋体"/>
          <w:color w:val="0E101A"/>
        </w:rPr>
        <w:t>, p.24</w:t>
      </w:r>
      <w:r>
        <w:rPr>
          <w:color w:val="0E101A"/>
        </w:rPr>
        <w:t xml:space="preserve">). Notably, like other companies, McDonald’s has adopted localization strategies to better integrate into diverse markets but has achieved unique success in doing so (Stahl and Tung 2015, p.392). This </w:t>
      </w:r>
      <w:r>
        <w:rPr>
          <w:rFonts w:hint="eastAsia" w:eastAsia="宋体"/>
          <w:color w:val="0E101A"/>
        </w:rPr>
        <w:t xml:space="preserve">report </w:t>
      </w:r>
      <w:r>
        <w:rPr>
          <w:color w:val="0E101A"/>
        </w:rPr>
        <w:t>utilizes cultural relativism and Carroll’s Corporate Social Responsibility (CSR) Pyramid to analyze McDonald’s practices and achievements in the context of globalization, exploring its approaches to resolving ethical conflicts and achieving business success, to provide insights for other multinational corporations.</w:t>
      </w:r>
    </w:p>
    <w:p w14:paraId="35959710">
      <w:pPr>
        <w:spacing w:line="480" w:lineRule="auto"/>
        <w:jc w:val="both"/>
        <w:rPr>
          <w:i/>
          <w:iCs/>
        </w:rPr>
      </w:pPr>
      <w:r>
        <w:rPr>
          <w:i/>
          <w:iCs/>
        </w:rPr>
        <w:t xml:space="preserve"> </w:t>
      </w:r>
    </w:p>
    <w:p w14:paraId="46D10A04">
      <w:pPr>
        <w:pStyle w:val="2"/>
      </w:pPr>
      <w:bookmarkStart w:id="1" w:name="_Toc31940"/>
      <w:r>
        <w:t>Background to the Case Study</w:t>
      </w:r>
      <w:bookmarkEnd w:id="1"/>
    </w:p>
    <w:p w14:paraId="7F8F2AB6"/>
    <w:p w14:paraId="5C7A270C">
      <w:pPr>
        <w:pStyle w:val="9"/>
        <w:spacing w:beforeAutospacing="0" w:afterAutospacing="0" w:line="480" w:lineRule="auto"/>
        <w:jc w:val="both"/>
        <w:rPr>
          <w:color w:val="0E101A"/>
        </w:rPr>
      </w:pPr>
      <w:r>
        <w:rPr>
          <w:color w:val="0E101A"/>
        </w:rPr>
        <w:t>McDonald’s was founded in 1940 by Richard McDonald and Maurice McDonald, starting their first restaurant in San Bernardino, California (Crane et al. 2019</w:t>
      </w:r>
      <w:r>
        <w:rPr>
          <w:rFonts w:hint="eastAsia" w:eastAsia="宋体"/>
          <w:color w:val="0E101A"/>
        </w:rPr>
        <w:t>, p.258</w:t>
      </w:r>
      <w:r>
        <w:rPr>
          <w:color w:val="0E101A"/>
        </w:rPr>
        <w:t>). Initially, McDonald’s was just a hamburger restaurant, and its highly efficient fast-food production model attracted significant attention. Over time, McDonald’s achieved rapid expansion by adopting the franchising model. In 1955, Ray Kroc joined the company and acquired the rights from the McDonald brothers, not only taking control of the company but also transforming it from a regional dining brand into an international fast-food chain (Crane et al. 2019</w:t>
      </w:r>
      <w:r>
        <w:rPr>
          <w:rFonts w:hint="eastAsia" w:eastAsia="宋体"/>
          <w:color w:val="0E101A"/>
        </w:rPr>
        <w:t>, p.250</w:t>
      </w:r>
      <w:r>
        <w:rPr>
          <w:color w:val="0E101A"/>
        </w:rPr>
        <w:t>). As of 2021, McDonald’s operates in over 100 countries with more than 40,000 restaurants, serving over 69 million customers daily, making it the largest fast-food brand in the world by the number of outlets (Trevino and Nelson 2021</w:t>
      </w:r>
      <w:r>
        <w:rPr>
          <w:rFonts w:hint="eastAsia" w:eastAsia="宋体"/>
          <w:color w:val="0E101A"/>
        </w:rPr>
        <w:t>, p.27</w:t>
      </w:r>
      <w:r>
        <w:rPr>
          <w:color w:val="0E101A"/>
        </w:rPr>
        <w:t>). This expansion has made McDonald’s a benchmark for global enterprises, with its brand influence deeply ingrained in the daily lives of consumers worldwide.</w:t>
      </w:r>
    </w:p>
    <w:p w14:paraId="13A863B1">
      <w:pPr>
        <w:pStyle w:val="9"/>
        <w:spacing w:beforeAutospacing="0" w:afterAutospacing="0" w:line="480" w:lineRule="auto"/>
        <w:jc w:val="both"/>
        <w:rPr>
          <w:color w:val="0E101A"/>
        </w:rPr>
      </w:pPr>
    </w:p>
    <w:p w14:paraId="5538F144">
      <w:pPr>
        <w:pStyle w:val="9"/>
        <w:spacing w:beforeAutospacing="0" w:afterAutospacing="0" w:line="480" w:lineRule="auto"/>
        <w:jc w:val="both"/>
        <w:rPr>
          <w:rFonts w:hint="eastAsia"/>
          <w:color w:val="0E101A"/>
        </w:rPr>
      </w:pPr>
      <w:r>
        <w:rPr>
          <w:color w:val="0E101A"/>
        </w:rPr>
        <w:t xml:space="preserve">McDonald’s global success is largely attributed to its keen understanding of cultural differences across countries and its flexible business strategies. During its expansion, McDonald’s not only maintained the high efficiency of its standardized services but also demonstrated its “respect” or “manipulation” of cultural relativism. To meet the needs of consumers in various countries and regions, McDonald’s flexibly adjusted its products and services. For instance, in India, McDonald’s introduced vegetarian burgers free of beef and pork to cater to religious dietary preferences; in Japan, the menu includes Teriyaki Burgers, which better suit local tastes; and in China, rice-based meal options were introduced. </w:t>
      </w:r>
      <w:r>
        <w:rPr>
          <w:rFonts w:hint="eastAsia"/>
          <w:color w:val="0E101A"/>
        </w:rPr>
        <w:t>McDonald's profound awareness of regional dining customs is reflected in these modifications (Trompenaars and Hampden 2011, p. 30). McDonald's has swiftly established a presence in a number of international regions thanks to this cultural adaption strategy, which has strengthened local brand identification while catering to a variety of consumer needs.</w:t>
      </w:r>
    </w:p>
    <w:p w14:paraId="427713DC">
      <w:pPr>
        <w:pStyle w:val="9"/>
        <w:spacing w:beforeAutospacing="0" w:afterAutospacing="0" w:line="480" w:lineRule="auto"/>
        <w:jc w:val="both"/>
        <w:rPr>
          <w:rFonts w:hint="eastAsia"/>
          <w:color w:val="0E101A"/>
        </w:rPr>
      </w:pPr>
    </w:p>
    <w:p w14:paraId="048CABDA">
      <w:pPr>
        <w:pStyle w:val="9"/>
        <w:spacing w:beforeAutospacing="0" w:afterAutospacing="0" w:line="480" w:lineRule="auto"/>
        <w:jc w:val="both"/>
        <w:rPr>
          <w:color w:val="0E101A"/>
        </w:rPr>
      </w:pPr>
      <w:r>
        <w:rPr>
          <w:rFonts w:hint="eastAsia"/>
          <w:color w:val="0E101A"/>
        </w:rPr>
        <w:t>McDonald's international expansion hasn't been without criticism, either. Some academics argue that McDonald's presence weakens local cultures and homogenizes global food cultures, criticizing its growth as an example of "cultural imperialism" (Shaw 2017, p.160). McDonald's fast-food culture, for instance, is sometimes seen as a representation of American culture, which in certain nations raises concerns about the devaluation of regional cuisines. The company has shown varying degrees of respect for various cultural traditions through its localized adaptation strategies, and it is precisely this adaptable and cautious cultural adaptation strategy that has allowed McDonald's to achieve long-term success in the global market. Nevertheless, such criticisms have not hampered McDonald's globalization efforts</w:t>
      </w:r>
      <w:r>
        <w:rPr>
          <w:color w:val="0E101A"/>
        </w:rPr>
        <w:t>.</w:t>
      </w:r>
    </w:p>
    <w:p w14:paraId="2B9FB415">
      <w:pPr>
        <w:pStyle w:val="9"/>
        <w:spacing w:beforeAutospacing="0" w:afterAutospacing="0" w:line="480" w:lineRule="auto"/>
        <w:jc w:val="both"/>
        <w:rPr>
          <w:color w:val="0E101A"/>
        </w:rPr>
      </w:pPr>
    </w:p>
    <w:p w14:paraId="23A97E1F">
      <w:pPr>
        <w:spacing w:line="480" w:lineRule="auto"/>
        <w:jc w:val="both"/>
        <w:rPr>
          <w:rFonts w:eastAsia="宋体"/>
          <w:color w:val="0E101A"/>
          <w:lang w:val="en-US" w:eastAsia="zh-CN"/>
        </w:rPr>
      </w:pPr>
      <w:r>
        <w:rPr>
          <w:rFonts w:hint="eastAsia" w:eastAsia="宋体"/>
          <w:color w:val="0E101A"/>
          <w:lang w:val="en-US" w:eastAsia="zh-CN"/>
        </w:rPr>
        <w:t>Multinational firms can learn a valuable lesson from McDonald's case: as the world becomes more interconnected, businesses must prioritize cultural variety in addition to the effectiveness of uniform procedures. Businesses can create an inclusive global brand image by honoring local cultures and values.</w:t>
      </w:r>
    </w:p>
    <w:p w14:paraId="38584062">
      <w:pPr>
        <w:pStyle w:val="2"/>
      </w:pPr>
      <w:bookmarkStart w:id="2" w:name="_Toc8556"/>
      <w:r>
        <w:t>Methods</w:t>
      </w:r>
      <w:bookmarkEnd w:id="2"/>
    </w:p>
    <w:p w14:paraId="4F18CA8C"/>
    <w:p w14:paraId="2CAAB044">
      <w:pPr>
        <w:pStyle w:val="9"/>
        <w:spacing w:beforeAutospacing="0" w:afterAutospacing="0" w:line="480" w:lineRule="auto"/>
        <w:jc w:val="both"/>
        <w:rPr>
          <w:color w:val="0E101A"/>
        </w:rPr>
      </w:pPr>
      <w:r>
        <w:rPr>
          <w:rFonts w:hint="eastAsia"/>
          <w:color w:val="0E101A"/>
        </w:rPr>
        <w:t>This report uses cultural relativism and Carroll's CSR Pyramid as analytical tools to examine McDonald's cultural adaptation and social responsibility practices in the context of globalization. Cultural relativism stresses that companies operating in different countries or regions must fully respect local cultural customs and ethical norms, rather than simply applying the standards of their home country (Freudenreich and Velamuri 2020, p.11). It holds that each culture has its own unique moral standards that determine what is considered “right” or “wrong” within a particular cultural context (Shaw 2017, p.152).</w:t>
      </w:r>
      <w:r>
        <w:rPr>
          <w:color w:val="0E101A"/>
        </w:rPr>
        <w:t xml:space="preserve"> </w:t>
      </w:r>
      <w:r>
        <w:rPr>
          <w:rFonts w:hint="eastAsia"/>
          <w:color w:val="0E101A"/>
        </w:rPr>
        <w:t>Thus, the flexibility of corporate behavior is largely reflected in the cultural relativism principle. A framework for examining McDonald's social responsibility in terms of economic, legal, ethical, and charitable aspects is provided by Carroll's CSR Pyramid. This concept shows how companies can balance localization and globalization by responding to cultural and societal expectations through ethical practices while still being profitable (Sheehy 2015, p.629).</w:t>
      </w:r>
      <w:r>
        <w:rPr>
          <w:color w:val="0E101A"/>
        </w:rPr>
        <w:t xml:space="preserve"> The theory highlights the gradual progression of corporate responsibilities, from foundational economic obligations to higher-level philanthropic commitments, demonstrating how businesses can achieve their commercial objectives while fulfilling their multifaceted responsibilities to society (Slack et al. 2011, p.540).</w:t>
      </w:r>
    </w:p>
    <w:p w14:paraId="2B38F12D">
      <w:pPr>
        <w:spacing w:line="480" w:lineRule="auto"/>
        <w:jc w:val="both"/>
      </w:pPr>
    </w:p>
    <w:p w14:paraId="42892855">
      <w:pPr>
        <w:spacing w:line="480" w:lineRule="auto"/>
        <w:jc w:val="both"/>
        <w:rPr>
          <w:color w:val="0E101A"/>
        </w:rPr>
      </w:pPr>
    </w:p>
    <w:p w14:paraId="22DD2EAE">
      <w:pPr>
        <w:pStyle w:val="2"/>
      </w:pPr>
      <w:bookmarkStart w:id="3" w:name="_Toc23296"/>
      <w:r>
        <w:t>Main Body</w:t>
      </w:r>
      <w:bookmarkEnd w:id="3"/>
    </w:p>
    <w:p w14:paraId="1A548EF9"/>
    <w:p w14:paraId="38FD9E0E">
      <w:pPr>
        <w:pStyle w:val="3"/>
        <w:rPr>
          <w:sz w:val="24"/>
          <w:szCs w:val="24"/>
        </w:rPr>
      </w:pPr>
      <w:bookmarkStart w:id="4" w:name="_Toc1105"/>
      <w:r>
        <w:rPr>
          <w:sz w:val="24"/>
          <w:szCs w:val="24"/>
        </w:rPr>
        <w:t>Cultural Relativism and McDonald’s Ethical Adaptation</w:t>
      </w:r>
      <w:bookmarkEnd w:id="4"/>
      <w:r>
        <w:rPr>
          <w:sz w:val="24"/>
          <w:szCs w:val="24"/>
        </w:rPr>
        <w:t xml:space="preserve"> </w:t>
      </w:r>
    </w:p>
    <w:p w14:paraId="7FD55A21"/>
    <w:p w14:paraId="74A55061">
      <w:pPr>
        <w:pStyle w:val="9"/>
        <w:spacing w:beforeAutospacing="0" w:afterAutospacing="0" w:line="480" w:lineRule="auto"/>
        <w:jc w:val="both"/>
        <w:rPr>
          <w:color w:val="0E101A"/>
        </w:rPr>
      </w:pPr>
      <w:r>
        <w:rPr>
          <w:color w:val="0E101A"/>
        </w:rPr>
        <w:t>As a benchmark enterprise in the global fast-food industry, McDonald’s operations inevitably collide with the cultural and ethical standards of different countries. In this process, McDonald’s has flexibly applied the principles of cultural relativism, adjusting its operational strategies according to the cultural backgrounds and social expectations of each country (Pamies and Papaoikonomou 2016, p.529). McDonald’s integrates cultural relativism into areas such as labour rights, environmental responsibility, and animal welfare, aligning its practices with the ethical standards of host countries (Sheehy 2015</w:t>
      </w:r>
      <w:r>
        <w:rPr>
          <w:rFonts w:hint="eastAsia" w:eastAsia="宋体"/>
          <w:color w:val="0E101A"/>
        </w:rPr>
        <w:t>, p.630</w:t>
      </w:r>
      <w:r>
        <w:rPr>
          <w:color w:val="0E101A"/>
        </w:rPr>
        <w:t>). This approach has resulted in a diverse range of measures to address ethical controversies in different countries. The following sections analyze McDonald’s cultural adaptation practices based on its responses to these ethical challenges.</w:t>
      </w:r>
    </w:p>
    <w:p w14:paraId="3660FD13">
      <w:pPr>
        <w:pStyle w:val="9"/>
        <w:spacing w:beforeAutospacing="0" w:afterAutospacing="0" w:line="480" w:lineRule="auto"/>
        <w:jc w:val="both"/>
        <w:rPr>
          <w:color w:val="0E101A"/>
        </w:rPr>
      </w:pPr>
    </w:p>
    <w:p w14:paraId="05099C84">
      <w:pPr>
        <w:pStyle w:val="9"/>
        <w:spacing w:beforeAutospacing="0" w:afterAutospacing="0" w:line="480" w:lineRule="auto"/>
        <w:jc w:val="both"/>
        <w:rPr>
          <w:color w:val="0E101A"/>
        </w:rPr>
      </w:pPr>
      <w:r>
        <w:rPr>
          <w:color w:val="0E101A"/>
        </w:rPr>
        <w:t>One notable controversy arose from McDonald’s use of zero-hour contracts, which drew public criticism and was deemed insufficient in providing stability and fair treatment to employees (DesJardins 2023</w:t>
      </w:r>
      <w:r>
        <w:rPr>
          <w:rFonts w:hint="eastAsia" w:eastAsia="宋体"/>
          <w:color w:val="0E101A"/>
        </w:rPr>
        <w:t>, p.533</w:t>
      </w:r>
      <w:r>
        <w:rPr>
          <w:color w:val="0E101A"/>
        </w:rPr>
        <w:t>). In response, McDonald’s adjusted its policy in the UK to offer employees more flexible options, including fixed-hours contracts. The company also enhanced employee benefits, such as raising the minimum wage, expanding training opportunities, and implementing health support programs. Labour rights issues received particular attention in the UK, given the country’s strong union tradition and labour laws (DesJardins 2023</w:t>
      </w:r>
      <w:r>
        <w:rPr>
          <w:rFonts w:hint="eastAsia" w:eastAsia="宋体"/>
          <w:color w:val="0E101A"/>
        </w:rPr>
        <w:t>, p.524</w:t>
      </w:r>
      <w:r>
        <w:rPr>
          <w:color w:val="0E101A"/>
        </w:rPr>
        <w:t>). In contrast, such controversies were less pronounced in countries like the United States and China. In the U.S., consumers are more focused on whether McDonald’s creates employment opportunities rather than the specific terms of labour contracts (Buckingham and Nilakant 2016, p.10). In China, McDonald’s addressed potential labour rights concerns by increasing employee training and career development programs to improve job satisfaction (Hourneaux et al. 2018, p.425). These localized measures demonstrate McDonald’s flexibility and adaptability under the guidance of cultural relativism.</w:t>
      </w:r>
    </w:p>
    <w:p w14:paraId="1A24443E">
      <w:pPr>
        <w:pStyle w:val="9"/>
        <w:spacing w:beforeAutospacing="0" w:afterAutospacing="0" w:line="480" w:lineRule="auto"/>
        <w:jc w:val="both"/>
        <w:rPr>
          <w:color w:val="0E101A"/>
        </w:rPr>
      </w:pPr>
    </w:p>
    <w:p w14:paraId="5CC6306B">
      <w:pPr>
        <w:pStyle w:val="9"/>
        <w:spacing w:beforeAutospacing="0" w:afterAutospacing="0" w:line="480" w:lineRule="auto"/>
        <w:jc w:val="both"/>
        <w:rPr>
          <w:color w:val="0E101A"/>
        </w:rPr>
      </w:pPr>
      <w:r>
        <w:rPr>
          <w:color w:val="0E101A"/>
        </w:rPr>
        <w:t xml:space="preserve">Secondly, McDonald’s environmental impact has been a global concern, but public expectations differ between countries like the U.S. and Germany. In the U.S., the focus is on how McDonald’s reduces plastic waste and carbon emissions. In response, McDonald’s introduced a series of environmental measures, including phasing out plastic straws, adopting more recyclable packaging materials, and piloting solar energy projects in select locations (Freeman 2023, p.120). The company has also pledged to switch all packaging materials to renewable or recyclable sources by 2025 </w:t>
      </w:r>
      <w:r>
        <w:rPr>
          <w:rFonts w:hint="eastAsia"/>
          <w:color w:val="0E101A"/>
        </w:rPr>
        <w:t>(Freeman and Velamuri 2023, p.260)</w:t>
      </w:r>
      <w:r>
        <w:rPr>
          <w:color w:val="0E101A"/>
        </w:rPr>
        <w:t>. In Germany, however, discussions on environmental responsibility extend further into building a sustainable supply chain. German consumers pay particular attention to the ethical standards in McDonald’s meat supply. McDonald’s has collaborated with sustainable agriculture, increased the use of cage-free eggs and zero-deforestation beef, and regularly audits suppliers to ensure compliance with sustainability standards (DesJardins 2023</w:t>
      </w:r>
      <w:r>
        <w:rPr>
          <w:rFonts w:hint="eastAsia" w:eastAsia="宋体"/>
          <w:color w:val="0E101A"/>
        </w:rPr>
        <w:t>, p.521</w:t>
      </w:r>
      <w:r>
        <w:rPr>
          <w:color w:val="0E101A"/>
        </w:rPr>
        <w:t>). These measures have been widely recognized by German consumers but have not received the same level of attention in the U.S., reflecting differences in cultural contexts regarding environmental responsibility (</w:t>
      </w:r>
      <w:r>
        <w:rPr>
          <w:rFonts w:hint="eastAsia"/>
          <w:color w:val="0E101A"/>
        </w:rPr>
        <w:t>Vitolla et al., p.100823)</w:t>
      </w:r>
      <w:r>
        <w:rPr>
          <w:color w:val="0E101A"/>
        </w:rPr>
        <w:t>.</w:t>
      </w:r>
    </w:p>
    <w:p w14:paraId="0E8D63A8">
      <w:pPr>
        <w:pStyle w:val="9"/>
        <w:spacing w:beforeAutospacing="0" w:afterAutospacing="0" w:line="480" w:lineRule="auto"/>
        <w:jc w:val="both"/>
        <w:rPr>
          <w:color w:val="0E101A"/>
        </w:rPr>
      </w:pPr>
    </w:p>
    <w:p w14:paraId="3A995B1F">
      <w:pPr>
        <w:spacing w:line="480" w:lineRule="auto"/>
        <w:jc w:val="both"/>
      </w:pPr>
      <w:r>
        <w:rPr>
          <w:color w:val="0E101A"/>
        </w:rPr>
        <w:t>In navigating ethical controversies across different countries, McDonald’s exemplifies the practical value of cultural relativism. Through such business practices, McDonald’s has achieved dynamic adaptation in diverse cultural settings (Buckingham and Nilakant 2016, p.11). This adaptation is not merely a compromise but a deep exploration of the relationship between globalization and localization</w:t>
      </w:r>
      <w:r>
        <w:rPr>
          <w:rFonts w:hint="eastAsia" w:eastAsia="宋体"/>
          <w:color w:val="0E101A"/>
          <w:lang w:val="en-US" w:eastAsia="zh-CN"/>
        </w:rPr>
        <w:t>.</w:t>
      </w:r>
    </w:p>
    <w:p w14:paraId="28498915">
      <w:pPr>
        <w:pStyle w:val="3"/>
      </w:pPr>
      <w:bookmarkStart w:id="5" w:name="_Toc24613"/>
      <w:r>
        <w:t>Managerial Responses to Ethical Challenges Using Carroll’s CSR Pyramid</w:t>
      </w:r>
      <w:bookmarkEnd w:id="5"/>
    </w:p>
    <w:p w14:paraId="542A600D"/>
    <w:p w14:paraId="281CB5C9">
      <w:pPr>
        <w:pStyle w:val="9"/>
        <w:spacing w:beforeAutospacing="0" w:afterAutospacing="0" w:line="480" w:lineRule="auto"/>
        <w:jc w:val="both"/>
        <w:rPr>
          <w:color w:val="0E101A"/>
        </w:rPr>
      </w:pPr>
      <w:r>
        <w:rPr>
          <w:color w:val="0E101A"/>
        </w:rPr>
        <w:t>Carroll’s Corporate Social Responsibility (CSR) Pyramid provides a comprehensive framework through its four dimensions—economic, legal, ethical, and philanthropic responsibilities—to help businesses balance their commercial objectives with social responsibilities when addressing ethical challenges (Sheehy 2015</w:t>
      </w:r>
      <w:r>
        <w:rPr>
          <w:rFonts w:hint="eastAsia" w:eastAsia="宋体"/>
          <w:color w:val="0E101A"/>
        </w:rPr>
        <w:t>, p.640</w:t>
      </w:r>
      <w:r>
        <w:rPr>
          <w:color w:val="0E101A"/>
        </w:rPr>
        <w:t>). Through the successful implementation of the Ronald McDonald House Charities (RMHC), McDonald’s has demonstrated its significant efforts in fulfilling its social responsibilities (DesJardins 2023</w:t>
      </w:r>
      <w:r>
        <w:rPr>
          <w:rFonts w:hint="eastAsia" w:eastAsia="宋体"/>
          <w:color w:val="0E101A"/>
        </w:rPr>
        <w:t>, p. 522</w:t>
      </w:r>
      <w:r>
        <w:rPr>
          <w:color w:val="0E101A"/>
        </w:rPr>
        <w:t>). This institution, committed to improving children’s health and family well-being, serves as a representative case of McDonald’s approach to managing ethical challenges. The following analysis examines RMHC through the lens of Carroll’s CSR Pyramid.</w:t>
      </w:r>
    </w:p>
    <w:p w14:paraId="376B18E9">
      <w:pPr>
        <w:pStyle w:val="9"/>
        <w:spacing w:beforeAutospacing="0" w:afterAutospacing="0" w:line="480" w:lineRule="auto"/>
        <w:jc w:val="both"/>
        <w:rPr>
          <w:color w:val="0E101A"/>
        </w:rPr>
      </w:pPr>
    </w:p>
    <w:p w14:paraId="70769A9C">
      <w:pPr>
        <w:pStyle w:val="9"/>
        <w:spacing w:beforeAutospacing="0" w:afterAutospacing="0" w:line="480" w:lineRule="auto"/>
        <w:jc w:val="both"/>
        <w:rPr>
          <w:color w:val="0E101A"/>
        </w:rPr>
      </w:pPr>
      <w:r>
        <w:rPr>
          <w:color w:val="0E101A"/>
        </w:rPr>
        <w:t>First, at the level of economic responsibility, McDonald’s has innovatively integrated profitability with social contributions, embedding social responsibility into its business operations. As the foundational dimension of Carroll’s Pyramid, economic responsibility requires businesses to achieve profitability while promoting societal well-being (Gaughan and Javalgi 2018, p.820). McDonald’s fulfils this by donating a portion of the revenue from each “Happy Meal” (two cents per meal) to RMHC (Hunjra 2023, p.57). This approach not only supports RMHC’s global operations but also fosters long-term brand loyalty and a competitive advantage for McDonald’s. In 2021 alone, McDonald’s raised over $1.68 billion for RMHC by combining customer donations with corporate initiatives (Trevino and Nelson 2021</w:t>
      </w:r>
      <w:r>
        <w:rPr>
          <w:rFonts w:hint="eastAsia" w:eastAsia="宋体"/>
          <w:color w:val="0E101A"/>
        </w:rPr>
        <w:t>, p.23</w:t>
      </w:r>
      <w:r>
        <w:rPr>
          <w:color w:val="0E101A"/>
        </w:rPr>
        <w:t>). This innovative model demonstrates McDonald’s ability to align profitability with greater social responsibility.</w:t>
      </w:r>
    </w:p>
    <w:p w14:paraId="2C8F86D6">
      <w:pPr>
        <w:pStyle w:val="9"/>
        <w:spacing w:beforeAutospacing="0" w:afterAutospacing="0" w:line="480" w:lineRule="auto"/>
        <w:jc w:val="both"/>
        <w:rPr>
          <w:color w:val="0E101A"/>
        </w:rPr>
      </w:pPr>
    </w:p>
    <w:p w14:paraId="11165487">
      <w:pPr>
        <w:pStyle w:val="9"/>
        <w:spacing w:beforeAutospacing="0" w:afterAutospacing="0" w:line="480" w:lineRule="auto"/>
        <w:jc w:val="both"/>
        <w:rPr>
          <w:color w:val="0E101A"/>
        </w:rPr>
      </w:pPr>
      <w:r>
        <w:rPr>
          <w:color w:val="0E101A"/>
        </w:rPr>
        <w:t>Second, McDonald’s ensures its operations are carried out smoothly through legal compliance and partnerships with local institutions. Legal responsibility requires businesses to operate within the boundaries of applicable laws and regulations. RMHC operates in 62 countries and regions, with over 380 Ronald McDonald Houses and 260 Family Rooms (Crane et al. 2019</w:t>
      </w:r>
      <w:r>
        <w:rPr>
          <w:rFonts w:hint="eastAsia" w:eastAsia="宋体"/>
          <w:color w:val="0E101A"/>
        </w:rPr>
        <w:t>, p.260</w:t>
      </w:r>
      <w:r>
        <w:rPr>
          <w:color w:val="0E101A"/>
        </w:rPr>
        <w:t>). These facilities collaborate with local medical institutions to ensure families of sick children have access to medical resources while complying with legal standards</w:t>
      </w:r>
      <w:r>
        <w:rPr>
          <w:rFonts w:hint="eastAsia" w:eastAsia="宋体"/>
          <w:color w:val="0E101A"/>
        </w:rPr>
        <w:t xml:space="preserve"> </w:t>
      </w:r>
      <w:r>
        <w:rPr>
          <w:rFonts w:hint="eastAsia"/>
          <w:color w:val="0E101A"/>
        </w:rPr>
        <w:t>(Setó and Papaoikonomou 2016, p.524)</w:t>
      </w:r>
      <w:r>
        <w:rPr>
          <w:color w:val="0E101A"/>
        </w:rPr>
        <w:t xml:space="preserve">. For instance, RMHC facilities in Australia comply with the </w:t>
      </w:r>
      <w:r>
        <w:rPr>
          <w:rStyle w:val="12"/>
          <w:b w:val="0"/>
          <w:bCs/>
          <w:color w:val="0E101A"/>
        </w:rPr>
        <w:t>Charities Act</w:t>
      </w:r>
      <w:r>
        <w:rPr>
          <w:color w:val="0E101A"/>
        </w:rPr>
        <w:t xml:space="preserve">, while those in the United Kingdom follow the registration requirements set by the </w:t>
      </w:r>
      <w:r>
        <w:rPr>
          <w:rStyle w:val="12"/>
          <w:b w:val="0"/>
          <w:bCs/>
          <w:color w:val="0E101A"/>
        </w:rPr>
        <w:t>Charity Commission</w:t>
      </w:r>
      <w:r>
        <w:rPr>
          <w:color w:val="0E101A"/>
        </w:rPr>
        <w:t xml:space="preserve"> (Cohen et al. 2016, p.1240). These partnerships underline McDonald’s commitment to upholding legal responsibility while delivering social impact.</w:t>
      </w:r>
    </w:p>
    <w:p w14:paraId="48194F58">
      <w:pPr>
        <w:pStyle w:val="9"/>
        <w:spacing w:beforeAutospacing="0" w:afterAutospacing="0" w:line="480" w:lineRule="auto"/>
        <w:jc w:val="both"/>
        <w:rPr>
          <w:color w:val="0E101A"/>
        </w:rPr>
      </w:pPr>
    </w:p>
    <w:p w14:paraId="20B56A47">
      <w:pPr>
        <w:pStyle w:val="9"/>
        <w:spacing w:beforeAutospacing="0" w:afterAutospacing="0" w:line="480" w:lineRule="auto"/>
        <w:jc w:val="both"/>
        <w:rPr>
          <w:color w:val="0E101A"/>
        </w:rPr>
      </w:pPr>
      <w:r>
        <w:rPr>
          <w:color w:val="0E101A"/>
        </w:rPr>
        <w:t>Third, through RMHC, McDonald’s demonstrates its ethical responsibility in areas such as child health, family support, and education. Ethical responsibility encourages businesses to go beyond legal obligations and proactively address societal concerns (DesJardins 2023</w:t>
      </w:r>
      <w:r>
        <w:rPr>
          <w:rFonts w:hint="eastAsia" w:eastAsia="宋体"/>
          <w:color w:val="0E101A"/>
        </w:rPr>
        <w:t>, p. 523</w:t>
      </w:r>
      <w:r>
        <w:rPr>
          <w:color w:val="0E101A"/>
        </w:rPr>
        <w:t>). The Ronald McDonald Houses provide free or low-cost temporary accommodation, enabling families to focus on their children’s treatment without the burden of accommodation costs or distance (Farooq et al. 2019, p.969). In Australia, RMHC’s “Learning Program” helps children who have fallen behind in their education due to illness (DesJardins 2023</w:t>
      </w:r>
      <w:r>
        <w:rPr>
          <w:rFonts w:hint="eastAsia" w:eastAsia="宋体"/>
          <w:color w:val="0E101A"/>
        </w:rPr>
        <w:t>, p.528</w:t>
      </w:r>
      <w:r>
        <w:rPr>
          <w:color w:val="0E101A"/>
        </w:rPr>
        <w:t>). Through psychological assessments, personalized tutoring, and speech therapy, this program supports over 1,000 students weekly, showcasing McDonald’s commitment to the holistic development of children (DesJardins 2023</w:t>
      </w:r>
      <w:r>
        <w:rPr>
          <w:rFonts w:hint="eastAsia" w:eastAsia="宋体"/>
          <w:color w:val="0E101A"/>
        </w:rPr>
        <w:t>, p.521</w:t>
      </w:r>
      <w:r>
        <w:rPr>
          <w:color w:val="0E101A"/>
        </w:rPr>
        <w:t>).</w:t>
      </w:r>
    </w:p>
    <w:p w14:paraId="31CCE841">
      <w:pPr>
        <w:pStyle w:val="9"/>
        <w:spacing w:beforeAutospacing="0" w:afterAutospacing="0" w:line="480" w:lineRule="auto"/>
        <w:jc w:val="both"/>
        <w:rPr>
          <w:color w:val="0E101A"/>
        </w:rPr>
      </w:pPr>
    </w:p>
    <w:p w14:paraId="6ABAF836">
      <w:pPr>
        <w:pStyle w:val="9"/>
        <w:spacing w:beforeAutospacing="0" w:afterAutospacing="0" w:line="480" w:lineRule="auto"/>
        <w:jc w:val="both"/>
        <w:rPr>
          <w:color w:val="0E101A"/>
        </w:rPr>
      </w:pPr>
      <w:r>
        <w:rPr>
          <w:color w:val="0E101A"/>
        </w:rPr>
        <w:t>Finally, McDonald’s philanthropic responsibility is exemplified by RMHC’s extensive support for families with sick children worldwide. Philanthropic responsibility, the highest level of Carroll’s Pyramid, requires businesses to actively give back to the community and support social causes (Gallego et al. 2020, p.572). Through its “Care Mobile” program, RMHC delivers mobile healthcare services to underserved rural areas, providing basic medical, health, and dental care to countless families (DesJardins 2023</w:t>
      </w:r>
      <w:r>
        <w:rPr>
          <w:rFonts w:hint="eastAsia" w:eastAsia="宋体"/>
          <w:color w:val="0E101A"/>
        </w:rPr>
        <w:t>, p.533</w:t>
      </w:r>
      <w:r>
        <w:rPr>
          <w:color w:val="0E101A"/>
        </w:rPr>
        <w:t>). Additionally, RMHC’s “Family Retreats” in Australia offer week-long vacations to families caring for critically ill children, giving them much-needed relief (Shao et al. 2023, p.113). These philanthropic efforts not only enhance McDonald’s brand image but also significantly improve the quality of life for millions of families globally.</w:t>
      </w:r>
    </w:p>
    <w:p w14:paraId="545904E1">
      <w:pPr>
        <w:pStyle w:val="9"/>
        <w:spacing w:beforeAutospacing="0" w:afterAutospacing="0" w:line="480" w:lineRule="auto"/>
        <w:jc w:val="both"/>
        <w:rPr>
          <w:color w:val="0E101A"/>
        </w:rPr>
      </w:pPr>
    </w:p>
    <w:p w14:paraId="21D12854">
      <w:pPr>
        <w:pStyle w:val="9"/>
        <w:spacing w:beforeAutospacing="0" w:afterAutospacing="0" w:line="480" w:lineRule="auto"/>
        <w:jc w:val="both"/>
        <w:rPr>
          <w:i/>
          <w:iCs/>
        </w:rPr>
      </w:pPr>
      <w:r>
        <w:rPr>
          <w:color w:val="0E101A"/>
        </w:rPr>
        <w:t>Despite McDonald’s notable achievements across all levels of CSR, certain criticisms persist. For instance, McDonald’s direct contributions account for only about 5% of RMHC’s total funding, with most of the funds coming from private or corporate donations (DesJardins 2023</w:t>
      </w:r>
      <w:r>
        <w:rPr>
          <w:rFonts w:hint="eastAsia" w:eastAsia="宋体"/>
          <w:color w:val="0E101A"/>
        </w:rPr>
        <w:t>, p.530</w:t>
      </w:r>
      <w:r>
        <w:rPr>
          <w:color w:val="0E101A"/>
        </w:rPr>
        <w:t>). Management needs to increase direct funding for RMHC to address doubts about whether McDonald’s economic responsibility is genuinely being translated into actual social contributions. Additionally, due to variations in legal requirements across countries, RMHC’s implementation occasionally faces challenges in regulatory compliance and enforcement (Hunjra 2023, p.57). Management should strengthen collaborations with local governments and NGOs to ensure consistent legal compliance across all regions. Furthermore, McDonald’s ethical responsibility has faced scrutiny, with some critics suggesting that RMHC’s philanthropic actions are used to divert attention from issues like childhood obesity and the health impacts of McDonald’s food (Campopiano and De 2015, p.530). This tension highlights challenges in balancing McDonald’s ethical responsibilities with its business practices. To address this, management must further invest in the development and promotion of healthier food options, ensuring that its ethical commitments align with its business operations</w:t>
      </w:r>
      <w:r>
        <w:rPr>
          <w:i/>
          <w:iCs/>
        </w:rPr>
        <w:t xml:space="preserve">. </w:t>
      </w:r>
    </w:p>
    <w:p w14:paraId="7004E9E4">
      <w:pPr>
        <w:pStyle w:val="9"/>
        <w:spacing w:beforeAutospacing="0" w:afterAutospacing="0" w:line="480" w:lineRule="auto"/>
        <w:jc w:val="both"/>
        <w:rPr>
          <w:i/>
          <w:iCs/>
        </w:rPr>
      </w:pPr>
    </w:p>
    <w:p w14:paraId="078DC5B2">
      <w:pPr>
        <w:pStyle w:val="2"/>
        <w:rPr>
          <w:rFonts w:hint="eastAsia"/>
          <w:lang w:val="en-US" w:eastAsia="zh-CN"/>
        </w:rPr>
      </w:pPr>
      <w:bookmarkStart w:id="6" w:name="_Toc30595"/>
      <w:r>
        <w:t>Conclusion</w:t>
      </w:r>
      <w:r>
        <w:rPr>
          <w:rFonts w:hint="eastAsia"/>
          <w:lang w:val="en-US" w:eastAsia="zh-CN"/>
        </w:rPr>
        <w:t>s and Recommendations</w:t>
      </w:r>
      <w:bookmarkEnd w:id="6"/>
    </w:p>
    <w:p w14:paraId="220AEA49">
      <w:pPr>
        <w:rPr>
          <w:lang w:val="en-US" w:eastAsia="zh-CN"/>
        </w:rPr>
      </w:pPr>
    </w:p>
    <w:p w14:paraId="64E5E680">
      <w:pPr>
        <w:pStyle w:val="9"/>
        <w:spacing w:beforeAutospacing="0" w:afterAutospacing="0" w:line="480" w:lineRule="auto"/>
        <w:jc w:val="both"/>
        <w:rPr>
          <w:color w:val="0E101A"/>
        </w:rPr>
      </w:pPr>
      <w:r>
        <w:rPr>
          <w:color w:val="0E101A"/>
        </w:rPr>
        <w:t>An analysis of McDonald’s globalization practices reveals that its success is largely attributed to the organic integration of cultural relativism and Corporate Social Responsibility (CSR) strategies (Sheehy 2015</w:t>
      </w:r>
      <w:r>
        <w:rPr>
          <w:rFonts w:hint="eastAsia" w:eastAsia="宋体"/>
          <w:color w:val="0E101A"/>
        </w:rPr>
        <w:t>, p.626</w:t>
      </w:r>
      <w:r>
        <w:rPr>
          <w:color w:val="0E101A"/>
        </w:rPr>
        <w:t>). By flexibly adjusting its operations to accommodate the cultural and ethical demands of different countries, and leveraging the activities of the Ronald McDonald House Charities (RMHC) on a global scale, McDonald’s has demonstrated significant efforts in fulfilling its economic, legal, ethical, and philanthropic responsibilities (Hunjra 2023, p.57). However, these efforts are not without controversy, ranging from an overreliance on customer donations, issues related to plastic usage and environmental impact, to inequalities in employee treatment (</w:t>
      </w:r>
      <w:r>
        <w:rPr>
          <w:rFonts w:hint="eastAsia"/>
          <w:color w:val="0E101A"/>
        </w:rPr>
        <w:t>Ma 2010, p.130)</w:t>
      </w:r>
      <w:r>
        <w:rPr>
          <w:color w:val="0E101A"/>
        </w:rPr>
        <w:t>. Even as a benchmark global enterprise, McDonald’s must strive to balance short-term profits with long-term reputation in fulfilling its social responsibilities.</w:t>
      </w:r>
    </w:p>
    <w:p w14:paraId="3AD33254">
      <w:pPr>
        <w:pStyle w:val="9"/>
        <w:spacing w:beforeAutospacing="0" w:afterAutospacing="0" w:line="480" w:lineRule="auto"/>
        <w:jc w:val="both"/>
        <w:rPr>
          <w:color w:val="0E101A"/>
        </w:rPr>
      </w:pPr>
    </w:p>
    <w:p w14:paraId="4670E493">
      <w:pPr>
        <w:spacing w:line="480" w:lineRule="auto"/>
        <w:jc w:val="both"/>
        <w:rPr>
          <w:rFonts w:hint="eastAsia" w:eastAsia="宋体"/>
          <w:color w:val="0E101A"/>
          <w:lang w:val="en-US" w:eastAsia="zh-CN"/>
        </w:rPr>
      </w:pPr>
      <w:r>
        <w:rPr>
          <w:color w:val="0E101A"/>
        </w:rPr>
        <w:t>To address these issues, McDonald’s should gradually increase its direct funding to RMHC, reducing its reliance on customer donations to enhance its credibility and independence in fulfilling philanthropic responsibilities (Crane et al. 2019</w:t>
      </w:r>
      <w:r>
        <w:rPr>
          <w:rFonts w:hint="eastAsia" w:eastAsia="宋体"/>
          <w:color w:val="0E101A"/>
          <w:lang w:val="en-US" w:eastAsia="zh-CN"/>
        </w:rPr>
        <w:t>, p.225</w:t>
      </w:r>
      <w:r>
        <w:rPr>
          <w:color w:val="0E101A"/>
        </w:rPr>
        <w:t>). Simultaneously, the company should implement higher minimum wage standards and more comprehensive employee welfare policies on a global scale to respond to criticisms regarding labour rights. Regarding environmental responsibilities, McDonald’s should further strengthen measures for plastic recycling and reduction, while expanding the adoption of renewable energy to ensure consistency in environmental accountability across all markets (DesJardins 2023</w:t>
      </w:r>
      <w:r>
        <w:rPr>
          <w:rFonts w:hint="eastAsia" w:eastAsia="宋体"/>
          <w:color w:val="0E101A"/>
          <w:lang w:val="en-US" w:eastAsia="zh-CN"/>
        </w:rPr>
        <w:t>, p.522</w:t>
      </w:r>
      <w:r>
        <w:rPr>
          <w:color w:val="0E101A"/>
        </w:rPr>
        <w:t>). Additionally, the company needs to invest in the research and development of healthier food products, optimizing its product portfolio to address societal concerns about food health (</w:t>
      </w:r>
      <w:r>
        <w:rPr>
          <w:rFonts w:hint="eastAsia"/>
          <w:color w:val="0E101A"/>
        </w:rPr>
        <w:t>Enderle 2015, p.725)</w:t>
      </w:r>
      <w:r>
        <w:rPr>
          <w:color w:val="0E101A"/>
        </w:rPr>
        <w:t>. Lastly, McDonald’s should strengthen collaboration with local governments and non-governmental organizations to ensure its operations in different regions adhere to uniform, high standards of legal and ethical compliance (Cohen et al. 2016, p.124</w:t>
      </w:r>
      <w:r>
        <w:rPr>
          <w:rFonts w:hint="eastAsia" w:eastAsia="宋体"/>
          <w:color w:val="0E101A"/>
          <w:lang w:val="en-US" w:eastAsia="zh-CN"/>
        </w:rPr>
        <w:t>0).</w:t>
      </w:r>
    </w:p>
    <w:p w14:paraId="099DC33D">
      <w:pPr>
        <w:spacing w:line="480" w:lineRule="auto"/>
        <w:jc w:val="both"/>
        <w:rPr>
          <w:rFonts w:hint="eastAsia" w:eastAsia="宋体"/>
          <w:color w:val="0E101A"/>
          <w:lang w:val="en-US" w:eastAsia="zh-CN"/>
        </w:rPr>
      </w:pPr>
    </w:p>
    <w:p w14:paraId="4838E5D4">
      <w:pPr>
        <w:spacing w:line="480" w:lineRule="auto"/>
        <w:jc w:val="both"/>
        <w:rPr>
          <w:rFonts w:hint="eastAsia" w:eastAsia="宋体"/>
          <w:color w:val="0E101A"/>
          <w:lang w:val="en-US" w:eastAsia="zh-CN"/>
        </w:rPr>
      </w:pPr>
    </w:p>
    <w:p w14:paraId="2E550CAB">
      <w:pPr>
        <w:spacing w:line="480" w:lineRule="auto"/>
        <w:jc w:val="both"/>
        <w:rPr>
          <w:rFonts w:hint="eastAsia" w:eastAsia="宋体"/>
          <w:color w:val="0E101A"/>
          <w:lang w:val="en-US" w:eastAsia="zh-CN"/>
        </w:rPr>
      </w:pPr>
    </w:p>
    <w:p w14:paraId="3140947B">
      <w:pPr>
        <w:spacing w:line="480" w:lineRule="auto"/>
        <w:jc w:val="both"/>
        <w:rPr>
          <w:rFonts w:hint="eastAsia" w:eastAsia="宋体"/>
          <w:color w:val="0E101A"/>
          <w:lang w:val="en-US" w:eastAsia="zh-CN"/>
        </w:rPr>
      </w:pPr>
    </w:p>
    <w:p w14:paraId="4AAD0D4F">
      <w:pPr>
        <w:spacing w:line="480" w:lineRule="auto"/>
        <w:jc w:val="both"/>
        <w:rPr>
          <w:rFonts w:hint="eastAsia" w:eastAsia="宋体"/>
          <w:color w:val="0E101A"/>
          <w:lang w:val="en-US" w:eastAsia="zh-CN"/>
        </w:rPr>
      </w:pPr>
    </w:p>
    <w:p w14:paraId="12F1FEA9">
      <w:pPr>
        <w:spacing w:line="480" w:lineRule="auto"/>
        <w:jc w:val="both"/>
        <w:rPr>
          <w:rFonts w:hint="eastAsia" w:eastAsia="宋体"/>
          <w:color w:val="0E101A"/>
          <w:lang w:val="en-US" w:eastAsia="zh-CN"/>
        </w:rPr>
      </w:pPr>
      <w:bookmarkStart w:id="8" w:name="_GoBack"/>
      <w:bookmarkEnd w:id="8"/>
    </w:p>
    <w:p w14:paraId="3549A567">
      <w:pPr>
        <w:pStyle w:val="2"/>
        <w:bidi w:val="0"/>
      </w:pPr>
      <w:bookmarkStart w:id="7" w:name="_Toc23109"/>
      <w:r>
        <w:t>References</w:t>
      </w:r>
      <w:bookmarkEnd w:id="7"/>
    </w:p>
    <w:p w14:paraId="0F268F78"/>
    <w:p w14:paraId="194F0D6C">
      <w:pPr>
        <w:spacing w:line="260" w:lineRule="auto"/>
        <w:ind w:left="480" w:hanging="480" w:hangingChars="200"/>
      </w:pPr>
      <w:r>
        <w:rPr>
          <w:rFonts w:eastAsia="宋体" w:cs="Arial"/>
          <w:color w:val="222222"/>
          <w:szCs w:val="24"/>
          <w:shd w:val="clear" w:color="auto" w:fill="FFFFFF"/>
        </w:rPr>
        <w:t>BuCkinGhAM, J. and Nilakant, V., 2016. Introduction: Globalizing Corporate Social Responsibility–Challenging Western Neo-liberal Management Theory. In </w:t>
      </w:r>
      <w:r>
        <w:rPr>
          <w:rFonts w:eastAsia="宋体" w:cs="Arial"/>
          <w:i/>
          <w:iCs/>
          <w:color w:val="222222"/>
          <w:szCs w:val="24"/>
          <w:shd w:val="clear" w:color="auto" w:fill="FFFFFF"/>
        </w:rPr>
        <w:t>Managing Responsibly</w:t>
      </w:r>
      <w:r>
        <w:rPr>
          <w:rFonts w:eastAsia="宋体" w:cs="Arial"/>
          <w:color w:val="222222"/>
          <w:szCs w:val="24"/>
          <w:shd w:val="clear" w:color="auto" w:fill="FFFFFF"/>
        </w:rPr>
        <w:t> (pp. 1-18). Routledge.</w:t>
      </w:r>
    </w:p>
    <w:p w14:paraId="14AE2619">
      <w:pPr>
        <w:spacing w:line="260" w:lineRule="auto"/>
        <w:ind w:left="480" w:hanging="480" w:hangingChars="200"/>
        <w:rPr>
          <w:rFonts w:eastAsia="宋体" w:cs="Arial"/>
          <w:color w:val="222222"/>
          <w:szCs w:val="24"/>
          <w:shd w:val="clear" w:color="auto" w:fill="FFFFFF"/>
          <w:lang w:val="en-US" w:eastAsia="zh-CN"/>
        </w:rPr>
      </w:pPr>
      <w:r>
        <w:rPr>
          <w:rFonts w:eastAsia="宋体" w:cs="Arial"/>
          <w:color w:val="222222"/>
          <w:szCs w:val="24"/>
          <w:shd w:val="clear" w:color="auto" w:fill="FFFFFF"/>
        </w:rPr>
        <w:t>Crane, A., Matten, D., Glozer, S. and Spence, L.J., 2019. </w:t>
      </w:r>
      <w:r>
        <w:rPr>
          <w:rFonts w:eastAsia="宋体" w:cs="Arial"/>
          <w:i/>
          <w:iCs/>
          <w:color w:val="222222"/>
          <w:szCs w:val="24"/>
          <w:shd w:val="clear" w:color="auto" w:fill="FFFFFF"/>
        </w:rPr>
        <w:t>Business ethics: Managing corporate citizenship and sustainability in the age of globalization</w:t>
      </w:r>
      <w:r>
        <w:rPr>
          <w:rFonts w:eastAsia="宋体" w:cs="Arial"/>
          <w:color w:val="222222"/>
          <w:szCs w:val="24"/>
          <w:shd w:val="clear" w:color="auto" w:fill="FFFFFF"/>
        </w:rPr>
        <w:t>. Oxford University Press, USA</w:t>
      </w:r>
      <w:r>
        <w:rPr>
          <w:rFonts w:hint="eastAsia" w:eastAsia="宋体" w:cs="Arial"/>
          <w:color w:val="222222"/>
          <w:szCs w:val="24"/>
          <w:shd w:val="clear" w:color="auto" w:fill="FFFFFF"/>
          <w:lang w:val="en-US" w:eastAsia="zh-CN"/>
        </w:rPr>
        <w:t xml:space="preserve">, </w:t>
      </w:r>
      <w:r>
        <w:rPr>
          <w:rFonts w:eastAsia="宋体" w:cs="Arial"/>
          <w:color w:val="222222"/>
          <w:szCs w:val="24"/>
          <w:shd w:val="clear" w:color="auto" w:fill="FFFFFF"/>
        </w:rPr>
        <w:t>pp.2</w:t>
      </w:r>
      <w:r>
        <w:rPr>
          <w:rFonts w:hint="eastAsia" w:eastAsia="宋体" w:cs="Arial"/>
          <w:color w:val="222222"/>
          <w:szCs w:val="24"/>
          <w:shd w:val="clear" w:color="auto" w:fill="FFFFFF"/>
          <w:lang w:val="en-US" w:eastAsia="zh-CN"/>
        </w:rPr>
        <w:t>21</w:t>
      </w:r>
      <w:r>
        <w:rPr>
          <w:rFonts w:eastAsia="宋体" w:cs="Arial"/>
          <w:color w:val="222222"/>
          <w:szCs w:val="24"/>
          <w:shd w:val="clear" w:color="auto" w:fill="FFFFFF"/>
        </w:rPr>
        <w:t>-2</w:t>
      </w:r>
      <w:r>
        <w:rPr>
          <w:rFonts w:hint="eastAsia" w:eastAsia="宋体" w:cs="Arial"/>
          <w:color w:val="222222"/>
          <w:szCs w:val="24"/>
          <w:shd w:val="clear" w:color="auto" w:fill="FFFFFF"/>
          <w:lang w:val="en-US" w:eastAsia="zh-CN"/>
        </w:rPr>
        <w:t>69.</w:t>
      </w:r>
    </w:p>
    <w:p w14:paraId="3C06CC4B">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Cohen, A.B., Wu, M.S. and Miller, J., 2016. Religion and culture: Individualism and collectivism in the East and West. </w:t>
      </w:r>
      <w:r>
        <w:rPr>
          <w:rFonts w:eastAsia="宋体" w:cs="Arial"/>
          <w:i/>
          <w:iCs/>
          <w:color w:val="222222"/>
          <w:szCs w:val="24"/>
          <w:shd w:val="clear" w:color="auto" w:fill="FFFFFF"/>
        </w:rPr>
        <w:t>Journal of Cross-Cultural Psychology</w:t>
      </w:r>
      <w:r>
        <w:rPr>
          <w:rFonts w:eastAsia="宋体" w:cs="Arial"/>
          <w:color w:val="222222"/>
          <w:szCs w:val="24"/>
          <w:shd w:val="clear" w:color="auto" w:fill="FFFFFF"/>
        </w:rPr>
        <w:t>, </w:t>
      </w:r>
      <w:r>
        <w:rPr>
          <w:rFonts w:eastAsia="宋体" w:cs="Arial"/>
          <w:i/>
          <w:iCs/>
          <w:color w:val="222222"/>
          <w:szCs w:val="24"/>
          <w:shd w:val="clear" w:color="auto" w:fill="FFFFFF"/>
        </w:rPr>
        <w:t>47</w:t>
      </w:r>
      <w:r>
        <w:rPr>
          <w:rFonts w:eastAsia="宋体" w:cs="Arial"/>
          <w:color w:val="222222"/>
          <w:szCs w:val="24"/>
          <w:shd w:val="clear" w:color="auto" w:fill="FFFFFF"/>
        </w:rPr>
        <w:t>(9), pp.1236-1249.</w:t>
      </w:r>
    </w:p>
    <w:p w14:paraId="5A805BD4">
      <w:r>
        <w:rPr>
          <w:rFonts w:eastAsia="宋体" w:cs="Arial"/>
          <w:color w:val="222222"/>
          <w:szCs w:val="24"/>
          <w:shd w:val="clear" w:color="auto" w:fill="FFFFFF"/>
        </w:rPr>
        <w:t>Campopiano, G. and De Massis, A., 2015. Corporate social responsibility reporting: A content analysis in family and non-family firms. </w:t>
      </w:r>
      <w:r>
        <w:rPr>
          <w:rFonts w:eastAsia="宋体" w:cs="Arial"/>
          <w:i/>
          <w:iCs/>
          <w:color w:val="222222"/>
          <w:szCs w:val="24"/>
          <w:shd w:val="clear" w:color="auto" w:fill="FFFFFF"/>
        </w:rPr>
        <w:t>Journal of business ethics</w:t>
      </w:r>
      <w:r>
        <w:rPr>
          <w:rFonts w:eastAsia="宋体" w:cs="Arial"/>
          <w:color w:val="222222"/>
          <w:szCs w:val="24"/>
          <w:shd w:val="clear" w:color="auto" w:fill="FFFFFF"/>
        </w:rPr>
        <w:t>, </w:t>
      </w:r>
      <w:r>
        <w:rPr>
          <w:rFonts w:eastAsia="宋体" w:cs="Arial"/>
          <w:i/>
          <w:iCs/>
          <w:color w:val="222222"/>
          <w:szCs w:val="24"/>
          <w:shd w:val="clear" w:color="auto" w:fill="FFFFFF"/>
        </w:rPr>
        <w:t>129</w:t>
      </w:r>
      <w:r>
        <w:rPr>
          <w:rFonts w:eastAsia="宋体" w:cs="Arial"/>
          <w:color w:val="222222"/>
          <w:szCs w:val="24"/>
          <w:shd w:val="clear" w:color="auto" w:fill="FFFFFF"/>
        </w:rPr>
        <w:t>, pp.511-534.</w:t>
      </w:r>
    </w:p>
    <w:p w14:paraId="74D823A0">
      <w:pPr>
        <w:spacing w:line="260" w:lineRule="auto"/>
        <w:ind w:left="480" w:hanging="480" w:hangingChars="200"/>
        <w:rPr>
          <w:rFonts w:eastAsia="宋体" w:cs="Arial"/>
          <w:color w:val="222222"/>
          <w:szCs w:val="24"/>
          <w:shd w:val="clear" w:color="auto" w:fill="FFFFFF"/>
          <w:lang w:val="en-US" w:eastAsia="zh-CN"/>
        </w:rPr>
      </w:pPr>
      <w:r>
        <w:rPr>
          <w:rFonts w:eastAsia="宋体" w:cs="Arial"/>
          <w:color w:val="222222"/>
          <w:szCs w:val="24"/>
          <w:shd w:val="clear" w:color="auto" w:fill="FFFFFF"/>
        </w:rPr>
        <w:t>DesJardins, J.R., 2023. An introduction to business ethics</w:t>
      </w:r>
      <w:r>
        <w:rPr>
          <w:rFonts w:hint="eastAsia" w:eastAsia="宋体" w:cs="Arial"/>
          <w:color w:val="222222"/>
          <w:szCs w:val="24"/>
          <w:shd w:val="clear" w:color="auto" w:fill="FFFFFF"/>
          <w:lang w:val="en-US" w:eastAsia="zh-CN"/>
        </w:rPr>
        <w:t xml:space="preserve">, </w:t>
      </w:r>
      <w:r>
        <w:rPr>
          <w:rFonts w:eastAsia="宋体" w:cs="Arial"/>
          <w:color w:val="222222"/>
          <w:szCs w:val="24"/>
          <w:shd w:val="clear" w:color="auto" w:fill="FFFFFF"/>
        </w:rPr>
        <w:t>pp.5</w:t>
      </w:r>
      <w:r>
        <w:rPr>
          <w:rFonts w:hint="eastAsia" w:eastAsia="宋体" w:cs="Arial"/>
          <w:color w:val="222222"/>
          <w:szCs w:val="24"/>
          <w:shd w:val="clear" w:color="auto" w:fill="FFFFFF"/>
          <w:lang w:val="en-US" w:eastAsia="zh-CN"/>
        </w:rPr>
        <w:t>21</w:t>
      </w:r>
      <w:r>
        <w:rPr>
          <w:rFonts w:eastAsia="宋体" w:cs="Arial"/>
          <w:color w:val="222222"/>
          <w:szCs w:val="24"/>
          <w:shd w:val="clear" w:color="auto" w:fill="FFFFFF"/>
        </w:rPr>
        <w:t>-</w:t>
      </w:r>
      <w:r>
        <w:rPr>
          <w:rFonts w:hint="eastAsia" w:eastAsia="宋体" w:cs="Arial"/>
          <w:color w:val="222222"/>
          <w:szCs w:val="24"/>
          <w:shd w:val="clear" w:color="auto" w:fill="FFFFFF"/>
          <w:lang w:val="en-US" w:eastAsia="zh-CN"/>
        </w:rPr>
        <w:t>53</w:t>
      </w:r>
      <w:r>
        <w:rPr>
          <w:rFonts w:eastAsia="宋体" w:cs="Arial"/>
          <w:color w:val="222222"/>
          <w:szCs w:val="24"/>
          <w:shd w:val="clear" w:color="auto" w:fill="FFFFFF"/>
        </w:rPr>
        <w:t>8</w:t>
      </w:r>
      <w:r>
        <w:rPr>
          <w:rFonts w:hint="eastAsia" w:eastAsia="宋体" w:cs="Arial"/>
          <w:color w:val="222222"/>
          <w:szCs w:val="24"/>
          <w:shd w:val="clear" w:color="auto" w:fill="FFFFFF"/>
          <w:lang w:val="en-US" w:eastAsia="zh-CN"/>
        </w:rPr>
        <w:t>.</w:t>
      </w:r>
    </w:p>
    <w:p w14:paraId="575D3460">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Farooq, Q., Hao, Y. and Liu, X., 2019. Understanding corporate social responsibility with cross‐cultural differences: A deeper look at religiosity. </w:t>
      </w:r>
      <w:r>
        <w:rPr>
          <w:rFonts w:eastAsia="宋体" w:cs="Arial"/>
          <w:i/>
          <w:iCs/>
          <w:color w:val="222222"/>
          <w:szCs w:val="24"/>
          <w:shd w:val="clear" w:color="auto" w:fill="FFFFFF"/>
        </w:rPr>
        <w:t>Corporate Social Responsibility and Environmental Management</w:t>
      </w:r>
      <w:r>
        <w:rPr>
          <w:rFonts w:eastAsia="宋体" w:cs="Arial"/>
          <w:color w:val="222222"/>
          <w:szCs w:val="24"/>
          <w:shd w:val="clear" w:color="auto" w:fill="FFFFFF"/>
        </w:rPr>
        <w:t>, </w:t>
      </w:r>
      <w:r>
        <w:rPr>
          <w:rFonts w:eastAsia="宋体" w:cs="Arial"/>
          <w:i/>
          <w:iCs/>
          <w:color w:val="222222"/>
          <w:szCs w:val="24"/>
          <w:shd w:val="clear" w:color="auto" w:fill="FFFFFF"/>
        </w:rPr>
        <w:t>26</w:t>
      </w:r>
      <w:r>
        <w:rPr>
          <w:rFonts w:eastAsia="宋体" w:cs="Arial"/>
          <w:color w:val="222222"/>
          <w:szCs w:val="24"/>
          <w:shd w:val="clear" w:color="auto" w:fill="FFFFFF"/>
        </w:rPr>
        <w:t>(4), pp.965-971.</w:t>
      </w:r>
    </w:p>
    <w:p w14:paraId="1FDA63FD">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Freeman, R.E., 2023. The politics of stakeholder theory: Some future directions. In </w:t>
      </w:r>
      <w:r>
        <w:rPr>
          <w:rFonts w:eastAsia="宋体" w:cs="Arial"/>
          <w:i/>
          <w:iCs/>
          <w:color w:val="222222"/>
          <w:szCs w:val="24"/>
          <w:shd w:val="clear" w:color="auto" w:fill="FFFFFF"/>
        </w:rPr>
        <w:t>R. Edward Freeman’s Selected Works on Stakeholder Theory and Business Ethics</w:t>
      </w:r>
      <w:r>
        <w:rPr>
          <w:rFonts w:eastAsia="宋体" w:cs="Arial"/>
          <w:color w:val="222222"/>
          <w:szCs w:val="24"/>
          <w:shd w:val="clear" w:color="auto" w:fill="FFFFFF"/>
        </w:rPr>
        <w:t> (pp. 119-132). Cham: Springer International Publishing.</w:t>
      </w:r>
    </w:p>
    <w:p w14:paraId="2C9B4FED">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Freudenreich, B., Lüdeke-Freund, F. and Schaltegger, S., 2020. A stakeholder theory perspective on business models: Value creation for sustainability. </w:t>
      </w:r>
      <w:r>
        <w:rPr>
          <w:rFonts w:eastAsia="宋体" w:cs="Arial"/>
          <w:i/>
          <w:iCs/>
          <w:color w:val="222222"/>
          <w:szCs w:val="24"/>
          <w:shd w:val="clear" w:color="auto" w:fill="FFFFFF"/>
        </w:rPr>
        <w:t>Journal of business ethics</w:t>
      </w:r>
      <w:r>
        <w:rPr>
          <w:rFonts w:eastAsia="宋体" w:cs="Arial"/>
          <w:color w:val="222222"/>
          <w:szCs w:val="24"/>
          <w:shd w:val="clear" w:color="auto" w:fill="FFFFFF"/>
        </w:rPr>
        <w:t>, </w:t>
      </w:r>
      <w:r>
        <w:rPr>
          <w:rFonts w:eastAsia="宋体" w:cs="Arial"/>
          <w:i/>
          <w:iCs/>
          <w:color w:val="222222"/>
          <w:szCs w:val="24"/>
          <w:shd w:val="clear" w:color="auto" w:fill="FFFFFF"/>
        </w:rPr>
        <w:t>166</w:t>
      </w:r>
      <w:r>
        <w:rPr>
          <w:rFonts w:eastAsia="宋体" w:cs="Arial"/>
          <w:color w:val="222222"/>
          <w:szCs w:val="24"/>
          <w:shd w:val="clear" w:color="auto" w:fill="FFFFFF"/>
        </w:rPr>
        <w:t>(1), pp.3-18.</w:t>
      </w:r>
    </w:p>
    <w:p w14:paraId="05E66D1E">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Freeman, R.E. and Velamuri, S.R., 2023. A new approach to CSR: Company stakeholder responsibility. In </w:t>
      </w:r>
      <w:r>
        <w:rPr>
          <w:rFonts w:eastAsia="宋体" w:cs="Arial"/>
          <w:i/>
          <w:iCs/>
          <w:color w:val="222222"/>
          <w:szCs w:val="24"/>
          <w:shd w:val="clear" w:color="auto" w:fill="FFFFFF"/>
        </w:rPr>
        <w:t>R. Edward Freeman’s Selected Works on Stakeholder Theory and Business Ethics</w:t>
      </w:r>
      <w:r>
        <w:rPr>
          <w:rFonts w:eastAsia="宋体" w:cs="Arial"/>
          <w:color w:val="222222"/>
          <w:szCs w:val="24"/>
          <w:shd w:val="clear" w:color="auto" w:fill="FFFFFF"/>
        </w:rPr>
        <w:t> (pp. 251-264). Cham: Springer International Publishing.</w:t>
      </w:r>
    </w:p>
    <w:p w14:paraId="1B350C48">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Gaughan, P.H. and Javalgi, R.R.G., 2018. A framework for analyzing international business and legal ethical standards. </w:t>
      </w:r>
      <w:r>
        <w:rPr>
          <w:rFonts w:eastAsia="宋体" w:cs="Arial"/>
          <w:i/>
          <w:iCs/>
          <w:color w:val="222222"/>
          <w:szCs w:val="24"/>
          <w:shd w:val="clear" w:color="auto" w:fill="FFFFFF"/>
        </w:rPr>
        <w:t>Business Horizons</w:t>
      </w:r>
      <w:r>
        <w:rPr>
          <w:rFonts w:eastAsia="宋体" w:cs="Arial"/>
          <w:color w:val="222222"/>
          <w:szCs w:val="24"/>
          <w:shd w:val="clear" w:color="auto" w:fill="FFFFFF"/>
        </w:rPr>
        <w:t>, </w:t>
      </w:r>
      <w:r>
        <w:rPr>
          <w:rFonts w:eastAsia="宋体" w:cs="Arial"/>
          <w:i/>
          <w:iCs/>
          <w:color w:val="222222"/>
          <w:szCs w:val="24"/>
          <w:shd w:val="clear" w:color="auto" w:fill="FFFFFF"/>
        </w:rPr>
        <w:t>61</w:t>
      </w:r>
      <w:r>
        <w:rPr>
          <w:rFonts w:eastAsia="宋体" w:cs="Arial"/>
          <w:color w:val="222222"/>
          <w:szCs w:val="24"/>
          <w:shd w:val="clear" w:color="auto" w:fill="FFFFFF"/>
        </w:rPr>
        <w:t>(6), pp.813-822.</w:t>
      </w:r>
    </w:p>
    <w:p w14:paraId="289EFA72">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Gallego‐Alvarez, I., Rodríguez‐Domínguez, L. and Martín Vallejo, J., 2020. An analysis of business ethics in the cultural contexts of different religions. </w:t>
      </w:r>
      <w:r>
        <w:rPr>
          <w:rFonts w:eastAsia="宋体" w:cs="Arial"/>
          <w:i/>
          <w:iCs/>
          <w:color w:val="222222"/>
          <w:szCs w:val="24"/>
          <w:shd w:val="clear" w:color="auto" w:fill="FFFFFF"/>
        </w:rPr>
        <w:t>Business Ethics: A European Review</w:t>
      </w:r>
      <w:r>
        <w:rPr>
          <w:rFonts w:eastAsia="宋体" w:cs="Arial"/>
          <w:color w:val="222222"/>
          <w:szCs w:val="24"/>
          <w:shd w:val="clear" w:color="auto" w:fill="FFFFFF"/>
        </w:rPr>
        <w:t>, </w:t>
      </w:r>
      <w:r>
        <w:rPr>
          <w:rFonts w:eastAsia="宋体" w:cs="Arial"/>
          <w:i/>
          <w:iCs/>
          <w:color w:val="222222"/>
          <w:szCs w:val="24"/>
          <w:shd w:val="clear" w:color="auto" w:fill="FFFFFF"/>
        </w:rPr>
        <w:t>29</w:t>
      </w:r>
      <w:r>
        <w:rPr>
          <w:rFonts w:eastAsia="宋体" w:cs="Arial"/>
          <w:color w:val="222222"/>
          <w:szCs w:val="24"/>
          <w:shd w:val="clear" w:color="auto" w:fill="FFFFFF"/>
        </w:rPr>
        <w:t>(3), pp.570-586.</w:t>
      </w:r>
    </w:p>
    <w:p w14:paraId="793FBC25">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Hourneaux Jr, F., Gabriel, M.L.D.S. and Gallardo-Vázquez, D.A., 2018. Triple bottom line and sustainable performance measurement in industrial companies. </w:t>
      </w:r>
      <w:r>
        <w:rPr>
          <w:rFonts w:eastAsia="宋体" w:cs="Arial"/>
          <w:i/>
          <w:iCs/>
          <w:color w:val="222222"/>
          <w:szCs w:val="24"/>
          <w:shd w:val="clear" w:color="auto" w:fill="FFFFFF"/>
        </w:rPr>
        <w:t>Revista de Gestão</w:t>
      </w:r>
      <w:r>
        <w:rPr>
          <w:rFonts w:eastAsia="宋体" w:cs="Arial"/>
          <w:color w:val="222222"/>
          <w:szCs w:val="24"/>
          <w:shd w:val="clear" w:color="auto" w:fill="FFFFFF"/>
        </w:rPr>
        <w:t>, </w:t>
      </w:r>
      <w:r>
        <w:rPr>
          <w:rFonts w:eastAsia="宋体" w:cs="Arial"/>
          <w:i/>
          <w:iCs/>
          <w:color w:val="222222"/>
          <w:szCs w:val="24"/>
          <w:shd w:val="clear" w:color="auto" w:fill="FFFFFF"/>
        </w:rPr>
        <w:t>25</w:t>
      </w:r>
      <w:r>
        <w:rPr>
          <w:rFonts w:eastAsia="宋体" w:cs="Arial"/>
          <w:color w:val="222222"/>
          <w:szCs w:val="24"/>
          <w:shd w:val="clear" w:color="auto" w:fill="FFFFFF"/>
        </w:rPr>
        <w:t>(4), pp.413-429.</w:t>
      </w:r>
    </w:p>
    <w:p w14:paraId="28DBE778">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Hunjra, A.I., 2023. International Business Management: Navigating Global Markets. </w:t>
      </w:r>
      <w:r>
        <w:rPr>
          <w:rFonts w:eastAsia="宋体" w:cs="Arial"/>
          <w:i/>
          <w:iCs/>
          <w:color w:val="222222"/>
          <w:szCs w:val="24"/>
          <w:shd w:val="clear" w:color="auto" w:fill="FFFFFF"/>
        </w:rPr>
        <w:t>Journal of Accounting &amp; Business Archive Review</w:t>
      </w:r>
      <w:r>
        <w:rPr>
          <w:rFonts w:eastAsia="宋体" w:cs="Arial"/>
          <w:color w:val="222222"/>
          <w:szCs w:val="24"/>
          <w:shd w:val="clear" w:color="auto" w:fill="FFFFFF"/>
        </w:rPr>
        <w:t>, </w:t>
      </w:r>
      <w:r>
        <w:rPr>
          <w:rFonts w:eastAsia="宋体" w:cs="Arial"/>
          <w:i/>
          <w:iCs/>
          <w:color w:val="222222"/>
          <w:szCs w:val="24"/>
          <w:shd w:val="clear" w:color="auto" w:fill="FFFFFF"/>
        </w:rPr>
        <w:t>1</w:t>
      </w:r>
      <w:r>
        <w:rPr>
          <w:rFonts w:eastAsia="宋体" w:cs="Arial"/>
          <w:color w:val="222222"/>
          <w:szCs w:val="24"/>
          <w:shd w:val="clear" w:color="auto" w:fill="FFFFFF"/>
        </w:rPr>
        <w:t>(2), pp.49-61.</w:t>
      </w:r>
    </w:p>
    <w:p w14:paraId="4C321983">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Slack, R.E., Corlett, S. and Morris, R., 2015. Exploring employee engagement with (corporate) social responsibility: A social exchange perspective on organisational participation. </w:t>
      </w:r>
      <w:r>
        <w:rPr>
          <w:rFonts w:eastAsia="宋体" w:cs="Arial"/>
          <w:i/>
          <w:iCs/>
          <w:color w:val="222222"/>
          <w:szCs w:val="24"/>
          <w:shd w:val="clear" w:color="auto" w:fill="FFFFFF"/>
        </w:rPr>
        <w:t>Journal of business ethics</w:t>
      </w:r>
      <w:r>
        <w:rPr>
          <w:rFonts w:eastAsia="宋体" w:cs="Arial"/>
          <w:color w:val="222222"/>
          <w:szCs w:val="24"/>
          <w:shd w:val="clear" w:color="auto" w:fill="FFFFFF"/>
        </w:rPr>
        <w:t>, </w:t>
      </w:r>
      <w:r>
        <w:rPr>
          <w:rFonts w:eastAsia="宋体" w:cs="Arial"/>
          <w:i/>
          <w:iCs/>
          <w:color w:val="222222"/>
          <w:szCs w:val="24"/>
          <w:shd w:val="clear" w:color="auto" w:fill="FFFFFF"/>
        </w:rPr>
        <w:t>127</w:t>
      </w:r>
      <w:r>
        <w:rPr>
          <w:rFonts w:eastAsia="宋体" w:cs="Arial"/>
          <w:color w:val="222222"/>
          <w:szCs w:val="24"/>
          <w:shd w:val="clear" w:color="auto" w:fill="FFFFFF"/>
        </w:rPr>
        <w:t>, pp.537-548.</w:t>
      </w:r>
    </w:p>
    <w:p w14:paraId="21915D63">
      <w:pPr>
        <w:spacing w:line="260" w:lineRule="auto"/>
        <w:ind w:left="480" w:hanging="480" w:hangingChars="200"/>
        <w:rPr>
          <w:rFonts w:eastAsia="宋体" w:cs="Arial"/>
          <w:color w:val="222222"/>
          <w:szCs w:val="24"/>
          <w:shd w:val="clear" w:color="auto" w:fill="FFFFFF"/>
          <w:lang w:val="en-US"/>
        </w:rPr>
      </w:pPr>
      <w:r>
        <w:rPr>
          <w:rFonts w:eastAsia="宋体" w:cs="Arial"/>
          <w:color w:val="222222"/>
          <w:szCs w:val="24"/>
          <w:shd w:val="clear" w:color="auto" w:fill="FFFFFF"/>
        </w:rPr>
        <w:t>Shaw, W.H., 2017. </w:t>
      </w:r>
      <w:r>
        <w:rPr>
          <w:rFonts w:eastAsia="宋体" w:cs="Arial"/>
          <w:i/>
          <w:iCs/>
          <w:color w:val="222222"/>
          <w:szCs w:val="24"/>
          <w:shd w:val="clear" w:color="auto" w:fill="FFFFFF"/>
        </w:rPr>
        <w:t>Business ethics</w:t>
      </w:r>
      <w:r>
        <w:rPr>
          <w:rFonts w:eastAsia="宋体" w:cs="Arial"/>
          <w:color w:val="222222"/>
          <w:szCs w:val="24"/>
          <w:shd w:val="clear" w:color="auto" w:fill="FFFFFF"/>
        </w:rPr>
        <w:t>. Cengage Learning</w:t>
      </w:r>
      <w:r>
        <w:rPr>
          <w:rFonts w:eastAsia="宋体" w:cs="Arial"/>
          <w:color w:val="222222"/>
          <w:szCs w:val="24"/>
          <w:shd w:val="clear" w:color="auto" w:fill="FFFFFF"/>
          <w:lang w:val="en-US" w:eastAsia="zh-CN"/>
        </w:rPr>
        <w:t>,</w:t>
      </w:r>
      <w:r>
        <w:rPr>
          <w:rFonts w:eastAsia="宋体" w:cs="Arial"/>
          <w:color w:val="222222"/>
          <w:szCs w:val="24"/>
          <w:shd w:val="clear" w:color="auto" w:fill="FFFFFF"/>
        </w:rPr>
        <w:t xml:space="preserve"> pp.</w:t>
      </w:r>
      <w:r>
        <w:rPr>
          <w:rFonts w:hint="eastAsia" w:eastAsia="宋体" w:cs="Arial"/>
          <w:color w:val="222222"/>
          <w:szCs w:val="24"/>
          <w:shd w:val="clear" w:color="auto" w:fill="FFFFFF"/>
          <w:lang w:val="en-US" w:eastAsia="zh-CN"/>
        </w:rPr>
        <w:t>151</w:t>
      </w:r>
      <w:r>
        <w:rPr>
          <w:rFonts w:eastAsia="宋体" w:cs="Arial"/>
          <w:color w:val="222222"/>
          <w:szCs w:val="24"/>
          <w:shd w:val="clear" w:color="auto" w:fill="FFFFFF"/>
        </w:rPr>
        <w:t>-</w:t>
      </w:r>
      <w:r>
        <w:rPr>
          <w:rFonts w:hint="eastAsia" w:eastAsia="宋体" w:cs="Arial"/>
          <w:color w:val="222222"/>
          <w:szCs w:val="24"/>
          <w:shd w:val="clear" w:color="auto" w:fill="FFFFFF"/>
          <w:lang w:val="en-US" w:eastAsia="zh-CN"/>
        </w:rPr>
        <w:t>169.</w:t>
      </w:r>
    </w:p>
    <w:p w14:paraId="68611A0C">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Schaltegger, S. and Burritt, R., 2018. Business cases and corporate engagement with sustainability: Differentiating ethical motivations. </w:t>
      </w:r>
      <w:r>
        <w:rPr>
          <w:rFonts w:eastAsia="宋体" w:cs="Arial"/>
          <w:i/>
          <w:iCs/>
          <w:color w:val="222222"/>
          <w:szCs w:val="24"/>
          <w:shd w:val="clear" w:color="auto" w:fill="FFFFFF"/>
        </w:rPr>
        <w:t>Journal of business ethics</w:t>
      </w:r>
      <w:r>
        <w:rPr>
          <w:rFonts w:eastAsia="宋体" w:cs="Arial"/>
          <w:color w:val="222222"/>
          <w:szCs w:val="24"/>
          <w:shd w:val="clear" w:color="auto" w:fill="FFFFFF"/>
        </w:rPr>
        <w:t>, </w:t>
      </w:r>
      <w:r>
        <w:rPr>
          <w:rFonts w:eastAsia="宋体" w:cs="Arial"/>
          <w:i/>
          <w:iCs/>
          <w:color w:val="222222"/>
          <w:szCs w:val="24"/>
          <w:shd w:val="clear" w:color="auto" w:fill="FFFFFF"/>
        </w:rPr>
        <w:t>147</w:t>
      </w:r>
      <w:r>
        <w:rPr>
          <w:rFonts w:eastAsia="宋体" w:cs="Arial"/>
          <w:color w:val="222222"/>
          <w:szCs w:val="24"/>
          <w:shd w:val="clear" w:color="auto" w:fill="FFFFFF"/>
        </w:rPr>
        <w:t>, pp.241-259.</w:t>
      </w:r>
    </w:p>
    <w:p w14:paraId="7BF76737">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Sheehy, B., 2015. Defining CSR: Problems and solutions. </w:t>
      </w:r>
      <w:r>
        <w:rPr>
          <w:rFonts w:eastAsia="宋体" w:cs="Arial"/>
          <w:i/>
          <w:iCs/>
          <w:color w:val="222222"/>
          <w:szCs w:val="24"/>
          <w:shd w:val="clear" w:color="auto" w:fill="FFFFFF"/>
        </w:rPr>
        <w:t>Journal of business ethics</w:t>
      </w:r>
      <w:r>
        <w:rPr>
          <w:rFonts w:eastAsia="宋体" w:cs="Arial"/>
          <w:color w:val="222222"/>
          <w:szCs w:val="24"/>
          <w:shd w:val="clear" w:color="auto" w:fill="FFFFFF"/>
        </w:rPr>
        <w:t>, </w:t>
      </w:r>
      <w:r>
        <w:rPr>
          <w:rFonts w:eastAsia="宋体" w:cs="Arial"/>
          <w:i/>
          <w:iCs/>
          <w:color w:val="222222"/>
          <w:szCs w:val="24"/>
          <w:shd w:val="clear" w:color="auto" w:fill="FFFFFF"/>
        </w:rPr>
        <w:t>131</w:t>
      </w:r>
      <w:r>
        <w:rPr>
          <w:rFonts w:eastAsia="宋体" w:cs="Arial"/>
          <w:color w:val="222222"/>
          <w:szCs w:val="24"/>
          <w:shd w:val="clear" w:color="auto" w:fill="FFFFFF"/>
        </w:rPr>
        <w:t>, pp.625-648.</w:t>
      </w:r>
    </w:p>
    <w:p w14:paraId="17797E82">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Stahl, G.K. and Tung, R.L., 2015. Towards a more balanced treatment of culture in international business studies: The need for positive cross-cultural scholarship. </w:t>
      </w:r>
      <w:r>
        <w:rPr>
          <w:rFonts w:eastAsia="宋体" w:cs="Arial"/>
          <w:i/>
          <w:iCs/>
          <w:color w:val="222222"/>
          <w:szCs w:val="24"/>
          <w:shd w:val="clear" w:color="auto" w:fill="FFFFFF"/>
        </w:rPr>
        <w:t>Journal of International Business Studies</w:t>
      </w:r>
      <w:r>
        <w:rPr>
          <w:rFonts w:eastAsia="宋体" w:cs="Arial"/>
          <w:color w:val="222222"/>
          <w:szCs w:val="24"/>
          <w:shd w:val="clear" w:color="auto" w:fill="FFFFFF"/>
        </w:rPr>
        <w:t>, </w:t>
      </w:r>
      <w:r>
        <w:rPr>
          <w:rFonts w:eastAsia="宋体" w:cs="Arial"/>
          <w:i/>
          <w:iCs/>
          <w:color w:val="222222"/>
          <w:szCs w:val="24"/>
          <w:shd w:val="clear" w:color="auto" w:fill="FFFFFF"/>
        </w:rPr>
        <w:t>46</w:t>
      </w:r>
      <w:r>
        <w:rPr>
          <w:rFonts w:eastAsia="宋体" w:cs="Arial"/>
          <w:color w:val="222222"/>
          <w:szCs w:val="24"/>
          <w:shd w:val="clear" w:color="auto" w:fill="FFFFFF"/>
        </w:rPr>
        <w:t>, pp.391-414.</w:t>
      </w:r>
    </w:p>
    <w:p w14:paraId="070AFC05">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Setó-Pamies, D. and Papaoikonomou, E., 2016. A multi-level perspective for the integration of ethics, corporate social responsibility and sustainability (ECSRS) in management education. </w:t>
      </w:r>
      <w:r>
        <w:rPr>
          <w:rFonts w:eastAsia="宋体" w:cs="Arial"/>
          <w:i/>
          <w:iCs/>
          <w:color w:val="222222"/>
          <w:szCs w:val="24"/>
          <w:shd w:val="clear" w:color="auto" w:fill="FFFFFF"/>
        </w:rPr>
        <w:t>Journal of Business Ethics</w:t>
      </w:r>
      <w:r>
        <w:rPr>
          <w:rFonts w:eastAsia="宋体" w:cs="Arial"/>
          <w:color w:val="222222"/>
          <w:szCs w:val="24"/>
          <w:shd w:val="clear" w:color="auto" w:fill="FFFFFF"/>
        </w:rPr>
        <w:t>, </w:t>
      </w:r>
      <w:r>
        <w:rPr>
          <w:rFonts w:eastAsia="宋体" w:cs="Arial"/>
          <w:i/>
          <w:iCs/>
          <w:color w:val="222222"/>
          <w:szCs w:val="24"/>
          <w:shd w:val="clear" w:color="auto" w:fill="FFFFFF"/>
        </w:rPr>
        <w:t>136</w:t>
      </w:r>
      <w:r>
        <w:rPr>
          <w:rFonts w:eastAsia="宋体" w:cs="Arial"/>
          <w:color w:val="222222"/>
          <w:szCs w:val="24"/>
          <w:shd w:val="clear" w:color="auto" w:fill="FFFFFF"/>
        </w:rPr>
        <w:t>, pp.523-538.</w:t>
      </w:r>
    </w:p>
    <w:p w14:paraId="63C64E3C">
      <w:pPr>
        <w:spacing w:line="260" w:lineRule="auto"/>
        <w:ind w:left="480" w:hanging="480" w:hangingChars="200"/>
        <w:rPr>
          <w:rFonts w:eastAsia="宋体" w:cs="Arial"/>
          <w:color w:val="222222"/>
          <w:szCs w:val="24"/>
          <w:shd w:val="clear" w:color="auto" w:fill="FFFFFF"/>
        </w:rPr>
      </w:pPr>
      <w:r>
        <w:rPr>
          <w:rFonts w:eastAsia="宋体" w:cs="Arial"/>
          <w:color w:val="222222"/>
          <w:szCs w:val="24"/>
          <w:shd w:val="clear" w:color="auto" w:fill="FFFFFF"/>
        </w:rPr>
        <w:t>Shao, J., Zhang, T., Lee, Y.C. and Xu, Y., 2023. Does a religious atmosphere impact corporate social responsibility? A comparative study between Taoist and Buddhist dominated atmospheres. </w:t>
      </w:r>
      <w:r>
        <w:rPr>
          <w:rFonts w:eastAsia="宋体" w:cs="Arial"/>
          <w:i/>
          <w:iCs/>
          <w:color w:val="222222"/>
          <w:szCs w:val="24"/>
          <w:shd w:val="clear" w:color="auto" w:fill="FFFFFF"/>
        </w:rPr>
        <w:t>Religions</w:t>
      </w:r>
      <w:r>
        <w:rPr>
          <w:rFonts w:eastAsia="宋体" w:cs="Arial"/>
          <w:color w:val="222222"/>
          <w:szCs w:val="24"/>
          <w:shd w:val="clear" w:color="auto" w:fill="FFFFFF"/>
        </w:rPr>
        <w:t>, </w:t>
      </w:r>
      <w:r>
        <w:rPr>
          <w:rFonts w:eastAsia="宋体" w:cs="Arial"/>
          <w:i/>
          <w:iCs/>
          <w:color w:val="222222"/>
          <w:szCs w:val="24"/>
          <w:shd w:val="clear" w:color="auto" w:fill="FFFFFF"/>
        </w:rPr>
        <w:t>14</w:t>
      </w:r>
      <w:r>
        <w:rPr>
          <w:rFonts w:eastAsia="宋体" w:cs="Arial"/>
          <w:color w:val="222222"/>
          <w:szCs w:val="24"/>
          <w:shd w:val="clear" w:color="auto" w:fill="FFFFFF"/>
        </w:rPr>
        <w:t>(1), p.113.</w:t>
      </w:r>
    </w:p>
    <w:p w14:paraId="5310979E">
      <w:pPr>
        <w:spacing w:line="260" w:lineRule="auto"/>
        <w:ind w:left="480" w:hanging="480" w:hangingChars="200"/>
        <w:rPr>
          <w:rFonts w:eastAsia="宋体" w:cs="Arial"/>
          <w:color w:val="222222"/>
          <w:szCs w:val="24"/>
          <w:shd w:val="clear" w:color="auto" w:fill="FFFFFF"/>
          <w:lang w:val="en-US" w:eastAsia="zh-CN"/>
        </w:rPr>
      </w:pPr>
      <w:r>
        <w:rPr>
          <w:rFonts w:eastAsia="宋体" w:cs="Arial"/>
          <w:color w:val="222222"/>
          <w:szCs w:val="24"/>
          <w:shd w:val="clear" w:color="auto" w:fill="FFFFFF"/>
        </w:rPr>
        <w:t>Trevino, L.K. and Nelson, K.A., 2021. </w:t>
      </w:r>
      <w:r>
        <w:rPr>
          <w:rFonts w:eastAsia="宋体" w:cs="Arial"/>
          <w:i/>
          <w:iCs/>
          <w:color w:val="222222"/>
          <w:szCs w:val="24"/>
          <w:shd w:val="clear" w:color="auto" w:fill="FFFFFF"/>
        </w:rPr>
        <w:t>Managing business ethics: Straight talk about how to do it right</w:t>
      </w:r>
      <w:r>
        <w:rPr>
          <w:rFonts w:eastAsia="宋体" w:cs="Arial"/>
          <w:color w:val="222222"/>
          <w:szCs w:val="24"/>
          <w:shd w:val="clear" w:color="auto" w:fill="FFFFFF"/>
        </w:rPr>
        <w:t>. John Wiley &amp; Sons</w:t>
      </w:r>
      <w:r>
        <w:rPr>
          <w:rFonts w:eastAsia="宋体" w:cs="Arial"/>
          <w:color w:val="222222"/>
          <w:szCs w:val="24"/>
          <w:shd w:val="clear" w:color="auto" w:fill="FFFFFF"/>
          <w:lang w:val="en-US" w:eastAsia="zh-CN"/>
        </w:rPr>
        <w:t>,</w:t>
      </w:r>
      <w:r>
        <w:rPr>
          <w:rFonts w:eastAsia="宋体" w:cs="Arial"/>
          <w:color w:val="222222"/>
          <w:szCs w:val="24"/>
          <w:shd w:val="clear" w:color="auto" w:fill="FFFFFF"/>
        </w:rPr>
        <w:t xml:space="preserve"> pp.</w:t>
      </w:r>
      <w:r>
        <w:rPr>
          <w:rFonts w:hint="eastAsia" w:eastAsia="宋体" w:cs="Arial"/>
          <w:color w:val="222222"/>
          <w:szCs w:val="24"/>
          <w:shd w:val="clear" w:color="auto" w:fill="FFFFFF"/>
          <w:lang w:val="en-US" w:eastAsia="zh-CN"/>
        </w:rPr>
        <w:t>21</w:t>
      </w:r>
      <w:r>
        <w:rPr>
          <w:rFonts w:eastAsia="宋体" w:cs="Arial"/>
          <w:color w:val="222222"/>
          <w:szCs w:val="24"/>
          <w:shd w:val="clear" w:color="auto" w:fill="FFFFFF"/>
        </w:rPr>
        <w:t>-</w:t>
      </w:r>
      <w:r>
        <w:rPr>
          <w:rFonts w:hint="eastAsia" w:eastAsia="宋体" w:cs="Arial"/>
          <w:color w:val="222222"/>
          <w:szCs w:val="24"/>
          <w:shd w:val="clear" w:color="auto" w:fill="FFFFFF"/>
          <w:lang w:val="en-US" w:eastAsia="zh-CN"/>
        </w:rPr>
        <w:t>30.</w:t>
      </w:r>
    </w:p>
    <w:p w14:paraId="5DD0A2B2">
      <w:pPr>
        <w:spacing w:line="260" w:lineRule="auto"/>
        <w:ind w:left="480" w:hanging="480" w:hangingChars="200"/>
        <w:rPr>
          <w:rFonts w:eastAsia="宋体" w:cs="Arial"/>
          <w:color w:val="222222"/>
          <w:szCs w:val="24"/>
          <w:shd w:val="clear" w:color="auto" w:fill="FFFFFF"/>
          <w:lang w:val="en-US" w:eastAsia="zh-CN"/>
        </w:rPr>
      </w:pPr>
      <w:r>
        <w:rPr>
          <w:rFonts w:eastAsia="宋体" w:cs="Arial"/>
          <w:color w:val="222222"/>
          <w:szCs w:val="24"/>
          <w:shd w:val="clear" w:color="auto" w:fill="FFFFFF"/>
        </w:rPr>
        <w:t>Trompenaars, F. and Hampden-Turner, C., 2011. </w:t>
      </w:r>
      <w:r>
        <w:rPr>
          <w:rFonts w:eastAsia="宋体" w:cs="Arial"/>
          <w:i/>
          <w:iCs/>
          <w:color w:val="222222"/>
          <w:szCs w:val="24"/>
          <w:shd w:val="clear" w:color="auto" w:fill="FFFFFF"/>
        </w:rPr>
        <w:t>Riding the waves of culture: Understanding diversity in global business</w:t>
      </w:r>
      <w:r>
        <w:rPr>
          <w:rFonts w:eastAsia="宋体" w:cs="Arial"/>
          <w:color w:val="222222"/>
          <w:szCs w:val="24"/>
          <w:shd w:val="clear" w:color="auto" w:fill="FFFFFF"/>
        </w:rPr>
        <w:t>. Nicholas Brealey International</w:t>
      </w:r>
      <w:r>
        <w:rPr>
          <w:rFonts w:hint="eastAsia" w:eastAsia="宋体" w:cs="Arial"/>
          <w:color w:val="222222"/>
          <w:szCs w:val="24"/>
          <w:shd w:val="clear" w:color="auto" w:fill="FFFFFF"/>
          <w:lang w:val="en-US" w:eastAsia="zh-CN"/>
        </w:rPr>
        <w:t xml:space="preserve">, </w:t>
      </w:r>
      <w:r>
        <w:rPr>
          <w:rFonts w:eastAsia="宋体" w:cs="Arial"/>
          <w:color w:val="222222"/>
          <w:szCs w:val="24"/>
          <w:shd w:val="clear" w:color="auto" w:fill="FFFFFF"/>
        </w:rPr>
        <w:t>pp.</w:t>
      </w:r>
      <w:r>
        <w:rPr>
          <w:rFonts w:hint="eastAsia" w:eastAsia="宋体" w:cs="Arial"/>
          <w:color w:val="222222"/>
          <w:szCs w:val="24"/>
          <w:shd w:val="clear" w:color="auto" w:fill="FFFFFF"/>
          <w:lang w:val="en-US" w:eastAsia="zh-CN"/>
        </w:rPr>
        <w:t>21</w:t>
      </w:r>
      <w:r>
        <w:rPr>
          <w:rFonts w:eastAsia="宋体" w:cs="Arial"/>
          <w:color w:val="222222"/>
          <w:szCs w:val="24"/>
          <w:shd w:val="clear" w:color="auto" w:fill="FFFFFF"/>
        </w:rPr>
        <w:t>-</w:t>
      </w:r>
      <w:r>
        <w:rPr>
          <w:rFonts w:hint="eastAsia" w:eastAsia="宋体" w:cs="Arial"/>
          <w:color w:val="222222"/>
          <w:szCs w:val="24"/>
          <w:shd w:val="clear" w:color="auto" w:fill="FFFFFF"/>
          <w:lang w:val="en-US" w:eastAsia="zh-CN"/>
        </w:rPr>
        <w:t>69.</w:t>
      </w:r>
    </w:p>
    <w:p w14:paraId="0CAE11B7">
      <w:pPr>
        <w:spacing w:line="260" w:lineRule="auto"/>
        <w:ind w:left="480" w:hanging="480" w:hangingChars="200"/>
        <w:rPr>
          <w:rFonts w:eastAsia="宋体" w:cs="Arial"/>
          <w:color w:val="222222"/>
          <w:szCs w:val="15"/>
          <w:shd w:val="clear" w:color="auto" w:fill="FFFFFF"/>
        </w:rPr>
      </w:pPr>
      <w:r>
        <w:rPr>
          <w:rFonts w:eastAsia="宋体" w:cs="Arial"/>
          <w:color w:val="222222"/>
          <w:szCs w:val="15"/>
          <w:shd w:val="clear" w:color="auto" w:fill="FFFFFF"/>
        </w:rPr>
        <w:t>Ma, Z., 2010. The SINS in business negotiations: Explore the cross-cultural differences in business ethics between Canada and China. </w:t>
      </w:r>
      <w:r>
        <w:rPr>
          <w:rFonts w:eastAsia="宋体" w:cs="Arial"/>
          <w:i/>
          <w:iCs/>
          <w:color w:val="222222"/>
          <w:szCs w:val="15"/>
          <w:shd w:val="clear" w:color="auto" w:fill="FFFFFF"/>
        </w:rPr>
        <w:t>Journal of Business Ethics</w:t>
      </w:r>
      <w:r>
        <w:rPr>
          <w:rFonts w:eastAsia="宋体" w:cs="Arial"/>
          <w:color w:val="222222"/>
          <w:szCs w:val="15"/>
          <w:shd w:val="clear" w:color="auto" w:fill="FFFFFF"/>
        </w:rPr>
        <w:t>, </w:t>
      </w:r>
      <w:r>
        <w:rPr>
          <w:rFonts w:eastAsia="宋体" w:cs="Arial"/>
          <w:i/>
          <w:iCs/>
          <w:color w:val="222222"/>
          <w:szCs w:val="15"/>
          <w:shd w:val="clear" w:color="auto" w:fill="FFFFFF"/>
        </w:rPr>
        <w:t>91</w:t>
      </w:r>
      <w:r>
        <w:rPr>
          <w:rFonts w:eastAsia="宋体" w:cs="Arial"/>
          <w:color w:val="222222"/>
          <w:szCs w:val="15"/>
          <w:shd w:val="clear" w:color="auto" w:fill="FFFFFF"/>
        </w:rPr>
        <w:t>, pp.123-135.</w:t>
      </w:r>
    </w:p>
    <w:p w14:paraId="523A328B">
      <w:pPr>
        <w:spacing w:line="260" w:lineRule="auto"/>
        <w:ind w:left="480" w:hanging="480" w:hangingChars="200"/>
        <w:rPr>
          <w:rFonts w:eastAsia="宋体" w:cs="Arial"/>
          <w:color w:val="222222"/>
          <w:szCs w:val="15"/>
          <w:shd w:val="clear" w:color="auto" w:fill="FFFFFF"/>
        </w:rPr>
      </w:pPr>
      <w:r>
        <w:rPr>
          <w:rFonts w:eastAsia="宋体" w:cs="Arial"/>
          <w:color w:val="222222"/>
          <w:szCs w:val="15"/>
          <w:shd w:val="clear" w:color="auto" w:fill="FFFFFF"/>
        </w:rPr>
        <w:t>Vitolla, F., Raimo, N., Rubino, M. and Garegnani, G.M., 2021. Do cultural differences impact ethical issues? Exploring the relationship between national culture and quality of code of ethics. </w:t>
      </w:r>
      <w:r>
        <w:rPr>
          <w:rFonts w:eastAsia="宋体" w:cs="Arial"/>
          <w:i/>
          <w:iCs/>
          <w:color w:val="222222"/>
          <w:szCs w:val="15"/>
          <w:shd w:val="clear" w:color="auto" w:fill="FFFFFF"/>
        </w:rPr>
        <w:t>Journal of International Management</w:t>
      </w:r>
      <w:r>
        <w:rPr>
          <w:rFonts w:eastAsia="宋体" w:cs="Arial"/>
          <w:color w:val="222222"/>
          <w:szCs w:val="15"/>
          <w:shd w:val="clear" w:color="auto" w:fill="FFFFFF"/>
        </w:rPr>
        <w:t>, </w:t>
      </w:r>
      <w:r>
        <w:rPr>
          <w:rFonts w:eastAsia="宋体" w:cs="Arial"/>
          <w:i/>
          <w:iCs/>
          <w:color w:val="222222"/>
          <w:szCs w:val="15"/>
          <w:shd w:val="clear" w:color="auto" w:fill="FFFFFF"/>
        </w:rPr>
        <w:t>27</w:t>
      </w:r>
      <w:r>
        <w:rPr>
          <w:rFonts w:eastAsia="宋体" w:cs="Arial"/>
          <w:color w:val="222222"/>
          <w:szCs w:val="15"/>
          <w:shd w:val="clear" w:color="auto" w:fill="FFFFFF"/>
        </w:rPr>
        <w:t>(1), p.100823.</w:t>
      </w:r>
    </w:p>
    <w:p w14:paraId="746854C5">
      <w:pPr>
        <w:spacing w:line="260" w:lineRule="auto"/>
        <w:ind w:left="480" w:hanging="480" w:hangingChars="200"/>
        <w:rPr>
          <w:rFonts w:eastAsia="宋体" w:cs="Arial"/>
          <w:color w:val="222222"/>
          <w:szCs w:val="15"/>
          <w:shd w:val="clear" w:color="auto" w:fill="FFFFFF"/>
          <w:lang w:val="en-US" w:eastAsia="zh-CN"/>
        </w:rPr>
      </w:pPr>
      <w:r>
        <w:rPr>
          <w:rFonts w:eastAsia="宋体" w:cs="Arial"/>
          <w:color w:val="222222"/>
          <w:szCs w:val="15"/>
          <w:shd w:val="clear" w:color="auto" w:fill="FFFFFF"/>
        </w:rPr>
        <w:t>Enderle, G., 2015. Exploring and conceptualizing international business ethics. </w:t>
      </w:r>
      <w:r>
        <w:rPr>
          <w:rFonts w:eastAsia="宋体" w:cs="Arial"/>
          <w:i/>
          <w:iCs/>
          <w:color w:val="222222"/>
          <w:szCs w:val="15"/>
          <w:shd w:val="clear" w:color="auto" w:fill="FFFFFF"/>
        </w:rPr>
        <w:t>Journal of Business Ethics</w:t>
      </w:r>
      <w:r>
        <w:rPr>
          <w:rFonts w:eastAsia="宋体" w:cs="Arial"/>
          <w:color w:val="222222"/>
          <w:szCs w:val="15"/>
          <w:shd w:val="clear" w:color="auto" w:fill="FFFFFF"/>
        </w:rPr>
        <w:t>, </w:t>
      </w:r>
      <w:r>
        <w:rPr>
          <w:rFonts w:eastAsia="宋体" w:cs="Arial"/>
          <w:i/>
          <w:iCs/>
          <w:color w:val="222222"/>
          <w:szCs w:val="15"/>
          <w:shd w:val="clear" w:color="auto" w:fill="FFFFFF"/>
        </w:rPr>
        <w:t>127</w:t>
      </w:r>
      <w:r>
        <w:rPr>
          <w:rFonts w:eastAsia="宋体" w:cs="Arial"/>
          <w:color w:val="222222"/>
          <w:szCs w:val="15"/>
          <w:shd w:val="clear" w:color="auto" w:fill="FFFFFF"/>
        </w:rPr>
        <w:t>, pp.723-735.</w:t>
      </w:r>
    </w:p>
    <w:p w14:paraId="65E8C68D">
      <w:pPr>
        <w:spacing w:line="480" w:lineRule="auto"/>
        <w:jc w:val="both"/>
        <w:rPr>
          <w:rFonts w:hint="default" w:eastAsia="宋体"/>
          <w:color w:val="0E101A"/>
          <w:lang w:val="en-US" w:eastAsia="zh-CN"/>
        </w:rPr>
      </w:pPr>
    </w:p>
    <w:sectPr>
      <w:headerReference r:id="rId5" w:type="first"/>
      <w:footerReference r:id="rId7" w:type="first"/>
      <w:footerReference r:id="rId6" w:type="default"/>
      <w:pgSz w:w="11906" w:h="16838"/>
      <w:pgMar w:top="1440" w:right="1440" w:bottom="1440" w:left="1440" w:header="708" w:footer="708" w:gutter="0"/>
      <w:pgNumType w:fmt="decimal"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auto"/>
    <w:pitch w:val="variable"/>
    <w:sig w:usb0="E00006FF" w:usb1="420024FF" w:usb2="02000000" w:usb3="00000000" w:csb0="2000019F" w:csb1="00000000"/>
  </w:font>
  <w:font w:name="@等线">
    <w:panose1 w:val="02010600030101010101"/>
    <w:charset w:val="86"/>
    <w:family w:val="auto"/>
    <w:pitch w:val="variable"/>
    <w:sig w:usb0="A00002BF" w:usb1="38CF7CFA" w:usb2="00000016" w:usb3="00000000" w:csb0="0004000F" w:csb1="00000000"/>
  </w:font>
  <w:font w:name="@宋体">
    <w:panose1 w:val="02010600030101010101"/>
    <w:charset w:val="86"/>
    <w:family w:val="auto"/>
    <w:pitch w:val="variable"/>
    <w:sig w:usb0="00000203" w:usb1="288F0000" w:usb2="00000006" w:usb3="00000000" w:csb0="00040001"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5248"/>
    </w:sdtPr>
    <w:sdtContent>
      <w:p w14:paraId="183E526C">
        <w:pPr>
          <w:pStyle w:val="5"/>
          <w:jc w:val="right"/>
        </w:pPr>
        <w:r>
          <w:fldChar w:fldCharType="begin"/>
        </w:r>
        <w:r>
          <w:instrText xml:space="preserve"> PAGE   \* MERGEFORMAT </w:instrText>
        </w:r>
        <w:r>
          <w:fldChar w:fldCharType="separate"/>
        </w:r>
        <w:r>
          <w:t>2</w:t>
        </w:r>
        <w:r>
          <w:fldChar w:fldCharType="end"/>
        </w:r>
      </w:p>
    </w:sdtContent>
  </w:sdt>
  <w:p w14:paraId="29ECB015">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522DA">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D416D">
    <w:pPr>
      <w:pStyle w:val="6"/>
      <w:bidi w:val="0"/>
    </w:pPr>
    <w:r>
      <w:br w:type="textWrapp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720"/>
  <w:displayHorizontalDrawingGridEvery w:val="0"/>
  <w:displayVerticalDrawingGridEvery w:val="2"/>
  <w:characterSpacingControl w:val="doNotCompress"/>
  <w:footnotePr>
    <w:footnote w:id="0"/>
    <w:footnote w:id="1"/>
  </w:footnotePr>
  <w:endnotePr>
    <w:endnote w:id="0"/>
    <w:endnote w:id="1"/>
  </w:endnotePr>
  <w:compat>
    <w:balanceSingleByteDoubleByteWidth/>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944"/>
    <w:rsid w:val="00012476"/>
    <w:rsid w:val="0001453D"/>
    <w:rsid w:val="00040D9C"/>
    <w:rsid w:val="000479DF"/>
    <w:rsid w:val="000566C5"/>
    <w:rsid w:val="00085063"/>
    <w:rsid w:val="000A7C32"/>
    <w:rsid w:val="001262C4"/>
    <w:rsid w:val="001F286F"/>
    <w:rsid w:val="002625BC"/>
    <w:rsid w:val="00291944"/>
    <w:rsid w:val="002B6B57"/>
    <w:rsid w:val="003548BC"/>
    <w:rsid w:val="004C5647"/>
    <w:rsid w:val="005146E3"/>
    <w:rsid w:val="00681208"/>
    <w:rsid w:val="006E1E9A"/>
    <w:rsid w:val="00747631"/>
    <w:rsid w:val="00936E90"/>
    <w:rsid w:val="0097226F"/>
    <w:rsid w:val="00A56539"/>
    <w:rsid w:val="00A71DAD"/>
    <w:rsid w:val="00B21E01"/>
    <w:rsid w:val="00B6342B"/>
    <w:rsid w:val="00B638B9"/>
    <w:rsid w:val="00D136B9"/>
    <w:rsid w:val="00D460E5"/>
    <w:rsid w:val="00DA6A9F"/>
    <w:rsid w:val="00DF20D9"/>
    <w:rsid w:val="00E67C18"/>
    <w:rsid w:val="00F51F88"/>
    <w:rsid w:val="05A54A82"/>
    <w:rsid w:val="0C484C27"/>
    <w:rsid w:val="0E2B5D40"/>
    <w:rsid w:val="0FC65D20"/>
    <w:rsid w:val="118916FB"/>
    <w:rsid w:val="138C54D3"/>
    <w:rsid w:val="13D11138"/>
    <w:rsid w:val="154020D1"/>
    <w:rsid w:val="15C34AB0"/>
    <w:rsid w:val="16BE3BF5"/>
    <w:rsid w:val="16CF7BB0"/>
    <w:rsid w:val="18267CA4"/>
    <w:rsid w:val="1D564C0B"/>
    <w:rsid w:val="1D7F072E"/>
    <w:rsid w:val="1DC30710"/>
    <w:rsid w:val="20B816B5"/>
    <w:rsid w:val="22E53CCF"/>
    <w:rsid w:val="240D1D18"/>
    <w:rsid w:val="249E5066"/>
    <w:rsid w:val="252E63EA"/>
    <w:rsid w:val="26630315"/>
    <w:rsid w:val="2B4324C3"/>
    <w:rsid w:val="2C9C632F"/>
    <w:rsid w:val="30EE4C7F"/>
    <w:rsid w:val="34CE4280"/>
    <w:rsid w:val="381B1A35"/>
    <w:rsid w:val="382F0057"/>
    <w:rsid w:val="39365415"/>
    <w:rsid w:val="3A371445"/>
    <w:rsid w:val="3B5B73B5"/>
    <w:rsid w:val="3C3814A4"/>
    <w:rsid w:val="3CE84C78"/>
    <w:rsid w:val="3D4269AC"/>
    <w:rsid w:val="3DE6565C"/>
    <w:rsid w:val="430345BA"/>
    <w:rsid w:val="43923B90"/>
    <w:rsid w:val="439A2D38"/>
    <w:rsid w:val="44DF4BB3"/>
    <w:rsid w:val="46D70238"/>
    <w:rsid w:val="48183E6D"/>
    <w:rsid w:val="517A4EF1"/>
    <w:rsid w:val="550B5550"/>
    <w:rsid w:val="579637F7"/>
    <w:rsid w:val="580764A3"/>
    <w:rsid w:val="58562F86"/>
    <w:rsid w:val="588E44CE"/>
    <w:rsid w:val="5A44578C"/>
    <w:rsid w:val="5B070568"/>
    <w:rsid w:val="5BE74621"/>
    <w:rsid w:val="5C8F6A67"/>
    <w:rsid w:val="5CF8578A"/>
    <w:rsid w:val="6322307F"/>
    <w:rsid w:val="68896A60"/>
    <w:rsid w:val="6BA77929"/>
    <w:rsid w:val="7186385D"/>
    <w:rsid w:val="72BB3CBA"/>
    <w:rsid w:val="76A01B45"/>
    <w:rsid w:val="79294073"/>
    <w:rsid w:val="792C5912"/>
    <w:rsid w:val="79B25E17"/>
    <w:rsid w:val="7B292109"/>
    <w:rsid w:val="7FDA70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link w:val="16"/>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17"/>
    <w:unhideWhenUsed/>
    <w:qFormat/>
    <w:uiPriority w:val="9"/>
    <w:pPr>
      <w:keepNext/>
      <w:keepLines/>
      <w:spacing w:before="40" w:after="0"/>
      <w:outlineLvl w:val="1"/>
    </w:pPr>
    <w:rPr>
      <w:rFonts w:eastAsiaTheme="majorEastAsia" w:cstheme="majorBidi"/>
      <w:color w:val="2F5597" w:themeColor="accent1" w:themeShade="BF"/>
      <w:szCs w:val="26"/>
    </w:rPr>
  </w:style>
  <w:style w:type="paragraph" w:styleId="4">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unhideWhenUsed/>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footer"/>
    <w:basedOn w:val="1"/>
    <w:link w:val="19"/>
    <w:unhideWhenUsed/>
    <w:qFormat/>
    <w:uiPriority w:val="99"/>
    <w:pPr>
      <w:tabs>
        <w:tab w:val="center" w:pos="4513"/>
        <w:tab w:val="right" w:pos="9026"/>
      </w:tabs>
      <w:spacing w:after="0" w:line="240" w:lineRule="auto"/>
    </w:pPr>
  </w:style>
  <w:style w:type="paragraph" w:styleId="6">
    <w:name w:val="header"/>
    <w:basedOn w:val="1"/>
    <w:link w:val="18"/>
    <w:unhideWhenUsed/>
    <w:qFormat/>
    <w:uiPriority w:val="99"/>
    <w:pPr>
      <w:tabs>
        <w:tab w:val="center" w:pos="4513"/>
        <w:tab w:val="right" w:pos="9026"/>
      </w:tabs>
      <w:spacing w:after="0" w:line="240" w:lineRule="auto"/>
    </w:pPr>
  </w:style>
  <w:style w:type="paragraph" w:styleId="7">
    <w:name w:val="toc 1"/>
    <w:basedOn w:val="1"/>
    <w:next w:val="1"/>
    <w:autoRedefine/>
    <w:unhideWhenUsed/>
    <w:qFormat/>
    <w:uiPriority w:val="39"/>
    <w:pPr>
      <w:spacing w:after="100"/>
    </w:pPr>
  </w:style>
  <w:style w:type="paragraph" w:styleId="8">
    <w:name w:val="toc 2"/>
    <w:basedOn w:val="1"/>
    <w:next w:val="1"/>
    <w:autoRedefine/>
    <w:unhideWhenUsed/>
    <w:qFormat/>
    <w:uiPriority w:val="39"/>
    <w:pPr>
      <w:spacing w:after="100"/>
      <w:ind w:left="240"/>
    </w:pPr>
  </w:style>
  <w:style w:type="paragraph" w:styleId="9">
    <w:name w:val="Normal (Web)"/>
    <w:basedOn w:val="1"/>
    <w:semiHidden/>
    <w:unhideWhenUsed/>
    <w:qFormat/>
    <w:uiPriority w:val="99"/>
    <w:pPr>
      <w:spacing w:beforeAutospacing="1" w:after="0" w:afterAutospacing="1"/>
    </w:pPr>
    <w:rPr>
      <w:rFonts w:cs="Times New Roman"/>
      <w:lang w:val="en-US" w:eastAsia="zh-CN"/>
    </w:rPr>
  </w:style>
  <w:style w:type="character" w:styleId="12">
    <w:name w:val="Strong"/>
    <w:basedOn w:val="11"/>
    <w:qFormat/>
    <w:uiPriority w:val="22"/>
    <w:rPr>
      <w:b/>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paragraph" w:styleId="14">
    <w:name w:val="No Spacing"/>
    <w:link w:val="15"/>
    <w:qFormat/>
    <w:uiPriority w:val="1"/>
    <w:rPr>
      <w:rFonts w:asciiTheme="minorHAnsi" w:hAnsiTheme="minorHAnsi" w:eastAsiaTheme="minorEastAsia" w:cstheme="minorBidi"/>
      <w:sz w:val="22"/>
      <w:szCs w:val="22"/>
      <w:lang w:val="en-US" w:eastAsia="en-US" w:bidi="ar-SA"/>
    </w:rPr>
  </w:style>
  <w:style w:type="character" w:customStyle="1" w:styleId="15">
    <w:name w:val="无间隔 字符"/>
    <w:basedOn w:val="11"/>
    <w:link w:val="14"/>
    <w:qFormat/>
    <w:uiPriority w:val="1"/>
    <w:rPr>
      <w:rFonts w:eastAsiaTheme="minorEastAsia"/>
      <w:lang w:val="en-US"/>
    </w:rPr>
  </w:style>
  <w:style w:type="character" w:customStyle="1" w:styleId="16">
    <w:name w:val="标题 1 字符"/>
    <w:basedOn w:val="11"/>
    <w:link w:val="2"/>
    <w:qFormat/>
    <w:uiPriority w:val="9"/>
    <w:rPr>
      <w:rFonts w:ascii="Arial" w:hAnsi="Arial" w:eastAsiaTheme="majorEastAsia" w:cstheme="majorBidi"/>
      <w:color w:val="2F5597" w:themeColor="accent1" w:themeShade="BF"/>
      <w:sz w:val="32"/>
      <w:szCs w:val="32"/>
    </w:rPr>
  </w:style>
  <w:style w:type="character" w:customStyle="1" w:styleId="17">
    <w:name w:val="标题 2 字符"/>
    <w:basedOn w:val="11"/>
    <w:link w:val="3"/>
    <w:qFormat/>
    <w:uiPriority w:val="9"/>
    <w:rPr>
      <w:rFonts w:ascii="Arial" w:hAnsi="Arial" w:eastAsiaTheme="majorEastAsia" w:cstheme="majorBidi"/>
      <w:color w:val="2F5597" w:themeColor="accent1" w:themeShade="BF"/>
      <w:sz w:val="24"/>
      <w:szCs w:val="26"/>
    </w:rPr>
  </w:style>
  <w:style w:type="character" w:customStyle="1" w:styleId="18">
    <w:name w:val="页眉 字符"/>
    <w:link w:val="6"/>
    <w:qFormat/>
    <w:uiPriority w:val="99"/>
    <w:rPr>
      <w:rFonts w:ascii="Arial" w:hAnsi="Arial" w:eastAsiaTheme="minorHAnsi" w:cstheme="minorBidi"/>
      <w:sz w:val="24"/>
      <w:szCs w:val="22"/>
      <w:lang w:val="en-GB" w:eastAsia="en-US" w:bidi="ar-SA"/>
    </w:rPr>
  </w:style>
  <w:style w:type="character" w:customStyle="1" w:styleId="19">
    <w:name w:val="页脚 字符"/>
    <w:basedOn w:val="11"/>
    <w:link w:val="5"/>
    <w:qFormat/>
    <w:uiPriority w:val="99"/>
    <w:rPr>
      <w:rFonts w:ascii="Arial" w:hAnsi="Arial"/>
      <w:sz w:val="24"/>
    </w:rPr>
  </w:style>
  <w:style w:type="paragraph" w:customStyle="1" w:styleId="20">
    <w:name w:val="TOC 标题1"/>
    <w:basedOn w:val="2"/>
    <w:next w:val="1"/>
    <w:unhideWhenUsed/>
    <w:qFormat/>
    <w:uiPriority w:val="39"/>
    <w:pPr>
      <w:outlineLvl w:val="9"/>
    </w:pPr>
    <w:rPr>
      <w:lang w:val="en-US"/>
    </w:rPr>
  </w:style>
  <w:style w:type="paragraph" w:customStyle="1" w:styleId="21">
    <w:name w:val="msonospacing"/>
    <w:basedOn w:val="1"/>
    <w:uiPriority w:val="0"/>
    <w:pPr>
      <w:keepNext w:val="0"/>
      <w:keepLines w:val="0"/>
      <w:widowControl/>
      <w:suppressLineNumbers w:val="0"/>
      <w:spacing w:before="0" w:beforeAutospacing="0" w:after="0" w:afterAutospacing="0" w:line="240" w:lineRule="auto"/>
      <w:ind w:left="0" w:right="0"/>
      <w:jc w:val="left"/>
    </w:pPr>
    <w:rPr>
      <w:rFonts w:hint="default" w:ascii="Calibri" w:hAnsi="Calibri" w:eastAsia="等线" w:cs="Times New Roman"/>
      <w:kern w:val="0"/>
      <w:sz w:val="22"/>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B4370D-9610-48FF-8AA8-BAC8A51B3868}">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16</Pages>
  <Words>3390</Words>
  <Characters>21799</Characters>
  <Lines>181</Lines>
  <Paragraphs>51</Paragraphs>
  <TotalTime>0</TotalTime>
  <ScaleCrop>false</ScaleCrop>
  <LinksUpToDate>false</LinksUpToDate>
  <CharactersWithSpaces>25140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2022-10-17T18:57:00Z</dcterms:created>
  <dc:creator>Module code: BMBM6008Module name: Global EthicsStudent name: Shuqi XinStudent id: 2317430Words count:2740</dc:creator>
  <cp:lastModifiedBy>7</cp:lastModifiedBy>
  <dcterms:modified xsi:type="dcterms:W3CDTF">2025-01-07T13:50:59Z</dcterms:modified>
  <dc:subject>Your subheading</dc:subject>
  <dc:title>An Exploration of Cultural Differences in Business Ethics</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C834B484FFC64797B9E45275783B22C2_13</vt:lpwstr>
  </property>
  <property fmtid="{D5CDD505-2E9C-101B-9397-08002B2CF9AE}" pid="4" name="KSOTemplateDocerSaveRecord">
    <vt:lpwstr>eyJoZGlkIjoiYzZmZjEyOWExNGNkYzQzMWE4YzMxZDEyYjlkNjdhNjIiLCJ1c2VySWQiOiIxMTM5NDU5NjkxIn0=</vt:lpwstr>
  </property>
</Properties>
</file>