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C134E" w14:textId="77777777" w:rsidR="00962EA5" w:rsidRDefault="004B5561">
      <w:pPr>
        <w:spacing w:after="120"/>
      </w:pPr>
      <w:r>
        <w:rPr>
          <w:b/>
          <w:bCs/>
        </w:rPr>
        <w:t>Lenuta Raducanu</w:t>
      </w:r>
    </w:p>
    <w:p w14:paraId="00BD633E" w14:textId="77777777" w:rsidR="00962EA5" w:rsidRDefault="004B5561">
      <w:pPr>
        <w:spacing w:after="80"/>
      </w:pPr>
      <w:r>
        <w:rPr>
          <w:b/>
          <w:bCs/>
          <w:sz w:val="32"/>
          <w:szCs w:val="32"/>
        </w:rPr>
        <w:t>Textual Analysis of Genesis 1–3</w:t>
      </w:r>
    </w:p>
    <w:p w14:paraId="7C94F512" w14:textId="77777777" w:rsidR="00962EA5" w:rsidRDefault="004B5561">
      <w:pPr>
        <w:spacing w:after="160"/>
      </w:pPr>
      <w:r>
        <w:rPr>
          <w:i/>
          <w:iCs/>
        </w:rPr>
        <w:t>A Historical-Critical Reading of the Creation and Fall Narratives</w:t>
      </w:r>
    </w:p>
    <w:p w14:paraId="798AB28A" w14:textId="77777777" w:rsidR="00962EA5" w:rsidRDefault="004B5561">
      <w:pPr>
        <w:spacing w:after="60"/>
      </w:pPr>
      <w:r>
        <w:t>HPRS 5907 – Interpreting the Hebrew Bible from Contemporary Perspective</w:t>
      </w:r>
    </w:p>
    <w:p w14:paraId="58F05F61" w14:textId="77777777" w:rsidR="00962EA5" w:rsidRDefault="004B5561">
      <w:pPr>
        <w:spacing w:after="320"/>
      </w:pPr>
      <w:r>
        <w:t>Assessment One</w:t>
      </w:r>
    </w:p>
    <w:p w14:paraId="1887E0D6" w14:textId="77777777" w:rsidR="00962EA5" w:rsidRDefault="004B5561">
      <w:pPr>
        <w:pStyle w:val="Heading1"/>
        <w:spacing w:before="400" w:after="200"/>
      </w:pPr>
      <w:r>
        <w:t>Introduction</w:t>
      </w:r>
    </w:p>
    <w:p w14:paraId="4727C03A" w14:textId="77777777" w:rsidR="00962EA5" w:rsidRDefault="004B5561">
      <w:pPr>
        <w:spacing w:after="200" w:line="360" w:lineRule="auto"/>
        <w:jc w:val="both"/>
      </w:pPr>
      <w:r>
        <w:t>Genesis 1–3 is short, but it carries a great deal. In three chapters the reader is given two accounts of creation, one after the other, and then the story of the first act of human disobedience. Because these chapters stand at the head of the Torah, the ideas they introduce</w:t>
      </w:r>
      <w:r w:rsidR="00A67E56" w:rsidRPr="00A67E56">
        <w:t>:</w:t>
      </w:r>
      <w:r>
        <w:t xml:space="preserve"> God as maker, humanity as God’s representative, and a relationship between the two that goes wrong early</w:t>
      </w:r>
      <w:r w:rsidR="00A67E56" w:rsidRPr="00A67E56">
        <w:t>,</w:t>
      </w:r>
      <w:r>
        <w:t xml:space="preserve"> shape a good deal of what follows in the Hebrew Bible.</w:t>
      </w:r>
    </w:p>
    <w:p w14:paraId="7F621EEA" w14:textId="7D6D2A68" w:rsidR="00962EA5" w:rsidRDefault="004B5561">
      <w:pPr>
        <w:spacing w:after="200" w:line="360" w:lineRule="auto"/>
        <w:jc w:val="both"/>
      </w:pPr>
      <w:r>
        <w:t>This essay reads Genesis 1–3 using the historical-critical method, and mainly the branch of it called source criticism, which begins from the observation that the Pentateuch was not written by one person at one time.</w:t>
      </w:r>
      <w:r>
        <w:rPr>
          <w:vertAlign w:val="superscript"/>
        </w:rPr>
        <w:t>1</w:t>
      </w:r>
      <w:r>
        <w:t xml:space="preserve"> In these chapters the relevant division is between the Priestly source (P), which supplies Genesis 1:1–2:4a, and the Yahwist source (J), which supplies 2:4b–3:24. My argument is that reading the chapters as two voices rather than one does not damage the text. It explains why the two accounts differ so sharply, and it lets each of them say what it </w:t>
      </w:r>
      <w:r w:rsidR="00246B2F">
        <w:t>wants</w:t>
      </w:r>
      <w:r>
        <w:t xml:space="preserve"> to say. The second half of the essay turns to feminist biblical criticism as a contemporary approach</w:t>
      </w:r>
      <w:r>
        <w:t xml:space="preserve"> and asks both what it contributes and where it runs into trouble. Biblical quotations are from the NRSV.</w:t>
      </w:r>
      <w:r>
        <w:rPr>
          <w:vertAlign w:val="superscript"/>
        </w:rPr>
        <w:t>2</w:t>
      </w:r>
    </w:p>
    <w:p w14:paraId="28326BCD" w14:textId="77777777" w:rsidR="00962EA5" w:rsidRDefault="004B5561">
      <w:pPr>
        <w:pStyle w:val="Heading1"/>
        <w:spacing w:before="400" w:after="200"/>
      </w:pPr>
      <w:r>
        <w:t>Context and Structure</w:t>
      </w:r>
    </w:p>
    <w:p w14:paraId="41B9AEB0" w14:textId="77777777" w:rsidR="00962EA5" w:rsidRDefault="004B5561">
      <w:pPr>
        <w:spacing w:after="200" w:line="360" w:lineRule="auto"/>
        <w:jc w:val="both"/>
      </w:pPr>
      <w:r>
        <w:t>Genesis 1–11 is usually treated as a unit, often called the primeval history. It deals with the world in general</w:t>
      </w:r>
      <w:r w:rsidR="000F0B16" w:rsidRPr="000F0B16">
        <w:t>:</w:t>
      </w:r>
      <w:r>
        <w:t xml:space="preserve"> creation, the flood, the spread of the nations</w:t>
      </w:r>
      <w:r w:rsidR="000F0B16" w:rsidRPr="000F0B16">
        <w:t>,</w:t>
      </w:r>
      <w:r>
        <w:t xml:space="preserve"> before the focus narrows in chapter 12 to Abraham and a single family. Genesis 1–3 opens that unit and sets its terms: a world made good, and human beings who do not stay inside the limits given to them.</w:t>
      </w:r>
    </w:p>
    <w:p w14:paraId="3C3B76D4" w14:textId="13EFAE25" w:rsidR="00962EA5" w:rsidRDefault="004B5561">
      <w:pPr>
        <w:spacing w:after="200" w:line="360" w:lineRule="auto"/>
        <w:jc w:val="both"/>
      </w:pPr>
      <w:r>
        <w:t xml:space="preserve">The two accounts are easy to tell apart once the differences are pointed out. The first calls God </w:t>
      </w:r>
      <w:r>
        <w:rPr>
          <w:i/>
          <w:iCs/>
        </w:rPr>
        <w:t>Elohim</w:t>
      </w:r>
      <w:r>
        <w:t xml:space="preserve"> and describes creation as a series of commands spread over seven days. Its style is formal and repetitive, closer to liturgy than to storytelling. The second uses the double name </w:t>
      </w:r>
      <w:r w:rsidR="00246B2F">
        <w:rPr>
          <w:i/>
          <w:iCs/>
        </w:rPr>
        <w:t>YHWH Elohim</w:t>
      </w:r>
      <w:r w:rsidR="00246B2F">
        <w:t xml:space="preserve"> and</w:t>
      </w:r>
      <w:r>
        <w:t xml:space="preserve"> shows God working with his hands: shaping a man out of soil, planting a garden, walking in it. The order of events is different too. In Genesis 1 the man and the woman come last, after the animals; in Genesis 2 the man comes first, before the plants and the animals, </w:t>
      </w:r>
      <w:r>
        <w:lastRenderedPageBreak/>
        <w:t>and the woman last of all. These are not small variations in wording. They are two different pictures.</w:t>
      </w:r>
      <w:r>
        <w:rPr>
          <w:vertAlign w:val="superscript"/>
        </w:rPr>
        <w:t>3</w:t>
      </w:r>
      <w:r>
        <w:t xml:space="preserve"> Von Rad puts the contrast usefully: P describes creation as ordered divine speech, while J is interested in the drama of human freedom and its limits.</w:t>
      </w:r>
      <w:r>
        <w:rPr>
          <w:vertAlign w:val="superscript"/>
        </w:rPr>
        <w:t>4</w:t>
      </w:r>
    </w:p>
    <w:p w14:paraId="4CC03563" w14:textId="77777777" w:rsidR="00962EA5" w:rsidRDefault="004B5561">
      <w:pPr>
        <w:spacing w:after="200" w:line="360" w:lineRule="auto"/>
        <w:jc w:val="both"/>
      </w:pPr>
      <w:r>
        <w:t>What is striking is that whoever put the material together kept both. He did not blend them into one smooth story, and he did not choose between them. The Priestly account was placed first, so that the wide view comes before the close-up, and the reader meets the garden already knowing what kind of world it sits in. The two are best read as complementary rather than competing.</w:t>
      </w:r>
    </w:p>
    <w:p w14:paraId="04CCF06F" w14:textId="77777777" w:rsidR="00962EA5" w:rsidRDefault="004B5561">
      <w:pPr>
        <w:pStyle w:val="Heading1"/>
        <w:spacing w:before="400" w:after="200"/>
      </w:pPr>
      <w:r>
        <w:t>Method</w:t>
      </w:r>
    </w:p>
    <w:p w14:paraId="25E4F549" w14:textId="77777777" w:rsidR="00962EA5" w:rsidRDefault="004B5561">
      <w:pPr>
        <w:spacing w:after="200" w:line="360" w:lineRule="auto"/>
        <w:jc w:val="both"/>
      </w:pPr>
      <w:r>
        <w:t>The historical-critical method covers a family of approaches. The one I rely on here is source criticism, systematised by Julius Wellhausen in the late nineteenth century. Wellhausen argued that the Pentateuch was assembled from four main written sources</w:t>
      </w:r>
      <w:r w:rsidR="00A47C92" w:rsidRPr="00A47C92">
        <w:t>:</w:t>
      </w:r>
      <w:r>
        <w:t xml:space="preserve"> the Yahwist (J), the </w:t>
      </w:r>
      <w:proofErr w:type="spellStart"/>
      <w:r>
        <w:t>Elohist</w:t>
      </w:r>
      <w:proofErr w:type="spellEnd"/>
      <w:r>
        <w:t xml:space="preserve"> (E), the Deuteronomist (D) and the Priestly writer (P</w:t>
      </w:r>
      <w:r w:rsidR="00A47C92" w:rsidRPr="00A47C92">
        <w:t>),</w:t>
      </w:r>
      <w:r>
        <w:t xml:space="preserve"> each belonging to a different period and each with its own vocabulary and theological concerns.</w:t>
      </w:r>
      <w:r>
        <w:rPr>
          <w:vertAlign w:val="superscript"/>
        </w:rPr>
        <w:t>5</w:t>
      </w:r>
      <w:r>
        <w:t xml:space="preserve"> Later scholarship has questioned parts of this scheme, particularly whether E was ever a continuous document, but the distinction between P and J in Genesis 1–3 has proved one of its most durable results.</w:t>
      </w:r>
    </w:p>
    <w:p w14:paraId="70D7A329" w14:textId="77777777" w:rsidR="00962EA5" w:rsidRDefault="004B5561">
      <w:pPr>
        <w:spacing w:after="200" w:line="360" w:lineRule="auto"/>
        <w:jc w:val="both"/>
      </w:pPr>
      <w:r>
        <w:t>The method suits this passage for a practical reason: the joins are visible. The change of divine name at 2:4b, the change of style, and the different order of creation all fall at the same point in the text. Where the seams can be seen, it makes sense to read with them rather than around them. Westermann’s commentary on Genesis 1–11 remains the standard detailed treatment along these lines, and I have leaned on it throughout.</w:t>
      </w:r>
      <w:r>
        <w:rPr>
          <w:vertAlign w:val="superscript"/>
        </w:rPr>
        <w:t>6</w:t>
      </w:r>
    </w:p>
    <w:p w14:paraId="1B9B4E9D" w14:textId="77777777" w:rsidR="00962EA5" w:rsidRDefault="004B5561">
      <w:pPr>
        <w:pStyle w:val="Heading1"/>
        <w:spacing w:before="400" w:after="200"/>
      </w:pPr>
      <w:r>
        <w:t>Textual Analysis</w:t>
      </w:r>
    </w:p>
    <w:p w14:paraId="3023941C" w14:textId="77777777" w:rsidR="00962EA5" w:rsidRDefault="004B5561">
      <w:pPr>
        <w:pStyle w:val="Heading2"/>
        <w:spacing w:before="320" w:after="160"/>
      </w:pPr>
      <w:r>
        <w:t>Genesis 1:1–2:4a: the Priestly account</w:t>
      </w:r>
    </w:p>
    <w:p w14:paraId="5FF5BD0D" w14:textId="77777777" w:rsidR="00962EA5" w:rsidRDefault="004B5561">
      <w:pPr>
        <w:spacing w:after="200" w:line="360" w:lineRule="auto"/>
        <w:jc w:val="both"/>
      </w:pPr>
      <w:r>
        <w:t xml:space="preserve">‘In the beginning when God created the heavens and the earth’ (1:1). The verb </w:t>
      </w:r>
      <w:r>
        <w:rPr>
          <w:i/>
          <w:iCs/>
        </w:rPr>
        <w:t>bara’</w:t>
      </w:r>
      <w:r>
        <w:t>, ‘created’, is worth pausing over, because in the Hebrew Bible it only ever takes God as its subject. Whatever it describes, it is not something people do.</w:t>
      </w:r>
      <w:r>
        <w:rPr>
          <w:vertAlign w:val="superscript"/>
        </w:rPr>
        <w:t>7</w:t>
      </w:r>
    </w:p>
    <w:p w14:paraId="7162957A" w14:textId="77777777" w:rsidR="00962EA5" w:rsidRDefault="004B5561">
      <w:pPr>
        <w:spacing w:after="200" w:line="360" w:lineRule="auto"/>
        <w:jc w:val="both"/>
      </w:pPr>
      <w:r>
        <w:t xml:space="preserve">Verse 2 describes what was there before the ordering began: the earth was </w:t>
      </w:r>
      <w:proofErr w:type="spellStart"/>
      <w:r>
        <w:rPr>
          <w:i/>
          <w:iCs/>
        </w:rPr>
        <w:t>tohu</w:t>
      </w:r>
      <w:proofErr w:type="spellEnd"/>
      <w:r>
        <w:rPr>
          <w:i/>
          <w:iCs/>
        </w:rPr>
        <w:t xml:space="preserve"> </w:t>
      </w:r>
      <w:proofErr w:type="spellStart"/>
      <w:r>
        <w:rPr>
          <w:i/>
          <w:iCs/>
        </w:rPr>
        <w:t>wabohu</w:t>
      </w:r>
      <w:proofErr w:type="spellEnd"/>
      <w:r>
        <w:t xml:space="preserve">, ‘a formless void’, with darkness over the deep. This is not creation out of nothing in the later doctrinal sense; that idea developed afterwards. P is describing chaos being brought into order, </w:t>
      </w:r>
      <w:r>
        <w:lastRenderedPageBreak/>
        <w:t>and von Rad’s point is that the chapter’s interest lies in the ordering rather than in the question of ultimate origins.</w:t>
      </w:r>
      <w:r>
        <w:rPr>
          <w:vertAlign w:val="superscript"/>
        </w:rPr>
        <w:t>8</w:t>
      </w:r>
    </w:p>
    <w:p w14:paraId="2BF9DEA6" w14:textId="77777777" w:rsidR="00962EA5" w:rsidRDefault="004B5561">
      <w:pPr>
        <w:spacing w:after="200" w:line="360" w:lineRule="auto"/>
        <w:jc w:val="both"/>
      </w:pPr>
      <w:r>
        <w:t>The seven days are arranged with obvious care. Days one to three make spaces: light and dark, sky and sea, dry land. Days four to six fill those spaces in the same order: sun and moon, birds and fish, animals and people. Days three and six each carry two acts of creation, which keeps the pattern even. The repeated formulas</w:t>
      </w:r>
      <w:r w:rsidR="00285B32" w:rsidRPr="00285B32">
        <w:t>,</w:t>
      </w:r>
      <w:r>
        <w:t xml:space="preserve"> ‘And God said’, ‘and it was so’, </w:t>
      </w:r>
      <w:r w:rsidR="00285B32" w:rsidRPr="00285B32">
        <w:t xml:space="preserve">and </w:t>
      </w:r>
      <w:r>
        <w:t>‘and God saw that it was good’</w:t>
      </w:r>
      <w:r w:rsidR="00285B32" w:rsidRPr="00285B32">
        <w:t>,</w:t>
      </w:r>
      <w:r>
        <w:t xml:space="preserve"> give the chapter its rhythm.</w:t>
      </w:r>
      <w:r>
        <w:rPr>
          <w:vertAlign w:val="superscript"/>
        </w:rPr>
        <w:t>9</w:t>
      </w:r>
      <w:r>
        <w:t xml:space="preserve"> Nothing here is hurried or accidental, and that is the theological claim as much as the literary one.</w:t>
      </w:r>
    </w:p>
    <w:p w14:paraId="148A605D" w14:textId="148D1752" w:rsidR="00962EA5" w:rsidRDefault="004B5561">
      <w:pPr>
        <w:spacing w:after="200" w:line="360" w:lineRule="auto"/>
        <w:jc w:val="both"/>
      </w:pPr>
      <w:r>
        <w:t xml:space="preserve">Humanity arrives at 1:26–28, the last work of the sixth day. The plural in ‘Let us make humankind in our image’ has attracted a great deal of comment. Brueggemann’s explanation is the most persuasive: it echoes the divine council found elsewhere in ancient Near Eastern </w:t>
      </w:r>
      <w:r w:rsidR="00246B2F">
        <w:t>literature and</w:t>
      </w:r>
      <w:r>
        <w:t xml:space="preserve"> reading it as an early reference to the Trinity imports a much later question into the passage.</w:t>
      </w:r>
      <w:r>
        <w:rPr>
          <w:vertAlign w:val="superscript"/>
        </w:rPr>
        <w:t>10</w:t>
      </w:r>
      <w:r>
        <w:t xml:space="preserve"> The word </w:t>
      </w:r>
      <w:proofErr w:type="spellStart"/>
      <w:r>
        <w:rPr>
          <w:i/>
          <w:iCs/>
        </w:rPr>
        <w:t>tselem</w:t>
      </w:r>
      <w:proofErr w:type="spellEnd"/>
      <w:r>
        <w:t>, ‘image’, suggests representation. A king might set up an image of himself in a province he ruled from a distance; humanity stands in the world in something like that role, which fits the language of dominion (</w:t>
      </w:r>
      <w:proofErr w:type="spellStart"/>
      <w:r>
        <w:rPr>
          <w:i/>
          <w:iCs/>
        </w:rPr>
        <w:t>radah</w:t>
      </w:r>
      <w:proofErr w:type="spellEnd"/>
      <w:r>
        <w:t>) in verse 28. Von Rad reads this as a commissioning rather than a description of some inner quality.</w:t>
      </w:r>
      <w:r>
        <w:rPr>
          <w:vertAlign w:val="superscript"/>
        </w:rPr>
        <w:t>11</w:t>
      </w:r>
    </w:p>
    <w:p w14:paraId="1B9F7DDE" w14:textId="1E2A7E00" w:rsidR="00962EA5" w:rsidRDefault="004B5561">
      <w:pPr>
        <w:spacing w:after="200" w:line="360" w:lineRule="auto"/>
        <w:jc w:val="both"/>
      </w:pPr>
      <w:r>
        <w:t xml:space="preserve">One detail deserves emphasis. The image is given to </w:t>
      </w:r>
      <w:proofErr w:type="spellStart"/>
      <w:r>
        <w:rPr>
          <w:i/>
          <w:iCs/>
        </w:rPr>
        <w:t>adam</w:t>
      </w:r>
      <w:proofErr w:type="spellEnd"/>
      <w:r>
        <w:t xml:space="preserve"> as a whole: ‘male and female he created them’ (1:27). P draws no distinction of status between them and sets up no hierarchy. Any later use of Genesis to rank the sexes </w:t>
      </w:r>
      <w:r w:rsidR="00246B2F">
        <w:t>must</w:t>
      </w:r>
      <w:r>
        <w:t xml:space="preserve"> be built on chapters 2 and 3, not on chapter 1.</w:t>
      </w:r>
    </w:p>
    <w:p w14:paraId="50AC7C53" w14:textId="77777777" w:rsidR="00962EA5" w:rsidRDefault="004B5561">
      <w:pPr>
        <w:spacing w:after="200" w:line="360" w:lineRule="auto"/>
        <w:jc w:val="both"/>
      </w:pPr>
      <w:r>
        <w:t>The account closes with the seventh day (2:1–4a), on which God rests and makes the day holy. The effect is to root the Sabbath in creation itself rather than in Israel’s later law. Westermann notes this move from cosmology to liturgy as characteristic of P, and it is a good example of how a source’s own setting shows through its account of the beginning.</w:t>
      </w:r>
      <w:r>
        <w:rPr>
          <w:vertAlign w:val="superscript"/>
        </w:rPr>
        <w:t>12</w:t>
      </w:r>
    </w:p>
    <w:p w14:paraId="042A4B5B" w14:textId="77777777" w:rsidR="00962EA5" w:rsidRDefault="004B5561">
      <w:pPr>
        <w:pStyle w:val="Heading2"/>
        <w:spacing w:before="320" w:after="160"/>
      </w:pPr>
      <w:r>
        <w:t>Genesis 2:4b–3:24: the Yahwist narrative</w:t>
      </w:r>
    </w:p>
    <w:p w14:paraId="04D78D41" w14:textId="77777777" w:rsidR="00962EA5" w:rsidRDefault="004B5561">
      <w:pPr>
        <w:spacing w:after="200" w:line="360" w:lineRule="auto"/>
        <w:jc w:val="both"/>
      </w:pPr>
      <w:r>
        <w:t>The second account starts again from a different place. Genesis 2:4b begins ‘In the day that the LORD God made the earth and the heavens’</w:t>
      </w:r>
      <w:r w:rsidR="009C4D0A" w:rsidRPr="009C4D0A">
        <w:t>, reversing</w:t>
      </w:r>
      <w:r>
        <w:t xml:space="preserve"> the </w:t>
      </w:r>
      <w:r>
        <w:t>order of 1:1</w:t>
      </w:r>
      <w:r w:rsidR="009C4D0A" w:rsidRPr="009C4D0A">
        <w:t>,</w:t>
      </w:r>
      <w:r>
        <w:t xml:space="preserve"> and the landscape it describes is dry rather than watery. Here God does not speak the world into being but works at it. He forms (</w:t>
      </w:r>
      <w:proofErr w:type="spellStart"/>
      <w:r>
        <w:rPr>
          <w:i/>
          <w:iCs/>
        </w:rPr>
        <w:t>yatsar</w:t>
      </w:r>
      <w:proofErr w:type="spellEnd"/>
      <w:r>
        <w:t xml:space="preserve">) the man from the dust of the ground and breathes into his nostrils. The Hebrew makes a pun that English cannot quite carry: </w:t>
      </w:r>
      <w:proofErr w:type="spellStart"/>
      <w:r>
        <w:rPr>
          <w:i/>
          <w:iCs/>
        </w:rPr>
        <w:t>ha’adam</w:t>
      </w:r>
      <w:proofErr w:type="spellEnd"/>
      <w:r>
        <w:t xml:space="preserve"> is taken from </w:t>
      </w:r>
      <w:proofErr w:type="spellStart"/>
      <w:r>
        <w:rPr>
          <w:i/>
          <w:iCs/>
        </w:rPr>
        <w:t>ha’adamah</w:t>
      </w:r>
      <w:proofErr w:type="spellEnd"/>
      <w:r>
        <w:t>, the man from the soil.</w:t>
      </w:r>
      <w:r>
        <w:rPr>
          <w:vertAlign w:val="superscript"/>
        </w:rPr>
        <w:t>13</w:t>
      </w:r>
      <w:r>
        <w:t xml:space="preserve"> The wordplay sets up the return to dust in 3:19 and ties human beings to the ground they will later have to work.</w:t>
      </w:r>
    </w:p>
    <w:p w14:paraId="5001DAD4" w14:textId="77777777" w:rsidR="00962EA5" w:rsidRDefault="004B5561">
      <w:pPr>
        <w:spacing w:after="200" w:line="360" w:lineRule="auto"/>
        <w:jc w:val="both"/>
      </w:pPr>
      <w:r>
        <w:lastRenderedPageBreak/>
        <w:t>This God is described in strongly human terms. He plants a garden, performs something close to surgery, sews clothes, and walks about in the cool of the day. It would be a mistake to treat this as a primitive way of speaking that P has since improved on. It is a choice, and it makes possible the kind of story J wants to tell: one about a relationship close enough to be damaged.</w:t>
      </w:r>
    </w:p>
    <w:p w14:paraId="7234DCC4" w14:textId="77777777" w:rsidR="00962EA5" w:rsidRDefault="004B5561">
      <w:pPr>
        <w:spacing w:after="200" w:line="360" w:lineRule="auto"/>
        <w:jc w:val="both"/>
      </w:pPr>
      <w:r>
        <w:t>The garden is defined by what is given and what is withheld. There is food, work and company, and there is one tree that is out of bounds. Wenham argues that the prohibition in 2:17 is the hinge of the whole narrative. Human freedom is real, but it exists inside a limit, and the limit belongs to the relationship rather than working against it.</w:t>
      </w:r>
      <w:r>
        <w:rPr>
          <w:vertAlign w:val="superscript"/>
        </w:rPr>
        <w:t>14</w:t>
      </w:r>
    </w:p>
    <w:p w14:paraId="71063EAA" w14:textId="77777777" w:rsidR="00962EA5" w:rsidRDefault="004B5561">
      <w:pPr>
        <w:spacing w:after="200" w:line="360" w:lineRule="auto"/>
        <w:jc w:val="both"/>
      </w:pPr>
      <w:r>
        <w:t xml:space="preserve">The woman is made after God observes that it is not good for the man to be alone. The phrase </w:t>
      </w:r>
      <w:r>
        <w:rPr>
          <w:i/>
          <w:iCs/>
        </w:rPr>
        <w:t>’</w:t>
      </w:r>
      <w:proofErr w:type="spellStart"/>
      <w:r>
        <w:rPr>
          <w:i/>
          <w:iCs/>
        </w:rPr>
        <w:t>ezer</w:t>
      </w:r>
      <w:proofErr w:type="spellEnd"/>
      <w:r>
        <w:rPr>
          <w:i/>
          <w:iCs/>
        </w:rPr>
        <w:t xml:space="preserve"> </w:t>
      </w:r>
      <w:proofErr w:type="spellStart"/>
      <w:r>
        <w:rPr>
          <w:i/>
          <w:iCs/>
        </w:rPr>
        <w:t>kenegdo</w:t>
      </w:r>
      <w:proofErr w:type="spellEnd"/>
      <w:r>
        <w:t xml:space="preserve"> (2:18) is usually rendered ‘a helper as his partner’. The English word ‘helper’ suggests an assistant, but </w:t>
      </w:r>
      <w:r>
        <w:rPr>
          <w:i/>
          <w:iCs/>
        </w:rPr>
        <w:t>’</w:t>
      </w:r>
      <w:proofErr w:type="spellStart"/>
      <w:r>
        <w:rPr>
          <w:i/>
          <w:iCs/>
        </w:rPr>
        <w:t>ezer</w:t>
      </w:r>
      <w:proofErr w:type="spellEnd"/>
      <w:r>
        <w:t xml:space="preserve"> in the Hebrew Bible is most often used of God helping Israel, as in Psalm 121:2, and it carries the sense of strength brought to someone who lacks it. </w:t>
      </w:r>
      <w:proofErr w:type="spellStart"/>
      <w:r>
        <w:rPr>
          <w:i/>
          <w:iCs/>
        </w:rPr>
        <w:t>Kenegdo</w:t>
      </w:r>
      <w:proofErr w:type="spellEnd"/>
      <w:r>
        <w:t xml:space="preserve"> means something like ‘corresponding to him’. Subordination is simply not in the vocabulary. Von Rad reads the passage as a statement about human sociality: the man on his own is not yet complete.</w:t>
      </w:r>
      <w:r>
        <w:rPr>
          <w:vertAlign w:val="superscript"/>
        </w:rPr>
        <w:t>15</w:t>
      </w:r>
    </w:p>
    <w:p w14:paraId="179EFC84" w14:textId="77777777" w:rsidR="00962EA5" w:rsidRDefault="004B5561">
      <w:pPr>
        <w:spacing w:after="200" w:line="360" w:lineRule="auto"/>
        <w:jc w:val="both"/>
      </w:pPr>
      <w:r>
        <w:t>Genesis 3 opens with the serpent, ‘</w:t>
      </w:r>
      <w:proofErr w:type="gramStart"/>
      <w:r>
        <w:t>more crafty</w:t>
      </w:r>
      <w:proofErr w:type="gramEnd"/>
      <w:r>
        <w:t>’ (</w:t>
      </w:r>
      <w:r>
        <w:rPr>
          <w:i/>
          <w:iCs/>
        </w:rPr>
        <w:t>’arum</w:t>
      </w:r>
      <w:r>
        <w:t xml:space="preserve">) than any other animal God had made. There is a play here as well, since the couple have just been called </w:t>
      </w:r>
      <w:r>
        <w:rPr>
          <w:i/>
          <w:iCs/>
        </w:rPr>
        <w:t>’</w:t>
      </w:r>
      <w:proofErr w:type="spellStart"/>
      <w:r>
        <w:rPr>
          <w:i/>
          <w:iCs/>
        </w:rPr>
        <w:t>arummim</w:t>
      </w:r>
      <w:proofErr w:type="spellEnd"/>
      <w:r>
        <w:t>, naked. The narrator does not identify the serpent with any later figure; it is simply a creature.</w:t>
      </w:r>
    </w:p>
    <w:p w14:paraId="37ED8A98" w14:textId="77777777" w:rsidR="00962EA5" w:rsidRDefault="004B5561">
      <w:pPr>
        <w:spacing w:after="200" w:line="360" w:lineRule="auto"/>
        <w:jc w:val="both"/>
      </w:pPr>
      <w:r>
        <w:t>The conversation is the heart of the chapter. It is the first speech in J that is not God’s, and its method is to restate the prohibition so that it sounds mean: ‘Did God say, “You shall not eat from any tree in the garden?”’ The woman corrects the exaggeration, but in doing so she adds something of her own</w:t>
      </w:r>
      <w:r w:rsidR="009047FF" w:rsidRPr="009047FF">
        <w:t>:</w:t>
      </w:r>
      <w:r>
        <w:t xml:space="preserve"> ‘nor shall you touch it’ (3:3). Whether this shows anxiety about the boundary or simple over-correction cannot be settled, but it does show the command already being handled at second hand. Brueggemann treats the exchange as a study in how doubt gets in: nothing is denied outright, and a relationship that had not been questioned becomes something to weigh up.</w:t>
      </w:r>
      <w:r>
        <w:rPr>
          <w:vertAlign w:val="superscript"/>
        </w:rPr>
        <w:t>16</w:t>
      </w:r>
      <w:r>
        <w:t xml:space="preserve"> What follows is quick. She looks at the tree, judges it good, eats, and gives some to the man, ‘who was with her’ (3:6). His silence throughout is worth noticing.</w:t>
      </w:r>
    </w:p>
    <w:p w14:paraId="3A89FBEC" w14:textId="77777777" w:rsidR="00962EA5" w:rsidRDefault="004B5561">
      <w:pPr>
        <w:spacing w:after="200" w:line="360" w:lineRule="auto"/>
        <w:jc w:val="both"/>
      </w:pPr>
      <w:r>
        <w:t xml:space="preserve">The pronouncements of 3:14–19 are often read as sentences passed by a judge, but they work better as explanations. Why snakes crawl and why people hate them; why childbirth is so painful; why farming this soil is such hard work; why everyone dies. These were facts of life for the audience, and the narrative accounts for them. Westermann’s insistence on this point </w:t>
      </w:r>
      <w:r>
        <w:lastRenderedPageBreak/>
        <w:t>changes the tone of the chapter considerably: it is description rather than vengeance.</w:t>
      </w:r>
      <w:r>
        <w:rPr>
          <w:vertAlign w:val="superscript"/>
        </w:rPr>
        <w:t>17</w:t>
      </w:r>
      <w:r>
        <w:t xml:space="preserve"> The expulsion in 3:22–24 closes off the tree of life, and with it the easy nearness to God that the garden stood for. The rest of Genesis, and arguably much of what follows it, deals with the consequences.</w:t>
      </w:r>
    </w:p>
    <w:p w14:paraId="5A926BF8" w14:textId="77777777" w:rsidR="00962EA5" w:rsidRDefault="004B5561">
      <w:pPr>
        <w:pStyle w:val="Heading1"/>
        <w:spacing w:before="400" w:after="200"/>
      </w:pPr>
      <w:r>
        <w:t>Contemporary Perspective: Feminist Biblical Criticism</w:t>
      </w:r>
    </w:p>
    <w:p w14:paraId="3E44DDC3" w14:textId="77777777" w:rsidR="00962EA5" w:rsidRDefault="004B5561">
      <w:pPr>
        <w:spacing w:after="200" w:line="360" w:lineRule="auto"/>
        <w:jc w:val="both"/>
      </w:pPr>
      <w:r>
        <w:t xml:space="preserve">Genesis 2–3 has been used for a very long time to argue that women are secondary and that women are to blame. Any contemporary reading </w:t>
      </w:r>
      <w:proofErr w:type="gramStart"/>
      <w:r>
        <w:t>has to</w:t>
      </w:r>
      <w:proofErr w:type="gramEnd"/>
      <w:r>
        <w:t xml:space="preserve"> deal with that history, which is why feminist criticism is the perspective I have chosen.</w:t>
      </w:r>
    </w:p>
    <w:p w14:paraId="72FC656B" w14:textId="77777777" w:rsidR="00962EA5" w:rsidRDefault="004B5561">
      <w:pPr>
        <w:spacing w:after="200" w:line="360" w:lineRule="auto"/>
        <w:jc w:val="both"/>
      </w:pPr>
      <w:r>
        <w:t xml:space="preserve">Phyllis Trible’s study remains the best-known attempt to reread the passage from the inside. Her argument runs on three points. First, </w:t>
      </w:r>
      <w:proofErr w:type="spellStart"/>
      <w:r>
        <w:rPr>
          <w:i/>
          <w:iCs/>
        </w:rPr>
        <w:t>ha’adam</w:t>
      </w:r>
      <w:proofErr w:type="spellEnd"/>
      <w:r>
        <w:t xml:space="preserve"> in Genesis 2 is not ‘the man’ but the earth creature, sexually undifferentiated until 2:21–23, so that male and female appear at the same moment and neither comes first.</w:t>
      </w:r>
      <w:r>
        <w:rPr>
          <w:vertAlign w:val="superscript"/>
        </w:rPr>
        <w:t>18</w:t>
      </w:r>
      <w:r>
        <w:t xml:space="preserve"> Second, being made from the man’s side is an image of shared substance rather than of derivation and lower rank; the exclamation ‘bone of my bones and flesh of my flesh’ (2:23) recognises likeness, not ownership.</w:t>
      </w:r>
      <w:r>
        <w:rPr>
          <w:vertAlign w:val="superscript"/>
        </w:rPr>
        <w:t>19</w:t>
      </w:r>
      <w:r>
        <w:t xml:space="preserve"> Third, in chapter 3 the woman is the one who thinks. She is addressed, she reasons, she assesses the tree, she decides. The man eats what he is handed without a word. If the chapter has a theological agent, it is her.</w:t>
      </w:r>
      <w:r>
        <w:rPr>
          <w:vertAlign w:val="superscript"/>
        </w:rPr>
        <w:t>20</w:t>
      </w:r>
    </w:p>
    <w:p w14:paraId="57CBA312" w14:textId="77777777" w:rsidR="00962EA5" w:rsidRDefault="004B5561">
      <w:pPr>
        <w:spacing w:after="200" w:line="360" w:lineRule="auto"/>
        <w:jc w:val="both"/>
      </w:pPr>
      <w:r>
        <w:t>The strengths of this are real. Trible works from the Hebrew and from the shape of the text rather than from a modern position pressed onto it, and she shows how much of the traditional reading was inherited rather than found in the passage. The observation about the woman’s agency in chapter 3 seems to me difficult to answer, and it turns the usual reading almost exactly around.</w:t>
      </w:r>
    </w:p>
    <w:p w14:paraId="3A3BC447" w14:textId="77777777" w:rsidR="00962EA5" w:rsidRDefault="004B5561">
      <w:pPr>
        <w:spacing w:after="200" w:line="360" w:lineRule="auto"/>
        <w:jc w:val="both"/>
      </w:pPr>
      <w:r>
        <w:t xml:space="preserve">There are, however, serious objections. Susan Lanser has questioned whether </w:t>
      </w:r>
      <w:proofErr w:type="spellStart"/>
      <w:r>
        <w:rPr>
          <w:i/>
          <w:iCs/>
        </w:rPr>
        <w:t>ha’adam</w:t>
      </w:r>
      <w:proofErr w:type="spellEnd"/>
      <w:r>
        <w:t xml:space="preserve"> can really be read as sexually undifferentiated, since the term takes masculine agreement throughout chapter 2 and an ancient audience would most likely have pictured a male figure.</w:t>
      </w:r>
      <w:r>
        <w:rPr>
          <w:vertAlign w:val="superscript"/>
        </w:rPr>
        <w:t>21</w:t>
      </w:r>
      <w:r>
        <w:t xml:space="preserve"> Pamela Milne makes a broader criticism: attempts to rescue egalitarian meanings from patriarchal texts may end up defending texts that deserve harder treatment, and finding the Bible innocent can itself be a way of keeping its authority intact.</w:t>
      </w:r>
      <w:r>
        <w:rPr>
          <w:vertAlign w:val="superscript"/>
        </w:rPr>
        <w:t>22</w:t>
      </w:r>
      <w:r>
        <w:t xml:space="preserve"> David Clines argues along similar lines that whatever agency the woman is given, the passage finally reinstates a hierarchy in 3:16, and that its assumptions are androcentric and not only its reception history.</w:t>
      </w:r>
      <w:r>
        <w:rPr>
          <w:vertAlign w:val="superscript"/>
        </w:rPr>
        <w:t>23</w:t>
      </w:r>
    </w:p>
    <w:p w14:paraId="21E5B05C" w14:textId="77777777" w:rsidR="00962EA5" w:rsidRDefault="004B5561">
      <w:pPr>
        <w:spacing w:after="200" w:line="360" w:lineRule="auto"/>
        <w:jc w:val="both"/>
      </w:pPr>
      <w:r>
        <w:lastRenderedPageBreak/>
        <w:t xml:space="preserve">There is also a methodological tension worth naming, because it runs underneath this whole essay. Historical criticism asks what a text meant in its own </w:t>
      </w:r>
      <w:proofErr w:type="gramStart"/>
      <w:r>
        <w:t>setting, and</w:t>
      </w:r>
      <w:proofErr w:type="gramEnd"/>
      <w:r>
        <w:t xml:space="preserve"> tends to stop there. Feminist criticism often reads against the grain, asking what a text does to its readers and whose interests it serves. These are not the same question. Wenham, who is sympathetic to the concerns, warns that applying modern categories of gender to ancient Israelite literature risks distorting what the text was itself trying to do.</w:t>
      </w:r>
      <w:r>
        <w:rPr>
          <w:vertAlign w:val="superscript"/>
        </w:rPr>
        <w:t>24</w:t>
      </w:r>
    </w:p>
    <w:p w14:paraId="03AB87BA" w14:textId="77777777" w:rsidR="00962EA5" w:rsidRDefault="004B5561">
      <w:pPr>
        <w:spacing w:after="200" w:line="360" w:lineRule="auto"/>
        <w:jc w:val="both"/>
      </w:pPr>
      <w:r>
        <w:t>My own view is that the two approaches work better together than in competition. Historical criticism can establish what the words are likely to have meant and how the material came together; feminist criticism asks why certain meanings later proved so useful, and to whom. Trible is strongest where she stays close to the Hebrew and weakest where she needs the text to be more modern than it is. Lanser and Milne are right that a text produced in a patriarchal society is unlikely to be free of that society’s a</w:t>
      </w:r>
      <w:r>
        <w:t xml:space="preserve">ssumptions. </w:t>
      </w:r>
      <w:proofErr w:type="gramStart"/>
      <w:r>
        <w:t>Both of these</w:t>
      </w:r>
      <w:proofErr w:type="gramEnd"/>
      <w:r>
        <w:t xml:space="preserve"> can be true at once.</w:t>
      </w:r>
    </w:p>
    <w:p w14:paraId="668296ED" w14:textId="77777777" w:rsidR="00962EA5" w:rsidRDefault="004B5561">
      <w:pPr>
        <w:pStyle w:val="Heading1"/>
        <w:spacing w:before="400" w:after="200"/>
      </w:pPr>
      <w:r>
        <w:t>Conclusion</w:t>
      </w:r>
    </w:p>
    <w:p w14:paraId="20C5C48E" w14:textId="77777777" w:rsidR="00962EA5" w:rsidRDefault="004B5561">
      <w:pPr>
        <w:spacing w:after="200" w:line="360" w:lineRule="auto"/>
        <w:jc w:val="both"/>
      </w:pPr>
      <w:r>
        <w:t>Reading Genesis 1–3 as the work of two traditions rather than one explains what would otherwise look like a set of awkward contradictions. P gives an ordered account of a world made by command, with humanity</w:t>
      </w:r>
      <w:r w:rsidR="00246B2F" w:rsidRPr="00246B2F">
        <w:t>,</w:t>
      </w:r>
      <w:r>
        <w:t xml:space="preserve"> male and female</w:t>
      </w:r>
      <w:r>
        <w:t xml:space="preserve"> without distinction</w:t>
      </w:r>
      <w:r w:rsidR="00246B2F" w:rsidRPr="00246B2F">
        <w:t>,</w:t>
      </w:r>
      <w:r>
        <w:t xml:space="preserve"> placed in it as God’s representatives, and the week ending in rest. J gives a closer and more troubled account of the same subject: a God who shapes people out of soil, a limit set and then crossed, and a series of explanations for why life is as hard as it is. Neither account cancels the other. Held together, they say that human beings are dignified by their origin and estranged by their own choices.</w:t>
      </w:r>
    </w:p>
    <w:p w14:paraId="7BE434AE" w14:textId="77777777" w:rsidR="00962EA5" w:rsidRDefault="004B5561">
      <w:pPr>
        <w:spacing w:after="200" w:line="360" w:lineRule="auto"/>
        <w:jc w:val="both"/>
      </w:pPr>
      <w:r>
        <w:t>Feminist criticism has changed how these chapters are read, and mostly for the better. Trible showed how much of the traditional interpretation was inherited rather than found in the text. Lanser, Milne and Clines showed the limits of how far an ancient text can be recovered for modern purposes. Reading Genesis 1–3 well seems to require both things at once: attention to how and when the material was written, and honesty about what has been done with it since.</w:t>
      </w:r>
    </w:p>
    <w:p w14:paraId="7CC5EE91" w14:textId="77777777" w:rsidR="00962EA5" w:rsidRDefault="004B5561">
      <w:pPr>
        <w:pStyle w:val="Heading1"/>
        <w:spacing w:before="400" w:after="200"/>
      </w:pPr>
      <w:r>
        <w:t>Footnotes</w:t>
      </w:r>
    </w:p>
    <w:p w14:paraId="505E3E84" w14:textId="77777777" w:rsidR="00962EA5" w:rsidRDefault="004B5561">
      <w:pPr>
        <w:spacing w:after="120" w:line="276" w:lineRule="auto"/>
        <w:ind w:left="576" w:hanging="576"/>
      </w:pPr>
      <w:r>
        <w:t xml:space="preserve">1. Julius Wellhausen, </w:t>
      </w:r>
      <w:r>
        <w:rPr>
          <w:i/>
          <w:iCs/>
        </w:rPr>
        <w:t>Prolegomena to the History of Israel</w:t>
      </w:r>
      <w:r>
        <w:t>, trans. by J. Sutherland Black and Allan Menzies (Edinburgh: Adam and Charles Black, 1885), pp. 1–12.</w:t>
      </w:r>
    </w:p>
    <w:p w14:paraId="4A9121F3" w14:textId="77777777" w:rsidR="00962EA5" w:rsidRDefault="004B5561">
      <w:pPr>
        <w:spacing w:after="120" w:line="276" w:lineRule="auto"/>
        <w:ind w:left="576" w:hanging="576"/>
      </w:pPr>
      <w:r>
        <w:t>2. All biblical quotations are taken from the New Revised Standard Version unless otherwise stated.</w:t>
      </w:r>
    </w:p>
    <w:p w14:paraId="3CD03282" w14:textId="77777777" w:rsidR="00962EA5" w:rsidRDefault="004B5561">
      <w:pPr>
        <w:spacing w:after="120" w:line="276" w:lineRule="auto"/>
        <w:ind w:left="576" w:hanging="576"/>
      </w:pPr>
      <w:r>
        <w:lastRenderedPageBreak/>
        <w:t xml:space="preserve">3. Hermann Gunkel, </w:t>
      </w:r>
      <w:r>
        <w:rPr>
          <w:i/>
          <w:iCs/>
        </w:rPr>
        <w:t>Genesis</w:t>
      </w:r>
      <w:r>
        <w:t>, trans. by Mark E. Biddle (Macon, GA: Mercer University Press, 1997), pp. 1–18.</w:t>
      </w:r>
    </w:p>
    <w:p w14:paraId="1A2E66CB" w14:textId="77777777" w:rsidR="00962EA5" w:rsidRDefault="004B5561">
      <w:pPr>
        <w:spacing w:after="120" w:line="276" w:lineRule="auto"/>
        <w:ind w:left="576" w:hanging="576"/>
      </w:pPr>
      <w:r>
        <w:t xml:space="preserve">4. Gerhard von Rad, </w:t>
      </w:r>
      <w:r>
        <w:rPr>
          <w:i/>
          <w:iCs/>
        </w:rPr>
        <w:t>Genesis: A Commentary</w:t>
      </w:r>
      <w:r>
        <w:t xml:space="preserve">, rev. </w:t>
      </w:r>
      <w:proofErr w:type="spellStart"/>
      <w:r>
        <w:t>edn</w:t>
      </w:r>
      <w:proofErr w:type="spellEnd"/>
      <w:r>
        <w:t xml:space="preserve"> (London: SCM Press, 1972), p. 47.</w:t>
      </w:r>
    </w:p>
    <w:p w14:paraId="012A2AC1" w14:textId="77777777" w:rsidR="00962EA5" w:rsidRDefault="004B5561">
      <w:pPr>
        <w:spacing w:after="120" w:line="276" w:lineRule="auto"/>
        <w:ind w:left="576" w:hanging="576"/>
      </w:pPr>
      <w:r>
        <w:t xml:space="preserve">5. Wellhausen, </w:t>
      </w:r>
      <w:r>
        <w:rPr>
          <w:i/>
          <w:iCs/>
        </w:rPr>
        <w:t>Prolegomena</w:t>
      </w:r>
      <w:r>
        <w:t>, pp. 1–13.</w:t>
      </w:r>
    </w:p>
    <w:p w14:paraId="49B6D9A5" w14:textId="77777777" w:rsidR="00962EA5" w:rsidRDefault="004B5561">
      <w:pPr>
        <w:spacing w:after="120" w:line="276" w:lineRule="auto"/>
        <w:ind w:left="576" w:hanging="576"/>
      </w:pPr>
      <w:r>
        <w:t xml:space="preserve">6. Claus Westermann, </w:t>
      </w:r>
      <w:r>
        <w:rPr>
          <w:i/>
          <w:iCs/>
        </w:rPr>
        <w:t>Genesis 1–11: A Continental Commentary</w:t>
      </w:r>
      <w:r>
        <w:t>, trans. by John J. Scullion (Minneapolis: Fortress Press, 1994), pp. 74–80.</w:t>
      </w:r>
    </w:p>
    <w:p w14:paraId="06C87D3E" w14:textId="77777777" w:rsidR="00962EA5" w:rsidRDefault="004B5561">
      <w:pPr>
        <w:spacing w:after="120" w:line="276" w:lineRule="auto"/>
        <w:ind w:left="576" w:hanging="576"/>
      </w:pPr>
      <w:r>
        <w:t xml:space="preserve">7. Westermann, </w:t>
      </w:r>
      <w:r>
        <w:rPr>
          <w:i/>
          <w:iCs/>
        </w:rPr>
        <w:t>Genesis 1–11</w:t>
      </w:r>
      <w:r>
        <w:t>, p. 81.</w:t>
      </w:r>
    </w:p>
    <w:p w14:paraId="54795A7C" w14:textId="77777777" w:rsidR="00962EA5" w:rsidRDefault="004B5561">
      <w:pPr>
        <w:spacing w:after="120" w:line="276" w:lineRule="auto"/>
        <w:ind w:left="576" w:hanging="576"/>
      </w:pPr>
      <w:r>
        <w:t xml:space="preserve">8. Von Rad, </w:t>
      </w:r>
      <w:r>
        <w:rPr>
          <w:i/>
          <w:iCs/>
        </w:rPr>
        <w:t>Genesis</w:t>
      </w:r>
      <w:r>
        <w:t>, p. 58.</w:t>
      </w:r>
    </w:p>
    <w:p w14:paraId="4E913245" w14:textId="77777777" w:rsidR="00962EA5" w:rsidRDefault="004B5561">
      <w:pPr>
        <w:spacing w:after="120" w:line="276" w:lineRule="auto"/>
        <w:ind w:left="576" w:hanging="576"/>
      </w:pPr>
      <w:r>
        <w:t xml:space="preserve">9. Gunkel, </w:t>
      </w:r>
      <w:r>
        <w:rPr>
          <w:i/>
          <w:iCs/>
        </w:rPr>
        <w:t>Genesis</w:t>
      </w:r>
      <w:r>
        <w:t>, pp. 22–25.</w:t>
      </w:r>
    </w:p>
    <w:p w14:paraId="33425822" w14:textId="77777777" w:rsidR="00962EA5" w:rsidRDefault="004B5561">
      <w:pPr>
        <w:spacing w:after="120" w:line="276" w:lineRule="auto"/>
        <w:ind w:left="576" w:hanging="576"/>
      </w:pPr>
      <w:r>
        <w:t xml:space="preserve">10. Walter Brueggemann, </w:t>
      </w:r>
      <w:r>
        <w:rPr>
          <w:i/>
          <w:iCs/>
        </w:rPr>
        <w:t>Genesis</w:t>
      </w:r>
      <w:r>
        <w:t xml:space="preserve"> (Atlanta: John Knox Press, 1982), p. 40.</w:t>
      </w:r>
    </w:p>
    <w:p w14:paraId="133BECBE" w14:textId="77777777" w:rsidR="00962EA5" w:rsidRDefault="004B5561">
      <w:pPr>
        <w:spacing w:after="120" w:line="276" w:lineRule="auto"/>
        <w:ind w:left="576" w:hanging="576"/>
      </w:pPr>
      <w:r>
        <w:t xml:space="preserve">11. Von Rad, </w:t>
      </w:r>
      <w:r>
        <w:rPr>
          <w:i/>
          <w:iCs/>
        </w:rPr>
        <w:t>Genesis</w:t>
      </w:r>
      <w:r>
        <w:t>, p. 65.</w:t>
      </w:r>
    </w:p>
    <w:p w14:paraId="7CF5E712" w14:textId="77777777" w:rsidR="00962EA5" w:rsidRDefault="004B5561">
      <w:pPr>
        <w:spacing w:after="120" w:line="276" w:lineRule="auto"/>
        <w:ind w:left="576" w:hanging="576"/>
      </w:pPr>
      <w:r>
        <w:t xml:space="preserve">12. Westermann, </w:t>
      </w:r>
      <w:r>
        <w:rPr>
          <w:i/>
          <w:iCs/>
        </w:rPr>
        <w:t>Genesis 1–11</w:t>
      </w:r>
      <w:r>
        <w:t>, pp. 147–150.</w:t>
      </w:r>
    </w:p>
    <w:p w14:paraId="00AEAAA2" w14:textId="77777777" w:rsidR="00962EA5" w:rsidRDefault="004B5561">
      <w:pPr>
        <w:spacing w:after="120" w:line="276" w:lineRule="auto"/>
        <w:ind w:left="576" w:hanging="576"/>
      </w:pPr>
      <w:r>
        <w:t xml:space="preserve">13. Gordon J. Wenham, </w:t>
      </w:r>
      <w:r>
        <w:rPr>
          <w:i/>
          <w:iCs/>
        </w:rPr>
        <w:t>Genesis 1–15</w:t>
      </w:r>
      <w:r>
        <w:t>, Word Biblical Commentary, 1 (Waco, TX: Word Books, 1987), p. 61.</w:t>
      </w:r>
    </w:p>
    <w:p w14:paraId="47D4BD87" w14:textId="77777777" w:rsidR="00962EA5" w:rsidRDefault="004B5561">
      <w:pPr>
        <w:spacing w:after="120" w:line="276" w:lineRule="auto"/>
        <w:ind w:left="576" w:hanging="576"/>
      </w:pPr>
      <w:r>
        <w:t xml:space="preserve">14. Wenham, </w:t>
      </w:r>
      <w:r>
        <w:rPr>
          <w:i/>
          <w:iCs/>
        </w:rPr>
        <w:t>Genesis 1–15</w:t>
      </w:r>
      <w:r>
        <w:t>, pp. 67–69.</w:t>
      </w:r>
    </w:p>
    <w:p w14:paraId="4777B21F" w14:textId="77777777" w:rsidR="00962EA5" w:rsidRDefault="004B5561">
      <w:pPr>
        <w:spacing w:after="120" w:line="276" w:lineRule="auto"/>
        <w:ind w:left="576" w:hanging="576"/>
      </w:pPr>
      <w:r>
        <w:t xml:space="preserve">15. Von Rad, </w:t>
      </w:r>
      <w:r>
        <w:rPr>
          <w:i/>
          <w:iCs/>
        </w:rPr>
        <w:t>Genesis</w:t>
      </w:r>
      <w:r>
        <w:t>, p. 82.</w:t>
      </w:r>
    </w:p>
    <w:p w14:paraId="55F9188A" w14:textId="77777777" w:rsidR="00962EA5" w:rsidRDefault="004B5561">
      <w:pPr>
        <w:spacing w:after="120" w:line="276" w:lineRule="auto"/>
        <w:ind w:left="576" w:hanging="576"/>
      </w:pPr>
      <w:r>
        <w:t xml:space="preserve">16. Brueggemann, </w:t>
      </w:r>
      <w:r>
        <w:rPr>
          <w:i/>
          <w:iCs/>
        </w:rPr>
        <w:t>Genesis</w:t>
      </w:r>
      <w:r>
        <w:t>, pp. 44–46.</w:t>
      </w:r>
    </w:p>
    <w:p w14:paraId="502F58B3" w14:textId="77777777" w:rsidR="00962EA5" w:rsidRDefault="004B5561">
      <w:pPr>
        <w:spacing w:after="120" w:line="276" w:lineRule="auto"/>
        <w:ind w:left="576" w:hanging="576"/>
      </w:pPr>
      <w:r>
        <w:t xml:space="preserve">17. Westermann, </w:t>
      </w:r>
      <w:r>
        <w:rPr>
          <w:i/>
          <w:iCs/>
        </w:rPr>
        <w:t>Genesis 1–11</w:t>
      </w:r>
      <w:r>
        <w:t>, pp. 192–195.</w:t>
      </w:r>
    </w:p>
    <w:p w14:paraId="436A9A74" w14:textId="77777777" w:rsidR="00962EA5" w:rsidRDefault="004B5561">
      <w:pPr>
        <w:spacing w:after="120" w:line="276" w:lineRule="auto"/>
        <w:ind w:left="576" w:hanging="576"/>
      </w:pPr>
      <w:r>
        <w:t xml:space="preserve">18. Phyllis Trible, </w:t>
      </w:r>
      <w:r>
        <w:rPr>
          <w:i/>
          <w:iCs/>
        </w:rPr>
        <w:t>God and the Rhetoric of Sexuality</w:t>
      </w:r>
      <w:r>
        <w:t xml:space="preserve"> (Philadelphia: Fortress Press, 1978), pp. 72–81.</w:t>
      </w:r>
    </w:p>
    <w:p w14:paraId="6BB41C4B" w14:textId="77777777" w:rsidR="00962EA5" w:rsidRDefault="004B5561">
      <w:pPr>
        <w:spacing w:after="120" w:line="276" w:lineRule="auto"/>
        <w:ind w:left="576" w:hanging="576"/>
      </w:pPr>
      <w:r>
        <w:t xml:space="preserve">19. Trible, </w:t>
      </w:r>
      <w:r>
        <w:rPr>
          <w:i/>
          <w:iCs/>
        </w:rPr>
        <w:t>God and the Rhetoric of Sexuality</w:t>
      </w:r>
      <w:r>
        <w:t>, p. 80.</w:t>
      </w:r>
    </w:p>
    <w:p w14:paraId="77AE6660" w14:textId="77777777" w:rsidR="00962EA5" w:rsidRDefault="004B5561">
      <w:pPr>
        <w:spacing w:after="120" w:line="276" w:lineRule="auto"/>
        <w:ind w:left="576" w:hanging="576"/>
      </w:pPr>
      <w:r>
        <w:t xml:space="preserve">20. Trible, </w:t>
      </w:r>
      <w:r>
        <w:rPr>
          <w:i/>
          <w:iCs/>
        </w:rPr>
        <w:t>God and the Rhetoric of Sexuality</w:t>
      </w:r>
      <w:r>
        <w:t>, pp. 105–115.</w:t>
      </w:r>
    </w:p>
    <w:p w14:paraId="789A57E6" w14:textId="77777777" w:rsidR="00962EA5" w:rsidRDefault="004B5561">
      <w:pPr>
        <w:spacing w:after="120" w:line="276" w:lineRule="auto"/>
        <w:ind w:left="576" w:hanging="576"/>
      </w:pPr>
      <w:r>
        <w:t xml:space="preserve">21. Susan Lanser, ‘(Feminist) Criticism in the Garden: Inferring Genesis 2–3’, </w:t>
      </w:r>
      <w:r>
        <w:rPr>
          <w:i/>
          <w:iCs/>
        </w:rPr>
        <w:t>Semeia</w:t>
      </w:r>
      <w:r>
        <w:t>, 41 (1988), 67–84 (p. 72).</w:t>
      </w:r>
    </w:p>
    <w:p w14:paraId="542B0977" w14:textId="77777777" w:rsidR="00962EA5" w:rsidRDefault="004B5561">
      <w:pPr>
        <w:spacing w:after="120" w:line="276" w:lineRule="auto"/>
        <w:ind w:left="576" w:hanging="576"/>
      </w:pPr>
      <w:r>
        <w:t xml:space="preserve">22. </w:t>
      </w:r>
      <w:r>
        <w:t xml:space="preserve">Pamela J. Milne, ‘The Patriarchal Stamp of Scripture: The Implications of Structural Analyses for Feminist Hermeneutics’, </w:t>
      </w:r>
      <w:r>
        <w:rPr>
          <w:i/>
          <w:iCs/>
        </w:rPr>
        <w:t>Journal of Feminist Studies in Religion</w:t>
      </w:r>
      <w:r>
        <w:t>, 5.1 (1989), 17–34 (pp. 20–22).</w:t>
      </w:r>
    </w:p>
    <w:p w14:paraId="1216FE43" w14:textId="77777777" w:rsidR="00962EA5" w:rsidRDefault="004B5561">
      <w:pPr>
        <w:spacing w:after="120" w:line="276" w:lineRule="auto"/>
        <w:ind w:left="576" w:hanging="576"/>
      </w:pPr>
      <w:r>
        <w:t xml:space="preserve">23. David J. A. Clines, ‘What Does Eve Do to Help? And Other Irredeemably Androcentric Orientations in Genesis 1–3’, in </w:t>
      </w:r>
      <w:r>
        <w:rPr>
          <w:i/>
          <w:iCs/>
        </w:rPr>
        <w:t>What Does Eve Do to Help? And Other Readerly Questions to the Old Testament</w:t>
      </w:r>
      <w:r>
        <w:t xml:space="preserve"> (Sheffield: JSOT Press, 1990), pp. 25–48 (p. 31).</w:t>
      </w:r>
    </w:p>
    <w:p w14:paraId="172516A0" w14:textId="77777777" w:rsidR="00962EA5" w:rsidRDefault="004B5561">
      <w:pPr>
        <w:spacing w:after="120" w:line="276" w:lineRule="auto"/>
        <w:ind w:left="576" w:hanging="576"/>
      </w:pPr>
      <w:r>
        <w:t xml:space="preserve">24. Wenham, </w:t>
      </w:r>
      <w:r>
        <w:rPr>
          <w:i/>
          <w:iCs/>
        </w:rPr>
        <w:t>Genesis 1–15</w:t>
      </w:r>
      <w:r>
        <w:t>, p. 68.</w:t>
      </w:r>
    </w:p>
    <w:p w14:paraId="04E1BA24" w14:textId="77777777" w:rsidR="00962EA5" w:rsidRDefault="004B5561">
      <w:pPr>
        <w:pStyle w:val="Heading1"/>
        <w:spacing w:before="400" w:after="200"/>
      </w:pPr>
      <w:r>
        <w:t>Bibliography</w:t>
      </w:r>
    </w:p>
    <w:p w14:paraId="62AEAB87" w14:textId="77777777" w:rsidR="00962EA5" w:rsidRDefault="004B5561">
      <w:pPr>
        <w:spacing w:after="160" w:line="276" w:lineRule="auto"/>
        <w:ind w:left="720" w:hanging="720"/>
      </w:pPr>
      <w:r>
        <w:rPr>
          <w:i/>
          <w:iCs/>
        </w:rPr>
        <w:t>The Holy Bible: New Revised Standard Version</w:t>
      </w:r>
      <w:r>
        <w:t xml:space="preserve"> (New York: Division of Christian Education of the National Council of Churches of Christ, 1989)</w:t>
      </w:r>
    </w:p>
    <w:p w14:paraId="61F73993" w14:textId="77777777" w:rsidR="00962EA5" w:rsidRDefault="004B5561">
      <w:pPr>
        <w:spacing w:after="160" w:line="276" w:lineRule="auto"/>
        <w:ind w:left="720" w:hanging="720"/>
      </w:pPr>
      <w:r>
        <w:lastRenderedPageBreak/>
        <w:t xml:space="preserve">Brueggemann, Walter, </w:t>
      </w:r>
      <w:r>
        <w:rPr>
          <w:i/>
          <w:iCs/>
        </w:rPr>
        <w:t>Genesis</w:t>
      </w:r>
      <w:r>
        <w:t xml:space="preserve"> (Atlanta: John Knox Press, 1982)</w:t>
      </w:r>
    </w:p>
    <w:p w14:paraId="6468ACF1" w14:textId="77777777" w:rsidR="00962EA5" w:rsidRDefault="004B5561">
      <w:pPr>
        <w:spacing w:after="160" w:line="276" w:lineRule="auto"/>
        <w:ind w:left="720" w:hanging="720"/>
      </w:pPr>
      <w:r>
        <w:t xml:space="preserve">Clines, David J. A., ‘What Does Eve Do to Help? And Other Irredeemably Androcentric Orientations in Genesis 1–3’, in </w:t>
      </w:r>
      <w:r>
        <w:rPr>
          <w:i/>
          <w:iCs/>
        </w:rPr>
        <w:t>What Does Eve Do to Help? And Other Readerly Questions to the Old Testament</w:t>
      </w:r>
      <w:r>
        <w:t xml:space="preserve"> (Sheffield: JSOT Press, 1990), pp. 25–48</w:t>
      </w:r>
    </w:p>
    <w:p w14:paraId="1EBF9303" w14:textId="77777777" w:rsidR="00962EA5" w:rsidRDefault="004B5561">
      <w:pPr>
        <w:spacing w:after="160" w:line="276" w:lineRule="auto"/>
        <w:ind w:left="720" w:hanging="720"/>
      </w:pPr>
      <w:r>
        <w:t xml:space="preserve">Gunkel, Hermann, </w:t>
      </w:r>
      <w:r>
        <w:rPr>
          <w:i/>
          <w:iCs/>
        </w:rPr>
        <w:t>Genesis</w:t>
      </w:r>
      <w:r>
        <w:t>, trans. by Mark E. Biddle (Macon, GA: Mercer University Press, 1997)</w:t>
      </w:r>
    </w:p>
    <w:p w14:paraId="36779E6D" w14:textId="77777777" w:rsidR="00962EA5" w:rsidRDefault="004B5561">
      <w:pPr>
        <w:spacing w:after="160" w:line="276" w:lineRule="auto"/>
        <w:ind w:left="720" w:hanging="720"/>
      </w:pPr>
      <w:r>
        <w:t xml:space="preserve">Lanser, Susan, ‘(Feminist) Criticism in the Garden: Inferring Genesis 2–3’, </w:t>
      </w:r>
      <w:r>
        <w:rPr>
          <w:i/>
          <w:iCs/>
        </w:rPr>
        <w:t>Semeia</w:t>
      </w:r>
      <w:r>
        <w:t>, 41 (1988), 67–84</w:t>
      </w:r>
    </w:p>
    <w:p w14:paraId="26058840" w14:textId="77777777" w:rsidR="00962EA5" w:rsidRDefault="004B5561">
      <w:pPr>
        <w:spacing w:after="160" w:line="276" w:lineRule="auto"/>
        <w:ind w:left="720" w:hanging="720"/>
      </w:pPr>
      <w:r>
        <w:t xml:space="preserve">Milne, Pamela J., ‘The Patriarchal Stamp of Scripture: The Implications of Structural Analyses for Feminist Hermeneutics’, </w:t>
      </w:r>
      <w:r>
        <w:rPr>
          <w:i/>
          <w:iCs/>
        </w:rPr>
        <w:t>Journal of Feminist Studies in Religion</w:t>
      </w:r>
      <w:r>
        <w:t>, 5.1 (1989), 17–34</w:t>
      </w:r>
    </w:p>
    <w:p w14:paraId="3D48D21F" w14:textId="77777777" w:rsidR="00962EA5" w:rsidRDefault="004B5561">
      <w:pPr>
        <w:spacing w:after="160" w:line="276" w:lineRule="auto"/>
        <w:ind w:left="720" w:hanging="720"/>
      </w:pPr>
      <w:r>
        <w:t xml:space="preserve">Trible, Phyllis, </w:t>
      </w:r>
      <w:r>
        <w:rPr>
          <w:i/>
          <w:iCs/>
        </w:rPr>
        <w:t>God and the Rhetoric of Sexuality</w:t>
      </w:r>
      <w:r>
        <w:t xml:space="preserve"> (Philadelphia: Fortress Press, 1978)</w:t>
      </w:r>
    </w:p>
    <w:p w14:paraId="2DB1C50E" w14:textId="77777777" w:rsidR="00962EA5" w:rsidRDefault="004B5561">
      <w:pPr>
        <w:spacing w:after="160" w:line="276" w:lineRule="auto"/>
        <w:ind w:left="720" w:hanging="720"/>
      </w:pPr>
      <w:r>
        <w:t xml:space="preserve">Von Rad, Gerhard, </w:t>
      </w:r>
      <w:r>
        <w:rPr>
          <w:i/>
          <w:iCs/>
        </w:rPr>
        <w:t>Genesis: A Commentary</w:t>
      </w:r>
      <w:r>
        <w:t xml:space="preserve">, rev. </w:t>
      </w:r>
      <w:proofErr w:type="spellStart"/>
      <w:r>
        <w:t>edn</w:t>
      </w:r>
      <w:proofErr w:type="spellEnd"/>
      <w:r>
        <w:t xml:space="preserve"> (London: SCM Press, 1972)</w:t>
      </w:r>
    </w:p>
    <w:p w14:paraId="17E1831B" w14:textId="77777777" w:rsidR="00962EA5" w:rsidRDefault="004B5561">
      <w:pPr>
        <w:spacing w:after="160" w:line="276" w:lineRule="auto"/>
        <w:ind w:left="720" w:hanging="720"/>
      </w:pPr>
      <w:r>
        <w:t xml:space="preserve">Wellhausen, Julius, </w:t>
      </w:r>
      <w:r>
        <w:rPr>
          <w:i/>
          <w:iCs/>
        </w:rPr>
        <w:t>Prolegomena to the History of Israel</w:t>
      </w:r>
      <w:r>
        <w:t>, trans. by J. Sutherland Black and Allan Menzies (Edinburgh: Adam and Charles Black, 1885)</w:t>
      </w:r>
    </w:p>
    <w:p w14:paraId="416F4E31" w14:textId="77777777" w:rsidR="00962EA5" w:rsidRDefault="004B5561">
      <w:pPr>
        <w:spacing w:after="160" w:line="276" w:lineRule="auto"/>
        <w:ind w:left="720" w:hanging="720"/>
      </w:pPr>
      <w:r>
        <w:t xml:space="preserve">Wenham, Gordon J., </w:t>
      </w:r>
      <w:r>
        <w:rPr>
          <w:i/>
          <w:iCs/>
        </w:rPr>
        <w:t>Genesis 1–15</w:t>
      </w:r>
      <w:r>
        <w:t>, Word Biblical Commentary, 1 (Waco, TX: Word Books, 1987)</w:t>
      </w:r>
    </w:p>
    <w:p w14:paraId="66178E28" w14:textId="77777777" w:rsidR="00962EA5" w:rsidRDefault="004B5561">
      <w:pPr>
        <w:spacing w:after="160" w:line="276" w:lineRule="auto"/>
        <w:ind w:left="720" w:hanging="720"/>
      </w:pPr>
      <w:r>
        <w:t xml:space="preserve">Westermann, Claus, </w:t>
      </w:r>
      <w:r>
        <w:rPr>
          <w:i/>
          <w:iCs/>
        </w:rPr>
        <w:t>Genesis 1–11: A Continental Commentary</w:t>
      </w:r>
      <w:r>
        <w:t>, trans. by John J. Scullion (Minneapolis: Fortress Press, 1994)</w:t>
      </w:r>
    </w:p>
    <w:sectPr w:rsidR="00962EA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6CAE0" w14:textId="77777777" w:rsidR="004B5561" w:rsidRDefault="004B5561" w:rsidP="0085786A">
      <w:r>
        <w:separator/>
      </w:r>
    </w:p>
  </w:endnote>
  <w:endnote w:type="continuationSeparator" w:id="0">
    <w:p w14:paraId="1C5631D3" w14:textId="77777777" w:rsidR="004B5561" w:rsidRDefault="004B5561" w:rsidP="0085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9818D" w14:textId="77777777" w:rsidR="004B5561" w:rsidRDefault="004B5561" w:rsidP="0085786A">
      <w:r>
        <w:separator/>
      </w:r>
    </w:p>
  </w:footnote>
  <w:footnote w:type="continuationSeparator" w:id="0">
    <w:p w14:paraId="38014AF5" w14:textId="77777777" w:rsidR="004B5561" w:rsidRDefault="004B5561" w:rsidP="008578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C810CC"/>
    <w:multiLevelType w:val="hybridMultilevel"/>
    <w:tmpl w:val="A3AC6B34"/>
    <w:lvl w:ilvl="0" w:tplc="316ED8D4">
      <w:start w:val="1"/>
      <w:numFmt w:val="bullet"/>
      <w:lvlText w:val="●"/>
      <w:lvlJc w:val="left"/>
      <w:pPr>
        <w:ind w:left="720" w:hanging="360"/>
      </w:pPr>
    </w:lvl>
    <w:lvl w:ilvl="1" w:tplc="CEA8A208">
      <w:start w:val="1"/>
      <w:numFmt w:val="bullet"/>
      <w:lvlText w:val="○"/>
      <w:lvlJc w:val="left"/>
      <w:pPr>
        <w:ind w:left="1440" w:hanging="360"/>
      </w:pPr>
    </w:lvl>
    <w:lvl w:ilvl="2" w:tplc="8766E13E">
      <w:start w:val="1"/>
      <w:numFmt w:val="bullet"/>
      <w:lvlText w:val="■"/>
      <w:lvlJc w:val="left"/>
      <w:pPr>
        <w:ind w:left="2160" w:hanging="360"/>
      </w:pPr>
    </w:lvl>
    <w:lvl w:ilvl="3" w:tplc="83E0B3D6">
      <w:start w:val="1"/>
      <w:numFmt w:val="bullet"/>
      <w:lvlText w:val="●"/>
      <w:lvlJc w:val="left"/>
      <w:pPr>
        <w:ind w:left="2880" w:hanging="360"/>
      </w:pPr>
    </w:lvl>
    <w:lvl w:ilvl="4" w:tplc="953E05B0">
      <w:start w:val="1"/>
      <w:numFmt w:val="bullet"/>
      <w:lvlText w:val="○"/>
      <w:lvlJc w:val="left"/>
      <w:pPr>
        <w:ind w:left="3600" w:hanging="360"/>
      </w:pPr>
    </w:lvl>
    <w:lvl w:ilvl="5" w:tplc="90B29C74">
      <w:start w:val="1"/>
      <w:numFmt w:val="bullet"/>
      <w:lvlText w:val="■"/>
      <w:lvlJc w:val="left"/>
      <w:pPr>
        <w:ind w:left="4320" w:hanging="360"/>
      </w:pPr>
    </w:lvl>
    <w:lvl w:ilvl="6" w:tplc="98E0752C">
      <w:start w:val="1"/>
      <w:numFmt w:val="bullet"/>
      <w:lvlText w:val="●"/>
      <w:lvlJc w:val="left"/>
      <w:pPr>
        <w:ind w:left="5040" w:hanging="360"/>
      </w:pPr>
    </w:lvl>
    <w:lvl w:ilvl="7" w:tplc="760E52EA">
      <w:start w:val="1"/>
      <w:numFmt w:val="bullet"/>
      <w:lvlText w:val="●"/>
      <w:lvlJc w:val="left"/>
      <w:pPr>
        <w:ind w:left="5760" w:hanging="360"/>
      </w:pPr>
    </w:lvl>
    <w:lvl w:ilvl="8" w:tplc="376ED6D2">
      <w:start w:val="1"/>
      <w:numFmt w:val="bullet"/>
      <w:lvlText w:val="●"/>
      <w:lvlJc w:val="left"/>
      <w:pPr>
        <w:ind w:left="6480" w:hanging="360"/>
      </w:pPr>
    </w:lvl>
  </w:abstractNum>
  <w:num w:numId="1" w16cid:durableId="70321004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EA5"/>
    <w:rsid w:val="000F0B16"/>
    <w:rsid w:val="00246B2F"/>
    <w:rsid w:val="00285B32"/>
    <w:rsid w:val="002C269D"/>
    <w:rsid w:val="004B5561"/>
    <w:rsid w:val="0085786A"/>
    <w:rsid w:val="008E652D"/>
    <w:rsid w:val="009047FF"/>
    <w:rsid w:val="00962EA5"/>
    <w:rsid w:val="009C4D0A"/>
    <w:rsid w:val="00A47C92"/>
    <w:rsid w:val="00A67E56"/>
    <w:rsid w:val="00CD7B64"/>
    <w:rsid w:val="00E71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6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28"/>
      <w:szCs w:val="28"/>
    </w:rPr>
  </w:style>
  <w:style w:type="paragraph" w:styleId="Heading2">
    <w:name w:val="heading 2"/>
    <w:uiPriority w:val="9"/>
    <w:unhideWhenUsed/>
    <w:qFormat/>
    <w:pPr>
      <w:outlineLvl w:val="1"/>
    </w:pPr>
    <w:rPr>
      <w:b/>
      <w:bCs/>
      <w:i/>
      <w:i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2C269D"/>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2C269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C269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BookTitle">
    <w:name w:val="Book Title"/>
    <w:basedOn w:val="DefaultParagraphFont"/>
    <w:uiPriority w:val="33"/>
    <w:qFormat/>
    <w:rsid w:val="002C269D"/>
    <w:rPr>
      <w:b/>
      <w:bCs/>
      <w:i/>
      <w:iCs/>
      <w:spacing w:val="5"/>
    </w:rPr>
  </w:style>
  <w:style w:type="paragraph" w:styleId="Caption">
    <w:name w:val="caption"/>
    <w:basedOn w:val="Normal"/>
    <w:next w:val="Normal"/>
    <w:uiPriority w:val="35"/>
    <w:semiHidden/>
    <w:unhideWhenUsed/>
    <w:qFormat/>
    <w:rsid w:val="002C269D"/>
    <w:pPr>
      <w:spacing w:after="200"/>
    </w:pPr>
    <w:rPr>
      <w:i/>
      <w:iCs/>
      <w:color w:val="0E2841" w:themeColor="text2"/>
      <w:sz w:val="18"/>
      <w:szCs w:val="18"/>
    </w:rPr>
  </w:style>
  <w:style w:type="character" w:styleId="Emphasis">
    <w:name w:val="Emphasis"/>
    <w:basedOn w:val="DefaultParagraphFont"/>
    <w:uiPriority w:val="20"/>
    <w:qFormat/>
    <w:rsid w:val="002C269D"/>
    <w:rPr>
      <w:i/>
      <w:iCs/>
    </w:rPr>
  </w:style>
  <w:style w:type="character" w:customStyle="1" w:styleId="Heading7Char">
    <w:name w:val="Heading 7 Char"/>
    <w:basedOn w:val="DefaultParagraphFont"/>
    <w:link w:val="Heading7"/>
    <w:uiPriority w:val="9"/>
    <w:semiHidden/>
    <w:rsid w:val="002C269D"/>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2C26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C269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2C269D"/>
    <w:rPr>
      <w:i/>
      <w:iCs/>
      <w:color w:val="156082" w:themeColor="accent1"/>
    </w:rPr>
  </w:style>
  <w:style w:type="paragraph" w:styleId="IntenseQuote">
    <w:name w:val="Intense Quote"/>
    <w:basedOn w:val="Normal"/>
    <w:next w:val="Normal"/>
    <w:link w:val="IntenseQuoteChar"/>
    <w:uiPriority w:val="30"/>
    <w:qFormat/>
    <w:rsid w:val="002C269D"/>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2C269D"/>
    <w:rPr>
      <w:i/>
      <w:iCs/>
      <w:color w:val="156082" w:themeColor="accent1"/>
    </w:rPr>
  </w:style>
  <w:style w:type="character" w:styleId="IntenseReference">
    <w:name w:val="Intense Reference"/>
    <w:basedOn w:val="DefaultParagraphFont"/>
    <w:uiPriority w:val="32"/>
    <w:qFormat/>
    <w:rsid w:val="002C269D"/>
    <w:rPr>
      <w:b/>
      <w:bCs/>
      <w:smallCaps/>
      <w:color w:val="156082" w:themeColor="accent1"/>
      <w:spacing w:val="5"/>
    </w:rPr>
  </w:style>
  <w:style w:type="paragraph" w:styleId="NoSpacing">
    <w:name w:val="No Spacing"/>
    <w:uiPriority w:val="1"/>
    <w:qFormat/>
    <w:rsid w:val="002C269D"/>
  </w:style>
  <w:style w:type="paragraph" w:styleId="Quote">
    <w:name w:val="Quote"/>
    <w:basedOn w:val="Normal"/>
    <w:next w:val="Normal"/>
    <w:link w:val="QuoteChar"/>
    <w:uiPriority w:val="29"/>
    <w:qFormat/>
    <w:rsid w:val="002C269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269D"/>
    <w:rPr>
      <w:i/>
      <w:iCs/>
      <w:color w:val="404040" w:themeColor="text1" w:themeTint="BF"/>
    </w:rPr>
  </w:style>
  <w:style w:type="character" w:styleId="Strong">
    <w:name w:val="Strong"/>
    <w:basedOn w:val="DefaultParagraphFont"/>
    <w:uiPriority w:val="22"/>
    <w:qFormat/>
    <w:rsid w:val="002C269D"/>
    <w:rPr>
      <w:b/>
      <w:bCs/>
    </w:rPr>
  </w:style>
  <w:style w:type="paragraph" w:styleId="Subtitle">
    <w:name w:val="Subtitle"/>
    <w:basedOn w:val="Normal"/>
    <w:next w:val="Normal"/>
    <w:link w:val="SubtitleChar"/>
    <w:uiPriority w:val="11"/>
    <w:qFormat/>
    <w:rsid w:val="002C26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C269D"/>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2C269D"/>
    <w:rPr>
      <w:i/>
      <w:iCs/>
      <w:color w:val="404040" w:themeColor="text1" w:themeTint="BF"/>
    </w:rPr>
  </w:style>
  <w:style w:type="character" w:styleId="SubtleReference">
    <w:name w:val="Subtle Reference"/>
    <w:basedOn w:val="DefaultParagraphFont"/>
    <w:uiPriority w:val="31"/>
    <w:qFormat/>
    <w:rsid w:val="002C269D"/>
    <w:rPr>
      <w:smallCaps/>
      <w:color w:val="5A5A5A" w:themeColor="text1" w:themeTint="A5"/>
    </w:rPr>
  </w:style>
  <w:style w:type="paragraph" w:styleId="TOCHeading">
    <w:name w:val="TOC Heading"/>
    <w:basedOn w:val="Heading1"/>
    <w:next w:val="Normal"/>
    <w:uiPriority w:val="39"/>
    <w:semiHidden/>
    <w:unhideWhenUsed/>
    <w:qFormat/>
    <w:rsid w:val="002C269D"/>
    <w:pPr>
      <w:keepNext/>
      <w:keepLines/>
      <w:spacing w:before="240"/>
      <w:outlineLvl w:val="9"/>
    </w:pPr>
    <w:rPr>
      <w:rFonts w:asciiTheme="majorHAnsi" w:eastAsiaTheme="majorEastAsia" w:hAnsiTheme="majorHAnsi" w:cstheme="majorBidi"/>
      <w:b w:val="0"/>
      <w:bCs w:val="0"/>
      <w:color w:val="0F4761" w:themeColor="accent1" w:themeShade="BF"/>
      <w:sz w:val="32"/>
      <w:szCs w:val="32"/>
    </w:rPr>
  </w:style>
  <w:style w:type="paragraph" w:styleId="Header">
    <w:name w:val="header"/>
    <w:basedOn w:val="Normal"/>
    <w:link w:val="HeaderChar"/>
    <w:uiPriority w:val="99"/>
    <w:unhideWhenUsed/>
    <w:rsid w:val="0085786A"/>
    <w:pPr>
      <w:tabs>
        <w:tab w:val="center" w:pos="4513"/>
        <w:tab w:val="right" w:pos="9026"/>
      </w:tabs>
    </w:pPr>
  </w:style>
  <w:style w:type="character" w:customStyle="1" w:styleId="HeaderChar">
    <w:name w:val="Header Char"/>
    <w:basedOn w:val="DefaultParagraphFont"/>
    <w:link w:val="Header"/>
    <w:uiPriority w:val="99"/>
    <w:rsid w:val="0085786A"/>
  </w:style>
  <w:style w:type="paragraph" w:styleId="Footer">
    <w:name w:val="footer"/>
    <w:basedOn w:val="Normal"/>
    <w:link w:val="FooterChar"/>
    <w:uiPriority w:val="99"/>
    <w:unhideWhenUsed/>
    <w:rsid w:val="0085786A"/>
    <w:pPr>
      <w:tabs>
        <w:tab w:val="center" w:pos="4513"/>
        <w:tab w:val="right" w:pos="9026"/>
      </w:tabs>
    </w:pPr>
  </w:style>
  <w:style w:type="character" w:customStyle="1" w:styleId="FooterChar">
    <w:name w:val="Footer Char"/>
    <w:basedOn w:val="DefaultParagraphFont"/>
    <w:link w:val="Footer"/>
    <w:uiPriority w:val="99"/>
    <w:rsid w:val="00857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2692</Words>
  <Characters>15347</Characters>
  <Application>Microsoft Office Word</Application>
  <DocSecurity>0</DocSecurity>
  <Lines>127</Lines>
  <Paragraphs>36</Paragraphs>
  <ScaleCrop>false</ScaleCrop>
  <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2026-08-19T17:41:00Z</dcterms:created>
  <dcterms:modified xsi:type="dcterms:W3CDTF">2026-08-19T17:41:00Z</dcterms:modified>
</cp:coreProperties>
</file>