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7F4D25" w14:textId="04C4F19B" w:rsidR="007638C9" w:rsidRPr="00075B24" w:rsidRDefault="000B561A">
      <w:pPr>
        <w:rPr>
          <w:b/>
          <w:lang w:val="cy-GB"/>
        </w:rPr>
      </w:pPr>
      <w:bookmarkStart w:id="0" w:name="_GoBack"/>
      <w:bookmarkEnd w:id="0"/>
      <w:r w:rsidRPr="00075B24">
        <w:rPr>
          <w:b/>
          <w:lang w:val="cy-GB"/>
        </w:rPr>
        <w:t>Trafodwch bwysigrwydd ac effeithiolrwydd datblygu Asesu ar gyfer Dysgu ar draws yr ysgol gynradd, gan gynnwys dadansoddiad beirniadol o weithrediad personol  strategaeth Sgiliau un strategaeth asesu ar gyfer dysgu ar Brofiad Dysgu Proffesiynol.</w:t>
      </w:r>
      <w:r w:rsidR="000D61B1" w:rsidRPr="00075B24">
        <w:rPr>
          <w:b/>
          <w:lang w:val="cy-GB"/>
        </w:rPr>
        <w:t xml:space="preserve"> </w:t>
      </w:r>
    </w:p>
    <w:p w14:paraId="290F2036" w14:textId="6CD406FA" w:rsidR="000B561A" w:rsidRPr="00075B24" w:rsidRDefault="000B561A">
      <w:pPr>
        <w:rPr>
          <w:lang w:val="cy-GB"/>
        </w:rPr>
      </w:pPr>
    </w:p>
    <w:p w14:paraId="1D1C967D" w14:textId="0615A107" w:rsidR="00E4614C" w:rsidRPr="00075B24" w:rsidRDefault="00CC5FA2">
      <w:pPr>
        <w:rPr>
          <w:lang w:val="cy-GB"/>
        </w:rPr>
      </w:pPr>
      <w:r>
        <w:rPr>
          <w:rFonts w:ascii="Calibri" w:hAnsi="Calibri" w:cs="Calibri"/>
          <w:lang w:val="cy-GB"/>
        </w:rPr>
        <w:t>Ydy asesu yn rhywbeth newydd? Onid yw asesu ar hyd yr amser wedi bod yn un o brif ddyletswyddau a disgwyliadau athro? Heb os, dyna fyddai ymateb cyntaf unrhyw berson lleyg. Felly beth sydd wedi newid?</w:t>
      </w:r>
    </w:p>
    <w:p w14:paraId="6C7DA341" w14:textId="77777777" w:rsidR="00E4614C" w:rsidRPr="00075B24" w:rsidRDefault="00E4614C">
      <w:pPr>
        <w:rPr>
          <w:lang w:val="cy-GB"/>
        </w:rPr>
      </w:pPr>
    </w:p>
    <w:p w14:paraId="52A46255" w14:textId="0DC27EE9" w:rsidR="000B561A" w:rsidRPr="00075B24" w:rsidRDefault="00CC5FA2">
      <w:pPr>
        <w:rPr>
          <w:lang w:val="cy-GB"/>
        </w:rPr>
      </w:pPr>
      <w:r>
        <w:rPr>
          <w:rFonts w:ascii="Calibri" w:hAnsi="Calibri" w:cs="Calibri"/>
          <w:lang w:val="cy-GB"/>
        </w:rPr>
        <w:t>Gellir ystyried asesu ar gyfer dysgu fel un o’r strategaethau mwyaf pwerus sydd gan athrawon i ddeall yn well sut mae disgyblion yn ymateb i’w gwersi. Ers iddo gael ei gyflwyno i’r byd addysg o ganlyniad i ymchwil Paul Black a Dylan William (1998a, 1998b) o Brifysgol King’s, Llundain, yn 1998, mae elfennau gwahanol o asesu ar gyfer dysgu wedi datblygu i fod yn un o’r prif agweddau sydd angen ei ystyried wrth gynllunio. Gan amlaf, ystyrir asesu ar gyfer dysgu fel enghraifft o asesu ffurfiannol sy’n gallu cael ei ddefnyddio fel techneg tymor byr i ddeall yn well neu fesur cynnydd a dealltwriaeth disgyblion. “Mae asesu ar gyfer dysgu yn ymwneud ag ystyried lle mae disgybl arni o ran ei gyrhaeddiad a beth sydd angen iddo’i wneud i wella’i waith.” (Clarke, 2005). Gan ei fod yn dechneg asesu ffurfiannol sy’n cael ei defnyddio gan athrawon i fonitro hyfedredd disgyblion, sydd wedyn yn gallu cael ei ddefnyddio i fonitro eu cynnydd, gall technegau gwahanol o asesu ar gyfer dysgu gael eu defnyddio i roi adborth parhaus yn syth yn ôl i’r dysgwyr. Mae asesu ar gyfer dysgu hefyd yn medru cyfiawnhau dysgu wrth roi gwell ddeallusrwydd i ddisgyblion am yr hyn sydd angen iddynt wneud i wella’u sgiliau ym mha bynnag maes dysgu sydd o dan ystyriaeth. Hefyd, mae gwahanol strategaethau o asesu ar gyfer dysgu yn rhoi amrywiaeth eang o gyfleoedd i athrawon gadw gwyliadwriaeth dros safon gwaith disgyblion heb roi gormod o bwysau a straen arnynt, sydd weithiau’n un o ganlyniadau diangen asesu crynodol. Mae’r mwyafrif o strategaethau asesu ar gyfer dysgu yn dibynnu ar y berthynas rhwng disgyblion ac athrawon o fewn dosbarthiadau gan roi mwy o bwyslais ar gyfrifoldebau athrawon o fewn y broses o addysgu. Er hyn, gellir dadlau bod asesu ar gyfer dysgu yn rhoi mwy o rôl i’r disgyblion fel dysgwyr wrth eu hysgogi i gymryd rhan yn eu hasesu eu hun.</w:t>
      </w:r>
    </w:p>
    <w:p w14:paraId="55C65D49" w14:textId="35F598AE" w:rsidR="00152918" w:rsidRPr="00075B24" w:rsidRDefault="00152918">
      <w:pPr>
        <w:rPr>
          <w:lang w:val="cy-GB"/>
        </w:rPr>
      </w:pPr>
    </w:p>
    <w:p w14:paraId="29EF18EA" w14:textId="50E7F985" w:rsidR="00152918" w:rsidRPr="00075B24" w:rsidRDefault="00CC5FA2">
      <w:pPr>
        <w:rPr>
          <w:lang w:val="cy-GB"/>
        </w:rPr>
      </w:pPr>
      <w:r>
        <w:rPr>
          <w:rFonts w:ascii="Calibri" w:hAnsi="Calibri" w:cs="Calibri"/>
          <w:lang w:val="cy-GB"/>
        </w:rPr>
        <w:t>Mae asesu ar gyfer dysgu yn aml yn cael ei rannu’n dri chyfnod datblygiadol: y cam cychwynnol, y cam cyfuno a’r cam ymgorffori. (CCEA, 2009). Yn ystod y cam cychwynnol, mae gofyn i’r disgyblion, yn enwedig y rhai sy’n anghyfarwydd â strategaethau asesu ar gyfer dysgu, roi cynnig i’r gweithgareddau. Yna, ar ôl iddynt ddechrau dod yn gyfarwydd â’r strategaeth, bydd y cam cyfuno yn eu hannog i ddeall rhesymeg y dechneg a sut i’w defnyddio er mwyn gwella safon eu gwaith. Y cyfnod olaf, sef y cam ymgorffori, yw’r cyfnod wedi i’r disgyblion ddod yn gyfarwydd gyda’r strategaeth AagD ac yn ei dderbyn fel rhan arferol o’u gwersi a’r drefn o fewn y dosbarth. Wrth ddatblygu disgyblion ar hyd y camau yma ar gyfer gwahanol elfennau, bydd y disgyblion yn cael cyfleoedd i ddod yn gyfarwydd â’r technegau ac y medru eu defnyddio er eu lles eu hunain o fewn gwersi. Ystyrir y broses fel modd “darganfod a dehongli tystiolaeth i’w defnyddio gan ddysgwyr a’u hathrawon i benderfynu lle mae’r dysgwyr yn eu haddysg, lle gallant wella a sut.” (ARG, 2002).</w:t>
      </w:r>
    </w:p>
    <w:p w14:paraId="28BCB5BF" w14:textId="6A9530A2" w:rsidR="00152918" w:rsidRPr="00075B24" w:rsidRDefault="00152918">
      <w:pPr>
        <w:rPr>
          <w:lang w:val="cy-GB"/>
        </w:rPr>
      </w:pPr>
    </w:p>
    <w:p w14:paraId="7877A54B" w14:textId="2C933B2E" w:rsidR="00152918" w:rsidRPr="00075B24" w:rsidRDefault="00CC5FA2">
      <w:pPr>
        <w:rPr>
          <w:lang w:val="cy-GB"/>
        </w:rPr>
      </w:pPr>
      <w:r>
        <w:rPr>
          <w:rFonts w:ascii="Calibri" w:hAnsi="Calibri" w:cs="Calibri"/>
          <w:lang w:val="cy-GB"/>
        </w:rPr>
        <w:t xml:space="preserve">Gall arferion asesu ar gyfer dysgu gael eu rhannu yn bedair elfen. Un o’r elfennau sydd yn cael ei defnyddio i hybu dysgu plant ydy rhannu nod y wers a’r meini prawf llwyddiant gyda’r disgyblion. Prif bwrpas yr elfen yma a’i dechnegau yw i sicrhau bod y disgyblion yn deall gofynion y wers a’u hannog i ganolbwyntio arnynt er mwyn eu cyflawni. Mae’r </w:t>
      </w:r>
      <w:r>
        <w:rPr>
          <w:rFonts w:ascii="Calibri" w:hAnsi="Calibri" w:cs="Calibri"/>
          <w:lang w:val="cy-GB"/>
        </w:rPr>
        <w:lastRenderedPageBreak/>
        <w:t>dechneg yma gan amlaf yn cael ei defnyddio yn ystod cyflwyniadau gwersi, yn gallu cael ei chyfeirio at yn ystod y wers ac fel modd o asesu’r hyn a gyflawnwyd ar ddiwedd y wers. Mae hefyd yn galluogi disgyblion i weithio yn fwy annibynnol wrth eu gwneud yn ymwybodol o’r hyn a ofynnwyd ohonynt yn ystod gwahanol weithgareddau a phrofiadau. Elfen arall yw cwestiynu er mwyn ymgorffori’r dysgu. Mae’r elfen yma yn dechneg dda i sicrhau dealltwriaeth disgyblion o fewn gwersi. Gall cwestiynu effeithiol helpu athrawon i ddeall pa ddisgyblion o fewn y dosbarth sy’n deall y gwaith a osodir iddynt ac felly’n gallu symud ymlaen â’r dasg a pha ddisgyblion sydd angen cymorth ychwanegol er mwyn sicrhau eu bod yn gallu parhau i weithio at gwblhau eu gweithgareddau. Mae cyfuno gwahanol strategaethau o gwestiynu, megis cwestiynu agored a chaedig, mewn gwahanol sefyllfaoedd hefyd yn medru rhoi gwell hyder i ddisgyblion tra hefyd atgyfnerthu eu gwybodaeth a’u dealltwriaeth o’r wers. Y drydedd elfen asesu ar gyfer dysgu ydy rhoi adborth ffurfiannol i’r disgyblion gan ganolbwyntio ar y camau nesaf y disgyblion er mwyn gwneud cynnydd. Wrth esbonio beth gall unrhyw ddisgybl wneud er mwyn gwella safon ei waith, mae disgyblion yn medru gwella gwaith ei hunain gan ganolbwyntio ar y sylwadau a roddir iddo/iddi. Hefyd, wrth i’r disgyblion ddod yn fwy cyfarwydd ag adborth ffurfiannol, ac wrth weithio drwy’r camau asesu ar gyfer dysgu, gallant ddatblygu i adnabod llwyddiannau a lleoedd i wella eu hunain, a byddai rôl yr athro hefyd yn datblygu i fod yn un sy’n rheoli ansawdd yr adborth yma. Yr elfen olaf o asesu ar gyfer dysgu yw hunan asesu ac asesu cyfoedion. Gan amlaf, bydd yr elfen yma yn cael ei chyflwyno i ddisgyblion wrth ofyn iddynt asesu eu gwaith yn erbyn nod a meini prawf llwyddiant y wers a nodi cyflawniad y rhain. Eto, wrth weithio ar hyd y cyfnodau, dylai’r disgyblion ddatblygu i roi adborth iddynt eu hunain a gosod gwahanol dargedau personol er mwyn gallu gwella safon eu gwaith.</w:t>
      </w:r>
    </w:p>
    <w:p w14:paraId="22EF62CD" w14:textId="54AE2199" w:rsidR="00860DB2" w:rsidRPr="00075B24" w:rsidRDefault="00860DB2">
      <w:pPr>
        <w:rPr>
          <w:lang w:val="cy-GB"/>
        </w:rPr>
      </w:pPr>
    </w:p>
    <w:p w14:paraId="374BBD3B" w14:textId="473CF4BD" w:rsidR="00860DB2" w:rsidRPr="00075B24" w:rsidRDefault="00CC5FA2">
      <w:pPr>
        <w:rPr>
          <w:lang w:val="cy-GB"/>
        </w:rPr>
      </w:pPr>
      <w:r>
        <w:rPr>
          <w:rFonts w:ascii="Calibri" w:hAnsi="Calibri" w:cs="Calibri"/>
          <w:lang w:val="cy-GB"/>
        </w:rPr>
        <w:t xml:space="preserve">Un o’r strategaethau asesu ar gyfer dysgu mwyaf adnabyddus sy’n cael ei ddefnyddio o fewn ysgolion ac yr un arbrofais arni yn ystod fy nghyfnod ymarfer dysgu ydy’r defnydd disgyblion o fyrddau gwyn personol er mwyn ateb cwestiynau. Gall y dechneg yma gael ei ystyried fel rhan o’r elfen cwestiynu er mwyn atgyfnerthu dysgu. Gan fod y strategaeth yma yn ddibynnol ar y defnydd o adnoddau, (ac roedd digon ohonynt yn y dosbarth) mae gofyn i’r disgyblion allu gweithredu mewn modd sy’n dangos parch i’r adnoddau dosbarth gan hefyd gadw trefn dros yr adnoddau sydd angen arnynt, sef y bwrdd gwyn, pen bwrdd gwyn ac unrhyw wrthrych i lanhau’r bwrdd. Wrth gyflwyno’r strategaeth i’r disgyblion, roedd rhaid i’w hatgoffa i roi eu hatebion ar y bwrdd gwyn yn hytrach nag ar lafar. Roedd hefyd angen iddynt ddeall bod angen ysgrifennu eu hatebion yn glir ar eu byrddau fel bod eraill yn gallu darllen eu hatebion. Yn ogystal â’r defnydd o fyrddau gwyn, mae’r strategaeth yn cyfuno agweddau eraill sy’n cwympo o fewn yr elfen megis y strategaeth o beidio a chodi dwylo i ateb cwestiynau. Mae hyn yn ei olygu bod angen i bawb yn y dosbarth feddwl am ateb gan ni allant ddibynnu ar eraill o fewn y dosbarth i ateb y cwestiynau yn eu lle. Roedd y dechneg yma hefyd yn gallu rhoi cyfleoedd i ddisgyblion ateb cwestiynau heb y pwysau o roi ateb anghywir o flaen gweddill y dosbarth sydd weithiau yn gallu fod yn brofiad dor-galonus i nifer o blant. Hefyd, mae’r strategaeth yn rhoi mwy o amser i’r disgyblion feddwl am eu hatebion gan fod gofyn iddynt ysgrifennu eu hatebion ar y byrddau gwyn. Rhaid hefyd ystyried sut mae hwn yn lleihau’r pwysau sydd weithiau’n cael ei roi ar ddisgyblion wrth aros iddynt ateb y cwestiwn a osodir iddynt. Effaith y dechneg yma, ac yn fy marn i lwyddiant y dechneg, yw gadael i’r disgyblion wneud defnydd a datblygu eu sgiliau meddwl wrth iddynt geisio cofio gwybodaeth sy’n berthnasol i’r cwestiwn neu wrth ddatrys unrhyw broblemau sy’n eu hwynebu. “Wrth i athrawon rhoi mwy o amser i’r disgyblion, byddant yn </w:t>
      </w:r>
      <w:r>
        <w:rPr>
          <w:rFonts w:ascii="Calibri" w:hAnsi="Calibri" w:cs="Calibri"/>
          <w:lang w:val="cy-GB"/>
        </w:rPr>
        <w:lastRenderedPageBreak/>
        <w:t>gallu cynnwys cyfran uwch o’r dosbarth, derbyn atebion o safon uwch a gallai’r disgyblion feddwl am well gwestiynau neu esboniadau sy’n tarddu o’u hatebion.” (Rowe, 1972).</w:t>
      </w:r>
    </w:p>
    <w:p w14:paraId="61534638" w14:textId="52B9AB0F" w:rsidR="00063A1F" w:rsidRPr="00075B24" w:rsidRDefault="00063A1F">
      <w:pPr>
        <w:rPr>
          <w:lang w:val="cy-GB"/>
        </w:rPr>
      </w:pPr>
    </w:p>
    <w:p w14:paraId="37E43AB0" w14:textId="49AC3C6A" w:rsidR="00063A1F" w:rsidRPr="00075B24" w:rsidRDefault="00063A1F">
      <w:pPr>
        <w:rPr>
          <w:lang w:val="cy-GB"/>
        </w:rPr>
      </w:pPr>
    </w:p>
    <w:p w14:paraId="6F969D79" w14:textId="69B4D83B" w:rsidR="00063A1F" w:rsidRPr="00075B24" w:rsidRDefault="00CC5FA2">
      <w:pPr>
        <w:rPr>
          <w:lang w:val="cy-GB"/>
        </w:rPr>
      </w:pPr>
      <w:r>
        <w:rPr>
          <w:rFonts w:ascii="Calibri" w:hAnsi="Calibri" w:cs="Calibri"/>
          <w:lang w:val="cy-GB"/>
        </w:rPr>
        <w:t>Wrth ddatblygu’r strategaeth yma o fewn yr ysgol, gellir cynnwys amrywiaeth o dechnegau a strategaethau ychwanegol er mwyn hybu’r dysgu ymhellach. Yn gyntaf, gellir cyfuno’r strategaeth gyda rhai eraill sydd yn barod yn cael eu defnyddio o fewn yr ysgol gynradd. Gellir annog y plant i weithio mewn parau i ateb cwestiynau ac yna arddangos eu hatebion ar y bwrdd gwyn er mwyn derbyn adborth. Byddai’r cyfuniad yma yn rhoi cyfle i’r disgyblion weithio gydag eraill, rhannu adnoddau a rhannu eu gwybodaeth a’u dealltwriaeth o’r pwnc. Er mwyn sicrhau llwyddiant y dechneg yma, sef gweithio mewn parau, rhaid cael disgyblaeth gadarn. Fodd bynnag, gellir hefyd ystyried y dechneg yma fel datblygiad o’r strategaeth meddwl, paru a rhannu, sydd hefyd yn cael ei ddefnyddio’n aml gan ysgolion. Yn hytrach na rhannu ar lafar, byddai gofyn i’r disgyblion rhoi eu hatebion fel pâr ar eu bwrdd gwyn i’w arddangos i’r athro ac i weddill y dosbarth. Byddai defnyddio’r strategaeth mewn gwahanol ffyrdd ac mewn gwahanol sefyllfaoedd hefyd yn helpu’r disgyblion ddod yn gyfarwydd â defnyddio’r byrddau gwyn ac yn cyflymu’r gyfradd y gallant ddatblygu ar hyd y camau cychwynnol, cyfuno ac ymgorffori asesu ar gyfer dysgu. Yn ychwanegol, gallai unrhyw athro sy’n bwriadu defnyddio’r strategaeth byrddau gwyn o fewn gwersi, dylunio a gweithredu rheolau cadarn ar gyfer gweithgareddau sy’n gwneud defnydd o’r adnoddau, megis cadw’r byrddau yn lân a chanolbwyntio gan ond rhoi atebion ar y byrddau.</w:t>
      </w:r>
    </w:p>
    <w:p w14:paraId="193956C3" w14:textId="47C241EB" w:rsidR="000D61B1" w:rsidRPr="00075B24" w:rsidRDefault="000D61B1">
      <w:pPr>
        <w:rPr>
          <w:lang w:val="cy-GB"/>
        </w:rPr>
      </w:pPr>
    </w:p>
    <w:p w14:paraId="10489A43" w14:textId="732A832E" w:rsidR="00663C79" w:rsidRPr="00075B24" w:rsidRDefault="00CC5FA2">
      <w:pPr>
        <w:rPr>
          <w:rFonts w:ascii="Calibri" w:hAnsi="Calibri"/>
          <w:lang w:val="cy-GB"/>
        </w:rPr>
      </w:pPr>
      <w:r>
        <w:rPr>
          <w:rFonts w:ascii="Calibri" w:hAnsi="Calibri" w:cs="Calibri"/>
          <w:lang w:val="cy-GB"/>
        </w:rPr>
        <w:t>Mae’r strategaeth o ateb cwestiynau gan ddefnyddio byrddau gwyn yn cael ei ddefnyddio o fewn gwahanol ddosbarthiadau ac oedrannau. Serch hynny, gan nad ydy’r disgyblion yn y cyfnod sylfaen yn cyflawni gwaith fel dosbarth cyfan yn aml, nid oes gofyn i ddefnyddio’r strategaeth yn ddigon cyson i’w gynnwys fel techneg asesu ar gyfer dysgu parhaol. Er hyn, gallai’r dechneg gael ei ddefnyddio petai grŵp bach o ddisgyblion yn gwneud gwaith o fewn tasg ffocws sydd yn cael ei arwain gan oedolyn. Byddai’r achos yma yn fodd gymharol addas a diogel i gyflwyno’r strategaeth i’r disgyblion ym mlwyddyn un neu dau. Ar gyfer blwyddyn tri, byddai’r strategaeth yn gyntaf yn cael ei gyflwyno i’r disgyblion o fewn tasgau ffocws fel bod oedolyn yn gallu sicrhau bod y disgyblion yn defnyddio’r adnoddau mewn modd addas ac yn cyfleu eu hatebion mewn modd taclus. Wrth i’r disgyblion ddod yn gyfarwydd â’r strategaeth a gyda’r defnydd o adnoddau, gellir ei ddefnyddio o fewn cyflwyniad a/neu ddiweddglo’r wers er mwyn sicrhau dealltwriaeth y disgyblion o’r pwnc. Gan amlaf, byddai’r dechneg yn cael ei ddefnyddio, i ddechrau, o fewn gwersi mathemateg neu wers sydd ag agwedd o rifedd, ond wrth i’r disgyblion ddod yn fwy cyfarwydd â’r dechneg, gellir ei chynnwys mewn gwersi ar draws y meysydd dysgu. Wrth i’r disgyblion symud i flwyddyn pedwar, gellir ddechrau cyfuno’r strategaeth byrddau gwyn â strategaethau cwestiynnu ac asesu ar gyfer dysgu gwahanol. Gall y disgyblion rhoi atebion fel pâr neu grŵp gan ddefnyddio’r byrddau neu eu cynnwys o fewn amrywiaeth o wersi a sefyllfaoedd gwahanol i wneud gwaith cyfrifo neu i rannu syniadau a datrys problemau. Yna, wrth i’r disgyblion symud i flwyddyn pump a chwech, byddai disgwyl iddynt allu defnyddio’r byrddau gwyn mewn modd aeddfed a chyfrifol, a gallu ehangu ymhellach ar unrhyw atebion gan gynnwys esboniad o sut daethant i’r casgliad neu’r ateb yno. Byddai hefyd gofyn iddynt weithio yn fwy effeithiol tra yn cyflawni unrhyw weithgaredd grŵp sy’n gwneud defnydd o’r byrddau gwyn tra hefyd yn cofnodi’r atebion mewn modd mwy taclus na’r hyn a ddisgwylir ohonynt ynghynt yn yr ysgol. (de Schoolmeester, 2017).</w:t>
      </w:r>
    </w:p>
    <w:p w14:paraId="6DA2D7A1" w14:textId="1B372943" w:rsidR="00CC2ED5" w:rsidRPr="00075B24" w:rsidRDefault="00CC2ED5">
      <w:pPr>
        <w:rPr>
          <w:rFonts w:ascii="Calibri" w:hAnsi="Calibri"/>
          <w:lang w:val="cy-GB"/>
        </w:rPr>
      </w:pPr>
    </w:p>
    <w:p w14:paraId="2E36A6DD" w14:textId="6CCEBA8B" w:rsidR="00CC2ED5" w:rsidRPr="00075B24" w:rsidRDefault="00CC2ED5">
      <w:pPr>
        <w:rPr>
          <w:rFonts w:ascii="Calibri" w:hAnsi="Calibri"/>
          <w:lang w:val="cy-GB"/>
        </w:rPr>
      </w:pPr>
      <w:r w:rsidRPr="00075B24">
        <w:rPr>
          <w:rFonts w:ascii="Calibri" w:hAnsi="Calibri"/>
          <w:lang w:val="cy-GB"/>
        </w:rPr>
        <w:t>Wrth astudio a phrofi y pwnc asesu ar gyfer dysgu mewn manylder, mae’n amlwg fod camau breision wedi cael eu gwneud yn y maes yma. Nid bellach dyletswydd i gofnodi lefel neu gyrhaeddiad disgybl yn unig yn asesu.</w:t>
      </w:r>
      <w:r w:rsidR="00075B24" w:rsidRPr="00075B24">
        <w:rPr>
          <w:rFonts w:ascii="Calibri" w:hAnsi="Calibri"/>
          <w:lang w:val="cy-GB"/>
        </w:rPr>
        <w:t xml:space="preserve"> (Ninomiya, 2016).</w:t>
      </w:r>
      <w:r w:rsidRPr="00075B24">
        <w:rPr>
          <w:rFonts w:ascii="Calibri" w:hAnsi="Calibri"/>
          <w:lang w:val="cy-GB"/>
        </w:rPr>
        <w:t xml:space="preserve"> Yn ystod fy mhrofiad ar ymarfer dysgu gallaf dystio bod asesu ar gyfer dysgu yn strategaeth bwerus nid yn unig i nodi cyrhaeddiad disgybl ond hefyd yn arf i ymestyn cynnydd. Ond rhaid osgoi aros yn yr unfan. Byddai newid byrddau gwyn i iPad, er yn fuddsoddiad dra chostus, yn hanfodol yn yr oes newydd i ddatblygu sgiliau iaith, mathemateg a thechnoleg ein plant. (Donaldson, 2015). </w:t>
      </w:r>
    </w:p>
    <w:p w14:paraId="5EAB896F" w14:textId="75C43D7D" w:rsidR="00F70EFF" w:rsidRPr="00075B24" w:rsidRDefault="00F70EFF">
      <w:pPr>
        <w:rPr>
          <w:rFonts w:ascii="Calibri" w:hAnsi="Calibri"/>
          <w:lang w:val="cy-GB"/>
        </w:rPr>
      </w:pPr>
    </w:p>
    <w:p w14:paraId="0477E045" w14:textId="05E37449" w:rsidR="00F70EFF" w:rsidRPr="00075B24" w:rsidRDefault="00F70EFF">
      <w:pPr>
        <w:rPr>
          <w:rFonts w:ascii="Calibri" w:hAnsi="Calibri"/>
          <w:lang w:val="cy-GB"/>
        </w:rPr>
      </w:pPr>
    </w:p>
    <w:p w14:paraId="01F0D75C" w14:textId="0F8298CD" w:rsidR="00F70EFF" w:rsidRPr="00075B24" w:rsidRDefault="00F70EFF">
      <w:pPr>
        <w:rPr>
          <w:rFonts w:ascii="Calibri" w:hAnsi="Calibri"/>
          <w:lang w:val="cy-GB"/>
        </w:rPr>
      </w:pPr>
    </w:p>
    <w:p w14:paraId="202CA2AE" w14:textId="6B69AC26" w:rsidR="00F70EFF" w:rsidRPr="00075B24" w:rsidRDefault="00F70EFF">
      <w:pPr>
        <w:rPr>
          <w:rFonts w:ascii="Calibri" w:hAnsi="Calibri"/>
          <w:lang w:val="cy-GB"/>
        </w:rPr>
      </w:pPr>
    </w:p>
    <w:p w14:paraId="4FFE1DD2" w14:textId="62CAF068" w:rsidR="00F70EFF" w:rsidRPr="00075B24" w:rsidRDefault="00F70EFF">
      <w:pPr>
        <w:rPr>
          <w:rFonts w:ascii="Calibri" w:hAnsi="Calibri"/>
          <w:lang w:val="cy-GB"/>
        </w:rPr>
      </w:pPr>
    </w:p>
    <w:p w14:paraId="1E75ADEF" w14:textId="239E6FBC" w:rsidR="00F70EFF" w:rsidRPr="00075B24" w:rsidRDefault="00F70EFF">
      <w:pPr>
        <w:rPr>
          <w:rFonts w:ascii="Calibri" w:hAnsi="Calibri"/>
          <w:lang w:val="cy-GB"/>
        </w:rPr>
      </w:pPr>
    </w:p>
    <w:p w14:paraId="103144D5" w14:textId="4D2A686F" w:rsidR="00F70EFF" w:rsidRPr="00075B24" w:rsidRDefault="00F70EFF">
      <w:pPr>
        <w:rPr>
          <w:rFonts w:ascii="Calibri" w:hAnsi="Calibri"/>
          <w:lang w:val="cy-GB"/>
        </w:rPr>
      </w:pPr>
    </w:p>
    <w:p w14:paraId="6EF547FB" w14:textId="52D76A55" w:rsidR="00F70EFF" w:rsidRPr="00075B24" w:rsidRDefault="00F70EFF">
      <w:pPr>
        <w:rPr>
          <w:rFonts w:ascii="Calibri" w:hAnsi="Calibri"/>
          <w:lang w:val="cy-GB"/>
        </w:rPr>
      </w:pPr>
    </w:p>
    <w:p w14:paraId="2D172C5A" w14:textId="6D0D3AA1" w:rsidR="00F70EFF" w:rsidRPr="00075B24" w:rsidRDefault="00F70EFF">
      <w:pPr>
        <w:rPr>
          <w:rFonts w:ascii="Calibri" w:hAnsi="Calibri"/>
          <w:lang w:val="cy-GB"/>
        </w:rPr>
      </w:pPr>
    </w:p>
    <w:p w14:paraId="2F8F2CB3" w14:textId="22B28C65" w:rsidR="00F70EFF" w:rsidRPr="00075B24" w:rsidRDefault="00F70EFF">
      <w:pPr>
        <w:rPr>
          <w:rFonts w:ascii="Calibri" w:hAnsi="Calibri"/>
          <w:lang w:val="cy-GB"/>
        </w:rPr>
      </w:pPr>
    </w:p>
    <w:p w14:paraId="36C0CF77" w14:textId="1DE3DABB" w:rsidR="00F70EFF" w:rsidRPr="00075B24" w:rsidRDefault="00F70EFF">
      <w:pPr>
        <w:rPr>
          <w:rFonts w:ascii="Calibri" w:hAnsi="Calibri"/>
          <w:lang w:val="cy-GB"/>
        </w:rPr>
      </w:pPr>
    </w:p>
    <w:p w14:paraId="494AEAE2" w14:textId="5A21CDB8" w:rsidR="00F70EFF" w:rsidRPr="00075B24" w:rsidRDefault="00F70EFF">
      <w:pPr>
        <w:rPr>
          <w:rFonts w:ascii="Calibri" w:hAnsi="Calibri"/>
          <w:lang w:val="cy-GB"/>
        </w:rPr>
      </w:pPr>
    </w:p>
    <w:p w14:paraId="5DDE0214" w14:textId="2902AB3C" w:rsidR="00F70EFF" w:rsidRPr="00075B24" w:rsidRDefault="00F70EFF">
      <w:pPr>
        <w:rPr>
          <w:rFonts w:ascii="Calibri" w:hAnsi="Calibri"/>
          <w:lang w:val="cy-GB"/>
        </w:rPr>
      </w:pPr>
    </w:p>
    <w:p w14:paraId="666FDAD6" w14:textId="6C2B2CDD" w:rsidR="00F70EFF" w:rsidRPr="00075B24" w:rsidRDefault="00F70EFF">
      <w:pPr>
        <w:rPr>
          <w:rFonts w:ascii="Calibri" w:hAnsi="Calibri"/>
          <w:lang w:val="cy-GB"/>
        </w:rPr>
      </w:pPr>
    </w:p>
    <w:p w14:paraId="4F65146B" w14:textId="73CD29B4" w:rsidR="00F70EFF" w:rsidRPr="00075B24" w:rsidRDefault="00F70EFF">
      <w:pPr>
        <w:rPr>
          <w:rFonts w:ascii="Calibri" w:hAnsi="Calibri"/>
          <w:lang w:val="cy-GB"/>
        </w:rPr>
      </w:pPr>
    </w:p>
    <w:p w14:paraId="20C5E09E" w14:textId="6246DB8C" w:rsidR="00F70EFF" w:rsidRPr="00075B24" w:rsidRDefault="00F70EFF">
      <w:pPr>
        <w:rPr>
          <w:rFonts w:ascii="Calibri" w:hAnsi="Calibri"/>
          <w:lang w:val="cy-GB"/>
        </w:rPr>
      </w:pPr>
    </w:p>
    <w:p w14:paraId="53617502" w14:textId="5CD29DD3" w:rsidR="00F70EFF" w:rsidRPr="00075B24" w:rsidRDefault="00F70EFF">
      <w:pPr>
        <w:rPr>
          <w:rFonts w:ascii="Calibri" w:hAnsi="Calibri"/>
          <w:lang w:val="cy-GB"/>
        </w:rPr>
      </w:pPr>
    </w:p>
    <w:p w14:paraId="16FD882A" w14:textId="175D64F0" w:rsidR="00F70EFF" w:rsidRPr="00075B24" w:rsidRDefault="00F70EFF">
      <w:pPr>
        <w:rPr>
          <w:rFonts w:ascii="Calibri" w:hAnsi="Calibri"/>
          <w:lang w:val="cy-GB"/>
        </w:rPr>
      </w:pPr>
    </w:p>
    <w:p w14:paraId="74F60F12" w14:textId="1EAD151C" w:rsidR="00F70EFF" w:rsidRPr="00075B24" w:rsidRDefault="00F70EFF">
      <w:pPr>
        <w:rPr>
          <w:rFonts w:ascii="Calibri" w:hAnsi="Calibri"/>
          <w:lang w:val="cy-GB"/>
        </w:rPr>
      </w:pPr>
    </w:p>
    <w:p w14:paraId="710F987A" w14:textId="7E598132" w:rsidR="00F70EFF" w:rsidRPr="00075B24" w:rsidRDefault="00F70EFF">
      <w:pPr>
        <w:rPr>
          <w:rFonts w:ascii="Calibri" w:hAnsi="Calibri"/>
          <w:lang w:val="cy-GB"/>
        </w:rPr>
      </w:pPr>
    </w:p>
    <w:p w14:paraId="4ABE4530" w14:textId="00711D2E" w:rsidR="00F70EFF" w:rsidRPr="00075B24" w:rsidRDefault="00F70EFF">
      <w:pPr>
        <w:rPr>
          <w:rFonts w:ascii="Calibri" w:hAnsi="Calibri"/>
          <w:lang w:val="cy-GB"/>
        </w:rPr>
      </w:pPr>
    </w:p>
    <w:p w14:paraId="0E791FEB" w14:textId="57CA224F" w:rsidR="00F70EFF" w:rsidRPr="00075B24" w:rsidRDefault="00F70EFF">
      <w:pPr>
        <w:rPr>
          <w:rFonts w:ascii="Calibri" w:hAnsi="Calibri"/>
          <w:lang w:val="cy-GB"/>
        </w:rPr>
      </w:pPr>
    </w:p>
    <w:p w14:paraId="00930EED" w14:textId="24B04A34" w:rsidR="00F70EFF" w:rsidRPr="00075B24" w:rsidRDefault="00F70EFF">
      <w:pPr>
        <w:rPr>
          <w:rFonts w:ascii="Calibri" w:hAnsi="Calibri"/>
          <w:lang w:val="cy-GB"/>
        </w:rPr>
      </w:pPr>
    </w:p>
    <w:p w14:paraId="1A1B77E6" w14:textId="2AD36AB7" w:rsidR="00F70EFF" w:rsidRPr="00075B24" w:rsidRDefault="00F70EFF">
      <w:pPr>
        <w:rPr>
          <w:rFonts w:ascii="Calibri" w:hAnsi="Calibri"/>
          <w:lang w:val="cy-GB"/>
        </w:rPr>
      </w:pPr>
    </w:p>
    <w:p w14:paraId="0BB1BA80" w14:textId="3C4C6B52" w:rsidR="00F70EFF" w:rsidRPr="00075B24" w:rsidRDefault="00F70EFF">
      <w:pPr>
        <w:rPr>
          <w:rFonts w:ascii="Calibri" w:hAnsi="Calibri"/>
          <w:lang w:val="cy-GB"/>
        </w:rPr>
      </w:pPr>
    </w:p>
    <w:p w14:paraId="5ABE0E6E" w14:textId="483C67D4" w:rsidR="00F70EFF" w:rsidRPr="00075B24" w:rsidRDefault="00F70EFF">
      <w:pPr>
        <w:rPr>
          <w:rFonts w:ascii="Calibri" w:hAnsi="Calibri"/>
          <w:lang w:val="cy-GB"/>
        </w:rPr>
      </w:pPr>
    </w:p>
    <w:p w14:paraId="50681000" w14:textId="433A9DA0" w:rsidR="00F70EFF" w:rsidRPr="00075B24" w:rsidRDefault="00F70EFF">
      <w:pPr>
        <w:rPr>
          <w:rFonts w:ascii="Calibri" w:hAnsi="Calibri"/>
          <w:lang w:val="cy-GB"/>
        </w:rPr>
      </w:pPr>
    </w:p>
    <w:p w14:paraId="3ABDE3DC" w14:textId="21DB3582" w:rsidR="00F70EFF" w:rsidRPr="00075B24" w:rsidRDefault="00F70EFF">
      <w:pPr>
        <w:rPr>
          <w:rFonts w:ascii="Calibri" w:hAnsi="Calibri"/>
          <w:lang w:val="cy-GB"/>
        </w:rPr>
      </w:pPr>
    </w:p>
    <w:p w14:paraId="71A073BF" w14:textId="33855714" w:rsidR="00F70EFF" w:rsidRPr="00075B24" w:rsidRDefault="00F70EFF">
      <w:pPr>
        <w:rPr>
          <w:rFonts w:ascii="Calibri" w:hAnsi="Calibri"/>
          <w:lang w:val="cy-GB"/>
        </w:rPr>
      </w:pPr>
    </w:p>
    <w:p w14:paraId="1D6A7B4D" w14:textId="1908F511" w:rsidR="00F70EFF" w:rsidRPr="00075B24" w:rsidRDefault="00F70EFF">
      <w:pPr>
        <w:rPr>
          <w:rFonts w:ascii="Calibri" w:hAnsi="Calibri"/>
          <w:lang w:val="cy-GB"/>
        </w:rPr>
      </w:pPr>
    </w:p>
    <w:p w14:paraId="07AE5A95" w14:textId="46D5AB98" w:rsidR="00F70EFF" w:rsidRPr="00075B24" w:rsidRDefault="00F70EFF">
      <w:pPr>
        <w:rPr>
          <w:rFonts w:ascii="Calibri" w:hAnsi="Calibri"/>
          <w:lang w:val="cy-GB"/>
        </w:rPr>
      </w:pPr>
    </w:p>
    <w:p w14:paraId="0E24B92B" w14:textId="31E05D05" w:rsidR="00F70EFF" w:rsidRPr="00075B24" w:rsidRDefault="00F70EFF">
      <w:pPr>
        <w:rPr>
          <w:rFonts w:ascii="Calibri" w:hAnsi="Calibri"/>
          <w:lang w:val="cy-GB"/>
        </w:rPr>
      </w:pPr>
    </w:p>
    <w:p w14:paraId="075D5DB7" w14:textId="23E0E13E" w:rsidR="00F70EFF" w:rsidRPr="00075B24" w:rsidRDefault="00F70EFF">
      <w:pPr>
        <w:rPr>
          <w:rFonts w:ascii="Calibri" w:hAnsi="Calibri"/>
          <w:lang w:val="cy-GB"/>
        </w:rPr>
      </w:pPr>
    </w:p>
    <w:p w14:paraId="052DBE00" w14:textId="46DEBB80" w:rsidR="00F70EFF" w:rsidRPr="00075B24" w:rsidRDefault="00F70EFF">
      <w:pPr>
        <w:rPr>
          <w:rFonts w:ascii="Calibri" w:hAnsi="Calibri"/>
          <w:lang w:val="cy-GB"/>
        </w:rPr>
      </w:pPr>
    </w:p>
    <w:p w14:paraId="69CBEB80" w14:textId="4F166AB6" w:rsidR="00F70EFF" w:rsidRPr="00075B24" w:rsidRDefault="00F70EFF">
      <w:pPr>
        <w:rPr>
          <w:rFonts w:ascii="Calibri" w:hAnsi="Calibri"/>
          <w:lang w:val="cy-GB"/>
        </w:rPr>
      </w:pPr>
    </w:p>
    <w:p w14:paraId="2A08A076" w14:textId="28008844" w:rsidR="00F70EFF" w:rsidRPr="00075B24" w:rsidRDefault="00F70EFF">
      <w:pPr>
        <w:rPr>
          <w:rFonts w:ascii="Calibri" w:hAnsi="Calibri"/>
          <w:lang w:val="cy-GB"/>
        </w:rPr>
      </w:pPr>
    </w:p>
    <w:p w14:paraId="3778516D" w14:textId="1DD88955" w:rsidR="00F70EFF" w:rsidRPr="00075B24" w:rsidRDefault="00F70EFF">
      <w:pPr>
        <w:rPr>
          <w:rFonts w:ascii="Calibri" w:hAnsi="Calibri"/>
          <w:lang w:val="cy-GB"/>
        </w:rPr>
      </w:pPr>
    </w:p>
    <w:p w14:paraId="4BA91F85" w14:textId="77777777" w:rsidR="00075B24" w:rsidRPr="00075B24" w:rsidRDefault="00075B24">
      <w:pPr>
        <w:rPr>
          <w:rFonts w:ascii="Calibri" w:hAnsi="Calibri"/>
          <w:lang w:val="cy-GB"/>
        </w:rPr>
      </w:pPr>
    </w:p>
    <w:p w14:paraId="0CEBE616" w14:textId="51D74CC6" w:rsidR="00F70EFF" w:rsidRPr="00075B24" w:rsidRDefault="00F70EFF">
      <w:pPr>
        <w:rPr>
          <w:rFonts w:ascii="Calibri" w:hAnsi="Calibri"/>
          <w:lang w:val="cy-GB"/>
        </w:rPr>
      </w:pPr>
      <w:r w:rsidRPr="00075B24">
        <w:rPr>
          <w:rFonts w:ascii="Calibri" w:hAnsi="Calibri"/>
          <w:lang w:val="cy-GB"/>
        </w:rPr>
        <w:lastRenderedPageBreak/>
        <w:t>Rhestr gyfeirnodi.</w:t>
      </w:r>
    </w:p>
    <w:p w14:paraId="196130EE" w14:textId="77777777" w:rsidR="00F70EFF" w:rsidRPr="00075B24" w:rsidRDefault="00F70EFF">
      <w:pPr>
        <w:rPr>
          <w:lang w:val="cy-GB"/>
        </w:rPr>
      </w:pPr>
    </w:p>
    <w:p w14:paraId="409EE624" w14:textId="14D4F06D" w:rsidR="00F70EFF" w:rsidRPr="00075B24" w:rsidRDefault="00F70EFF">
      <w:pPr>
        <w:rPr>
          <w:rFonts w:ascii="Calibri" w:hAnsi="Calibri"/>
          <w:i/>
          <w:lang w:val="cy-GB"/>
        </w:rPr>
      </w:pPr>
      <w:r w:rsidRPr="00075B24">
        <w:rPr>
          <w:rFonts w:ascii="Calibri" w:hAnsi="Calibri"/>
          <w:lang w:val="cy-GB"/>
        </w:rPr>
        <w:t xml:space="preserve">Assessment Reform Group. (ARG) (2002) </w:t>
      </w:r>
      <w:r w:rsidRPr="00075B24">
        <w:rPr>
          <w:rFonts w:ascii="Calibri" w:hAnsi="Calibri"/>
          <w:i/>
          <w:lang w:val="cy-GB"/>
        </w:rPr>
        <w:t xml:space="preserve">Assessment for Learning: 10 Pinciples. </w:t>
      </w:r>
    </w:p>
    <w:p w14:paraId="401DB7B4" w14:textId="77777777" w:rsidR="00F70EFF" w:rsidRPr="00075B24" w:rsidRDefault="00F70EFF" w:rsidP="00F70EFF">
      <w:pPr>
        <w:rPr>
          <w:rFonts w:ascii="Calibri" w:hAnsi="Calibri"/>
          <w:lang w:val="cy-GB"/>
        </w:rPr>
      </w:pPr>
    </w:p>
    <w:p w14:paraId="431A174B" w14:textId="41632D7D" w:rsidR="00F70EFF" w:rsidRPr="00075B24" w:rsidRDefault="00F70EFF" w:rsidP="00F70EFF">
      <w:pPr>
        <w:rPr>
          <w:rFonts w:ascii="Calibri" w:hAnsi="Calibri"/>
          <w:i/>
          <w:lang w:val="cy-GB"/>
        </w:rPr>
      </w:pPr>
      <w:r w:rsidRPr="00075B24">
        <w:rPr>
          <w:rFonts w:ascii="Calibri" w:hAnsi="Calibri"/>
          <w:lang w:val="cy-GB"/>
        </w:rPr>
        <w:t xml:space="preserve">Black, P. a William, D. (1998a) </w:t>
      </w:r>
      <w:r w:rsidRPr="00075B24">
        <w:rPr>
          <w:rFonts w:ascii="Calibri" w:hAnsi="Calibri"/>
          <w:i/>
          <w:lang w:val="cy-GB"/>
        </w:rPr>
        <w:t xml:space="preserve">Assessment and Classroom Learning, Assessment in Education. </w:t>
      </w:r>
    </w:p>
    <w:p w14:paraId="6D95B2D3" w14:textId="77777777" w:rsidR="00F70EFF" w:rsidRPr="00075B24" w:rsidRDefault="00F70EFF">
      <w:pPr>
        <w:rPr>
          <w:rFonts w:ascii="Calibri" w:hAnsi="Calibri"/>
          <w:lang w:val="cy-GB"/>
        </w:rPr>
      </w:pPr>
    </w:p>
    <w:p w14:paraId="2AEFB817" w14:textId="02563CB2" w:rsidR="00F70EFF" w:rsidRPr="00075B24" w:rsidRDefault="00F70EFF">
      <w:pPr>
        <w:rPr>
          <w:rFonts w:ascii="Calibri" w:hAnsi="Calibri"/>
          <w:lang w:val="cy-GB"/>
        </w:rPr>
      </w:pPr>
      <w:r w:rsidRPr="00075B24">
        <w:rPr>
          <w:rFonts w:ascii="Calibri" w:hAnsi="Calibri"/>
          <w:lang w:val="cy-GB"/>
        </w:rPr>
        <w:t xml:space="preserve">B Black, P. a William, D. (1998b) </w:t>
      </w:r>
      <w:r w:rsidRPr="00075B24">
        <w:rPr>
          <w:rFonts w:ascii="Calibri" w:hAnsi="Calibri"/>
          <w:i/>
          <w:lang w:val="cy-GB"/>
        </w:rPr>
        <w:t xml:space="preserve">Inside the Black Box: Raising Standards Through Classroom Assessment. </w:t>
      </w:r>
      <w:r w:rsidRPr="00075B24">
        <w:rPr>
          <w:rFonts w:ascii="Calibri" w:hAnsi="Calibri"/>
          <w:lang w:val="cy-GB"/>
        </w:rPr>
        <w:t xml:space="preserve">PHI DELTA KAPPAN. </w:t>
      </w:r>
    </w:p>
    <w:p w14:paraId="0192606D" w14:textId="77777777" w:rsidR="00F70EFF" w:rsidRPr="00075B24" w:rsidRDefault="00F70EFF">
      <w:pPr>
        <w:rPr>
          <w:rFonts w:ascii="Calibri" w:hAnsi="Calibri"/>
          <w:i/>
          <w:lang w:val="cy-GB"/>
        </w:rPr>
      </w:pPr>
    </w:p>
    <w:p w14:paraId="454B5041" w14:textId="64E15EAF" w:rsidR="00F70EFF" w:rsidRPr="00075B24" w:rsidRDefault="00F70EFF">
      <w:pPr>
        <w:rPr>
          <w:lang w:val="cy-GB"/>
        </w:rPr>
      </w:pPr>
      <w:r w:rsidRPr="00075B24">
        <w:rPr>
          <w:lang w:val="cy-GB"/>
        </w:rPr>
        <w:t xml:space="preserve">CCEA. (2009) </w:t>
      </w:r>
      <w:r w:rsidRPr="00075B24">
        <w:rPr>
          <w:i/>
          <w:lang w:val="cy-GB"/>
        </w:rPr>
        <w:t xml:space="preserve">Assessment for Learning, A Practical Guide. </w:t>
      </w:r>
      <w:r w:rsidRPr="00075B24">
        <w:rPr>
          <w:lang w:val="cy-GB"/>
        </w:rPr>
        <w:t xml:space="preserve">Ar </w:t>
      </w:r>
      <w:r w:rsidR="004D4692" w:rsidRPr="00075B24">
        <w:rPr>
          <w:lang w:val="cy-GB"/>
        </w:rPr>
        <w:t>g</w:t>
      </w:r>
      <w:r w:rsidRPr="00075B24">
        <w:rPr>
          <w:lang w:val="cy-GB"/>
        </w:rPr>
        <w:t xml:space="preserve">ael yn: </w:t>
      </w:r>
      <w:r w:rsidRPr="00075B24">
        <w:rPr>
          <w:lang w:val="cy-GB"/>
        </w:rPr>
        <w:fldChar w:fldCharType="begin"/>
      </w:r>
      <w:r w:rsidRPr="00075B24">
        <w:rPr>
          <w:lang w:val="cy-GB"/>
        </w:rPr>
        <w:instrText xml:space="preserve"> HYPERLINK "http://ccea.org.uk/sites/default/files/docs/curriculum/assessment/assessment_for_learning/afl_practical_guide.pdf" </w:instrText>
      </w:r>
      <w:r w:rsidRPr="00075B24">
        <w:rPr>
          <w:lang w:val="cy-GB"/>
        </w:rPr>
        <w:fldChar w:fldCharType="separate"/>
      </w:r>
      <w:r w:rsidRPr="00075B24">
        <w:rPr>
          <w:rStyle w:val="Hyperlink"/>
          <w:lang w:val="cy-GB"/>
        </w:rPr>
        <w:t>http://ccea.org.uk/sites/default/files/docs/curriculum/assessment/assessment_for_learning/afl_practical_guide.pdf</w:t>
      </w:r>
      <w:r w:rsidRPr="00075B24">
        <w:rPr>
          <w:lang w:val="cy-GB"/>
        </w:rPr>
        <w:fldChar w:fldCharType="end"/>
      </w:r>
      <w:r w:rsidR="004D4692" w:rsidRPr="00075B24">
        <w:rPr>
          <w:lang w:val="cy-GB"/>
        </w:rPr>
        <w:t xml:space="preserve"> [Darllenwyd 8.12.18].</w:t>
      </w:r>
    </w:p>
    <w:p w14:paraId="7AF41E96" w14:textId="50BB177D" w:rsidR="00075B24" w:rsidRPr="00075B24" w:rsidRDefault="00075B24" w:rsidP="00075B24">
      <w:pPr>
        <w:pStyle w:val="Heading1"/>
        <w:rPr>
          <w:rFonts w:asciiTheme="minorHAnsi" w:hAnsiTheme="minorHAnsi"/>
          <w:b w:val="0"/>
          <w:sz w:val="24"/>
          <w:szCs w:val="24"/>
        </w:rPr>
      </w:pPr>
      <w:r w:rsidRPr="00075B24">
        <w:rPr>
          <w:rFonts w:asciiTheme="minorHAnsi" w:hAnsiTheme="minorHAnsi"/>
          <w:b w:val="0"/>
          <w:sz w:val="24"/>
          <w:szCs w:val="24"/>
          <w:lang w:val="cy-GB"/>
        </w:rPr>
        <w:t xml:space="preserve">Clarke, S. (2005) </w:t>
      </w:r>
      <w:r w:rsidRPr="00075B24">
        <w:rPr>
          <w:rFonts w:asciiTheme="minorHAnsi" w:hAnsiTheme="minorHAnsi"/>
          <w:b w:val="0"/>
          <w:i/>
          <w:sz w:val="24"/>
          <w:szCs w:val="24"/>
        </w:rPr>
        <w:t xml:space="preserve">Formative Assessment in Action: weaving the elements together. </w:t>
      </w:r>
      <w:r w:rsidRPr="00075B24">
        <w:rPr>
          <w:rFonts w:asciiTheme="minorHAnsi" w:hAnsiTheme="minorHAnsi"/>
          <w:b w:val="0"/>
          <w:sz w:val="24"/>
          <w:szCs w:val="24"/>
        </w:rPr>
        <w:t xml:space="preserve">Hodder Education. </w:t>
      </w:r>
    </w:p>
    <w:p w14:paraId="63464405" w14:textId="4D5567BE" w:rsidR="00075B24" w:rsidRPr="00075B24" w:rsidRDefault="00075B24" w:rsidP="00075B24">
      <w:pPr>
        <w:pStyle w:val="Heading1"/>
        <w:rPr>
          <w:rFonts w:asciiTheme="minorHAnsi" w:hAnsiTheme="minorHAnsi"/>
          <w:b w:val="0"/>
          <w:sz w:val="24"/>
          <w:szCs w:val="24"/>
        </w:rPr>
      </w:pPr>
      <w:r w:rsidRPr="00075B24">
        <w:rPr>
          <w:rFonts w:asciiTheme="minorHAnsi" w:hAnsiTheme="minorHAnsi"/>
          <w:b w:val="0"/>
          <w:sz w:val="24"/>
          <w:szCs w:val="24"/>
        </w:rPr>
        <w:t xml:space="preserve">de </w:t>
      </w:r>
      <w:proofErr w:type="spellStart"/>
      <w:r w:rsidRPr="00075B24">
        <w:rPr>
          <w:rFonts w:asciiTheme="minorHAnsi" w:hAnsiTheme="minorHAnsi"/>
          <w:b w:val="0"/>
          <w:sz w:val="24"/>
          <w:szCs w:val="24"/>
        </w:rPr>
        <w:t>Schoolmeester</w:t>
      </w:r>
      <w:proofErr w:type="spellEnd"/>
      <w:r w:rsidRPr="00075B24">
        <w:rPr>
          <w:rFonts w:asciiTheme="minorHAnsi" w:hAnsiTheme="minorHAnsi"/>
          <w:b w:val="0"/>
          <w:sz w:val="24"/>
          <w:szCs w:val="24"/>
        </w:rPr>
        <w:t xml:space="preserve">, C. (2017) </w:t>
      </w:r>
      <w:proofErr w:type="spellStart"/>
      <w:r w:rsidRPr="00075B24">
        <w:rPr>
          <w:rFonts w:asciiTheme="minorHAnsi" w:hAnsiTheme="minorHAnsi"/>
          <w:b w:val="0"/>
          <w:i/>
          <w:sz w:val="24"/>
          <w:szCs w:val="24"/>
        </w:rPr>
        <w:t>Saron</w:t>
      </w:r>
      <w:proofErr w:type="spellEnd"/>
      <w:r w:rsidRPr="00075B24">
        <w:rPr>
          <w:rFonts w:asciiTheme="minorHAnsi" w:hAnsiTheme="minorHAnsi"/>
          <w:b w:val="0"/>
          <w:i/>
          <w:sz w:val="24"/>
          <w:szCs w:val="24"/>
        </w:rPr>
        <w:t xml:space="preserve"> Primary School Assessment Policy. </w:t>
      </w:r>
    </w:p>
    <w:p w14:paraId="01F4FCC2" w14:textId="58646931" w:rsidR="004D4692" w:rsidRPr="00075B24" w:rsidRDefault="004D4692" w:rsidP="00075B24">
      <w:pPr>
        <w:rPr>
          <w:lang w:val="cy-GB"/>
        </w:rPr>
      </w:pPr>
      <w:r w:rsidRPr="00075B24">
        <w:rPr>
          <w:lang w:val="cy-GB"/>
        </w:rPr>
        <w:t xml:space="preserve">Donaldson, G. (2015) </w:t>
      </w:r>
      <w:r w:rsidRPr="00075B24">
        <w:rPr>
          <w:i/>
          <w:lang w:val="cy-GB"/>
        </w:rPr>
        <w:t xml:space="preserve">Dyfodol Llwyddiannus. </w:t>
      </w:r>
      <w:r w:rsidRPr="00075B24">
        <w:rPr>
          <w:lang w:val="cy-GB"/>
        </w:rPr>
        <w:t xml:space="preserve">Caerdydd: Llywodraeth Cymru. Ar gael yn: </w:t>
      </w:r>
      <w:r w:rsidRPr="00075B24">
        <w:rPr>
          <w:rStyle w:val="Hyperlink"/>
          <w:lang w:val="cy-GB"/>
        </w:rPr>
        <w:fldChar w:fldCharType="begin"/>
      </w:r>
      <w:r w:rsidRPr="00075B24">
        <w:rPr>
          <w:rStyle w:val="Hyperlink"/>
          <w:lang w:val="cy-GB"/>
        </w:rPr>
        <w:instrText xml:space="preserve"> HYPERLINK "https://gov.wales/docs/dcells/publications/150225-successful-futures-cy.pdf" </w:instrText>
      </w:r>
      <w:r w:rsidRPr="00075B24">
        <w:rPr>
          <w:rStyle w:val="Hyperlink"/>
          <w:lang w:val="cy-GB"/>
        </w:rPr>
        <w:fldChar w:fldCharType="separate"/>
      </w:r>
      <w:r w:rsidRPr="00075B24">
        <w:rPr>
          <w:rStyle w:val="Hyperlink"/>
          <w:lang w:val="cy-GB"/>
        </w:rPr>
        <w:t>https://gov.wales/docs/dcells/publications/150225-successful-futures-cy.pdf</w:t>
      </w:r>
      <w:r w:rsidRPr="00075B24">
        <w:rPr>
          <w:rStyle w:val="Hyperlink"/>
          <w:lang w:val="cy-GB"/>
        </w:rPr>
        <w:fldChar w:fldCharType="end"/>
      </w:r>
      <w:r w:rsidRPr="00075B24">
        <w:rPr>
          <w:lang w:val="cy-GB"/>
        </w:rPr>
        <w:t xml:space="preserve"> [Darllenwyd 10.12.18]. </w:t>
      </w:r>
    </w:p>
    <w:p w14:paraId="2A4B62F1" w14:textId="387814BA" w:rsidR="004D4692" w:rsidRPr="00075B24" w:rsidRDefault="004D4692" w:rsidP="00075B24">
      <w:pPr>
        <w:rPr>
          <w:lang w:val="cy-GB"/>
        </w:rPr>
      </w:pPr>
    </w:p>
    <w:p w14:paraId="3816EA2B" w14:textId="5079C9F2" w:rsidR="00075B24" w:rsidRPr="00075B24" w:rsidRDefault="00075B24" w:rsidP="00075B24">
      <w:pPr>
        <w:rPr>
          <w:rFonts w:eastAsia="Times New Roman" w:cs="Times New Roman"/>
        </w:rPr>
      </w:pPr>
      <w:r w:rsidRPr="00075B24">
        <w:rPr>
          <w:lang w:val="cy-GB"/>
        </w:rPr>
        <w:t xml:space="preserve">Ninomiya, S. (2016) </w:t>
      </w:r>
      <w:r w:rsidRPr="00075B24">
        <w:rPr>
          <w:rFonts w:cs="Times"/>
          <w:i/>
          <w:color w:val="000000"/>
          <w:lang w:val="en-US"/>
        </w:rPr>
        <w:t xml:space="preserve">The Possibilities and Limitations of Assessment for Learning: Exploring the Theory of Formative Assessment and the Notion of “Closing the Learning Gap”. </w:t>
      </w:r>
      <w:r w:rsidRPr="00075B24">
        <w:rPr>
          <w:rFonts w:eastAsia="Times New Roman" w:cs="Times New Roman"/>
        </w:rPr>
        <w:t xml:space="preserve">Educational Studies in Japan: International Yearbook No. 10. </w:t>
      </w:r>
      <w:proofErr w:type="spellStart"/>
      <w:r w:rsidRPr="00075B24">
        <w:rPr>
          <w:rFonts w:eastAsia="Times New Roman" w:cs="Times New Roman"/>
        </w:rPr>
        <w:t>Ar</w:t>
      </w:r>
      <w:proofErr w:type="spellEnd"/>
      <w:r w:rsidRPr="00075B24">
        <w:rPr>
          <w:rFonts w:eastAsia="Times New Roman" w:cs="Times New Roman"/>
        </w:rPr>
        <w:t xml:space="preserve"> </w:t>
      </w:r>
      <w:proofErr w:type="spellStart"/>
      <w:r w:rsidRPr="00075B24">
        <w:rPr>
          <w:rFonts w:eastAsia="Times New Roman" w:cs="Times New Roman"/>
        </w:rPr>
        <w:t>gael</w:t>
      </w:r>
      <w:proofErr w:type="spellEnd"/>
      <w:r w:rsidRPr="00075B24">
        <w:rPr>
          <w:rFonts w:eastAsia="Times New Roman" w:cs="Times New Roman"/>
        </w:rPr>
        <w:t xml:space="preserve"> </w:t>
      </w:r>
      <w:proofErr w:type="spellStart"/>
      <w:r w:rsidRPr="00075B24">
        <w:rPr>
          <w:rFonts w:eastAsia="Times New Roman" w:cs="Times New Roman"/>
        </w:rPr>
        <w:t>yn</w:t>
      </w:r>
      <w:proofErr w:type="spellEnd"/>
      <w:r w:rsidRPr="00075B24">
        <w:rPr>
          <w:rFonts w:eastAsia="Times New Roman" w:cs="Times New Roman"/>
        </w:rPr>
        <w:t xml:space="preserve">: </w:t>
      </w:r>
      <w:hyperlink r:id="rId4" w:history="1">
        <w:r w:rsidRPr="00075B24">
          <w:rPr>
            <w:rStyle w:val="Hyperlink"/>
            <w:rFonts w:eastAsia="Times New Roman" w:cs="Times New Roman"/>
          </w:rPr>
          <w:t>https://files.eric.ed.gov/fulltext/EJ1130292.pdf</w:t>
        </w:r>
      </w:hyperlink>
      <w:r w:rsidRPr="00075B24">
        <w:rPr>
          <w:rFonts w:eastAsia="Times New Roman" w:cs="Times New Roman"/>
        </w:rPr>
        <w:t xml:space="preserve"> [</w:t>
      </w:r>
      <w:proofErr w:type="spellStart"/>
      <w:r w:rsidRPr="00075B24">
        <w:rPr>
          <w:rFonts w:eastAsia="Times New Roman" w:cs="Times New Roman"/>
        </w:rPr>
        <w:t>Darllenwyd</w:t>
      </w:r>
      <w:proofErr w:type="spellEnd"/>
      <w:r w:rsidRPr="00075B24">
        <w:rPr>
          <w:rFonts w:eastAsia="Times New Roman" w:cs="Times New Roman"/>
        </w:rPr>
        <w:t xml:space="preserve"> 13.12.18]. </w:t>
      </w:r>
    </w:p>
    <w:p w14:paraId="00575F78" w14:textId="77777777" w:rsidR="00075B24" w:rsidRPr="00075B24" w:rsidRDefault="00075B24" w:rsidP="00075B24">
      <w:pPr>
        <w:rPr>
          <w:lang w:val="cy-GB"/>
        </w:rPr>
      </w:pPr>
    </w:p>
    <w:p w14:paraId="59C5BBD2" w14:textId="74FF3DE9" w:rsidR="00F70EFF" w:rsidRDefault="00F70EFF" w:rsidP="00075B24">
      <w:pPr>
        <w:rPr>
          <w:rFonts w:cs="Times"/>
          <w:color w:val="000000"/>
          <w:lang w:val="en-US"/>
        </w:rPr>
      </w:pPr>
      <w:r w:rsidRPr="00075B24">
        <w:rPr>
          <w:rFonts w:cs="Times"/>
          <w:color w:val="000000"/>
          <w:lang w:val="en-US"/>
        </w:rPr>
        <w:t xml:space="preserve">Rowe, M B. (1972) </w:t>
      </w:r>
      <w:r w:rsidRPr="00075B24">
        <w:rPr>
          <w:rFonts w:cs="Times"/>
          <w:i/>
          <w:color w:val="000000"/>
          <w:lang w:val="en-US"/>
        </w:rPr>
        <w:t>Wait-Time and Rewards as Instructional Variables: Their Influence on Language, Logic, and Fate Control.</w:t>
      </w:r>
      <w:r w:rsidRPr="00075B24">
        <w:rPr>
          <w:rFonts w:cs="Times"/>
          <w:color w:val="000000"/>
          <w:lang w:val="en-US"/>
        </w:rPr>
        <w:t xml:space="preserve"> </w:t>
      </w:r>
      <w:proofErr w:type="spellStart"/>
      <w:r w:rsidRPr="00075B24">
        <w:rPr>
          <w:rFonts w:cs="Times"/>
          <w:color w:val="000000"/>
          <w:lang w:val="en-US"/>
        </w:rPr>
        <w:t>yn</w:t>
      </w:r>
      <w:proofErr w:type="spellEnd"/>
      <w:r w:rsidRPr="00075B24">
        <w:rPr>
          <w:rFonts w:cs="Times"/>
          <w:i/>
          <w:iCs/>
          <w:color w:val="000000"/>
          <w:lang w:val="en-US"/>
        </w:rPr>
        <w:t xml:space="preserve"> Resources in Education</w:t>
      </w:r>
      <w:r w:rsidRPr="00075B24">
        <w:rPr>
          <w:rFonts w:cs="Times"/>
          <w:color w:val="000000"/>
          <w:lang w:val="en-US"/>
        </w:rPr>
        <w:t xml:space="preserve">, Education Resources Information Center. </w:t>
      </w:r>
      <w:proofErr w:type="spellStart"/>
      <w:r w:rsidRPr="00075B24">
        <w:rPr>
          <w:rFonts w:cs="Times"/>
          <w:color w:val="000000"/>
          <w:lang w:val="en-US"/>
        </w:rPr>
        <w:t>Ar</w:t>
      </w:r>
      <w:proofErr w:type="spellEnd"/>
      <w:r w:rsidRPr="00075B24">
        <w:rPr>
          <w:rFonts w:cs="Times"/>
          <w:color w:val="000000"/>
          <w:lang w:val="en-US"/>
        </w:rPr>
        <w:t xml:space="preserve"> </w:t>
      </w:r>
      <w:proofErr w:type="spellStart"/>
      <w:r w:rsidRPr="00075B24">
        <w:rPr>
          <w:rFonts w:cs="Times"/>
          <w:color w:val="000000"/>
          <w:lang w:val="en-US"/>
        </w:rPr>
        <w:t>gael</w:t>
      </w:r>
      <w:proofErr w:type="spellEnd"/>
      <w:r w:rsidRPr="00075B24">
        <w:rPr>
          <w:rFonts w:cs="Times"/>
          <w:color w:val="000000"/>
          <w:lang w:val="en-US"/>
        </w:rPr>
        <w:t xml:space="preserve"> </w:t>
      </w:r>
      <w:proofErr w:type="spellStart"/>
      <w:r w:rsidRPr="00075B24">
        <w:rPr>
          <w:rFonts w:cs="Times"/>
          <w:color w:val="000000"/>
          <w:lang w:val="en-US"/>
        </w:rPr>
        <w:t>yn</w:t>
      </w:r>
      <w:proofErr w:type="spellEnd"/>
      <w:r w:rsidRPr="00075B24">
        <w:rPr>
          <w:rFonts w:cs="Times"/>
          <w:color w:val="000000"/>
          <w:lang w:val="en-US"/>
        </w:rPr>
        <w:t xml:space="preserve">: </w:t>
      </w:r>
      <w:hyperlink r:id="rId5" w:history="1">
        <w:r w:rsidRPr="00075B24">
          <w:rPr>
            <w:rFonts w:cs="Times"/>
            <w:color w:val="0000E9"/>
            <w:u w:val="single" w:color="0000E9"/>
            <w:lang w:val="en-US"/>
          </w:rPr>
          <w:t>http://eric.ed.gov/?id=ED061103</w:t>
        </w:r>
      </w:hyperlink>
      <w:r w:rsidR="004D4692" w:rsidRPr="00075B24">
        <w:rPr>
          <w:rFonts w:cs="Times"/>
          <w:color w:val="000000"/>
          <w:lang w:val="en-US"/>
        </w:rPr>
        <w:t xml:space="preserve"> [</w:t>
      </w:r>
      <w:proofErr w:type="spellStart"/>
      <w:r w:rsidR="004D4692" w:rsidRPr="00075B24">
        <w:rPr>
          <w:rFonts w:cs="Times"/>
          <w:color w:val="000000"/>
          <w:lang w:val="en-US"/>
        </w:rPr>
        <w:t>Darllenwyd</w:t>
      </w:r>
      <w:proofErr w:type="spellEnd"/>
      <w:r w:rsidR="004D4692" w:rsidRPr="00075B24">
        <w:rPr>
          <w:rFonts w:cs="Times"/>
          <w:color w:val="000000"/>
          <w:lang w:val="en-US"/>
        </w:rPr>
        <w:t xml:space="preserve"> 9.12.18].</w:t>
      </w:r>
      <w:r w:rsidR="004D4692">
        <w:rPr>
          <w:rFonts w:cs="Times"/>
          <w:color w:val="000000"/>
          <w:lang w:val="en-US"/>
        </w:rPr>
        <w:t xml:space="preserve"> </w:t>
      </w:r>
    </w:p>
    <w:sectPr w:rsidR="00F70EFF" w:rsidSect="00126A6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imes">
    <w:panose1 w:val="00000000000000000000"/>
    <w:charset w:val="00"/>
    <w:family w:val="auto"/>
    <w:pitch w:val="variable"/>
    <w:sig w:usb0="00000003" w:usb1="00000000" w:usb2="00000000" w:usb3="00000000" w:csb0="00000007"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8C9"/>
    <w:rsid w:val="000043EB"/>
    <w:rsid w:val="00063A1F"/>
    <w:rsid w:val="00075B24"/>
    <w:rsid w:val="00084E15"/>
    <w:rsid w:val="000B561A"/>
    <w:rsid w:val="000D61B1"/>
    <w:rsid w:val="00126A61"/>
    <w:rsid w:val="00152918"/>
    <w:rsid w:val="0017599D"/>
    <w:rsid w:val="00340231"/>
    <w:rsid w:val="00421B1D"/>
    <w:rsid w:val="004D4692"/>
    <w:rsid w:val="005E45CC"/>
    <w:rsid w:val="00621EB4"/>
    <w:rsid w:val="00663C79"/>
    <w:rsid w:val="00690F1F"/>
    <w:rsid w:val="007638C9"/>
    <w:rsid w:val="00782BC1"/>
    <w:rsid w:val="00860DB2"/>
    <w:rsid w:val="00A06290"/>
    <w:rsid w:val="00A54A24"/>
    <w:rsid w:val="00BE0CA1"/>
    <w:rsid w:val="00C97069"/>
    <w:rsid w:val="00CC23C2"/>
    <w:rsid w:val="00CC2ED5"/>
    <w:rsid w:val="00CC5FA2"/>
    <w:rsid w:val="00E4614C"/>
    <w:rsid w:val="00E6358F"/>
    <w:rsid w:val="00EC3679"/>
    <w:rsid w:val="00EF3B53"/>
    <w:rsid w:val="00F15489"/>
    <w:rsid w:val="00F70EFF"/>
    <w:rsid w:val="00F82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D1807"/>
  <w15:chartTrackingRefBased/>
  <w15:docId w15:val="{47931275-D844-204A-8F27-E2E73A7CC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75B24"/>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0EFF"/>
    <w:rPr>
      <w:color w:val="0563C1" w:themeColor="hyperlink"/>
      <w:u w:val="single"/>
    </w:rPr>
  </w:style>
  <w:style w:type="character" w:styleId="UnresolvedMention">
    <w:name w:val="Unresolved Mention"/>
    <w:basedOn w:val="DefaultParagraphFont"/>
    <w:uiPriority w:val="99"/>
    <w:semiHidden/>
    <w:unhideWhenUsed/>
    <w:rsid w:val="00F70EFF"/>
    <w:rPr>
      <w:color w:val="605E5C"/>
      <w:shd w:val="clear" w:color="auto" w:fill="E1DFDD"/>
    </w:rPr>
  </w:style>
  <w:style w:type="character" w:customStyle="1" w:styleId="Heading1Char">
    <w:name w:val="Heading 1 Char"/>
    <w:basedOn w:val="DefaultParagraphFont"/>
    <w:link w:val="Heading1"/>
    <w:uiPriority w:val="9"/>
    <w:rsid w:val="00075B24"/>
    <w:rPr>
      <w:rFonts w:ascii="Times New Roman" w:eastAsia="Times New Roman" w:hAnsi="Times New Roman" w:cs="Times New Roman"/>
      <w:b/>
      <w:bCs/>
      <w:kern w:val="36"/>
      <w:sz w:val="48"/>
      <w:szCs w:val="48"/>
    </w:rPr>
  </w:style>
  <w:style w:type="character" w:customStyle="1" w:styleId="a-size-large">
    <w:name w:val="a-size-large"/>
    <w:basedOn w:val="DefaultParagraphFont"/>
    <w:rsid w:val="00075B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3510659">
      <w:bodyDiv w:val="1"/>
      <w:marLeft w:val="0"/>
      <w:marRight w:val="0"/>
      <w:marTop w:val="0"/>
      <w:marBottom w:val="0"/>
      <w:divBdr>
        <w:top w:val="none" w:sz="0" w:space="0" w:color="auto"/>
        <w:left w:val="none" w:sz="0" w:space="0" w:color="auto"/>
        <w:bottom w:val="none" w:sz="0" w:space="0" w:color="auto"/>
        <w:right w:val="none" w:sz="0" w:space="0" w:color="auto"/>
      </w:divBdr>
    </w:div>
    <w:div w:id="677779912">
      <w:bodyDiv w:val="1"/>
      <w:marLeft w:val="0"/>
      <w:marRight w:val="0"/>
      <w:marTop w:val="0"/>
      <w:marBottom w:val="0"/>
      <w:divBdr>
        <w:top w:val="none" w:sz="0" w:space="0" w:color="auto"/>
        <w:left w:val="none" w:sz="0" w:space="0" w:color="auto"/>
        <w:bottom w:val="none" w:sz="0" w:space="0" w:color="auto"/>
        <w:right w:val="none" w:sz="0" w:space="0" w:color="auto"/>
      </w:divBdr>
      <w:divsChild>
        <w:div w:id="1839804307">
          <w:marLeft w:val="0"/>
          <w:marRight w:val="0"/>
          <w:marTop w:val="0"/>
          <w:marBottom w:val="0"/>
          <w:divBdr>
            <w:top w:val="none" w:sz="0" w:space="0" w:color="auto"/>
            <w:left w:val="none" w:sz="0" w:space="0" w:color="auto"/>
            <w:bottom w:val="none" w:sz="0" w:space="0" w:color="auto"/>
            <w:right w:val="none" w:sz="0" w:space="0" w:color="auto"/>
          </w:divBdr>
        </w:div>
        <w:div w:id="6867562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eric.ed.gov/?id=ED061103" TargetMode="External"/><Relationship Id="rId4" Type="http://schemas.openxmlformats.org/officeDocument/2006/relationships/hyperlink" Target="https://files.eric.ed.gov/fulltext/EJ113029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2084</Words>
  <Characters>11884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2018-12-14T22:40:00Z</cp:lastPrinted>
  <dcterms:created xsi:type="dcterms:W3CDTF">2018-12-14T23:06:00Z</dcterms:created>
  <dcterms:modified xsi:type="dcterms:W3CDTF">2018-12-14T23:06:00Z</dcterms:modified>
</cp:coreProperties>
</file>