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21"/>
          <w:szCs w:val="21"/>
          <w:u w:val="single"/>
          <w:lang w:val="en-US"/>
        </w:rPr>
      </w:pPr>
      <w:r>
        <w:rPr>
          <w:sz w:val="21"/>
          <w:szCs w:val="21"/>
          <w:u w:val="single"/>
          <w:lang w:val="en-US"/>
        </w:rPr>
        <w:t>What do manuscript traditions tell us? What don’t they tell us?</w:t>
      </w:r>
    </w:p>
    <w:p>
      <w:pPr>
        <w:jc w:val="center"/>
        <w:rPr>
          <w:sz w:val="21"/>
          <w:szCs w:val="21"/>
          <w:u w:val="single"/>
          <w:lang w:val="en-GB"/>
        </w:rPr>
      </w:pPr>
    </w:p>
    <w:p>
      <w:pPr>
        <w:rPr>
          <w:sz w:val="21"/>
          <w:szCs w:val="21"/>
          <w:lang w:val="en-GB"/>
        </w:rPr>
      </w:pPr>
      <w:r>
        <w:rPr>
          <w:sz w:val="21"/>
          <w:szCs w:val="21"/>
          <w:lang w:val="en-GB"/>
        </w:rPr>
        <w:t>In this paper I shall be examining and discussing w</w:t>
      </w:r>
      <w:r>
        <w:rPr>
          <w:sz w:val="21"/>
          <w:szCs w:val="21"/>
          <w:lang w:val="en-US"/>
        </w:rPr>
        <w:t>hat manuscript traditions tell us</w:t>
      </w:r>
      <w:r>
        <w:rPr>
          <w:sz w:val="21"/>
          <w:szCs w:val="21"/>
          <w:lang w:val="en-GB"/>
        </w:rPr>
        <w:t>, w</w:t>
      </w:r>
      <w:r>
        <w:rPr>
          <w:sz w:val="21"/>
          <w:szCs w:val="21"/>
          <w:lang w:val="en-US"/>
        </w:rPr>
        <w:t>hat don’t they tell us</w:t>
      </w:r>
      <w:r>
        <w:rPr>
          <w:sz w:val="21"/>
          <w:szCs w:val="21"/>
          <w:lang w:val="en-GB"/>
        </w:rPr>
        <w:t>, and the effects of the misinterpretation they have on the contemporary readership and the modern readership. Manuscript tradition is the translation and understanding of the ancient world through written evidence. The most notable of these manuscripts being The Bible</w:t>
      </w:r>
      <w:r>
        <w:rPr>
          <w:rStyle w:val="5"/>
          <w:rFonts w:ascii="Times" w:hAnsi="Times" w:cs="Times"/>
          <w:sz w:val="21"/>
          <w:szCs w:val="21"/>
          <w:lang w:val="en-GB"/>
        </w:rPr>
        <w:footnoteReference w:id="0"/>
      </w:r>
      <w:r>
        <w:rPr>
          <w:sz w:val="21"/>
          <w:szCs w:val="21"/>
          <w:lang w:val="en-GB"/>
        </w:rPr>
        <w:t xml:space="preserve">. </w:t>
      </w:r>
    </w:p>
    <w:p>
      <w:pPr>
        <w:rPr>
          <w:sz w:val="21"/>
          <w:szCs w:val="21"/>
          <w:lang w:val="en-GB"/>
        </w:rPr>
      </w:pPr>
    </w:p>
    <w:p>
      <w:pPr>
        <w:rPr>
          <w:sz w:val="21"/>
          <w:szCs w:val="21"/>
          <w:lang w:val="en-GB"/>
        </w:rPr>
      </w:pPr>
      <w:r>
        <w:rPr>
          <w:sz w:val="21"/>
          <w:szCs w:val="21"/>
          <w:lang w:val="en-GB"/>
        </w:rPr>
        <w:t>One of the largest problems with manuscript tradition is the translations and mistranslations. Over the thousands of year, the large majority of the ancient works have been lost to us from various reasons.</w:t>
      </w:r>
      <w:r>
        <w:rPr>
          <w:rStyle w:val="5"/>
          <w:rFonts w:ascii="Times" w:hAnsi="Times" w:cs="Times"/>
          <w:sz w:val="21"/>
          <w:szCs w:val="21"/>
          <w:lang w:val="en-GB"/>
        </w:rPr>
        <w:footnoteReference w:id="1"/>
      </w:r>
      <w:r>
        <w:rPr>
          <w:sz w:val="21"/>
          <w:szCs w:val="21"/>
          <w:lang w:val="en-GB"/>
        </w:rPr>
        <w:t xml:space="preserve"> This is where the manuscript tradition came from, by copying the ancient sources into manuscripts and preserving their knowledge. Throughout this paper I will be examining the translations of the ancient sources into the manuscripts that we know of. One of the largest margins for error with manuscripts comes in at the phase of translation, this could be down to several factors, such as the translators personal biases, censorship, or even the translator not knowing the correct word to translate into. Any of these factors can contribute to a mistranslating of these sources, which in turn effects our interpretations of the sources. Simple errors can have huge repercussions, by mistranslating a city name, or a number of soldiers, it change history as we know it. I will examine the consequences of mistranslations and their effect with their new meanings. During the essay, I will also address what our interpretation of the ancient world may be without any manuscripts. Hopefully this essay will help to show readers the errors that may appear in manuscripts and how any of these errors can lead to misunderstandings of the ancient world and our reception of them.</w:t>
      </w:r>
    </w:p>
    <w:p>
      <w:pPr>
        <w:rPr>
          <w:sz w:val="21"/>
          <w:szCs w:val="21"/>
          <w:lang w:val="en-GB"/>
        </w:rPr>
      </w:pPr>
    </w:p>
    <w:p>
      <w:pPr>
        <w:rPr>
          <w:sz w:val="21"/>
          <w:szCs w:val="21"/>
          <w:lang w:val="en-GB"/>
        </w:rPr>
      </w:pPr>
    </w:p>
    <w:p>
      <w:pPr>
        <w:rPr>
          <w:sz w:val="21"/>
          <w:szCs w:val="21"/>
          <w:lang w:val="en-GB"/>
        </w:rPr>
      </w:pPr>
    </w:p>
    <w:p>
      <w:pPr>
        <w:rPr>
          <w:sz w:val="21"/>
          <w:szCs w:val="21"/>
          <w:lang w:val="en-GB"/>
        </w:rPr>
      </w:pPr>
    </w:p>
    <w:p>
      <w:pPr>
        <w:rPr>
          <w:sz w:val="21"/>
          <w:szCs w:val="21"/>
          <w:lang w:val="en-GB"/>
        </w:rPr>
      </w:pPr>
    </w:p>
    <w:p>
      <w:pPr>
        <w:rPr>
          <w:sz w:val="21"/>
          <w:szCs w:val="21"/>
          <w:lang w:val="en-GB"/>
        </w:rPr>
      </w:pPr>
    </w:p>
    <w:p>
      <w:pPr>
        <w:rPr>
          <w:sz w:val="21"/>
          <w:szCs w:val="21"/>
          <w:lang w:val="en-GB"/>
        </w:rPr>
      </w:pPr>
      <w:r>
        <w:rPr>
          <w:sz w:val="21"/>
          <w:szCs w:val="21"/>
          <w:lang w:val="en-GB"/>
        </w:rPr>
        <w:t>Bibliography.</w:t>
      </w:r>
    </w:p>
    <w:p>
      <w:pPr>
        <w:rPr>
          <w:rFonts w:hint="default"/>
          <w:sz w:val="21"/>
          <w:szCs w:val="21"/>
        </w:rPr>
      </w:pPr>
    </w:p>
    <w:p>
      <w:pPr>
        <w:rPr>
          <w:rFonts w:hint="default"/>
          <w:sz w:val="21"/>
          <w:szCs w:val="21"/>
          <w:lang w:val="en-GB"/>
        </w:rPr>
      </w:pPr>
      <w:r>
        <w:rPr>
          <w:rFonts w:hint="default"/>
          <w:sz w:val="21"/>
          <w:szCs w:val="21"/>
        </w:rPr>
        <w:t>Smalley,</w:t>
      </w:r>
      <w:r>
        <w:rPr>
          <w:rFonts w:hint="default"/>
          <w:sz w:val="21"/>
          <w:szCs w:val="21"/>
          <w:lang w:val="en-GB"/>
        </w:rPr>
        <w:t xml:space="preserve"> B. 1983.</w:t>
      </w:r>
      <w:r>
        <w:rPr>
          <w:rFonts w:hint="default"/>
          <w:sz w:val="21"/>
          <w:szCs w:val="21"/>
        </w:rPr>
        <w:t xml:space="preserve"> The Study of the Bible in the Middle Ages. 3rd ed. Oxford</w:t>
      </w:r>
      <w:r>
        <w:rPr>
          <w:rFonts w:hint="default"/>
          <w:sz w:val="21"/>
          <w:szCs w:val="21"/>
          <w:lang w:val="en-GB"/>
        </w:rPr>
        <w:t>.</w:t>
      </w:r>
    </w:p>
    <w:p>
      <w:pPr>
        <w:rPr>
          <w:rFonts w:hint="default"/>
          <w:sz w:val="21"/>
          <w:szCs w:val="21"/>
          <w:lang w:val="en-GB"/>
        </w:rPr>
      </w:pPr>
    </w:p>
    <w:p>
      <w:pPr>
        <w:rPr>
          <w:rFonts w:hint="default"/>
          <w:sz w:val="21"/>
          <w:szCs w:val="21"/>
        </w:rPr>
      </w:pPr>
      <w:r>
        <w:rPr>
          <w:sz w:val="21"/>
          <w:szCs w:val="21"/>
        </w:rPr>
        <w:t>Weitzman, M. 1987. The Evolution of Manuscript Traditions.</w:t>
      </w:r>
      <w:r>
        <w:rPr>
          <w:rFonts w:hint="default"/>
          <w:sz w:val="21"/>
          <w:szCs w:val="21"/>
        </w:rPr>
        <w:t> Journal of the Royal Statistical Society. Series A (General),150(4), 287-308</w:t>
      </w:r>
    </w:p>
    <w:p>
      <w:pPr>
        <w:rPr>
          <w:rFonts w:hint="default" w:ascii="Arial" w:hAnsi="Arial" w:eastAsia="SimSun" w:cs="Arial"/>
          <w:i w:val="0"/>
          <w:caps w:val="0"/>
          <w:color w:val="333333"/>
          <w:spacing w:val="0"/>
          <w:sz w:val="21"/>
          <w:szCs w:val="21"/>
          <w:shd w:val="clear" w:fill="FFFFFF"/>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MS Mincho">
    <w:panose1 w:val="02020609040205080304"/>
    <w:charset w:val="4E"/>
    <w:family w:val="auto"/>
    <w:pitch w:val="default"/>
    <w:sig w:usb0="E00002FF" w:usb1="6AC7FDFB" w:usb2="00000012" w:usb3="00000000" w:csb0="4002009F" w:csb1="DFD70000"/>
  </w:font>
  <w:font w:name="Lucida Grande">
    <w:altName w:val="Segoe Print"/>
    <w:panose1 w:val="020B0600040502020204"/>
    <w:charset w:val="00"/>
    <w:family w:val="auto"/>
    <w:pitch w:val="default"/>
    <w:sig w:usb0="00000000" w:usb1="00000000" w:usb2="00000000" w:usb3="00000000" w:csb0="000001BF" w:csb1="00000000"/>
  </w:font>
  <w:font w:name="Times">
    <w:altName w:val="Times New Roman"/>
    <w:panose1 w:val="02000500000000000000"/>
    <w:charset w:val="00"/>
    <w:family w:val="auto"/>
    <w:pitch w:val="default"/>
    <w:sig w:usb0="00000000" w:usb1="00000000" w:usb2="00000000" w:usb3="00000000" w:csb0="00000001" w:csb1="00000000"/>
  </w:font>
  <w:font w:name="-webkit-standard">
    <w:altName w:val="Times New Roman"/>
    <w:panose1 w:val="00000000000000000000"/>
    <w:charset w:val="00"/>
    <w:family w:val="roman"/>
    <w:pitch w:val="default"/>
    <w:sig w:usb0="00000000" w:usb1="00000000" w:usb2="00000000" w:usb3="00000000" w:csb0="00000000" w:csb1="00000000"/>
  </w:font>
  <w:font w:name="MS Gothic">
    <w:panose1 w:val="020B0609070205080204"/>
    <w:charset w:val="4E"/>
    <w:family w:val="auto"/>
    <w:pitch w:val="default"/>
    <w:sig w:usb0="E00002FF" w:usb1="6AC7FDFB" w:usb2="00000012" w:usb3="00000000" w:csb0="4002009F" w:csb1="DFD70000"/>
  </w:font>
  <w:font w:name="MS Mincho">
    <w:panose1 w:val="02020609040205080304"/>
    <w:charset w:val="80"/>
    <w:family w:val="auto"/>
    <w:pitch w:val="default"/>
    <w:sig w:usb0="E00002FF" w:usb1="6AC7FDFB" w:usb2="00000012" w:usb3="00000000" w:csb0="4002009F" w:csb1="DFD7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rPr>
          <w:sz w:val="21"/>
          <w:szCs w:val="21"/>
        </w:rPr>
      </w:pPr>
      <w:r>
        <w:rPr>
          <w:rStyle w:val="5"/>
          <w:sz w:val="21"/>
          <w:szCs w:val="21"/>
        </w:rPr>
        <w:footnoteRef/>
      </w:r>
      <w:r>
        <w:rPr>
          <w:sz w:val="21"/>
          <w:szCs w:val="21"/>
        </w:rPr>
        <w:t xml:space="preserve"> </w:t>
      </w:r>
      <w:r>
        <w:rPr>
          <w:rFonts w:hint="default"/>
          <w:sz w:val="21"/>
          <w:szCs w:val="21"/>
        </w:rPr>
        <w:t>Smalley,</w:t>
      </w:r>
      <w:r>
        <w:rPr>
          <w:rFonts w:hint="default"/>
          <w:sz w:val="21"/>
          <w:szCs w:val="21"/>
          <w:lang w:val="en-GB"/>
        </w:rPr>
        <w:t xml:space="preserve"> B. 1983.</w:t>
      </w:r>
      <w:bookmarkStart w:id="0" w:name="_GoBack"/>
      <w:bookmarkEnd w:id="0"/>
    </w:p>
  </w:footnote>
  <w:footnote w:id="1">
    <w:p>
      <w:pPr>
        <w:rPr>
          <w:sz w:val="21"/>
          <w:szCs w:val="21"/>
        </w:rPr>
      </w:pPr>
      <w:r>
        <w:rPr>
          <w:rStyle w:val="5"/>
          <w:sz w:val="21"/>
          <w:szCs w:val="21"/>
        </w:rPr>
        <w:footnoteRef/>
      </w:r>
      <w:r>
        <w:rPr>
          <w:sz w:val="21"/>
          <w:szCs w:val="21"/>
        </w:rPr>
        <w:t xml:space="preserve"> Weitzman, M. 1987.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81A498E"/>
    <w:rsid w:val="181A498E"/>
    <w:rsid w:val="3890361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character" w:default="1" w:styleId="4">
    <w:name w:val="Default Paragraph Font"/>
    <w:semiHidden/>
    <w:qFormat/>
    <w:uiPriority w:val="0"/>
  </w:style>
  <w:style w:type="table" w:default="1" w:styleId="6">
    <w:name w:val="Normal Table"/>
    <w:semiHidden/>
    <w:qFormat/>
    <w:uiPriority w:val="0"/>
    <w:tblPr>
      <w:tblLayout w:type="fixed"/>
      <w:tblCellMar>
        <w:top w:w="0" w:type="dxa"/>
        <w:left w:w="108" w:type="dxa"/>
        <w:bottom w:w="0" w:type="dxa"/>
        <w:right w:w="108" w:type="dxa"/>
      </w:tblCellMar>
    </w:tblPr>
  </w:style>
  <w:style w:type="paragraph" w:styleId="3">
    <w:name w:val="footnote text"/>
    <w:basedOn w:val="1"/>
    <w:uiPriority w:val="0"/>
    <w:pPr>
      <w:snapToGrid w:val="0"/>
      <w:jc w:val="left"/>
    </w:pPr>
    <w:rPr>
      <w:sz w:val="18"/>
      <w:szCs w:val="18"/>
    </w:rPr>
  </w:style>
  <w:style w:type="character" w:styleId="5">
    <w:name w:val="footnote reference"/>
    <w:basedOn w:val="4"/>
    <w:uiPriority w:val="0"/>
    <w:rPr>
      <w:vertAlign w:val="superscript"/>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2017-11-21T17:19:00Z</dcterms:created>
  <dc:creator>Jeff</dc:creator>
  <cp:lastModifiedBy>Jeff</cp:lastModifiedBy>
  <dcterms:modified xsi:type="dcterms:W3CDTF">2017-11-28T00:05:34Z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