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2D8FA" w14:textId="54F78FD7" w:rsidR="00E52F7F" w:rsidRDefault="009F384C" w:rsidP="00AD75C0">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object w:dxaOrig="3900" w:dyaOrig="816" w14:anchorId="385620A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95pt;height:40.8pt" o:ole="">
            <v:imagedata r:id="rId7" o:title=""/>
          </v:shape>
          <o:OLEObject Type="Embed" ProgID="Package" ShapeID="_x0000_i1026" DrawAspect="Content" ObjectID="_1835504760" r:id="rId8"/>
        </w:object>
      </w:r>
      <w:r w:rsidR="00EC3DE6">
        <w:rPr>
          <w:rFonts w:ascii="Arial" w:eastAsia="Times New Roman" w:hAnsi="Arial" w:cs="Arial"/>
          <w:b/>
          <w:bCs/>
          <w:kern w:val="36"/>
        </w:rPr>
        <w:object w:dxaOrig="2185" w:dyaOrig="816" w14:anchorId="0FC813B9">
          <v:shape id="_x0000_i1025" type="#_x0000_t75" style="width:109.2pt;height:40.8pt" o:ole="">
            <v:imagedata r:id="rId9" o:title=""/>
          </v:shape>
          <o:OLEObject Type="Embed" ProgID="Package" ShapeID="_x0000_i1025" DrawAspect="Content" ObjectID="_1835504761" r:id="rId10"/>
        </w:object>
      </w:r>
    </w:p>
    <w:p w14:paraId="1DF2D8FB" w14:textId="77777777" w:rsidR="00E52F7F" w:rsidRDefault="00044730" w:rsidP="00044730">
      <w:pPr>
        <w:spacing w:before="100" w:beforeAutospacing="1" w:after="100" w:afterAutospacing="1" w:line="360" w:lineRule="auto"/>
        <w:ind w:left="2160"/>
        <w:jc w:val="both"/>
        <w:outlineLvl w:val="0"/>
        <w:rPr>
          <w:rFonts w:ascii="Arial" w:eastAsia="Times New Roman" w:hAnsi="Arial" w:cs="Arial"/>
          <w:b/>
          <w:bCs/>
          <w:kern w:val="36"/>
        </w:rPr>
      </w:pPr>
      <w:r>
        <w:rPr>
          <w:rFonts w:ascii="Arial" w:eastAsia="Times New Roman" w:hAnsi="Arial" w:cs="Arial"/>
          <w:b/>
          <w:bCs/>
          <w:noProof/>
          <w:kern w:val="36"/>
        </w:rPr>
        <w:drawing>
          <wp:inline distT="0" distB="0" distL="0" distR="0" wp14:anchorId="1DF2D999" wp14:editId="1DF2D99A">
            <wp:extent cx="2792095" cy="1158240"/>
            <wp:effectExtent l="0" t="0" r="825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14:paraId="1DF2D8FC"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tbl>
      <w:tblPr>
        <w:tblStyle w:val="TableGrid"/>
        <w:tblW w:w="0" w:type="auto"/>
        <w:tblInd w:w="1440" w:type="dxa"/>
        <w:tblLook w:val="04A0" w:firstRow="1" w:lastRow="0" w:firstColumn="1" w:lastColumn="0" w:noHBand="0" w:noVBand="1"/>
      </w:tblPr>
      <w:tblGrid>
        <w:gridCol w:w="7910"/>
      </w:tblGrid>
      <w:tr w:rsidR="00044730" w:rsidRPr="003E0C47" w14:paraId="1DF2D8FE" w14:textId="77777777" w:rsidTr="002E4262">
        <w:tc>
          <w:tcPr>
            <w:tcW w:w="9350" w:type="dxa"/>
          </w:tcPr>
          <w:p w14:paraId="1DF2D8FD" w14:textId="783468AC" w:rsidR="00044730" w:rsidRPr="003E0C47" w:rsidRDefault="00044730" w:rsidP="002E4262">
            <w:pPr>
              <w:spacing w:before="100" w:beforeAutospacing="1" w:after="100" w:afterAutospacing="1" w:line="360" w:lineRule="auto"/>
              <w:outlineLvl w:val="1"/>
              <w:rPr>
                <w:rFonts w:ascii="Arial" w:eastAsia="Times New Roman" w:hAnsi="Arial" w:cs="Arial"/>
                <w:b/>
                <w:bCs/>
                <w:sz w:val="32"/>
                <w:szCs w:val="32"/>
              </w:rPr>
            </w:pPr>
            <w:proofErr w:type="gramStart"/>
            <w:r w:rsidRPr="003E0C47">
              <w:rPr>
                <w:rFonts w:ascii="Arial" w:eastAsia="Times New Roman" w:hAnsi="Arial" w:cs="Arial"/>
                <w:b/>
                <w:bCs/>
                <w:sz w:val="32"/>
                <w:szCs w:val="32"/>
              </w:rPr>
              <w:t>Name :</w:t>
            </w:r>
            <w:proofErr w:type="gramEnd"/>
            <w:r w:rsidRPr="003E0C47">
              <w:rPr>
                <w:rFonts w:ascii="Arial" w:eastAsia="Times New Roman" w:hAnsi="Arial" w:cs="Arial"/>
                <w:b/>
                <w:bCs/>
                <w:sz w:val="32"/>
                <w:szCs w:val="32"/>
              </w:rPr>
              <w:tab/>
            </w:r>
            <w:r w:rsidR="003D3F86">
              <w:rPr>
                <w:rFonts w:ascii="Arial" w:eastAsia="Times New Roman" w:hAnsi="Arial" w:cs="Arial"/>
                <w:b/>
                <w:bCs/>
                <w:sz w:val="32"/>
                <w:szCs w:val="32"/>
              </w:rPr>
              <w:t>Rabia Ahmed</w:t>
            </w:r>
          </w:p>
        </w:tc>
      </w:tr>
      <w:tr w:rsidR="00044730" w:rsidRPr="003E0C47" w14:paraId="1DF2D900" w14:textId="77777777" w:rsidTr="002E4262">
        <w:tc>
          <w:tcPr>
            <w:tcW w:w="9350" w:type="dxa"/>
          </w:tcPr>
          <w:p w14:paraId="1DF2D8FF" w14:textId="039BB761" w:rsidR="00044730" w:rsidRPr="003E0C47" w:rsidRDefault="00044730" w:rsidP="002E4262">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 xml:space="preserve">Student </w:t>
            </w:r>
            <w:proofErr w:type="gramStart"/>
            <w:r w:rsidRPr="003E0C47">
              <w:rPr>
                <w:rFonts w:ascii="Arial" w:eastAsia="Times New Roman" w:hAnsi="Arial" w:cs="Arial"/>
                <w:b/>
                <w:bCs/>
                <w:sz w:val="32"/>
                <w:szCs w:val="32"/>
              </w:rPr>
              <w:t>no :</w:t>
            </w:r>
            <w:proofErr w:type="gramEnd"/>
            <w:r w:rsidR="003D3F86">
              <w:rPr>
                <w:rFonts w:ascii="Arial" w:eastAsia="Times New Roman" w:hAnsi="Arial" w:cs="Arial"/>
                <w:b/>
                <w:bCs/>
                <w:sz w:val="32"/>
                <w:szCs w:val="32"/>
              </w:rPr>
              <w:t xml:space="preserve"> 2321114</w:t>
            </w:r>
          </w:p>
        </w:tc>
      </w:tr>
      <w:tr w:rsidR="00044730" w:rsidRPr="003E0C47" w14:paraId="1DF2D902" w14:textId="77777777" w:rsidTr="002E4262">
        <w:tc>
          <w:tcPr>
            <w:tcW w:w="9350" w:type="dxa"/>
          </w:tcPr>
          <w:p w14:paraId="1DF2D901" w14:textId="77777777" w:rsidR="00044730" w:rsidRPr="009E5842" w:rsidRDefault="00044730" w:rsidP="002E4262">
            <w:pPr>
              <w:spacing w:before="100" w:beforeAutospacing="1" w:after="100" w:afterAutospacing="1" w:line="360" w:lineRule="auto"/>
              <w:outlineLvl w:val="1"/>
              <w:rPr>
                <w:rFonts w:ascii="Arial" w:hAnsi="Arial" w:cs="Arial"/>
                <w:b/>
                <w:sz w:val="28"/>
                <w:szCs w:val="28"/>
              </w:rPr>
            </w:pPr>
            <w:proofErr w:type="gramStart"/>
            <w:r w:rsidRPr="003E0C47">
              <w:rPr>
                <w:rFonts w:ascii="Arial" w:eastAsia="Times New Roman" w:hAnsi="Arial" w:cs="Arial"/>
                <w:b/>
                <w:bCs/>
                <w:sz w:val="32"/>
                <w:szCs w:val="32"/>
              </w:rPr>
              <w:t>Module :</w:t>
            </w:r>
            <w:proofErr w:type="gramEnd"/>
            <w:r w:rsidRPr="003E0C47">
              <w:rPr>
                <w:rFonts w:ascii="Arial" w:eastAsia="Times New Roman" w:hAnsi="Arial" w:cs="Arial"/>
                <w:b/>
                <w:bCs/>
                <w:sz w:val="32"/>
                <w:szCs w:val="32"/>
              </w:rPr>
              <w:t xml:space="preserve">   </w:t>
            </w:r>
            <w:r w:rsidRPr="00AE7554">
              <w:rPr>
                <w:rFonts w:ascii="Arial" w:hAnsi="Arial" w:cs="Arial"/>
                <w:b/>
                <w:sz w:val="28"/>
                <w:szCs w:val="28"/>
              </w:rPr>
              <w:t>Changemakers: Creativity and Value Creation</w:t>
            </w:r>
            <w:r>
              <w:t xml:space="preserve"> </w:t>
            </w:r>
            <w:r w:rsidRPr="003E0C47">
              <w:rPr>
                <w:rFonts w:ascii="Arial" w:eastAsia="Times New Roman" w:hAnsi="Arial" w:cs="Arial"/>
                <w:b/>
                <w:bCs/>
                <w:sz w:val="32"/>
                <w:szCs w:val="32"/>
              </w:rPr>
              <w:t xml:space="preserve">   </w:t>
            </w:r>
          </w:p>
        </w:tc>
      </w:tr>
      <w:tr w:rsidR="00044730" w:rsidRPr="003E0C47" w14:paraId="1DF2D904" w14:textId="77777777" w:rsidTr="002E4262">
        <w:tc>
          <w:tcPr>
            <w:tcW w:w="9350" w:type="dxa"/>
          </w:tcPr>
          <w:p w14:paraId="1DF2D903" w14:textId="77777777" w:rsidR="00044730" w:rsidRPr="003E0C47" w:rsidRDefault="00044730" w:rsidP="002E4262">
            <w:pPr>
              <w:spacing w:before="100" w:beforeAutospacing="1" w:after="100" w:afterAutospacing="1" w:line="360" w:lineRule="auto"/>
              <w:outlineLvl w:val="1"/>
              <w:rPr>
                <w:rFonts w:ascii="Arial" w:eastAsia="Times New Roman" w:hAnsi="Arial" w:cs="Arial"/>
                <w:b/>
                <w:bCs/>
                <w:sz w:val="32"/>
                <w:szCs w:val="32"/>
              </w:rPr>
            </w:pPr>
            <w:r w:rsidRPr="003E0C47">
              <w:rPr>
                <w:rFonts w:ascii="Arial" w:eastAsia="Times New Roman" w:hAnsi="Arial" w:cs="Arial"/>
                <w:b/>
                <w:bCs/>
                <w:sz w:val="32"/>
                <w:szCs w:val="32"/>
              </w:rPr>
              <w:t xml:space="preserve">Module </w:t>
            </w:r>
            <w:proofErr w:type="gramStart"/>
            <w:r w:rsidRPr="003E0C47">
              <w:rPr>
                <w:rFonts w:ascii="Arial" w:eastAsia="Times New Roman" w:hAnsi="Arial" w:cs="Arial"/>
                <w:b/>
                <w:bCs/>
                <w:sz w:val="32"/>
                <w:szCs w:val="32"/>
              </w:rPr>
              <w:t>code :</w:t>
            </w:r>
            <w:proofErr w:type="gramEnd"/>
            <w:r w:rsidRPr="003E0C47">
              <w:rPr>
                <w:rFonts w:ascii="Arial" w:eastAsia="Times New Roman" w:hAnsi="Arial" w:cs="Arial"/>
                <w:b/>
                <w:bCs/>
                <w:sz w:val="32"/>
                <w:szCs w:val="32"/>
              </w:rPr>
              <w:t xml:space="preserve">  </w:t>
            </w:r>
            <w:r w:rsidRPr="00AE7554">
              <w:rPr>
                <w:rFonts w:ascii="Arial" w:hAnsi="Arial" w:cs="Arial"/>
                <w:b/>
                <w:sz w:val="28"/>
                <w:szCs w:val="28"/>
              </w:rPr>
              <w:t>BMHP5014</w:t>
            </w:r>
            <w:r w:rsidRPr="00AE7554">
              <w:rPr>
                <w:rFonts w:ascii="Arial" w:eastAsia="Times New Roman" w:hAnsi="Arial" w:cs="Arial"/>
                <w:b/>
                <w:bCs/>
                <w:sz w:val="28"/>
                <w:szCs w:val="28"/>
              </w:rPr>
              <w:t xml:space="preserve">   </w:t>
            </w:r>
          </w:p>
        </w:tc>
      </w:tr>
      <w:tr w:rsidR="00044730" w:rsidRPr="00AE7554" w14:paraId="1DF2D907" w14:textId="77777777" w:rsidTr="002E4262">
        <w:tc>
          <w:tcPr>
            <w:tcW w:w="9350" w:type="dxa"/>
          </w:tcPr>
          <w:p w14:paraId="1DF2D905" w14:textId="77777777" w:rsidR="00044730" w:rsidRDefault="00044730" w:rsidP="002E4262">
            <w:pPr>
              <w:spacing w:before="100" w:beforeAutospacing="1" w:after="100" w:afterAutospacing="1" w:line="360" w:lineRule="auto"/>
              <w:outlineLvl w:val="1"/>
              <w:rPr>
                <w:rFonts w:ascii="Arial" w:hAnsi="Arial" w:cs="Arial"/>
                <w:b/>
                <w:sz w:val="28"/>
                <w:szCs w:val="28"/>
              </w:rPr>
            </w:pPr>
            <w:r w:rsidRPr="00AE7554">
              <w:rPr>
                <w:rFonts w:ascii="Arial" w:eastAsia="Times New Roman" w:hAnsi="Arial" w:cs="Arial"/>
                <w:b/>
                <w:bCs/>
                <w:sz w:val="28"/>
                <w:szCs w:val="28"/>
              </w:rPr>
              <w:t xml:space="preserve">Assignment </w:t>
            </w:r>
            <w:proofErr w:type="gramStart"/>
            <w:r w:rsidRPr="00AE7554">
              <w:rPr>
                <w:rFonts w:ascii="Arial" w:eastAsia="Times New Roman" w:hAnsi="Arial" w:cs="Arial"/>
                <w:b/>
                <w:bCs/>
                <w:sz w:val="28"/>
                <w:szCs w:val="28"/>
              </w:rPr>
              <w:t>Title :</w:t>
            </w:r>
            <w:proofErr w:type="gramEnd"/>
            <w:r w:rsidRPr="00AE7554">
              <w:rPr>
                <w:rFonts w:ascii="Arial" w:eastAsia="Times New Roman" w:hAnsi="Arial" w:cs="Arial"/>
                <w:b/>
                <w:bCs/>
                <w:sz w:val="28"/>
                <w:szCs w:val="28"/>
              </w:rPr>
              <w:t xml:space="preserve">  </w:t>
            </w:r>
            <w:r w:rsidRPr="00AE7554">
              <w:rPr>
                <w:rFonts w:ascii="Arial" w:hAnsi="Arial" w:cs="Arial"/>
                <w:b/>
                <w:sz w:val="28"/>
                <w:szCs w:val="28"/>
              </w:rPr>
              <w:t>Component 1: Online Portfolio of Set Exercises</w:t>
            </w:r>
          </w:p>
          <w:p w14:paraId="1DF2D906" w14:textId="4C715EC9" w:rsidR="00044730" w:rsidRPr="00AE7554" w:rsidRDefault="00CA46AE" w:rsidP="002E4262">
            <w:pPr>
              <w:spacing w:before="100" w:beforeAutospacing="1" w:after="100" w:afterAutospacing="1" w:line="360" w:lineRule="auto"/>
              <w:outlineLvl w:val="1"/>
              <w:rPr>
                <w:rFonts w:ascii="Arial" w:eastAsia="Times New Roman" w:hAnsi="Arial" w:cs="Arial"/>
                <w:b/>
                <w:bCs/>
                <w:sz w:val="28"/>
                <w:szCs w:val="28"/>
              </w:rPr>
            </w:pPr>
            <w:r>
              <w:rPr>
                <w:rFonts w:ascii="Arial" w:eastAsia="Times New Roman" w:hAnsi="Arial" w:cs="Arial"/>
                <w:b/>
                <w:bCs/>
                <w:sz w:val="28"/>
                <w:szCs w:val="28"/>
              </w:rPr>
              <w:t xml:space="preserve"> </w:t>
            </w:r>
          </w:p>
        </w:tc>
      </w:tr>
    </w:tbl>
    <w:p w14:paraId="1DF2D908"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09"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0A"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0B"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0C"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0D"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0E"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0F"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10"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11" w14:textId="77777777" w:rsidR="00044730" w:rsidRPr="00044730" w:rsidRDefault="00044730" w:rsidP="00044730">
      <w:pPr>
        <w:spacing w:before="100" w:beforeAutospacing="1" w:after="100" w:afterAutospacing="1" w:line="240" w:lineRule="auto"/>
        <w:outlineLvl w:val="0"/>
        <w:rPr>
          <w:rFonts w:ascii="Arial" w:eastAsia="Times New Roman" w:hAnsi="Arial" w:cs="Arial"/>
          <w:b/>
          <w:bCs/>
          <w:kern w:val="36"/>
          <w:sz w:val="24"/>
          <w:szCs w:val="24"/>
        </w:rPr>
      </w:pPr>
      <w:r w:rsidRPr="00044730">
        <w:rPr>
          <w:rFonts w:ascii="Arial" w:eastAsia="Times New Roman" w:hAnsi="Arial" w:cs="Arial"/>
          <w:b/>
          <w:bCs/>
          <w:kern w:val="36"/>
          <w:sz w:val="24"/>
          <w:szCs w:val="24"/>
        </w:rPr>
        <w:t>Table of Contents</w:t>
      </w:r>
    </w:p>
    <w:p w14:paraId="1DF2D912" w14:textId="77777777" w:rsidR="00044730" w:rsidRPr="00044730" w:rsidRDefault="00044730" w:rsidP="00044730">
      <w:pPr>
        <w:spacing w:before="100" w:beforeAutospacing="1" w:after="100" w:afterAutospacing="1" w:line="240" w:lineRule="auto"/>
        <w:rPr>
          <w:rFonts w:ascii="Arial" w:eastAsia="Times New Roman" w:hAnsi="Arial" w:cs="Arial"/>
          <w:sz w:val="24"/>
          <w:szCs w:val="24"/>
        </w:rPr>
      </w:pPr>
      <w:r w:rsidRPr="00044730">
        <w:rPr>
          <w:rFonts w:ascii="Arial" w:eastAsia="Times New Roman" w:hAnsi="Arial" w:cs="Arial"/>
          <w:b/>
          <w:bCs/>
          <w:sz w:val="24"/>
          <w:szCs w:val="24"/>
        </w:rPr>
        <w:t>Introduction</w:t>
      </w:r>
      <w:r w:rsidRPr="00044730">
        <w:rPr>
          <w:rFonts w:ascii="Arial" w:eastAsia="Times New Roman" w:hAnsi="Arial" w:cs="Arial"/>
          <w:sz w:val="24"/>
          <w:szCs w:val="24"/>
        </w:rPr>
        <w:t xml:space="preserve"> .........................................................</w:t>
      </w:r>
      <w:r>
        <w:rPr>
          <w:rFonts w:ascii="Arial" w:eastAsia="Times New Roman" w:hAnsi="Arial" w:cs="Arial"/>
          <w:sz w:val="24"/>
          <w:szCs w:val="24"/>
        </w:rPr>
        <w:t>......................................................</w:t>
      </w:r>
      <w:proofErr w:type="gramStart"/>
      <w:r>
        <w:rPr>
          <w:rFonts w:ascii="Arial" w:eastAsia="Times New Roman" w:hAnsi="Arial" w:cs="Arial"/>
          <w:sz w:val="24"/>
          <w:szCs w:val="24"/>
        </w:rPr>
        <w:t>.....</w:t>
      </w:r>
      <w:proofErr w:type="gramEnd"/>
      <w:r>
        <w:rPr>
          <w:rFonts w:ascii="Arial" w:eastAsia="Times New Roman" w:hAnsi="Arial" w:cs="Arial"/>
          <w:sz w:val="24"/>
          <w:szCs w:val="24"/>
        </w:rPr>
        <w:t>3</w:t>
      </w:r>
    </w:p>
    <w:p w14:paraId="1DF2D913" w14:textId="77777777" w:rsidR="00044730" w:rsidRPr="00044730" w:rsidRDefault="00044730" w:rsidP="00044730">
      <w:pPr>
        <w:spacing w:before="100" w:beforeAutospacing="1" w:after="100" w:afterAutospacing="1" w:line="240" w:lineRule="auto"/>
        <w:rPr>
          <w:rFonts w:ascii="Arial" w:eastAsia="Times New Roman" w:hAnsi="Arial" w:cs="Arial"/>
          <w:sz w:val="24"/>
          <w:szCs w:val="24"/>
        </w:rPr>
      </w:pPr>
      <w:r w:rsidRPr="00044730">
        <w:rPr>
          <w:rFonts w:ascii="Arial" w:eastAsia="Times New Roman" w:hAnsi="Arial" w:cs="Arial"/>
          <w:b/>
          <w:bCs/>
          <w:sz w:val="24"/>
          <w:szCs w:val="24"/>
        </w:rPr>
        <w:t>Task 1 – Concept Map</w:t>
      </w:r>
      <w:r w:rsidRPr="00044730">
        <w:rPr>
          <w:rFonts w:ascii="Arial" w:eastAsia="Times New Roman" w:hAnsi="Arial" w:cs="Arial"/>
          <w:sz w:val="24"/>
          <w:szCs w:val="24"/>
        </w:rPr>
        <w:t xml:space="preserve"> ......................................</w:t>
      </w:r>
      <w:r>
        <w:rPr>
          <w:rFonts w:ascii="Arial" w:eastAsia="Times New Roman" w:hAnsi="Arial" w:cs="Arial"/>
          <w:sz w:val="24"/>
          <w:szCs w:val="24"/>
        </w:rPr>
        <w:t>............................................................ 3</w:t>
      </w:r>
    </w:p>
    <w:p w14:paraId="1DF2D914" w14:textId="77777777" w:rsidR="00044730" w:rsidRPr="00044730" w:rsidRDefault="00044730" w:rsidP="00044730">
      <w:pPr>
        <w:spacing w:before="100" w:beforeAutospacing="1" w:after="100" w:afterAutospacing="1" w:line="240" w:lineRule="auto"/>
        <w:rPr>
          <w:rFonts w:ascii="Arial" w:eastAsia="Times New Roman" w:hAnsi="Arial" w:cs="Arial"/>
          <w:sz w:val="24"/>
          <w:szCs w:val="24"/>
        </w:rPr>
      </w:pPr>
      <w:r w:rsidRPr="00044730">
        <w:rPr>
          <w:rFonts w:ascii="Arial" w:eastAsia="Times New Roman" w:hAnsi="Arial" w:cs="Arial"/>
          <w:b/>
          <w:bCs/>
          <w:sz w:val="24"/>
          <w:szCs w:val="24"/>
        </w:rPr>
        <w:t>Task 2 – Self-Reflection of Group Activity</w:t>
      </w:r>
      <w:r w:rsidRPr="00044730">
        <w:rPr>
          <w:rFonts w:ascii="Arial" w:eastAsia="Times New Roman" w:hAnsi="Arial" w:cs="Arial"/>
          <w:sz w:val="24"/>
          <w:szCs w:val="24"/>
        </w:rPr>
        <w:t xml:space="preserve"> .</w:t>
      </w:r>
      <w:r>
        <w:rPr>
          <w:rFonts w:ascii="Arial" w:eastAsia="Times New Roman" w:hAnsi="Arial" w:cs="Arial"/>
          <w:sz w:val="24"/>
          <w:szCs w:val="24"/>
        </w:rPr>
        <w:t>................................................................ 4</w:t>
      </w:r>
    </w:p>
    <w:p w14:paraId="1DF2D915" w14:textId="77777777" w:rsidR="00044730" w:rsidRPr="00044730" w:rsidRDefault="00044730" w:rsidP="00044730">
      <w:pPr>
        <w:spacing w:before="100" w:beforeAutospacing="1" w:after="100" w:afterAutospacing="1" w:line="240" w:lineRule="auto"/>
        <w:rPr>
          <w:rFonts w:ascii="Arial" w:eastAsia="Times New Roman" w:hAnsi="Arial" w:cs="Arial"/>
          <w:sz w:val="24"/>
          <w:szCs w:val="24"/>
        </w:rPr>
      </w:pPr>
      <w:r w:rsidRPr="00044730">
        <w:rPr>
          <w:rFonts w:ascii="Arial" w:eastAsia="Times New Roman" w:hAnsi="Arial" w:cs="Arial"/>
          <w:b/>
          <w:bCs/>
          <w:sz w:val="24"/>
          <w:szCs w:val="24"/>
        </w:rPr>
        <w:t>Task 3 – Case Study of a UK Innovation: NHS Virtual Wards</w:t>
      </w:r>
      <w:r>
        <w:rPr>
          <w:rFonts w:ascii="Arial" w:eastAsia="Times New Roman" w:hAnsi="Arial" w:cs="Arial"/>
          <w:sz w:val="24"/>
          <w:szCs w:val="24"/>
        </w:rPr>
        <w:t xml:space="preserve"> ....</w:t>
      </w:r>
      <w:r w:rsidR="00D211AD">
        <w:rPr>
          <w:rFonts w:ascii="Arial" w:eastAsia="Times New Roman" w:hAnsi="Arial" w:cs="Arial"/>
          <w:sz w:val="24"/>
          <w:szCs w:val="24"/>
        </w:rPr>
        <w:t>.............................. 6</w:t>
      </w:r>
    </w:p>
    <w:p w14:paraId="1DF2D916" w14:textId="77777777" w:rsidR="00044730" w:rsidRPr="00044730" w:rsidRDefault="00044730" w:rsidP="00044730">
      <w:pPr>
        <w:spacing w:before="100" w:beforeAutospacing="1" w:after="100" w:afterAutospacing="1" w:line="240" w:lineRule="auto"/>
        <w:rPr>
          <w:rFonts w:ascii="Arial" w:eastAsia="Times New Roman" w:hAnsi="Arial" w:cs="Arial"/>
          <w:sz w:val="24"/>
          <w:szCs w:val="24"/>
        </w:rPr>
      </w:pPr>
      <w:r w:rsidRPr="00044730">
        <w:rPr>
          <w:rFonts w:ascii="Arial" w:eastAsia="Times New Roman" w:hAnsi="Arial" w:cs="Arial"/>
          <w:b/>
          <w:bCs/>
          <w:sz w:val="24"/>
          <w:szCs w:val="24"/>
        </w:rPr>
        <w:t>Task 4 – Research Task: Digital Exclusion in Health &amp; Social Care</w:t>
      </w:r>
      <w:r w:rsidR="00D211AD">
        <w:rPr>
          <w:rFonts w:ascii="Arial" w:eastAsia="Times New Roman" w:hAnsi="Arial" w:cs="Arial"/>
          <w:sz w:val="24"/>
          <w:szCs w:val="24"/>
        </w:rPr>
        <w:t xml:space="preserve"> …...……………8</w:t>
      </w:r>
    </w:p>
    <w:p w14:paraId="1DF2D917" w14:textId="77777777" w:rsidR="00D211AD" w:rsidRPr="00D211AD" w:rsidRDefault="00D211AD" w:rsidP="00044730">
      <w:pPr>
        <w:spacing w:before="100" w:beforeAutospacing="1" w:after="100" w:afterAutospacing="1" w:line="240" w:lineRule="auto"/>
        <w:rPr>
          <w:rFonts w:ascii="Arial" w:eastAsia="Times New Roman" w:hAnsi="Arial" w:cs="Arial"/>
          <w:bCs/>
          <w:sz w:val="24"/>
          <w:szCs w:val="24"/>
        </w:rPr>
      </w:pPr>
      <w:r>
        <w:rPr>
          <w:rFonts w:ascii="Arial" w:eastAsia="Times New Roman" w:hAnsi="Arial" w:cs="Arial"/>
          <w:b/>
          <w:bCs/>
          <w:sz w:val="24"/>
          <w:szCs w:val="24"/>
        </w:rPr>
        <w:t>Task 5 – Podcast</w:t>
      </w:r>
      <w:r w:rsidRPr="00D211AD">
        <w:rPr>
          <w:rFonts w:ascii="Arial" w:eastAsia="Times New Roman" w:hAnsi="Arial" w:cs="Arial"/>
          <w:bCs/>
          <w:sz w:val="24"/>
          <w:szCs w:val="24"/>
        </w:rPr>
        <w:t>……………………………………………………………………………….9</w:t>
      </w:r>
    </w:p>
    <w:p w14:paraId="1DF2D918" w14:textId="77777777" w:rsidR="00044730" w:rsidRPr="00044730" w:rsidRDefault="00044730" w:rsidP="00044730">
      <w:pPr>
        <w:spacing w:before="100" w:beforeAutospacing="1" w:after="100" w:afterAutospacing="1" w:line="240" w:lineRule="auto"/>
        <w:rPr>
          <w:rFonts w:ascii="Arial" w:eastAsia="Times New Roman" w:hAnsi="Arial" w:cs="Arial"/>
          <w:sz w:val="24"/>
          <w:szCs w:val="24"/>
        </w:rPr>
      </w:pPr>
      <w:r w:rsidRPr="00044730">
        <w:rPr>
          <w:rFonts w:ascii="Arial" w:eastAsia="Times New Roman" w:hAnsi="Arial" w:cs="Arial"/>
          <w:b/>
          <w:bCs/>
          <w:sz w:val="24"/>
          <w:szCs w:val="24"/>
        </w:rPr>
        <w:t>Task 6 – NHS Leadership Framework Analysis</w:t>
      </w:r>
      <w:r>
        <w:rPr>
          <w:rFonts w:ascii="Arial" w:eastAsia="Times New Roman" w:hAnsi="Arial" w:cs="Arial"/>
          <w:sz w:val="24"/>
          <w:szCs w:val="24"/>
        </w:rPr>
        <w:t xml:space="preserve"> ...........................</w:t>
      </w:r>
      <w:r w:rsidR="00D211AD">
        <w:rPr>
          <w:rFonts w:ascii="Arial" w:eastAsia="Times New Roman" w:hAnsi="Arial" w:cs="Arial"/>
          <w:sz w:val="24"/>
          <w:szCs w:val="24"/>
        </w:rPr>
        <w:t>.............................10</w:t>
      </w:r>
    </w:p>
    <w:p w14:paraId="1DF2D919" w14:textId="77777777" w:rsidR="00044730" w:rsidRPr="00044730" w:rsidRDefault="00044730" w:rsidP="00044730">
      <w:pPr>
        <w:spacing w:before="100" w:beforeAutospacing="1" w:after="100" w:afterAutospacing="1" w:line="240" w:lineRule="auto"/>
        <w:rPr>
          <w:rFonts w:ascii="Arial" w:eastAsia="Times New Roman" w:hAnsi="Arial" w:cs="Arial"/>
          <w:sz w:val="24"/>
          <w:szCs w:val="24"/>
        </w:rPr>
      </w:pPr>
      <w:r w:rsidRPr="00044730">
        <w:rPr>
          <w:rFonts w:ascii="Arial" w:eastAsia="Times New Roman" w:hAnsi="Arial" w:cs="Arial"/>
          <w:b/>
          <w:bCs/>
          <w:sz w:val="24"/>
          <w:szCs w:val="24"/>
        </w:rPr>
        <w:t>Task 7 – Self-Reflection Journal Entry</w:t>
      </w:r>
      <w:r w:rsidRPr="00044730">
        <w:rPr>
          <w:rFonts w:ascii="Arial" w:eastAsia="Times New Roman" w:hAnsi="Arial" w:cs="Arial"/>
          <w:sz w:val="24"/>
          <w:szCs w:val="24"/>
        </w:rPr>
        <w:t xml:space="preserve"> ........</w:t>
      </w:r>
      <w:r>
        <w:rPr>
          <w:rFonts w:ascii="Arial" w:eastAsia="Times New Roman" w:hAnsi="Arial" w:cs="Arial"/>
          <w:sz w:val="24"/>
          <w:szCs w:val="24"/>
        </w:rPr>
        <w:t>.................................</w:t>
      </w:r>
      <w:r w:rsidR="00D211AD">
        <w:rPr>
          <w:rFonts w:ascii="Arial" w:eastAsia="Times New Roman" w:hAnsi="Arial" w:cs="Arial"/>
          <w:sz w:val="24"/>
          <w:szCs w:val="24"/>
        </w:rPr>
        <w:t>.............................11</w:t>
      </w:r>
    </w:p>
    <w:p w14:paraId="1DF2D91A" w14:textId="77777777" w:rsidR="00044730" w:rsidRPr="00044730" w:rsidRDefault="00044730" w:rsidP="00044730">
      <w:pPr>
        <w:spacing w:before="100" w:beforeAutospacing="1" w:after="100" w:afterAutospacing="1" w:line="240" w:lineRule="auto"/>
        <w:rPr>
          <w:rFonts w:ascii="Arial" w:eastAsia="Times New Roman" w:hAnsi="Arial" w:cs="Arial"/>
          <w:sz w:val="24"/>
          <w:szCs w:val="24"/>
        </w:rPr>
      </w:pPr>
      <w:r w:rsidRPr="00044730">
        <w:rPr>
          <w:rFonts w:ascii="Arial" w:eastAsia="Times New Roman" w:hAnsi="Arial" w:cs="Arial"/>
          <w:b/>
          <w:bCs/>
          <w:sz w:val="24"/>
          <w:szCs w:val="24"/>
        </w:rPr>
        <w:t>Conclusion</w:t>
      </w:r>
      <w:r w:rsidRPr="00044730">
        <w:rPr>
          <w:rFonts w:ascii="Arial" w:eastAsia="Times New Roman" w:hAnsi="Arial" w:cs="Arial"/>
          <w:sz w:val="24"/>
          <w:szCs w:val="24"/>
        </w:rPr>
        <w:t xml:space="preserve"> ..........................................................</w:t>
      </w:r>
      <w:r>
        <w:rPr>
          <w:rFonts w:ascii="Arial" w:eastAsia="Times New Roman" w:hAnsi="Arial" w:cs="Arial"/>
          <w:sz w:val="24"/>
          <w:szCs w:val="24"/>
        </w:rPr>
        <w:t>...........................</w:t>
      </w:r>
      <w:r w:rsidR="00D211AD">
        <w:rPr>
          <w:rFonts w:ascii="Arial" w:eastAsia="Times New Roman" w:hAnsi="Arial" w:cs="Arial"/>
          <w:sz w:val="24"/>
          <w:szCs w:val="24"/>
        </w:rPr>
        <w:t>............................. 11</w:t>
      </w:r>
    </w:p>
    <w:p w14:paraId="1DF2D91B" w14:textId="77777777" w:rsidR="00044730" w:rsidRPr="00044730" w:rsidRDefault="00044730" w:rsidP="00044730">
      <w:pPr>
        <w:spacing w:before="100" w:beforeAutospacing="1" w:after="100" w:afterAutospacing="1" w:line="240" w:lineRule="auto"/>
        <w:rPr>
          <w:rFonts w:ascii="Arial" w:eastAsia="Times New Roman" w:hAnsi="Arial" w:cs="Arial"/>
          <w:sz w:val="24"/>
          <w:szCs w:val="24"/>
        </w:rPr>
      </w:pPr>
      <w:r w:rsidRPr="00044730">
        <w:rPr>
          <w:rFonts w:ascii="Arial" w:eastAsia="Times New Roman" w:hAnsi="Arial" w:cs="Arial"/>
          <w:b/>
          <w:bCs/>
          <w:sz w:val="24"/>
          <w:szCs w:val="24"/>
        </w:rPr>
        <w:t>References</w:t>
      </w:r>
      <w:r w:rsidRPr="00044730">
        <w:rPr>
          <w:rFonts w:ascii="Arial" w:eastAsia="Times New Roman" w:hAnsi="Arial" w:cs="Arial"/>
          <w:sz w:val="24"/>
          <w:szCs w:val="24"/>
        </w:rPr>
        <w:t xml:space="preserve"> .............................................................</w:t>
      </w:r>
      <w:r>
        <w:rPr>
          <w:rFonts w:ascii="Arial" w:eastAsia="Times New Roman" w:hAnsi="Arial" w:cs="Arial"/>
          <w:sz w:val="24"/>
          <w:szCs w:val="24"/>
        </w:rPr>
        <w:t>........................</w:t>
      </w:r>
      <w:r w:rsidR="00D211AD">
        <w:rPr>
          <w:rFonts w:ascii="Arial" w:eastAsia="Times New Roman" w:hAnsi="Arial" w:cs="Arial"/>
          <w:sz w:val="24"/>
          <w:szCs w:val="24"/>
        </w:rPr>
        <w:t>............................. 13</w:t>
      </w:r>
    </w:p>
    <w:p w14:paraId="1DF2D91C"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1D"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1E"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1F"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20"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21"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22"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23"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24" w14:textId="77777777" w:rsidR="00E52F7F" w:rsidRDefault="00E52F7F" w:rsidP="00AD75C0">
      <w:pPr>
        <w:spacing w:before="100" w:beforeAutospacing="1" w:after="100" w:afterAutospacing="1" w:line="360" w:lineRule="auto"/>
        <w:jc w:val="both"/>
        <w:outlineLvl w:val="0"/>
        <w:rPr>
          <w:rFonts w:ascii="Arial" w:eastAsia="Times New Roman" w:hAnsi="Arial" w:cs="Arial"/>
          <w:b/>
          <w:bCs/>
          <w:kern w:val="36"/>
        </w:rPr>
      </w:pPr>
    </w:p>
    <w:p w14:paraId="1DF2D925" w14:textId="77777777" w:rsidR="00AD75C0" w:rsidRPr="00AD75C0" w:rsidRDefault="00AD75C0" w:rsidP="00AD75C0">
      <w:pPr>
        <w:spacing w:before="100" w:beforeAutospacing="1" w:after="100" w:afterAutospacing="1" w:line="360" w:lineRule="auto"/>
        <w:jc w:val="both"/>
        <w:outlineLvl w:val="0"/>
        <w:rPr>
          <w:rFonts w:ascii="Arial" w:eastAsia="Times New Roman" w:hAnsi="Arial" w:cs="Arial"/>
          <w:b/>
          <w:bCs/>
          <w:kern w:val="36"/>
        </w:rPr>
      </w:pPr>
      <w:r w:rsidRPr="00AD75C0">
        <w:rPr>
          <w:rFonts w:ascii="Arial" w:eastAsia="Times New Roman" w:hAnsi="Arial" w:cs="Arial"/>
          <w:b/>
          <w:bCs/>
          <w:kern w:val="36"/>
        </w:rPr>
        <w:t xml:space="preserve">Introduction </w:t>
      </w:r>
    </w:p>
    <w:p w14:paraId="1DF2D926"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Creativity, innovation, and value creation are essential for addressing the increasing complexities of modern health and social care systems. Rising patient demand, workforce shortages, and technological advancement require professionals to think adaptively and collaboratively to improve service delivery. This portfolio explores how creativity and leadership interact with contemporary technologies to generate value and enhance patient outcomes. By engaging with reflective exercises, case studies, and research analysis, I have examined practical strategies for fostering innovation, improving efficiency, and promoting inclusive, person-</w:t>
      </w:r>
      <w:proofErr w:type="spellStart"/>
      <w:r w:rsidRPr="00AD75C0">
        <w:rPr>
          <w:rFonts w:ascii="Arial" w:eastAsia="Times New Roman" w:hAnsi="Arial" w:cs="Arial"/>
        </w:rPr>
        <w:t>centred</w:t>
      </w:r>
      <w:proofErr w:type="spellEnd"/>
      <w:r w:rsidRPr="00AD75C0">
        <w:rPr>
          <w:rFonts w:ascii="Arial" w:eastAsia="Times New Roman" w:hAnsi="Arial" w:cs="Arial"/>
        </w:rPr>
        <w:t xml:space="preserve"> care. The portfolio demonstrates the importance of integrating creativity with structured leadership to achieve sustainable health and social care improvements.</w:t>
      </w:r>
    </w:p>
    <w:p w14:paraId="1DF2D927" w14:textId="77777777" w:rsidR="00AD75C0" w:rsidRPr="00AD75C0" w:rsidRDefault="00B50CA3" w:rsidP="00AD75C0">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t xml:space="preserve">Task 1: </w:t>
      </w:r>
      <w:r w:rsidR="00AD75C0" w:rsidRPr="00AD75C0">
        <w:rPr>
          <w:rFonts w:ascii="Arial" w:eastAsia="Times New Roman" w:hAnsi="Arial" w:cs="Arial"/>
          <w:b/>
          <w:bCs/>
          <w:kern w:val="36"/>
        </w:rPr>
        <w:t xml:space="preserve">Concept Map: Creativity, Value Creation and Health and Social Care Improvement </w:t>
      </w:r>
    </w:p>
    <w:p w14:paraId="1DF2D928" w14:textId="77777777" w:rsidR="00044730" w:rsidRDefault="00044730" w:rsidP="00AD75C0">
      <w:pPr>
        <w:spacing w:before="100" w:beforeAutospacing="1" w:after="100" w:afterAutospacing="1" w:line="360" w:lineRule="auto"/>
        <w:jc w:val="both"/>
        <w:rPr>
          <w:rFonts w:ascii="Arial" w:eastAsia="Times New Roman" w:hAnsi="Arial" w:cs="Arial"/>
        </w:rPr>
      </w:pPr>
      <w:r w:rsidRPr="00044730">
        <w:rPr>
          <w:rFonts w:ascii="Arial" w:eastAsia="Times New Roman" w:hAnsi="Arial" w:cs="Arial"/>
          <w:noProof/>
        </w:rPr>
        <w:drawing>
          <wp:inline distT="0" distB="0" distL="0" distR="0" wp14:anchorId="1DF2D99B" wp14:editId="1DF2D99C">
            <wp:extent cx="59436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962400"/>
                    </a:xfrm>
                    <a:prstGeom prst="rect">
                      <a:avLst/>
                    </a:prstGeom>
                  </pic:spPr>
                </pic:pic>
              </a:graphicData>
            </a:graphic>
          </wp:inline>
        </w:drawing>
      </w:r>
    </w:p>
    <w:p w14:paraId="1DF2D929" w14:textId="77777777" w:rsidR="00D211AD" w:rsidRPr="00D211AD" w:rsidRDefault="00D211AD" w:rsidP="00AD75C0">
      <w:pPr>
        <w:spacing w:before="100" w:beforeAutospacing="1" w:after="100" w:afterAutospacing="1" w:line="360" w:lineRule="auto"/>
        <w:jc w:val="both"/>
        <w:rPr>
          <w:rFonts w:ascii="Arial" w:eastAsia="Times New Roman" w:hAnsi="Arial" w:cs="Arial"/>
          <w:b/>
        </w:rPr>
      </w:pPr>
      <w:r>
        <w:rPr>
          <w:rFonts w:ascii="Arial" w:eastAsia="Times New Roman" w:hAnsi="Arial" w:cs="Arial"/>
          <w:b/>
        </w:rPr>
        <w:t xml:space="preserve">                                      </w:t>
      </w:r>
      <w:r w:rsidRPr="00D211AD">
        <w:rPr>
          <w:rFonts w:ascii="Arial" w:eastAsia="Times New Roman" w:hAnsi="Arial" w:cs="Arial"/>
          <w:b/>
        </w:rPr>
        <w:t>(Nembhard and Edmondson, 2022)</w:t>
      </w:r>
    </w:p>
    <w:p w14:paraId="1DF2D92A"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lastRenderedPageBreak/>
        <w:t xml:space="preserve">Creativity is increasingly </w:t>
      </w:r>
      <w:proofErr w:type="spellStart"/>
      <w:r w:rsidRPr="00AD75C0">
        <w:rPr>
          <w:rFonts w:ascii="Arial" w:eastAsia="Times New Roman" w:hAnsi="Arial" w:cs="Arial"/>
        </w:rPr>
        <w:t>recognised</w:t>
      </w:r>
      <w:proofErr w:type="spellEnd"/>
      <w:r w:rsidRPr="00AD75C0">
        <w:rPr>
          <w:rFonts w:ascii="Arial" w:eastAsia="Times New Roman" w:hAnsi="Arial" w:cs="Arial"/>
        </w:rPr>
        <w:t xml:space="preserve"> as a critical capability within health and social care (HSC) systems, particularly as </w:t>
      </w:r>
      <w:proofErr w:type="spellStart"/>
      <w:r w:rsidRPr="00AD75C0">
        <w:rPr>
          <w:rFonts w:ascii="Arial" w:eastAsia="Times New Roman" w:hAnsi="Arial" w:cs="Arial"/>
        </w:rPr>
        <w:t>organisations</w:t>
      </w:r>
      <w:proofErr w:type="spellEnd"/>
      <w:r w:rsidRPr="00AD75C0">
        <w:rPr>
          <w:rFonts w:ascii="Arial" w:eastAsia="Times New Roman" w:hAnsi="Arial" w:cs="Arial"/>
        </w:rPr>
        <w:t xml:space="preserve"> respond to complex pressures such as ageing populations, workforce shortages and growing service demand. In HSC contexts, creativity refers to the ability of professionals and </w:t>
      </w:r>
      <w:proofErr w:type="spellStart"/>
      <w:r w:rsidRPr="00AD75C0">
        <w:rPr>
          <w:rFonts w:ascii="Arial" w:eastAsia="Times New Roman" w:hAnsi="Arial" w:cs="Arial"/>
        </w:rPr>
        <w:t>organisations</w:t>
      </w:r>
      <w:proofErr w:type="spellEnd"/>
      <w:r w:rsidRPr="00AD75C0">
        <w:rPr>
          <w:rFonts w:ascii="Arial" w:eastAsia="Times New Roman" w:hAnsi="Arial" w:cs="Arial"/>
        </w:rPr>
        <w:t xml:space="preserve"> to develop new approaches, processes or ideas that improve the quality and effectiveness of care delivery. Creative thinking supports the redesign of services, the development of innovative care models and the exploration of new ways to address persistent healthcare challenges (Robert et al., 2022).</w:t>
      </w:r>
    </w:p>
    <w:p w14:paraId="1DF2D92B"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 xml:space="preserve">Leadership and collaborative </w:t>
      </w:r>
      <w:proofErr w:type="gramStart"/>
      <w:r w:rsidRPr="00AD75C0">
        <w:rPr>
          <w:rFonts w:ascii="Arial" w:eastAsia="Times New Roman" w:hAnsi="Arial" w:cs="Arial"/>
        </w:rPr>
        <w:t>working</w:t>
      </w:r>
      <w:proofErr w:type="gramEnd"/>
      <w:r w:rsidRPr="00AD75C0">
        <w:rPr>
          <w:rFonts w:ascii="Arial" w:eastAsia="Times New Roman" w:hAnsi="Arial" w:cs="Arial"/>
        </w:rPr>
        <w:t xml:space="preserve"> are important enablers of creativity within healthcare </w:t>
      </w:r>
      <w:proofErr w:type="spellStart"/>
      <w:r w:rsidRPr="00AD75C0">
        <w:rPr>
          <w:rFonts w:ascii="Arial" w:eastAsia="Times New Roman" w:hAnsi="Arial" w:cs="Arial"/>
        </w:rPr>
        <w:t>organisations</w:t>
      </w:r>
      <w:proofErr w:type="spellEnd"/>
      <w:r w:rsidRPr="00AD75C0">
        <w:rPr>
          <w:rFonts w:ascii="Arial" w:eastAsia="Times New Roman" w:hAnsi="Arial" w:cs="Arial"/>
        </w:rPr>
        <w:t>. Research indicates that when leaders promote open communication, teamwork and supportive working environments, staff are more willing to share ideas and experiment with new solutions. Multidisciplinary collaboration also allows professionals from different backgrounds to combine knowledge and perspectives, which can lead to innovative service improvements and more effective problem-solving in clinical practice (Nembhard and Edmondson, 2022).</w:t>
      </w:r>
    </w:p>
    <w:p w14:paraId="1DF2D92C"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 xml:space="preserve">Contemporary digital technologies further strengthen the relationship between creativity and value creation in health and social care. Innovations such as telehealth services, digital health platforms and artificial intelligence-supported decision tools enable healthcare </w:t>
      </w:r>
      <w:proofErr w:type="spellStart"/>
      <w:r w:rsidRPr="00AD75C0">
        <w:rPr>
          <w:rFonts w:ascii="Arial" w:eastAsia="Times New Roman" w:hAnsi="Arial" w:cs="Arial"/>
        </w:rPr>
        <w:t>organisations</w:t>
      </w:r>
      <w:proofErr w:type="spellEnd"/>
      <w:r w:rsidRPr="00AD75C0">
        <w:rPr>
          <w:rFonts w:ascii="Arial" w:eastAsia="Times New Roman" w:hAnsi="Arial" w:cs="Arial"/>
        </w:rPr>
        <w:t xml:space="preserve"> to implement creative solutions that enhance care quality and improve efficiency. These technologies allow professionals to monitor patients more effectively, streamline communication and deliver services in more accessible ways (Cresswell et al., 2023).</w:t>
      </w:r>
    </w:p>
    <w:p w14:paraId="1DF2D92D"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When creative ideas are successfully implemented, they generate value by improving patient outcomes, enhancing service efficiency and supporting more person-</w:t>
      </w:r>
      <w:proofErr w:type="spellStart"/>
      <w:r w:rsidRPr="00AD75C0">
        <w:rPr>
          <w:rFonts w:ascii="Arial" w:eastAsia="Times New Roman" w:hAnsi="Arial" w:cs="Arial"/>
        </w:rPr>
        <w:t>centred</w:t>
      </w:r>
      <w:proofErr w:type="spellEnd"/>
      <w:r w:rsidRPr="00AD75C0">
        <w:rPr>
          <w:rFonts w:ascii="Arial" w:eastAsia="Times New Roman" w:hAnsi="Arial" w:cs="Arial"/>
        </w:rPr>
        <w:t xml:space="preserve"> care. Value creation therefore contributes directly to health and social care improvement, including better access to services, reduced waiting times and improved patient experience. Through the interaction of creativity, leadership, collaboration and technology, healthcare systems can achieve sustainable improvements that address the evolving needs of patients and communities (Robert et al., 2022).</w:t>
      </w:r>
    </w:p>
    <w:p w14:paraId="1DF2D92E" w14:textId="77777777" w:rsidR="00AD75C0" w:rsidRPr="00AD75C0" w:rsidRDefault="00B50CA3" w:rsidP="00AD75C0">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t>Task 2:</w:t>
      </w:r>
      <w:r w:rsidR="00AD75C0" w:rsidRPr="00AD75C0">
        <w:rPr>
          <w:rFonts w:ascii="Arial" w:eastAsia="Times New Roman" w:hAnsi="Arial" w:cs="Arial"/>
          <w:b/>
          <w:bCs/>
          <w:kern w:val="36"/>
        </w:rPr>
        <w:t xml:space="preserve"> Self-Reflection of Group Activity </w:t>
      </w:r>
    </w:p>
    <w:p w14:paraId="1DF2D92F"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b/>
          <w:bCs/>
        </w:rPr>
        <w:t>Reflective Model: Gibbs’ Reflective Cycle</w:t>
      </w:r>
    </w:p>
    <w:p w14:paraId="1DF2D930" w14:textId="77777777" w:rsidR="00AD75C0" w:rsidRPr="00AD75C0" w:rsidRDefault="00AD75C0" w:rsidP="00AD75C0">
      <w:pPr>
        <w:spacing w:before="100" w:beforeAutospacing="1" w:after="100" w:afterAutospacing="1" w:line="360" w:lineRule="auto"/>
        <w:jc w:val="both"/>
        <w:outlineLvl w:val="2"/>
        <w:rPr>
          <w:rFonts w:ascii="Arial" w:eastAsia="Times New Roman" w:hAnsi="Arial" w:cs="Arial"/>
          <w:b/>
          <w:bCs/>
        </w:rPr>
      </w:pPr>
      <w:r w:rsidRPr="00AD75C0">
        <w:rPr>
          <w:rFonts w:ascii="Arial" w:eastAsia="Times New Roman" w:hAnsi="Arial" w:cs="Arial"/>
          <w:b/>
          <w:bCs/>
        </w:rPr>
        <w:t>Description</w:t>
      </w:r>
    </w:p>
    <w:p w14:paraId="1DF2D931" w14:textId="77777777" w:rsid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lastRenderedPageBreak/>
        <w:t>The paperclip activity involved generating multiple creative uses for a simple paperclip using divergent thinking, followed by evaluating the ideas through convergent thinking. During the initial brainstorming phase, the group was encouraged to suggest as many ideas as possible without criticism. At first, I felt slightly hesitant to propose unusual ideas because I was unsure how they would be perceived by other group members. However, as the activity progressed and the group maintained an open and supportive environment, I became more comfortable contributing creative suggestions.</w:t>
      </w:r>
    </w:p>
    <w:p w14:paraId="1DF2D932" w14:textId="77777777" w:rsidR="006D7E53" w:rsidRPr="00AD75C0" w:rsidRDefault="006D7E53" w:rsidP="006D7E53">
      <w:pPr>
        <w:spacing w:before="100" w:beforeAutospacing="1" w:after="100" w:afterAutospacing="1" w:line="360" w:lineRule="auto"/>
        <w:ind w:left="1440"/>
        <w:jc w:val="both"/>
        <w:rPr>
          <w:rFonts w:ascii="Arial" w:eastAsia="Times New Roman" w:hAnsi="Arial" w:cs="Arial"/>
        </w:rPr>
      </w:pPr>
      <w:r w:rsidRPr="006D7E53">
        <w:rPr>
          <w:rFonts w:ascii="Arial" w:eastAsia="Times New Roman" w:hAnsi="Arial" w:cs="Arial"/>
          <w:noProof/>
        </w:rPr>
        <w:drawing>
          <wp:inline distT="0" distB="0" distL="0" distR="0" wp14:anchorId="1DF2D99D" wp14:editId="5B3019BC">
            <wp:extent cx="3409950" cy="2063750"/>
            <wp:effectExtent l="0" t="0" r="0" b="0"/>
            <wp:docPr id="3" name="Picture 3"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Gibbs Reflective Cycle - Free Template Download &amp; Guid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09950" cy="2063750"/>
                    </a:xfrm>
                    <a:prstGeom prst="rect">
                      <a:avLst/>
                    </a:prstGeom>
                    <a:noFill/>
                    <a:ln>
                      <a:noFill/>
                    </a:ln>
                  </pic:spPr>
                </pic:pic>
              </a:graphicData>
            </a:graphic>
          </wp:inline>
        </w:drawing>
      </w:r>
    </w:p>
    <w:p w14:paraId="1DF2D933" w14:textId="77777777" w:rsidR="006D7E53" w:rsidRDefault="006D7E53" w:rsidP="00AD75C0">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(Channell, 2025) </w:t>
      </w:r>
    </w:p>
    <w:p w14:paraId="1DF2D934" w14:textId="77777777" w:rsidR="00AD75C0" w:rsidRPr="00AD75C0" w:rsidRDefault="00AD75C0" w:rsidP="00AD75C0">
      <w:pPr>
        <w:spacing w:before="100" w:beforeAutospacing="1" w:after="100" w:afterAutospacing="1" w:line="360" w:lineRule="auto"/>
        <w:jc w:val="both"/>
        <w:outlineLvl w:val="2"/>
        <w:rPr>
          <w:rFonts w:ascii="Arial" w:eastAsia="Times New Roman" w:hAnsi="Arial" w:cs="Arial"/>
          <w:b/>
          <w:bCs/>
        </w:rPr>
      </w:pPr>
      <w:r w:rsidRPr="00AD75C0">
        <w:rPr>
          <w:rFonts w:ascii="Arial" w:eastAsia="Times New Roman" w:hAnsi="Arial" w:cs="Arial"/>
          <w:b/>
          <w:bCs/>
        </w:rPr>
        <w:t>Feelings</w:t>
      </w:r>
    </w:p>
    <w:p w14:paraId="1DF2D935"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 xml:space="preserve">Initially, I experienced some uncertainty about sharing unconventional ideas. However, once the group atmosphere became more relaxed and collaborative, I felt more confident and engaged in the activity. The positive group interaction encouraged participation and helped me </w:t>
      </w:r>
      <w:proofErr w:type="spellStart"/>
      <w:r w:rsidRPr="00AD75C0">
        <w:rPr>
          <w:rFonts w:ascii="Arial" w:eastAsia="Times New Roman" w:hAnsi="Arial" w:cs="Arial"/>
        </w:rPr>
        <w:t>realise</w:t>
      </w:r>
      <w:proofErr w:type="spellEnd"/>
      <w:r w:rsidRPr="00AD75C0">
        <w:rPr>
          <w:rFonts w:ascii="Arial" w:eastAsia="Times New Roman" w:hAnsi="Arial" w:cs="Arial"/>
        </w:rPr>
        <w:t xml:space="preserve"> the importance of supportive teamwork in creative processes.</w:t>
      </w:r>
    </w:p>
    <w:p w14:paraId="1DF2D936" w14:textId="77777777" w:rsidR="00AD75C0" w:rsidRPr="00AD75C0" w:rsidRDefault="00AD75C0" w:rsidP="00AD75C0">
      <w:pPr>
        <w:spacing w:before="100" w:beforeAutospacing="1" w:after="100" w:afterAutospacing="1" w:line="360" w:lineRule="auto"/>
        <w:jc w:val="both"/>
        <w:outlineLvl w:val="2"/>
        <w:rPr>
          <w:rFonts w:ascii="Arial" w:eastAsia="Times New Roman" w:hAnsi="Arial" w:cs="Arial"/>
          <w:b/>
          <w:bCs/>
        </w:rPr>
      </w:pPr>
      <w:r w:rsidRPr="00AD75C0">
        <w:rPr>
          <w:rFonts w:ascii="Arial" w:eastAsia="Times New Roman" w:hAnsi="Arial" w:cs="Arial"/>
          <w:b/>
          <w:bCs/>
        </w:rPr>
        <w:t>Evaluation</w:t>
      </w:r>
    </w:p>
    <w:p w14:paraId="1DF2D937"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The activity was effective in demonstrating how separating idea generation from evaluation can improve creativity. Divergent thinking allowed the group to produce a wide range of ideas, while the convergent phase helped identify which ideas were realistic and useful. This structured approach encouraged creative thinking while still ensuring practical outcomes.</w:t>
      </w:r>
    </w:p>
    <w:p w14:paraId="1DF2D938" w14:textId="77777777" w:rsidR="00AD75C0" w:rsidRPr="00AD75C0" w:rsidRDefault="00AD75C0" w:rsidP="00AD75C0">
      <w:pPr>
        <w:spacing w:before="100" w:beforeAutospacing="1" w:after="100" w:afterAutospacing="1" w:line="360" w:lineRule="auto"/>
        <w:jc w:val="both"/>
        <w:outlineLvl w:val="2"/>
        <w:rPr>
          <w:rFonts w:ascii="Arial" w:eastAsia="Times New Roman" w:hAnsi="Arial" w:cs="Arial"/>
          <w:b/>
          <w:bCs/>
        </w:rPr>
      </w:pPr>
      <w:r w:rsidRPr="00AD75C0">
        <w:rPr>
          <w:rFonts w:ascii="Arial" w:eastAsia="Times New Roman" w:hAnsi="Arial" w:cs="Arial"/>
          <w:b/>
          <w:bCs/>
        </w:rPr>
        <w:t>Analysis</w:t>
      </w:r>
    </w:p>
    <w:p w14:paraId="1DF2D939" w14:textId="77777777" w:rsid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lastRenderedPageBreak/>
        <w:t>The exercise reflected real-world health and social care teamwork, where professionals must explore several potential solutions before selecting the most appropriate intervention. Research indicates that reflective learning and collaborative activities enhance critical thinking and creativity among healthcare</w:t>
      </w:r>
      <w:r w:rsidR="008E73BE">
        <w:rPr>
          <w:rFonts w:ascii="Arial" w:eastAsia="Times New Roman" w:hAnsi="Arial" w:cs="Arial"/>
        </w:rPr>
        <w:t xml:space="preserve"> professionals and students (Bjo</w:t>
      </w:r>
      <w:r w:rsidRPr="00AD75C0">
        <w:rPr>
          <w:rFonts w:ascii="Arial" w:eastAsia="Times New Roman" w:hAnsi="Arial" w:cs="Arial"/>
        </w:rPr>
        <w:t>rk et al., 2022). These approaches support better problem-solving and decision-making in complex care environments.</w:t>
      </w:r>
    </w:p>
    <w:p w14:paraId="1DF2D93A" w14:textId="77777777" w:rsidR="006D7E53" w:rsidRDefault="006D7E53" w:rsidP="00AD75C0">
      <w:pPr>
        <w:spacing w:before="100" w:beforeAutospacing="1" w:after="100" w:afterAutospacing="1" w:line="360" w:lineRule="auto"/>
        <w:jc w:val="both"/>
        <w:rPr>
          <w:rFonts w:ascii="Arial" w:eastAsia="Times New Roman" w:hAnsi="Arial" w:cs="Arial"/>
          <w:b/>
        </w:rPr>
      </w:pPr>
      <w:r w:rsidRPr="006D7E53">
        <w:rPr>
          <w:rFonts w:ascii="Arial" w:eastAsia="Times New Roman" w:hAnsi="Arial" w:cs="Arial"/>
          <w:b/>
        </w:rPr>
        <w:t>Conclusion</w:t>
      </w:r>
    </w:p>
    <w:p w14:paraId="1DF2D93B" w14:textId="77777777" w:rsidR="006D7E53" w:rsidRPr="00AD75C0" w:rsidRDefault="006D7E53" w:rsidP="00AD75C0">
      <w:pPr>
        <w:spacing w:before="100" w:beforeAutospacing="1" w:after="100" w:afterAutospacing="1" w:line="360" w:lineRule="auto"/>
        <w:jc w:val="both"/>
        <w:rPr>
          <w:rFonts w:ascii="Arial" w:eastAsia="Times New Roman" w:hAnsi="Arial" w:cs="Arial"/>
        </w:rPr>
      </w:pPr>
      <w:r w:rsidRPr="006D7E53">
        <w:rPr>
          <w:rFonts w:ascii="Arial" w:eastAsia="Times New Roman" w:hAnsi="Arial" w:cs="Arial"/>
        </w:rPr>
        <w:t xml:space="preserve">Creativity in professional settings is a systematic process that involves deliberate thought and planning, rather than just sudden bursts of inspiration. </w:t>
      </w:r>
    </w:p>
    <w:p w14:paraId="1DF2D93C" w14:textId="77777777" w:rsidR="00AD75C0" w:rsidRPr="00AD75C0" w:rsidRDefault="00AD75C0" w:rsidP="00AD75C0">
      <w:pPr>
        <w:spacing w:before="100" w:beforeAutospacing="1" w:after="100" w:afterAutospacing="1" w:line="360" w:lineRule="auto"/>
        <w:jc w:val="both"/>
        <w:outlineLvl w:val="2"/>
        <w:rPr>
          <w:rFonts w:ascii="Arial" w:eastAsia="Times New Roman" w:hAnsi="Arial" w:cs="Arial"/>
          <w:b/>
          <w:bCs/>
        </w:rPr>
      </w:pPr>
      <w:r w:rsidRPr="00AD75C0">
        <w:rPr>
          <w:rFonts w:ascii="Arial" w:eastAsia="Times New Roman" w:hAnsi="Arial" w:cs="Arial"/>
          <w:b/>
          <w:bCs/>
        </w:rPr>
        <w:t>Action Plan</w:t>
      </w:r>
    </w:p>
    <w:p w14:paraId="1DF2D93D"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In future professional practice, I will apply similar creative thinking strategies when working in multidisciplinary teams. Encouraging open discussion and allowing time for idea exploration can support innovative problem-solving and contribute to improved patient care and service delivery.</w:t>
      </w:r>
    </w:p>
    <w:p w14:paraId="1DF2D93E" w14:textId="77777777" w:rsidR="00AD75C0" w:rsidRPr="00AD75C0" w:rsidRDefault="00B50CA3" w:rsidP="00AD75C0">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t xml:space="preserve">Task 3: </w:t>
      </w:r>
      <w:r w:rsidR="00AD75C0" w:rsidRPr="00AD75C0">
        <w:rPr>
          <w:rFonts w:ascii="Arial" w:eastAsia="Times New Roman" w:hAnsi="Arial" w:cs="Arial"/>
          <w:b/>
          <w:bCs/>
          <w:kern w:val="36"/>
        </w:rPr>
        <w:t xml:space="preserve">Case Study of a UK Innovation </w:t>
      </w:r>
    </w:p>
    <w:p w14:paraId="1DF2D93F"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b/>
          <w:bCs/>
        </w:rPr>
        <w:t>Case Study: NHS Virtual Wards</w:t>
      </w:r>
    </w:p>
    <w:p w14:paraId="1DF2D940" w14:textId="77777777" w:rsidR="00AD75C0" w:rsidRPr="00AD75C0" w:rsidRDefault="00AD75C0" w:rsidP="00AD75C0">
      <w:pPr>
        <w:spacing w:before="100" w:beforeAutospacing="1" w:after="100" w:afterAutospacing="1" w:line="360" w:lineRule="auto"/>
        <w:jc w:val="both"/>
        <w:outlineLvl w:val="1"/>
        <w:rPr>
          <w:rFonts w:ascii="Arial" w:eastAsia="Times New Roman" w:hAnsi="Arial" w:cs="Arial"/>
          <w:b/>
          <w:bCs/>
        </w:rPr>
      </w:pPr>
      <w:r w:rsidRPr="00AD75C0">
        <w:rPr>
          <w:rFonts w:ascii="Arial" w:eastAsia="Times New Roman" w:hAnsi="Arial" w:cs="Arial"/>
          <w:b/>
          <w:bCs/>
        </w:rPr>
        <w:t>Introduction</w:t>
      </w:r>
    </w:p>
    <w:p w14:paraId="1DF2D941"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 xml:space="preserve">Health and social care services in the United Kingdom are experiencing increasing pressure due to rising patient demand, ageing populations and limited hospital capacity. To respond to these challenges, NHS England introduced the </w:t>
      </w:r>
      <w:r w:rsidRPr="008E73BE">
        <w:rPr>
          <w:rFonts w:ascii="Arial" w:eastAsia="Times New Roman" w:hAnsi="Arial" w:cs="Arial"/>
          <w:bCs/>
        </w:rPr>
        <w:t xml:space="preserve">Virtual Wards </w:t>
      </w:r>
      <w:proofErr w:type="spellStart"/>
      <w:r w:rsidRPr="008E73BE">
        <w:rPr>
          <w:rFonts w:ascii="Arial" w:eastAsia="Times New Roman" w:hAnsi="Arial" w:cs="Arial"/>
          <w:bCs/>
        </w:rPr>
        <w:t>programme</w:t>
      </w:r>
      <w:proofErr w:type="spellEnd"/>
      <w:r w:rsidRPr="00AD75C0">
        <w:rPr>
          <w:rFonts w:ascii="Arial" w:eastAsia="Times New Roman" w:hAnsi="Arial" w:cs="Arial"/>
        </w:rPr>
        <w:t>, an innovative model designed to deliver hospital-level care to patients in their own homes. Virtual wards use remote monitoring technologies and multidisciplinary teams to manage patients safely outside traditional hospital settings. This model aims to improve patient outcomes while reducing hospital admissions and easing pressure on acute healthcare services (</w:t>
      </w:r>
      <w:proofErr w:type="spellStart"/>
      <w:r w:rsidRPr="00AD75C0">
        <w:rPr>
          <w:rFonts w:ascii="Arial" w:eastAsia="Times New Roman" w:hAnsi="Arial" w:cs="Arial"/>
        </w:rPr>
        <w:t>Vindrola-Padros</w:t>
      </w:r>
      <w:proofErr w:type="spellEnd"/>
      <w:r w:rsidRPr="00AD75C0">
        <w:rPr>
          <w:rFonts w:ascii="Arial" w:eastAsia="Times New Roman" w:hAnsi="Arial" w:cs="Arial"/>
        </w:rPr>
        <w:t xml:space="preserve"> et al., 2022).</w:t>
      </w:r>
    </w:p>
    <w:p w14:paraId="1DF2D942" w14:textId="77777777" w:rsidR="00AD75C0" w:rsidRPr="00AD75C0" w:rsidRDefault="00AD75C0" w:rsidP="00AD75C0">
      <w:pPr>
        <w:spacing w:before="100" w:beforeAutospacing="1" w:after="100" w:afterAutospacing="1" w:line="360" w:lineRule="auto"/>
        <w:jc w:val="both"/>
        <w:outlineLvl w:val="1"/>
        <w:rPr>
          <w:rFonts w:ascii="Arial" w:eastAsia="Times New Roman" w:hAnsi="Arial" w:cs="Arial"/>
          <w:b/>
          <w:bCs/>
        </w:rPr>
      </w:pPr>
      <w:r w:rsidRPr="00AD75C0">
        <w:rPr>
          <w:rFonts w:ascii="Arial" w:eastAsia="Times New Roman" w:hAnsi="Arial" w:cs="Arial"/>
          <w:b/>
          <w:bCs/>
        </w:rPr>
        <w:t>Creativity and Innovation</w:t>
      </w:r>
    </w:p>
    <w:p w14:paraId="1DF2D943"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 xml:space="preserve">The development of virtual </w:t>
      </w:r>
      <w:proofErr w:type="gramStart"/>
      <w:r w:rsidRPr="00AD75C0">
        <w:rPr>
          <w:rFonts w:ascii="Arial" w:eastAsia="Times New Roman" w:hAnsi="Arial" w:cs="Arial"/>
        </w:rPr>
        <w:t>wards</w:t>
      </w:r>
      <w:proofErr w:type="gramEnd"/>
      <w:r w:rsidRPr="00AD75C0">
        <w:rPr>
          <w:rFonts w:ascii="Arial" w:eastAsia="Times New Roman" w:hAnsi="Arial" w:cs="Arial"/>
        </w:rPr>
        <w:t xml:space="preserve"> represents a creative redesign of healthcare delivery. Traditionally, patients requiring continuous monitoring or treatment would remain in hospital beds for extended periods. The virtual ward model challenges this conventional approach by integrating </w:t>
      </w:r>
      <w:r w:rsidRPr="00AD75C0">
        <w:rPr>
          <w:rFonts w:ascii="Arial" w:eastAsia="Times New Roman" w:hAnsi="Arial" w:cs="Arial"/>
        </w:rPr>
        <w:lastRenderedPageBreak/>
        <w:t>digital health technologies, remote monitoring devices and virtual consultations to support patients at home.</w:t>
      </w:r>
    </w:p>
    <w:p w14:paraId="1DF2D944"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 xml:space="preserve">Healthcare professionals monitor patient data such as vital signs and symptoms using digital platforms, enabling clinicians to detect early signs of deterioration and intervene quickly. Multidisciplinary </w:t>
      </w:r>
      <w:proofErr w:type="gramStart"/>
      <w:r w:rsidRPr="00AD75C0">
        <w:rPr>
          <w:rFonts w:ascii="Arial" w:eastAsia="Times New Roman" w:hAnsi="Arial" w:cs="Arial"/>
        </w:rPr>
        <w:t>teams</w:t>
      </w:r>
      <w:proofErr w:type="gramEnd"/>
      <w:r w:rsidRPr="00AD75C0">
        <w:rPr>
          <w:rFonts w:ascii="Arial" w:eastAsia="Times New Roman" w:hAnsi="Arial" w:cs="Arial"/>
        </w:rPr>
        <w:t xml:space="preserve"> including nurses, doctors and allied health </w:t>
      </w:r>
      <w:proofErr w:type="gramStart"/>
      <w:r w:rsidRPr="00AD75C0">
        <w:rPr>
          <w:rFonts w:ascii="Arial" w:eastAsia="Times New Roman" w:hAnsi="Arial" w:cs="Arial"/>
        </w:rPr>
        <w:t>professionals</w:t>
      </w:r>
      <w:proofErr w:type="gramEnd"/>
      <w:r w:rsidRPr="00AD75C0">
        <w:rPr>
          <w:rFonts w:ascii="Arial" w:eastAsia="Times New Roman" w:hAnsi="Arial" w:cs="Arial"/>
        </w:rPr>
        <w:t xml:space="preserve"> collaborate to review patient data and provide clinical support through remote consultations or home visits. This approach demonstrates how creative thinking and digital innovation can transform healthcare services and improve efficiency (Leong et al., 2023).</w:t>
      </w:r>
    </w:p>
    <w:p w14:paraId="1DF2D945" w14:textId="77777777" w:rsidR="00D211AD" w:rsidRPr="00D211AD" w:rsidRDefault="00D211AD" w:rsidP="00D211AD">
      <w:pPr>
        <w:spacing w:before="100" w:beforeAutospacing="1" w:after="100" w:afterAutospacing="1" w:line="360" w:lineRule="auto"/>
        <w:jc w:val="both"/>
        <w:outlineLvl w:val="2"/>
        <w:rPr>
          <w:rFonts w:ascii="Arial" w:eastAsia="Times New Roman" w:hAnsi="Arial" w:cs="Arial"/>
          <w:b/>
          <w:bCs/>
        </w:rPr>
      </w:pPr>
      <w:r w:rsidRPr="00D211AD">
        <w:rPr>
          <w:rFonts w:ascii="Arial" w:eastAsia="Times New Roman" w:hAnsi="Arial" w:cs="Arial"/>
          <w:b/>
          <w:bCs/>
        </w:rPr>
        <w:t>Value Creation</w:t>
      </w:r>
    </w:p>
    <w:p w14:paraId="1DF2D946" w14:textId="77777777" w:rsidR="00D211AD" w:rsidRPr="00D211AD" w:rsidRDefault="00D211AD" w:rsidP="00D211AD">
      <w:pPr>
        <w:spacing w:before="100" w:beforeAutospacing="1" w:after="100" w:afterAutospacing="1" w:line="360" w:lineRule="auto"/>
        <w:jc w:val="both"/>
        <w:rPr>
          <w:rFonts w:ascii="Arial" w:eastAsia="Times New Roman" w:hAnsi="Arial" w:cs="Arial"/>
        </w:rPr>
      </w:pPr>
      <w:r w:rsidRPr="00D211AD">
        <w:rPr>
          <w:rFonts w:ascii="Arial" w:eastAsia="Times New Roman" w:hAnsi="Arial" w:cs="Arial"/>
        </w:rPr>
        <w:t xml:space="preserve">The Virtual Wards initiative has created significant value for both patients and healthcare </w:t>
      </w:r>
      <w:proofErr w:type="spellStart"/>
      <w:r w:rsidRPr="00D211AD">
        <w:rPr>
          <w:rFonts w:ascii="Arial" w:eastAsia="Times New Roman" w:hAnsi="Arial" w:cs="Arial"/>
        </w:rPr>
        <w:t>organisations</w:t>
      </w:r>
      <w:proofErr w:type="spellEnd"/>
      <w:r w:rsidRPr="00D211AD">
        <w:rPr>
          <w:rFonts w:ascii="Arial" w:eastAsia="Times New Roman" w:hAnsi="Arial" w:cs="Arial"/>
        </w:rPr>
        <w:t>. Patients benefit from receiving care in familiar home environments, which can improve comfort, independence and recovery experiences. Additionally, remote monitoring allows healthcare teams to provide proactive care, identifying potential health risks before conditions worsen. Evidence suggests that digital-supported home care models improve patient engagement and enable earlier intervention, which contributes to better clinical outcomes (Gonçalves-Bradley et al., 2023).</w:t>
      </w:r>
    </w:p>
    <w:p w14:paraId="1DF2D947" w14:textId="77777777" w:rsidR="00D211AD" w:rsidRPr="00D211AD" w:rsidRDefault="00D211AD" w:rsidP="00D211AD">
      <w:pPr>
        <w:spacing w:before="100" w:beforeAutospacing="1" w:after="100" w:afterAutospacing="1" w:line="360" w:lineRule="auto"/>
        <w:jc w:val="both"/>
        <w:rPr>
          <w:rFonts w:ascii="Arial" w:eastAsia="Times New Roman" w:hAnsi="Arial" w:cs="Arial"/>
        </w:rPr>
      </w:pPr>
      <w:r w:rsidRPr="00D211AD">
        <w:rPr>
          <w:rFonts w:ascii="Arial" w:eastAsia="Times New Roman" w:hAnsi="Arial" w:cs="Arial"/>
        </w:rPr>
        <w:t xml:space="preserve">From a system perspective, virtual </w:t>
      </w:r>
      <w:proofErr w:type="gramStart"/>
      <w:r w:rsidRPr="00D211AD">
        <w:rPr>
          <w:rFonts w:ascii="Arial" w:eastAsia="Times New Roman" w:hAnsi="Arial" w:cs="Arial"/>
        </w:rPr>
        <w:t>wards</w:t>
      </w:r>
      <w:proofErr w:type="gramEnd"/>
      <w:r w:rsidRPr="00D211AD">
        <w:rPr>
          <w:rFonts w:ascii="Arial" w:eastAsia="Times New Roman" w:hAnsi="Arial" w:cs="Arial"/>
        </w:rPr>
        <w:t xml:space="preserve"> help reduce hospital admissions and shorten hospital stays, allowing hospitals to allocate resources more effectively. Research indicates that hospital-at-home models can improve patient satisfaction while maintaining similar or improved clinical outcomes compared with traditional hospital care (</w:t>
      </w:r>
      <w:proofErr w:type="spellStart"/>
      <w:r w:rsidRPr="00D211AD">
        <w:rPr>
          <w:rFonts w:ascii="Arial" w:eastAsia="Times New Roman" w:hAnsi="Arial" w:cs="Arial"/>
        </w:rPr>
        <w:t>Vindrola-Padros</w:t>
      </w:r>
      <w:proofErr w:type="spellEnd"/>
      <w:r w:rsidRPr="00D211AD">
        <w:rPr>
          <w:rFonts w:ascii="Arial" w:eastAsia="Times New Roman" w:hAnsi="Arial" w:cs="Arial"/>
        </w:rPr>
        <w:t xml:space="preserve"> et al., 2022). Furthermore, the use of digital technology improves communication between healthcare professionals and patients, contributing to more coordinated and patient-</w:t>
      </w:r>
      <w:proofErr w:type="spellStart"/>
      <w:r w:rsidRPr="00D211AD">
        <w:rPr>
          <w:rFonts w:ascii="Arial" w:eastAsia="Times New Roman" w:hAnsi="Arial" w:cs="Arial"/>
        </w:rPr>
        <w:t>centred</w:t>
      </w:r>
      <w:proofErr w:type="spellEnd"/>
      <w:r w:rsidRPr="00D211AD">
        <w:rPr>
          <w:rFonts w:ascii="Arial" w:eastAsia="Times New Roman" w:hAnsi="Arial" w:cs="Arial"/>
        </w:rPr>
        <w:t xml:space="preserve"> care. Recent studies also highlight that remote monitoring systems enhance service efficiency and support more sustainable healthcare delivery by reducing pressure on acute hospital services (Hughes et al., 2023).</w:t>
      </w:r>
    </w:p>
    <w:p w14:paraId="1DF2D948" w14:textId="77777777" w:rsidR="00AD75C0" w:rsidRPr="00AD75C0" w:rsidRDefault="00AD75C0" w:rsidP="00AD75C0">
      <w:pPr>
        <w:spacing w:before="100" w:beforeAutospacing="1" w:after="100" w:afterAutospacing="1" w:line="360" w:lineRule="auto"/>
        <w:jc w:val="both"/>
        <w:outlineLvl w:val="1"/>
        <w:rPr>
          <w:rFonts w:ascii="Arial" w:eastAsia="Times New Roman" w:hAnsi="Arial" w:cs="Arial"/>
          <w:b/>
          <w:bCs/>
        </w:rPr>
      </w:pPr>
      <w:r w:rsidRPr="00AD75C0">
        <w:rPr>
          <w:rFonts w:ascii="Arial" w:eastAsia="Times New Roman" w:hAnsi="Arial" w:cs="Arial"/>
          <w:b/>
          <w:bCs/>
        </w:rPr>
        <w:t>Conclusion</w:t>
      </w:r>
    </w:p>
    <w:p w14:paraId="1DF2D949"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 xml:space="preserve">Overall, the NHS Virtual Wards </w:t>
      </w:r>
      <w:proofErr w:type="spellStart"/>
      <w:r w:rsidRPr="00AD75C0">
        <w:rPr>
          <w:rFonts w:ascii="Arial" w:eastAsia="Times New Roman" w:hAnsi="Arial" w:cs="Arial"/>
        </w:rPr>
        <w:t>programme</w:t>
      </w:r>
      <w:proofErr w:type="spellEnd"/>
      <w:r w:rsidRPr="00AD75C0">
        <w:rPr>
          <w:rFonts w:ascii="Arial" w:eastAsia="Times New Roman" w:hAnsi="Arial" w:cs="Arial"/>
        </w:rPr>
        <w:t xml:space="preserve"> demonstrates how creativity and digital technology can drive meaningful improvements in healthcare delivery. By shifting appropriate care from hospitals to patients’ homes, the initiative enhances patient experience while improving efficiency within the healthcare system. The success of this model highlights the importance of innovation, </w:t>
      </w:r>
      <w:r w:rsidRPr="00AD75C0">
        <w:rPr>
          <w:rFonts w:ascii="Arial" w:eastAsia="Times New Roman" w:hAnsi="Arial" w:cs="Arial"/>
        </w:rPr>
        <w:lastRenderedPageBreak/>
        <w:t>collaboration and technology in addressing contemporary challenges within health and social care services.</w:t>
      </w:r>
    </w:p>
    <w:p w14:paraId="1DF2D94A"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4B" w14:textId="77777777" w:rsidR="00AD75C0" w:rsidRPr="00AD75C0" w:rsidRDefault="00B50CA3" w:rsidP="00AD75C0">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t xml:space="preserve">Task 4: </w:t>
      </w:r>
      <w:r w:rsidR="00AD75C0" w:rsidRPr="00AD75C0">
        <w:rPr>
          <w:rFonts w:ascii="Arial" w:eastAsia="Times New Roman" w:hAnsi="Arial" w:cs="Arial"/>
          <w:b/>
          <w:bCs/>
          <w:kern w:val="36"/>
        </w:rPr>
        <w:t xml:space="preserve">Research Task: Digital Exclusion in Health and Social Care </w:t>
      </w:r>
    </w:p>
    <w:p w14:paraId="1DF2D94C" w14:textId="77777777" w:rsid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Access to healthcare is increasingly influenced by digital technologies, but not all populations can benef</w:t>
      </w:r>
      <w:r w:rsidR="008E73BE">
        <w:rPr>
          <w:rFonts w:ascii="Arial" w:eastAsia="Times New Roman" w:hAnsi="Arial" w:cs="Arial"/>
        </w:rPr>
        <w:t xml:space="preserve">it equally. Digital exclusion </w:t>
      </w:r>
      <w:r w:rsidRPr="00AD75C0">
        <w:rPr>
          <w:rFonts w:ascii="Arial" w:eastAsia="Times New Roman" w:hAnsi="Arial" w:cs="Arial"/>
        </w:rPr>
        <w:t>the inability to use digital tools due to lack of</w:t>
      </w:r>
      <w:r w:rsidR="008E73BE">
        <w:rPr>
          <w:rFonts w:ascii="Arial" w:eastAsia="Times New Roman" w:hAnsi="Arial" w:cs="Arial"/>
        </w:rPr>
        <w:t xml:space="preserve"> skills, access, or resources </w:t>
      </w:r>
      <w:r w:rsidRPr="00AD75C0">
        <w:rPr>
          <w:rFonts w:ascii="Arial" w:eastAsia="Times New Roman" w:hAnsi="Arial" w:cs="Arial"/>
        </w:rPr>
        <w:t>has emerged as a significant barrier, particularly for vulnerable groups (Watts, 2020). Two recent studies provide insight into the reasons for this issue.</w:t>
      </w:r>
    </w:p>
    <w:p w14:paraId="1DF2D94D"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b/>
          <w:bCs/>
        </w:rPr>
        <w:t>Watts (2020)</w:t>
      </w:r>
    </w:p>
    <w:p w14:paraId="1DF2D94E" w14:textId="77777777" w:rsidR="00AD75C0" w:rsidRPr="00AD75C0" w:rsidRDefault="00AD75C0" w:rsidP="00AD75C0">
      <w:pPr>
        <w:spacing w:before="100" w:beforeAutospacing="1" w:after="100" w:afterAutospacing="1" w:line="360" w:lineRule="auto"/>
        <w:jc w:val="both"/>
        <w:rPr>
          <w:rFonts w:ascii="Arial" w:eastAsia="Times New Roman" w:hAnsi="Arial" w:cs="Arial"/>
          <w:b/>
          <w:bCs/>
        </w:rPr>
      </w:pPr>
      <w:r w:rsidRPr="00AD75C0">
        <w:rPr>
          <w:rFonts w:ascii="Arial" w:eastAsia="Times New Roman" w:hAnsi="Arial" w:cs="Arial"/>
        </w:rPr>
        <w:t xml:space="preserve">Watts (2020) examined how the rapid expansion of digital health services in the UK during the COVID-19 pandemic highlighted existing inequalities. The study found that older adults, people with lower incomes, and those with limited education were less able to access online health services. Key barriers included lack of digital literacy, inadequate devices, and unreliable internet connectivity. Watts argued that while digital health services can improve efficiency and convenience, these benefits are not experienced equally. Vulnerable populations may therefore face delayed access to care, reduced </w:t>
      </w:r>
      <w:proofErr w:type="spellStart"/>
      <w:r w:rsidRPr="00AD75C0">
        <w:rPr>
          <w:rFonts w:ascii="Arial" w:eastAsia="Times New Roman" w:hAnsi="Arial" w:cs="Arial"/>
        </w:rPr>
        <w:t>utilisation</w:t>
      </w:r>
      <w:proofErr w:type="spellEnd"/>
      <w:r w:rsidRPr="00AD75C0">
        <w:rPr>
          <w:rFonts w:ascii="Arial" w:eastAsia="Times New Roman" w:hAnsi="Arial" w:cs="Arial"/>
        </w:rPr>
        <w:t xml:space="preserve"> of services, and poorer health outcomes, making digital exclusion a structural problem in modern health systems.</w:t>
      </w:r>
    </w:p>
    <w:p w14:paraId="1DF2D94F" w14:textId="77777777" w:rsidR="00AD75C0" w:rsidRDefault="00AD75C0" w:rsidP="00AD75C0">
      <w:pPr>
        <w:spacing w:before="100" w:beforeAutospacing="1" w:after="100" w:afterAutospacing="1" w:line="360" w:lineRule="auto"/>
        <w:jc w:val="both"/>
        <w:rPr>
          <w:rFonts w:ascii="Arial" w:eastAsia="Times New Roman" w:hAnsi="Arial" w:cs="Arial"/>
          <w:b/>
          <w:bCs/>
        </w:rPr>
      </w:pPr>
      <w:proofErr w:type="spellStart"/>
      <w:r w:rsidRPr="00AD75C0">
        <w:rPr>
          <w:rFonts w:ascii="Arial" w:eastAsia="Times New Roman" w:hAnsi="Arial" w:cs="Arial"/>
          <w:b/>
          <w:bCs/>
        </w:rPr>
        <w:t>Spanakis</w:t>
      </w:r>
      <w:proofErr w:type="spellEnd"/>
      <w:r w:rsidRPr="00AD75C0">
        <w:rPr>
          <w:rFonts w:ascii="Arial" w:eastAsia="Times New Roman" w:hAnsi="Arial" w:cs="Arial"/>
          <w:b/>
          <w:bCs/>
        </w:rPr>
        <w:t xml:space="preserve"> et al. (2022)</w:t>
      </w:r>
    </w:p>
    <w:p w14:paraId="1DF2D950" w14:textId="77777777" w:rsidR="00AD75C0" w:rsidRPr="00AD75C0" w:rsidRDefault="00AD75C0" w:rsidP="00AD75C0">
      <w:pPr>
        <w:spacing w:before="100" w:beforeAutospacing="1" w:after="100" w:afterAutospacing="1" w:line="360" w:lineRule="auto"/>
        <w:jc w:val="both"/>
        <w:rPr>
          <w:rFonts w:ascii="Arial" w:eastAsia="Times New Roman" w:hAnsi="Arial" w:cs="Arial"/>
          <w:b/>
          <w:bCs/>
        </w:rPr>
      </w:pPr>
      <w:proofErr w:type="spellStart"/>
      <w:r w:rsidRPr="00AD75C0">
        <w:rPr>
          <w:rFonts w:ascii="Arial" w:eastAsia="Times New Roman" w:hAnsi="Arial" w:cs="Arial"/>
        </w:rPr>
        <w:t>Spanakis</w:t>
      </w:r>
      <w:proofErr w:type="spellEnd"/>
      <w:r w:rsidRPr="00AD75C0">
        <w:rPr>
          <w:rFonts w:ascii="Arial" w:eastAsia="Times New Roman" w:hAnsi="Arial" w:cs="Arial"/>
        </w:rPr>
        <w:t xml:space="preserve"> et al. (2022) explored how digital exclusion affects access to mental health services. Their research highlighted that individuals from socioeconomically disadvantaged backgrounds often encounter multiple barriers, including limited access to devices, insufficient internet coverage, and lack of skills to use digital platforms. The study also </w:t>
      </w:r>
      <w:proofErr w:type="spellStart"/>
      <w:r w:rsidRPr="00AD75C0">
        <w:rPr>
          <w:rFonts w:ascii="Arial" w:eastAsia="Times New Roman" w:hAnsi="Arial" w:cs="Arial"/>
        </w:rPr>
        <w:t>emphasised</w:t>
      </w:r>
      <w:proofErr w:type="spellEnd"/>
      <w:r w:rsidRPr="00AD75C0">
        <w:rPr>
          <w:rFonts w:ascii="Arial" w:eastAsia="Times New Roman" w:hAnsi="Arial" w:cs="Arial"/>
        </w:rPr>
        <w:t xml:space="preserve"> cultural and attitudinal factors that discourage engagement with online services, such as mistrust of technology or stigma associated with seeking help. These combined factors mean that those most in need of support may struggle to access digital mental health services, exacerbating existing inequalities.</w:t>
      </w:r>
    </w:p>
    <w:p w14:paraId="1DF2D951"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b/>
          <w:bCs/>
        </w:rPr>
        <w:t>Conclusion</w:t>
      </w:r>
      <w:r w:rsidRPr="00AD75C0">
        <w:rPr>
          <w:rFonts w:ascii="Arial" w:eastAsia="Times New Roman" w:hAnsi="Arial" w:cs="Arial"/>
        </w:rPr>
        <w:br/>
        <w:t xml:space="preserve">Together, these studies illustrate that digital exclusion is caused by both structural (financial, </w:t>
      </w:r>
      <w:r w:rsidRPr="00AD75C0">
        <w:rPr>
          <w:rFonts w:ascii="Arial" w:eastAsia="Times New Roman" w:hAnsi="Arial" w:cs="Arial"/>
        </w:rPr>
        <w:lastRenderedPageBreak/>
        <w:t xml:space="preserve">technological) and social (educational, cultural) barriers. Addressing this issue requires healthcare systems to provide digital literacy support, ensure access to devices and internet, and maintain non-digital alternatives for care to prevent widening health inequalities (Watts, 2020; </w:t>
      </w:r>
      <w:proofErr w:type="spellStart"/>
      <w:r w:rsidRPr="00AD75C0">
        <w:rPr>
          <w:rFonts w:ascii="Arial" w:eastAsia="Times New Roman" w:hAnsi="Arial" w:cs="Arial"/>
        </w:rPr>
        <w:t>Spanakis</w:t>
      </w:r>
      <w:proofErr w:type="spellEnd"/>
      <w:r w:rsidRPr="00AD75C0">
        <w:rPr>
          <w:rFonts w:ascii="Arial" w:eastAsia="Times New Roman" w:hAnsi="Arial" w:cs="Arial"/>
        </w:rPr>
        <w:t xml:space="preserve"> et al., 2022).</w:t>
      </w:r>
    </w:p>
    <w:p w14:paraId="1DF2D953" w14:textId="5BC4984F" w:rsidR="00D211AD" w:rsidRPr="00D211AD" w:rsidRDefault="00D211AD" w:rsidP="00AD75C0">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t>Task 5: Podcast</w:t>
      </w:r>
    </w:p>
    <w:p w14:paraId="1DF2D954"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55"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56"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57"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58" w14:textId="09A79924" w:rsidR="00D211AD" w:rsidRDefault="009272B4" w:rsidP="00AD75C0">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object w:dxaOrig="1520" w:dyaOrig="985" w14:anchorId="3142CCA1">
          <v:shape id="_x0000_i1029" type="#_x0000_t75" style="width:76.2pt;height:49.2pt" o:ole="">
            <v:imagedata r:id="rId14" o:title=""/>
          </v:shape>
          <o:OLEObject Type="Embed" ProgID="Package" ShapeID="_x0000_i1029" DrawAspect="Icon" ObjectID="_1835504762" r:id="rId15"/>
        </w:object>
      </w:r>
    </w:p>
    <w:p w14:paraId="1DF2D959"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5A"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5B"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5C"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5D"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5E"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5F"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60"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61"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62"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63"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64"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65" w14:textId="77777777" w:rsidR="00D211AD" w:rsidRDefault="00D211AD" w:rsidP="00AD75C0">
      <w:pPr>
        <w:spacing w:before="100" w:beforeAutospacing="1" w:after="100" w:afterAutospacing="1" w:line="360" w:lineRule="auto"/>
        <w:jc w:val="both"/>
        <w:outlineLvl w:val="0"/>
        <w:rPr>
          <w:rFonts w:ascii="Arial" w:eastAsia="Times New Roman" w:hAnsi="Arial" w:cs="Arial"/>
          <w:b/>
          <w:bCs/>
          <w:kern w:val="36"/>
        </w:rPr>
      </w:pPr>
    </w:p>
    <w:p w14:paraId="1DF2D966" w14:textId="77777777" w:rsidR="00AD75C0" w:rsidRPr="00AD75C0" w:rsidRDefault="00B50CA3" w:rsidP="00AD75C0">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t xml:space="preserve">Task 6: </w:t>
      </w:r>
      <w:r w:rsidR="00AD75C0" w:rsidRPr="00AD75C0">
        <w:rPr>
          <w:rFonts w:ascii="Arial" w:eastAsia="Times New Roman" w:hAnsi="Arial" w:cs="Arial"/>
          <w:b/>
          <w:bCs/>
          <w:kern w:val="36"/>
        </w:rPr>
        <w:t>NHS Leadership Framework Analysis</w:t>
      </w:r>
    </w:p>
    <w:p w14:paraId="1DF2D967" w14:textId="77777777" w:rsidR="00AD75C0" w:rsidRPr="00AD75C0" w:rsidRDefault="00AD75C0" w:rsidP="00AD75C0">
      <w:pPr>
        <w:spacing w:before="100" w:beforeAutospacing="1" w:after="100" w:afterAutospacing="1" w:line="360" w:lineRule="auto"/>
        <w:jc w:val="both"/>
        <w:outlineLvl w:val="1"/>
        <w:rPr>
          <w:rFonts w:ascii="Arial" w:eastAsia="Times New Roman" w:hAnsi="Arial" w:cs="Arial"/>
          <w:b/>
          <w:bCs/>
        </w:rPr>
      </w:pPr>
      <w:r w:rsidRPr="00AD75C0">
        <w:rPr>
          <w:rFonts w:ascii="Arial" w:eastAsia="Times New Roman" w:hAnsi="Arial" w:cs="Arial"/>
          <w:b/>
          <w:bCs/>
        </w:rPr>
        <w:t xml:space="preserve">Summary of the NHS Leadership Framework </w:t>
      </w:r>
    </w:p>
    <w:p w14:paraId="1DF2D968"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 xml:space="preserve">The NHS Leadership Framework provides a structured guide for effective leadership across all levels of health and social care </w:t>
      </w:r>
      <w:proofErr w:type="spellStart"/>
      <w:r w:rsidRPr="00AD75C0">
        <w:rPr>
          <w:rFonts w:ascii="Arial" w:eastAsia="Times New Roman" w:hAnsi="Arial" w:cs="Arial"/>
        </w:rPr>
        <w:t>organisations</w:t>
      </w:r>
      <w:proofErr w:type="spellEnd"/>
      <w:r w:rsidRPr="00AD75C0">
        <w:rPr>
          <w:rFonts w:ascii="Arial" w:eastAsia="Times New Roman" w:hAnsi="Arial" w:cs="Arial"/>
        </w:rPr>
        <w:t xml:space="preserve"> in the UK. It </w:t>
      </w:r>
      <w:proofErr w:type="spellStart"/>
      <w:r w:rsidRPr="00AD75C0">
        <w:rPr>
          <w:rFonts w:ascii="Arial" w:eastAsia="Times New Roman" w:hAnsi="Arial" w:cs="Arial"/>
        </w:rPr>
        <w:t>emphasises</w:t>
      </w:r>
      <w:proofErr w:type="spellEnd"/>
      <w:r w:rsidRPr="00AD75C0">
        <w:rPr>
          <w:rFonts w:ascii="Arial" w:eastAsia="Times New Roman" w:hAnsi="Arial" w:cs="Arial"/>
        </w:rPr>
        <w:t xml:space="preserve"> that leadership is a shared responsibility, not confined to senior managers, and focuses on developing personal, relational, and </w:t>
      </w:r>
      <w:proofErr w:type="spellStart"/>
      <w:r w:rsidRPr="00AD75C0">
        <w:rPr>
          <w:rFonts w:ascii="Arial" w:eastAsia="Times New Roman" w:hAnsi="Arial" w:cs="Arial"/>
        </w:rPr>
        <w:t>organisational</w:t>
      </w:r>
      <w:proofErr w:type="spellEnd"/>
      <w:r w:rsidRPr="00AD75C0">
        <w:rPr>
          <w:rFonts w:ascii="Arial" w:eastAsia="Times New Roman" w:hAnsi="Arial" w:cs="Arial"/>
        </w:rPr>
        <w:t xml:space="preserve"> competencies. The framework is divided into multiple domains, including </w:t>
      </w:r>
      <w:r w:rsidRPr="008E73BE">
        <w:rPr>
          <w:rFonts w:ascii="Arial" w:eastAsia="Times New Roman" w:hAnsi="Arial" w:cs="Arial"/>
          <w:bCs/>
        </w:rPr>
        <w:t>demonstrating personal qualities, working with others, managing services, improving services, and setting direction</w:t>
      </w:r>
      <w:r w:rsidRPr="00AD75C0">
        <w:rPr>
          <w:rFonts w:ascii="Arial" w:eastAsia="Times New Roman" w:hAnsi="Arial" w:cs="Arial"/>
        </w:rPr>
        <w:t xml:space="preserve">. Each domain outlines specific </w:t>
      </w:r>
      <w:proofErr w:type="spellStart"/>
      <w:r w:rsidRPr="00AD75C0">
        <w:rPr>
          <w:rFonts w:ascii="Arial" w:eastAsia="Times New Roman" w:hAnsi="Arial" w:cs="Arial"/>
        </w:rPr>
        <w:t>behaviours</w:t>
      </w:r>
      <w:proofErr w:type="spellEnd"/>
      <w:r w:rsidRPr="00AD75C0">
        <w:rPr>
          <w:rFonts w:ascii="Arial" w:eastAsia="Times New Roman" w:hAnsi="Arial" w:cs="Arial"/>
        </w:rPr>
        <w:t xml:space="preserve"> and skills that leaders should demonstrate to support high-quality, patient-</w:t>
      </w:r>
      <w:proofErr w:type="spellStart"/>
      <w:r w:rsidRPr="00AD75C0">
        <w:rPr>
          <w:rFonts w:ascii="Arial" w:eastAsia="Times New Roman" w:hAnsi="Arial" w:cs="Arial"/>
        </w:rPr>
        <w:t>centred</w:t>
      </w:r>
      <w:proofErr w:type="spellEnd"/>
      <w:r w:rsidRPr="00AD75C0">
        <w:rPr>
          <w:rFonts w:ascii="Arial" w:eastAsia="Times New Roman" w:hAnsi="Arial" w:cs="Arial"/>
        </w:rPr>
        <w:t xml:space="preserve"> care (West et al., 2022).</w:t>
      </w:r>
    </w:p>
    <w:p w14:paraId="1DF2D969" w14:textId="77777777" w:rsid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 xml:space="preserve">The framework promotes transformational, collaborative and adaptive leadership styles that can respond to the complexities of modern healthcare systems, such as workforce shortages, financial constraints, and technological innovation. It encourages leaders to foster psychological safety, support multidisciplinary teamwork, and engage staff in continuous improvement initiatives. By </w:t>
      </w:r>
      <w:proofErr w:type="spellStart"/>
      <w:r w:rsidRPr="00AD75C0">
        <w:rPr>
          <w:rFonts w:ascii="Arial" w:eastAsia="Times New Roman" w:hAnsi="Arial" w:cs="Arial"/>
        </w:rPr>
        <w:t>emphasising</w:t>
      </w:r>
      <w:proofErr w:type="spellEnd"/>
      <w:r w:rsidRPr="00AD75C0">
        <w:rPr>
          <w:rFonts w:ascii="Arial" w:eastAsia="Times New Roman" w:hAnsi="Arial" w:cs="Arial"/>
        </w:rPr>
        <w:t xml:space="preserve"> evidence-based decision-making, effective communication, and ethical practice, the framework ensures that leadership contributes directly to patient safety, service efficiency, and staff wellbeing (Thapa et al., 2023). Overall, the NHS Leadership Framework serves as a practical tool to guide professional development and </w:t>
      </w:r>
      <w:proofErr w:type="spellStart"/>
      <w:r w:rsidRPr="00AD75C0">
        <w:rPr>
          <w:rFonts w:ascii="Arial" w:eastAsia="Times New Roman" w:hAnsi="Arial" w:cs="Arial"/>
        </w:rPr>
        <w:t>organisational</w:t>
      </w:r>
      <w:proofErr w:type="spellEnd"/>
      <w:r w:rsidRPr="00AD75C0">
        <w:rPr>
          <w:rFonts w:ascii="Arial" w:eastAsia="Times New Roman" w:hAnsi="Arial" w:cs="Arial"/>
        </w:rPr>
        <w:t xml:space="preserve"> improvement while embedding a culture of innovation and accountability.</w:t>
      </w:r>
    </w:p>
    <w:p w14:paraId="1DF2D96A" w14:textId="77777777" w:rsidR="007F3688" w:rsidRPr="007F3688" w:rsidRDefault="007F3688" w:rsidP="007F3688">
      <w:pPr>
        <w:spacing w:before="100" w:beforeAutospacing="1" w:after="100" w:afterAutospacing="1" w:line="360" w:lineRule="auto"/>
        <w:jc w:val="both"/>
        <w:outlineLvl w:val="0"/>
        <w:rPr>
          <w:rFonts w:ascii="Arial" w:eastAsia="Times New Roman" w:hAnsi="Arial" w:cs="Arial"/>
          <w:b/>
          <w:bCs/>
          <w:kern w:val="36"/>
        </w:rPr>
      </w:pPr>
      <w:r w:rsidRPr="007F3688">
        <w:rPr>
          <w:rFonts w:ascii="Arial" w:eastAsia="Times New Roman" w:hAnsi="Arial" w:cs="Arial"/>
          <w:b/>
          <w:bCs/>
          <w:kern w:val="36"/>
        </w:rPr>
        <w:t>Application of “Setting Direction” to Encourage Creativity</w:t>
      </w:r>
    </w:p>
    <w:p w14:paraId="1DF2D96B" w14:textId="77777777" w:rsidR="007F3688" w:rsidRPr="00AD75C0" w:rsidRDefault="007F3688" w:rsidP="00AD75C0">
      <w:pPr>
        <w:spacing w:before="100" w:beforeAutospacing="1" w:after="100" w:afterAutospacing="1" w:line="360" w:lineRule="auto"/>
        <w:jc w:val="both"/>
        <w:rPr>
          <w:rFonts w:ascii="Arial" w:eastAsia="Times New Roman" w:hAnsi="Arial" w:cs="Arial"/>
        </w:rPr>
      </w:pPr>
      <w:r w:rsidRPr="007F3688">
        <w:rPr>
          <w:rFonts w:ascii="Arial" w:eastAsia="Times New Roman" w:hAnsi="Arial" w:cs="Arial"/>
        </w:rPr>
        <w:t xml:space="preserve">The </w:t>
      </w:r>
      <w:r w:rsidRPr="007F3688">
        <w:rPr>
          <w:rFonts w:ascii="Arial" w:eastAsia="Times New Roman" w:hAnsi="Arial" w:cs="Arial"/>
          <w:b/>
          <w:bCs/>
        </w:rPr>
        <w:t>“</w:t>
      </w:r>
      <w:r w:rsidRPr="007F3688">
        <w:rPr>
          <w:rFonts w:ascii="Arial" w:eastAsia="Times New Roman" w:hAnsi="Arial" w:cs="Arial"/>
          <w:bCs/>
        </w:rPr>
        <w:t>Setting Direction</w:t>
      </w:r>
      <w:r w:rsidRPr="007F3688">
        <w:rPr>
          <w:rFonts w:ascii="Arial" w:eastAsia="Times New Roman" w:hAnsi="Arial" w:cs="Arial"/>
          <w:b/>
          <w:bCs/>
        </w:rPr>
        <w:t>”</w:t>
      </w:r>
      <w:r w:rsidRPr="007F3688">
        <w:rPr>
          <w:rFonts w:ascii="Arial" w:eastAsia="Times New Roman" w:hAnsi="Arial" w:cs="Arial"/>
        </w:rPr>
        <w:t xml:space="preserve"> domain focuses on establishing a clear vision, strategic priorities, and motivating teams to achieve high-quality care outcomes. Leaders applying this component can foster creativity by inspiring staff to think innovatively about how services are delivered and by encouraging forward-looking solutions to complex healthcare challenges (West et al., 2022). For example, a service manager aiming to reduce hospital readmissions could set a strategic goal to implement remote patient monitoring. By clearly communicating the vision, outlining objectives, </w:t>
      </w:r>
      <w:r w:rsidRPr="007F3688">
        <w:rPr>
          <w:rFonts w:ascii="Arial" w:eastAsia="Times New Roman" w:hAnsi="Arial" w:cs="Arial"/>
        </w:rPr>
        <w:lastRenderedPageBreak/>
        <w:t xml:space="preserve">and inviting team members to propose new care pathways or technology applications, the leader encourages creative problem-solving. Research shows that visionary leadership, combined with structured </w:t>
      </w:r>
      <w:proofErr w:type="gramStart"/>
      <w:r w:rsidRPr="007F3688">
        <w:rPr>
          <w:rFonts w:ascii="Arial" w:eastAsia="Times New Roman" w:hAnsi="Arial" w:cs="Arial"/>
        </w:rPr>
        <w:t>goal-setting</w:t>
      </w:r>
      <w:proofErr w:type="gramEnd"/>
      <w:r w:rsidRPr="007F3688">
        <w:rPr>
          <w:rFonts w:ascii="Arial" w:eastAsia="Times New Roman" w:hAnsi="Arial" w:cs="Arial"/>
        </w:rPr>
        <w:t xml:space="preserve">, enhances innovation, team engagement, and patient outcomes in NHS settings (Thapa et al., 2023). By linking strategic direction with creative input, leaders can drive sustainable improvements and ensure that innovative ideas are aligned with </w:t>
      </w:r>
      <w:proofErr w:type="spellStart"/>
      <w:r w:rsidRPr="007F3688">
        <w:rPr>
          <w:rFonts w:ascii="Arial" w:eastAsia="Times New Roman" w:hAnsi="Arial" w:cs="Arial"/>
        </w:rPr>
        <w:t>organisational</w:t>
      </w:r>
      <w:proofErr w:type="spellEnd"/>
      <w:r w:rsidRPr="007F3688">
        <w:rPr>
          <w:rFonts w:ascii="Arial" w:eastAsia="Times New Roman" w:hAnsi="Arial" w:cs="Arial"/>
        </w:rPr>
        <w:t xml:space="preserve"> goals.</w:t>
      </w:r>
    </w:p>
    <w:p w14:paraId="1DF2D96C" w14:textId="77777777" w:rsidR="00AD75C0" w:rsidRPr="00AD75C0" w:rsidRDefault="00B50CA3" w:rsidP="00AD75C0">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t xml:space="preserve">Task 7: </w:t>
      </w:r>
      <w:r w:rsidR="00AD75C0" w:rsidRPr="00AD75C0">
        <w:rPr>
          <w:rFonts w:ascii="Arial" w:eastAsia="Times New Roman" w:hAnsi="Arial" w:cs="Arial"/>
          <w:b/>
          <w:bCs/>
          <w:kern w:val="36"/>
        </w:rPr>
        <w:t xml:space="preserve">Self-Reflection Journal Entry </w:t>
      </w:r>
    </w:p>
    <w:p w14:paraId="1DF2D96D" w14:textId="77777777" w:rsidR="00AD75C0" w:rsidRPr="00AD75C0" w:rsidRDefault="00AD75C0" w:rsidP="00AD75C0">
      <w:pPr>
        <w:tabs>
          <w:tab w:val="center" w:pos="4680"/>
        </w:tabs>
        <w:spacing w:before="100" w:beforeAutospacing="1" w:after="100" w:afterAutospacing="1" w:line="360" w:lineRule="auto"/>
        <w:jc w:val="both"/>
        <w:outlineLvl w:val="1"/>
        <w:rPr>
          <w:rFonts w:ascii="Arial" w:eastAsia="Times New Roman" w:hAnsi="Arial" w:cs="Arial"/>
          <w:b/>
          <w:bCs/>
        </w:rPr>
      </w:pPr>
      <w:r w:rsidRPr="00AD75C0">
        <w:rPr>
          <w:rFonts w:ascii="Arial" w:eastAsia="Times New Roman" w:hAnsi="Arial" w:cs="Arial"/>
          <w:b/>
          <w:bCs/>
        </w:rPr>
        <w:t>Introduction</w:t>
      </w:r>
      <w:r w:rsidRPr="00AD75C0">
        <w:rPr>
          <w:rFonts w:ascii="Arial" w:eastAsia="Times New Roman" w:hAnsi="Arial" w:cs="Arial"/>
          <w:b/>
          <w:bCs/>
        </w:rPr>
        <w:tab/>
      </w:r>
    </w:p>
    <w:p w14:paraId="1DF2D96E"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This module has deepened my understanding of the interconnected roles of creativity, value creation, and leadership in health and social care. Initially, I viewed creativity as simply generating new ideas, but engaging with reflective exercises and case studies has shown me that creativity is an ongoing process embedded in problem-solving, clinical decision-making, and collaborative practice (Agarwal et al., 2022).</w:t>
      </w:r>
    </w:p>
    <w:p w14:paraId="1DF2D96F" w14:textId="77777777" w:rsidR="00AD75C0" w:rsidRPr="00AD75C0" w:rsidRDefault="00AD75C0" w:rsidP="00AD75C0">
      <w:pPr>
        <w:spacing w:before="100" w:beforeAutospacing="1" w:after="100" w:afterAutospacing="1" w:line="360" w:lineRule="auto"/>
        <w:jc w:val="both"/>
        <w:outlineLvl w:val="1"/>
        <w:rPr>
          <w:rFonts w:ascii="Arial" w:eastAsia="Times New Roman" w:hAnsi="Arial" w:cs="Arial"/>
          <w:b/>
          <w:bCs/>
        </w:rPr>
      </w:pPr>
      <w:r w:rsidRPr="00AD75C0">
        <w:rPr>
          <w:rFonts w:ascii="Arial" w:eastAsia="Times New Roman" w:hAnsi="Arial" w:cs="Arial"/>
          <w:b/>
          <w:bCs/>
        </w:rPr>
        <w:t>Reflection on Learning</w:t>
      </w:r>
    </w:p>
    <w:p w14:paraId="1DF2D970"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 xml:space="preserve">Participating in the paperclip activity and </w:t>
      </w:r>
      <w:proofErr w:type="spellStart"/>
      <w:r w:rsidRPr="00AD75C0">
        <w:rPr>
          <w:rFonts w:ascii="Arial" w:eastAsia="Times New Roman" w:hAnsi="Arial" w:cs="Arial"/>
        </w:rPr>
        <w:t>analysing</w:t>
      </w:r>
      <w:proofErr w:type="spellEnd"/>
      <w:r w:rsidRPr="00AD75C0">
        <w:rPr>
          <w:rFonts w:ascii="Arial" w:eastAsia="Times New Roman" w:hAnsi="Arial" w:cs="Arial"/>
        </w:rPr>
        <w:t xml:space="preserve"> the NHS Virtual Wards case study demonstrated that innovation requires both divergent thinking and structured evaluation. I observed how leadership </w:t>
      </w:r>
      <w:proofErr w:type="spellStart"/>
      <w:r w:rsidRPr="00AD75C0">
        <w:rPr>
          <w:rFonts w:ascii="Arial" w:eastAsia="Times New Roman" w:hAnsi="Arial" w:cs="Arial"/>
        </w:rPr>
        <w:t>behaviours</w:t>
      </w:r>
      <w:proofErr w:type="spellEnd"/>
      <w:r w:rsidRPr="00AD75C0">
        <w:rPr>
          <w:rFonts w:ascii="Arial" w:eastAsia="Times New Roman" w:hAnsi="Arial" w:cs="Arial"/>
        </w:rPr>
        <w:t xml:space="preserve">, such as fostering psychological safety and multidisciplinary collaboration, directly influence the capacity for creative problem-solving in healthcare teams (Nembhard and Edmondson, 2022). Additionally, exploring barriers to digital healthcare access highlighted the importance of considering equity and </w:t>
      </w:r>
      <w:proofErr w:type="gramStart"/>
      <w:r w:rsidRPr="00AD75C0">
        <w:rPr>
          <w:rFonts w:ascii="Arial" w:eastAsia="Times New Roman" w:hAnsi="Arial" w:cs="Arial"/>
        </w:rPr>
        <w:t>inclusivity</w:t>
      </w:r>
      <w:proofErr w:type="gramEnd"/>
      <w:r w:rsidRPr="00AD75C0">
        <w:rPr>
          <w:rFonts w:ascii="Arial" w:eastAsia="Times New Roman" w:hAnsi="Arial" w:cs="Arial"/>
        </w:rPr>
        <w:t xml:space="preserve"> when implementing innovative solutions.</w:t>
      </w:r>
    </w:p>
    <w:p w14:paraId="1DF2D971" w14:textId="77777777" w:rsidR="00AD75C0" w:rsidRPr="00AD75C0" w:rsidRDefault="00AD75C0" w:rsidP="00AD75C0">
      <w:pPr>
        <w:spacing w:before="100" w:beforeAutospacing="1" w:after="100" w:afterAutospacing="1" w:line="360" w:lineRule="auto"/>
        <w:jc w:val="both"/>
        <w:outlineLvl w:val="1"/>
        <w:rPr>
          <w:rFonts w:ascii="Arial" w:eastAsia="Times New Roman" w:hAnsi="Arial" w:cs="Arial"/>
          <w:b/>
          <w:bCs/>
        </w:rPr>
      </w:pPr>
      <w:r w:rsidRPr="00AD75C0">
        <w:rPr>
          <w:rFonts w:ascii="Arial" w:eastAsia="Times New Roman" w:hAnsi="Arial" w:cs="Arial"/>
          <w:b/>
          <w:bCs/>
        </w:rPr>
        <w:t>Application to Future Practice</w:t>
      </w:r>
    </w:p>
    <w:p w14:paraId="1DF2D972"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t>This module has encouraged me to actively integrate reflection into my professional practice. I plan to use structured reflective methods to evaluate my decisions, foster creativity in team discussions, and ensure that value-driven care remains central to service improvement. Overall, reflective practice not only strengthens my professional judgement but also enhances patient-</w:t>
      </w:r>
      <w:proofErr w:type="spellStart"/>
      <w:r w:rsidRPr="00AD75C0">
        <w:rPr>
          <w:rFonts w:ascii="Arial" w:eastAsia="Times New Roman" w:hAnsi="Arial" w:cs="Arial"/>
        </w:rPr>
        <w:t>centred</w:t>
      </w:r>
      <w:proofErr w:type="spellEnd"/>
      <w:r w:rsidRPr="00AD75C0">
        <w:rPr>
          <w:rFonts w:ascii="Arial" w:eastAsia="Times New Roman" w:hAnsi="Arial" w:cs="Arial"/>
        </w:rPr>
        <w:t xml:space="preserve"> outcomes by enabling adaptive, innovative, and collaborative approaches to complex care challenges.</w:t>
      </w:r>
    </w:p>
    <w:p w14:paraId="1DF2D973" w14:textId="77777777" w:rsidR="00AD75C0" w:rsidRPr="00AD75C0" w:rsidRDefault="00AD75C0" w:rsidP="00AD75C0">
      <w:pPr>
        <w:spacing w:before="100" w:beforeAutospacing="1" w:after="100" w:afterAutospacing="1" w:line="360" w:lineRule="auto"/>
        <w:jc w:val="both"/>
        <w:outlineLvl w:val="0"/>
        <w:rPr>
          <w:rFonts w:ascii="Arial" w:eastAsia="Times New Roman" w:hAnsi="Arial" w:cs="Arial"/>
          <w:b/>
          <w:bCs/>
          <w:kern w:val="36"/>
        </w:rPr>
      </w:pPr>
      <w:r w:rsidRPr="00AD75C0">
        <w:rPr>
          <w:rFonts w:ascii="Arial" w:eastAsia="Times New Roman" w:hAnsi="Arial" w:cs="Arial"/>
          <w:b/>
          <w:bCs/>
          <w:kern w:val="36"/>
        </w:rPr>
        <w:t>Conclusion</w:t>
      </w:r>
    </w:p>
    <w:p w14:paraId="1DF2D974" w14:textId="77777777" w:rsidR="00AD75C0" w:rsidRPr="00AD75C0" w:rsidRDefault="00AD75C0" w:rsidP="00AD75C0">
      <w:pPr>
        <w:spacing w:before="100" w:beforeAutospacing="1" w:after="100" w:afterAutospacing="1" w:line="360" w:lineRule="auto"/>
        <w:jc w:val="both"/>
        <w:rPr>
          <w:rFonts w:ascii="Arial" w:eastAsia="Times New Roman" w:hAnsi="Arial" w:cs="Arial"/>
        </w:rPr>
      </w:pPr>
      <w:r w:rsidRPr="00AD75C0">
        <w:rPr>
          <w:rFonts w:ascii="Arial" w:eastAsia="Times New Roman" w:hAnsi="Arial" w:cs="Arial"/>
        </w:rPr>
        <w:lastRenderedPageBreak/>
        <w:t>Creativity, leadership, and digital innovation are key to improving health and social care services. By fostering collaboration, reflective practice, and inclusive problem-solving, professionals can generate meaningful value and enhance patient outcomes. This portfolio demonstrates that integrating innovation with structured leadership and practical reflection supports efficient, patient-</w:t>
      </w:r>
      <w:proofErr w:type="spellStart"/>
      <w:r w:rsidRPr="00AD75C0">
        <w:rPr>
          <w:rFonts w:ascii="Arial" w:eastAsia="Times New Roman" w:hAnsi="Arial" w:cs="Arial"/>
        </w:rPr>
        <w:t>centred</w:t>
      </w:r>
      <w:proofErr w:type="spellEnd"/>
      <w:r w:rsidRPr="00AD75C0">
        <w:rPr>
          <w:rFonts w:ascii="Arial" w:eastAsia="Times New Roman" w:hAnsi="Arial" w:cs="Arial"/>
        </w:rPr>
        <w:t>, and sustainable care, highlighting the critical role of creativity in addressing contemporary healthcare challenges.</w:t>
      </w:r>
    </w:p>
    <w:p w14:paraId="1DF2D975" w14:textId="77777777" w:rsidR="00D211AD" w:rsidRDefault="00D211AD" w:rsidP="00AD75C0">
      <w:pPr>
        <w:spacing w:line="360" w:lineRule="auto"/>
        <w:jc w:val="both"/>
        <w:rPr>
          <w:rFonts w:ascii="Arial" w:hAnsi="Arial" w:cs="Arial"/>
          <w:b/>
        </w:rPr>
      </w:pPr>
    </w:p>
    <w:p w14:paraId="1DF2D976" w14:textId="77777777" w:rsidR="00D211AD" w:rsidRDefault="00D211AD" w:rsidP="00AD75C0">
      <w:pPr>
        <w:spacing w:line="360" w:lineRule="auto"/>
        <w:jc w:val="both"/>
        <w:rPr>
          <w:rFonts w:ascii="Arial" w:hAnsi="Arial" w:cs="Arial"/>
          <w:b/>
        </w:rPr>
      </w:pPr>
    </w:p>
    <w:p w14:paraId="1DF2D977" w14:textId="77777777" w:rsidR="00D211AD" w:rsidRDefault="00D211AD" w:rsidP="00AD75C0">
      <w:pPr>
        <w:spacing w:line="360" w:lineRule="auto"/>
        <w:jc w:val="both"/>
        <w:rPr>
          <w:rFonts w:ascii="Arial" w:hAnsi="Arial" w:cs="Arial"/>
          <w:b/>
        </w:rPr>
      </w:pPr>
    </w:p>
    <w:p w14:paraId="1DF2D978" w14:textId="77777777" w:rsidR="00D211AD" w:rsidRDefault="00D211AD" w:rsidP="00AD75C0">
      <w:pPr>
        <w:spacing w:line="360" w:lineRule="auto"/>
        <w:jc w:val="both"/>
        <w:rPr>
          <w:rFonts w:ascii="Arial" w:hAnsi="Arial" w:cs="Arial"/>
          <w:b/>
        </w:rPr>
      </w:pPr>
    </w:p>
    <w:p w14:paraId="1DF2D979" w14:textId="77777777" w:rsidR="00D211AD" w:rsidRDefault="00D211AD" w:rsidP="00AD75C0">
      <w:pPr>
        <w:spacing w:line="360" w:lineRule="auto"/>
        <w:jc w:val="both"/>
        <w:rPr>
          <w:rFonts w:ascii="Arial" w:hAnsi="Arial" w:cs="Arial"/>
          <w:b/>
        </w:rPr>
      </w:pPr>
    </w:p>
    <w:p w14:paraId="1DF2D97A" w14:textId="77777777" w:rsidR="00D211AD" w:rsidRDefault="00D211AD" w:rsidP="00AD75C0">
      <w:pPr>
        <w:spacing w:line="360" w:lineRule="auto"/>
        <w:jc w:val="both"/>
        <w:rPr>
          <w:rFonts w:ascii="Arial" w:hAnsi="Arial" w:cs="Arial"/>
          <w:b/>
        </w:rPr>
      </w:pPr>
    </w:p>
    <w:p w14:paraId="1DF2D97B" w14:textId="77777777" w:rsidR="00D211AD" w:rsidRDefault="00D211AD" w:rsidP="00AD75C0">
      <w:pPr>
        <w:spacing w:line="360" w:lineRule="auto"/>
        <w:jc w:val="both"/>
        <w:rPr>
          <w:rFonts w:ascii="Arial" w:hAnsi="Arial" w:cs="Arial"/>
          <w:b/>
        </w:rPr>
      </w:pPr>
    </w:p>
    <w:p w14:paraId="1DF2D97C" w14:textId="77777777" w:rsidR="00D211AD" w:rsidRDefault="00D211AD" w:rsidP="00AD75C0">
      <w:pPr>
        <w:spacing w:line="360" w:lineRule="auto"/>
        <w:jc w:val="both"/>
        <w:rPr>
          <w:rFonts w:ascii="Arial" w:hAnsi="Arial" w:cs="Arial"/>
          <w:b/>
        </w:rPr>
      </w:pPr>
    </w:p>
    <w:p w14:paraId="1DF2D97D" w14:textId="77777777" w:rsidR="00D211AD" w:rsidRDefault="00D211AD" w:rsidP="00AD75C0">
      <w:pPr>
        <w:spacing w:line="360" w:lineRule="auto"/>
        <w:jc w:val="both"/>
        <w:rPr>
          <w:rFonts w:ascii="Arial" w:hAnsi="Arial" w:cs="Arial"/>
          <w:b/>
        </w:rPr>
      </w:pPr>
    </w:p>
    <w:p w14:paraId="1DF2D97E" w14:textId="77777777" w:rsidR="00D211AD" w:rsidRDefault="00D211AD" w:rsidP="00AD75C0">
      <w:pPr>
        <w:spacing w:line="360" w:lineRule="auto"/>
        <w:jc w:val="both"/>
        <w:rPr>
          <w:rFonts w:ascii="Arial" w:hAnsi="Arial" w:cs="Arial"/>
          <w:b/>
        </w:rPr>
      </w:pPr>
    </w:p>
    <w:p w14:paraId="1DF2D97F" w14:textId="77777777" w:rsidR="00D211AD" w:rsidRDefault="00D211AD" w:rsidP="00AD75C0">
      <w:pPr>
        <w:spacing w:line="360" w:lineRule="auto"/>
        <w:jc w:val="both"/>
        <w:rPr>
          <w:rFonts w:ascii="Arial" w:hAnsi="Arial" w:cs="Arial"/>
          <w:b/>
        </w:rPr>
      </w:pPr>
    </w:p>
    <w:p w14:paraId="1DF2D980" w14:textId="77777777" w:rsidR="00D211AD" w:rsidRDefault="00D211AD" w:rsidP="00AD75C0">
      <w:pPr>
        <w:spacing w:line="360" w:lineRule="auto"/>
        <w:jc w:val="both"/>
        <w:rPr>
          <w:rFonts w:ascii="Arial" w:hAnsi="Arial" w:cs="Arial"/>
          <w:b/>
        </w:rPr>
      </w:pPr>
    </w:p>
    <w:p w14:paraId="1DF2D981" w14:textId="77777777" w:rsidR="00D211AD" w:rsidRDefault="00D211AD" w:rsidP="00AD75C0">
      <w:pPr>
        <w:spacing w:line="360" w:lineRule="auto"/>
        <w:jc w:val="both"/>
        <w:rPr>
          <w:rFonts w:ascii="Arial" w:hAnsi="Arial" w:cs="Arial"/>
          <w:b/>
        </w:rPr>
      </w:pPr>
    </w:p>
    <w:p w14:paraId="1DF2D982" w14:textId="77777777" w:rsidR="00D211AD" w:rsidRDefault="00D211AD" w:rsidP="00AD75C0">
      <w:pPr>
        <w:spacing w:line="360" w:lineRule="auto"/>
        <w:jc w:val="both"/>
        <w:rPr>
          <w:rFonts w:ascii="Arial" w:hAnsi="Arial" w:cs="Arial"/>
          <w:b/>
        </w:rPr>
      </w:pPr>
    </w:p>
    <w:p w14:paraId="1DF2D983" w14:textId="77777777" w:rsidR="00D211AD" w:rsidRDefault="00D211AD" w:rsidP="00AD75C0">
      <w:pPr>
        <w:spacing w:line="360" w:lineRule="auto"/>
        <w:jc w:val="both"/>
        <w:rPr>
          <w:rFonts w:ascii="Arial" w:hAnsi="Arial" w:cs="Arial"/>
          <w:b/>
        </w:rPr>
      </w:pPr>
    </w:p>
    <w:p w14:paraId="1DF2D984" w14:textId="77777777" w:rsidR="00D211AD" w:rsidRDefault="00D211AD" w:rsidP="00AD75C0">
      <w:pPr>
        <w:spacing w:line="360" w:lineRule="auto"/>
        <w:jc w:val="both"/>
        <w:rPr>
          <w:rFonts w:ascii="Arial" w:hAnsi="Arial" w:cs="Arial"/>
          <w:b/>
        </w:rPr>
      </w:pPr>
    </w:p>
    <w:p w14:paraId="1DF2D985" w14:textId="77777777" w:rsidR="00D211AD" w:rsidRDefault="00D211AD" w:rsidP="00AD75C0">
      <w:pPr>
        <w:spacing w:line="360" w:lineRule="auto"/>
        <w:jc w:val="both"/>
        <w:rPr>
          <w:rFonts w:ascii="Arial" w:hAnsi="Arial" w:cs="Arial"/>
          <w:b/>
        </w:rPr>
      </w:pPr>
    </w:p>
    <w:p w14:paraId="1DF2D986" w14:textId="77777777" w:rsidR="00D211AD" w:rsidRDefault="00D211AD" w:rsidP="00AD75C0">
      <w:pPr>
        <w:spacing w:line="360" w:lineRule="auto"/>
        <w:jc w:val="both"/>
        <w:rPr>
          <w:rFonts w:ascii="Arial" w:hAnsi="Arial" w:cs="Arial"/>
          <w:b/>
        </w:rPr>
      </w:pPr>
    </w:p>
    <w:p w14:paraId="1DF2D987" w14:textId="77777777" w:rsidR="00D211AD" w:rsidRDefault="00D211AD" w:rsidP="00AD75C0">
      <w:pPr>
        <w:spacing w:line="360" w:lineRule="auto"/>
        <w:jc w:val="both"/>
        <w:rPr>
          <w:rFonts w:ascii="Arial" w:hAnsi="Arial" w:cs="Arial"/>
          <w:b/>
        </w:rPr>
      </w:pPr>
    </w:p>
    <w:p w14:paraId="1DF2D988" w14:textId="77777777" w:rsidR="00D211AD" w:rsidRDefault="00D211AD" w:rsidP="00AD75C0">
      <w:pPr>
        <w:spacing w:line="360" w:lineRule="auto"/>
        <w:jc w:val="both"/>
        <w:rPr>
          <w:rFonts w:ascii="Arial" w:hAnsi="Arial" w:cs="Arial"/>
          <w:b/>
        </w:rPr>
      </w:pPr>
    </w:p>
    <w:p w14:paraId="1DF2D989" w14:textId="77777777" w:rsidR="00D211AD" w:rsidRDefault="00D211AD" w:rsidP="00AD75C0">
      <w:pPr>
        <w:spacing w:line="360" w:lineRule="auto"/>
        <w:jc w:val="both"/>
        <w:rPr>
          <w:rFonts w:ascii="Arial" w:hAnsi="Arial" w:cs="Arial"/>
          <w:b/>
        </w:rPr>
      </w:pPr>
    </w:p>
    <w:p w14:paraId="1DF2D98A" w14:textId="77777777" w:rsidR="00D211AD" w:rsidRDefault="00D211AD" w:rsidP="00AD75C0">
      <w:pPr>
        <w:spacing w:line="360" w:lineRule="auto"/>
        <w:jc w:val="both"/>
        <w:rPr>
          <w:rFonts w:ascii="Arial" w:hAnsi="Arial" w:cs="Arial"/>
          <w:b/>
        </w:rPr>
      </w:pPr>
    </w:p>
    <w:p w14:paraId="1DF2D98B" w14:textId="77777777" w:rsidR="00141809" w:rsidRDefault="00AD75C0" w:rsidP="00AD75C0">
      <w:pPr>
        <w:spacing w:line="360" w:lineRule="auto"/>
        <w:jc w:val="both"/>
        <w:rPr>
          <w:rFonts w:ascii="Arial" w:hAnsi="Arial" w:cs="Arial"/>
          <w:b/>
        </w:rPr>
      </w:pPr>
      <w:r w:rsidRPr="00AD75C0">
        <w:rPr>
          <w:rFonts w:ascii="Arial" w:hAnsi="Arial" w:cs="Arial"/>
          <w:b/>
        </w:rPr>
        <w:t>REFERENCES</w:t>
      </w:r>
    </w:p>
    <w:p w14:paraId="1DF2D98C" w14:textId="77777777" w:rsidR="00D211AD" w:rsidRPr="00D211AD" w:rsidRDefault="00D211AD" w:rsidP="00D211AD">
      <w:pPr>
        <w:tabs>
          <w:tab w:val="left" w:pos="3380"/>
        </w:tabs>
        <w:spacing w:line="360" w:lineRule="auto"/>
        <w:jc w:val="both"/>
        <w:rPr>
          <w:rFonts w:ascii="Arial" w:hAnsi="Arial" w:cs="Arial"/>
          <w:b/>
        </w:rPr>
      </w:pPr>
      <w:r w:rsidRPr="00044730">
        <w:rPr>
          <w:rFonts w:ascii="Arial" w:hAnsi="Arial" w:cs="Arial"/>
        </w:rPr>
        <w:t xml:space="preserve">Agarwal, R., Greenhalgh, T., Agarwal, P., Banerjee, A. and Soni, N. (2022) ‘Innovation and creativity in healthcare delivery: Lessons from digital health initiatives’, </w:t>
      </w:r>
      <w:r w:rsidRPr="00044730">
        <w:rPr>
          <w:rStyle w:val="Emphasis"/>
          <w:rFonts w:ascii="Arial" w:hAnsi="Arial" w:cs="Arial"/>
        </w:rPr>
        <w:t>BMJ Innovations</w:t>
      </w:r>
      <w:r w:rsidRPr="00044730">
        <w:rPr>
          <w:rFonts w:ascii="Arial" w:hAnsi="Arial" w:cs="Arial"/>
        </w:rPr>
        <w:t>, 8(1), pp. 12–20.</w:t>
      </w:r>
    </w:p>
    <w:p w14:paraId="1DF2D98D" w14:textId="77777777" w:rsidR="00D211AD" w:rsidRPr="00044730" w:rsidRDefault="00D211AD" w:rsidP="00044730">
      <w:pPr>
        <w:pStyle w:val="NormalWeb"/>
        <w:spacing w:line="360" w:lineRule="auto"/>
        <w:jc w:val="both"/>
        <w:rPr>
          <w:rFonts w:ascii="Arial" w:hAnsi="Arial" w:cs="Arial"/>
          <w:sz w:val="22"/>
          <w:szCs w:val="22"/>
        </w:rPr>
      </w:pPr>
      <w:r>
        <w:rPr>
          <w:rFonts w:ascii="Arial" w:hAnsi="Arial" w:cs="Arial"/>
          <w:sz w:val="22"/>
          <w:szCs w:val="22"/>
        </w:rPr>
        <w:t>Bjo</w:t>
      </w:r>
      <w:r w:rsidRPr="00044730">
        <w:rPr>
          <w:rFonts w:ascii="Arial" w:hAnsi="Arial" w:cs="Arial"/>
          <w:sz w:val="22"/>
          <w:szCs w:val="22"/>
        </w:rPr>
        <w:t>rk, I.T., Berntsen, K., Brynildsen, G. and Hestetun, M. (</w:t>
      </w:r>
      <w:proofErr w:type="gramStart"/>
      <w:r w:rsidRPr="00044730">
        <w:rPr>
          <w:rFonts w:ascii="Arial" w:hAnsi="Arial" w:cs="Arial"/>
          <w:sz w:val="22"/>
          <w:szCs w:val="22"/>
        </w:rPr>
        <w:t>2022) ‘</w:t>
      </w:r>
      <w:proofErr w:type="gramEnd"/>
      <w:r w:rsidRPr="00044730">
        <w:rPr>
          <w:rFonts w:ascii="Arial" w:hAnsi="Arial" w:cs="Arial"/>
          <w:sz w:val="22"/>
          <w:szCs w:val="22"/>
        </w:rPr>
        <w:t xml:space="preserve">Reflective learning and critical thinking in healthcare education: Enhancing professional competence through experiential learning’, </w:t>
      </w:r>
      <w:r w:rsidRPr="00044730">
        <w:rPr>
          <w:rStyle w:val="Emphasis"/>
          <w:rFonts w:ascii="Arial" w:hAnsi="Arial" w:cs="Arial"/>
          <w:sz w:val="22"/>
          <w:szCs w:val="22"/>
        </w:rPr>
        <w:t>Nurse Education Today</w:t>
      </w:r>
      <w:r w:rsidRPr="00044730">
        <w:rPr>
          <w:rFonts w:ascii="Arial" w:hAnsi="Arial" w:cs="Arial"/>
          <w:sz w:val="22"/>
          <w:szCs w:val="22"/>
        </w:rPr>
        <w:t>, 111, pp. 105290.</w:t>
      </w:r>
    </w:p>
    <w:p w14:paraId="1DF2D98E" w14:textId="77777777" w:rsidR="00D211AD" w:rsidRPr="00044730" w:rsidRDefault="00D211AD" w:rsidP="00044730">
      <w:pPr>
        <w:pStyle w:val="NormalWeb"/>
        <w:spacing w:line="360" w:lineRule="auto"/>
        <w:jc w:val="both"/>
        <w:rPr>
          <w:rFonts w:ascii="Arial" w:hAnsi="Arial" w:cs="Arial"/>
          <w:sz w:val="22"/>
          <w:szCs w:val="22"/>
        </w:rPr>
      </w:pPr>
      <w:r w:rsidRPr="00044730">
        <w:rPr>
          <w:rFonts w:ascii="Arial" w:hAnsi="Arial" w:cs="Arial"/>
          <w:sz w:val="22"/>
          <w:szCs w:val="22"/>
        </w:rPr>
        <w:t>Cresswell, K., Sheikh, A., Franklin, B.D. and Williams, R. (</w:t>
      </w:r>
      <w:proofErr w:type="gramStart"/>
      <w:r w:rsidRPr="00044730">
        <w:rPr>
          <w:rFonts w:ascii="Arial" w:hAnsi="Arial" w:cs="Arial"/>
          <w:sz w:val="22"/>
          <w:szCs w:val="22"/>
        </w:rPr>
        <w:t>2023) ‘</w:t>
      </w:r>
      <w:proofErr w:type="gramEnd"/>
      <w:r w:rsidRPr="00044730">
        <w:rPr>
          <w:rFonts w:ascii="Arial" w:hAnsi="Arial" w:cs="Arial"/>
          <w:sz w:val="22"/>
          <w:szCs w:val="22"/>
        </w:rPr>
        <w:t xml:space="preserve">Digital transformation in healthcare: Opportunities and challenges for improving health services’, </w:t>
      </w:r>
      <w:r w:rsidRPr="00044730">
        <w:rPr>
          <w:rStyle w:val="Emphasis"/>
          <w:rFonts w:ascii="Arial" w:hAnsi="Arial" w:cs="Arial"/>
          <w:sz w:val="22"/>
          <w:szCs w:val="22"/>
        </w:rPr>
        <w:t>Health Policy and Technology</w:t>
      </w:r>
      <w:r w:rsidRPr="00044730">
        <w:rPr>
          <w:rFonts w:ascii="Arial" w:hAnsi="Arial" w:cs="Arial"/>
          <w:sz w:val="22"/>
          <w:szCs w:val="22"/>
        </w:rPr>
        <w:t>, 12(1), pp. 100741.</w:t>
      </w:r>
    </w:p>
    <w:p w14:paraId="1DF2D98F" w14:textId="77777777" w:rsidR="00D211AD" w:rsidRPr="00D211AD" w:rsidRDefault="00D211AD" w:rsidP="00D211AD">
      <w:pPr>
        <w:pStyle w:val="NormalWeb"/>
        <w:spacing w:line="360" w:lineRule="auto"/>
        <w:jc w:val="both"/>
        <w:rPr>
          <w:rFonts w:ascii="Arial" w:hAnsi="Arial" w:cs="Arial"/>
          <w:sz w:val="22"/>
          <w:szCs w:val="22"/>
        </w:rPr>
      </w:pPr>
      <w:r w:rsidRPr="00D211AD">
        <w:rPr>
          <w:rFonts w:ascii="Arial" w:hAnsi="Arial" w:cs="Arial"/>
          <w:sz w:val="22"/>
          <w:szCs w:val="22"/>
        </w:rPr>
        <w:t xml:space="preserve">Gonçalves-Bradley, D.C., Iliffe, S., Doll, H.A., Broad, J., Gladman, J., Langhorne, P., Richards, S.H. and Shepperd, S. (2023) ‘Early discharge hospital at home’, </w:t>
      </w:r>
      <w:r w:rsidRPr="00D211AD">
        <w:rPr>
          <w:rStyle w:val="Emphasis"/>
          <w:rFonts w:ascii="Arial" w:hAnsi="Arial" w:cs="Arial"/>
          <w:sz w:val="22"/>
          <w:szCs w:val="22"/>
        </w:rPr>
        <w:t>Cochrane Database of Systematic Reviews</w:t>
      </w:r>
      <w:r w:rsidRPr="00D211AD">
        <w:rPr>
          <w:rFonts w:ascii="Arial" w:hAnsi="Arial" w:cs="Arial"/>
          <w:sz w:val="22"/>
          <w:szCs w:val="22"/>
        </w:rPr>
        <w:t>, 2023(1), pp. 1–120.</w:t>
      </w:r>
    </w:p>
    <w:p w14:paraId="1DF2D990" w14:textId="77777777" w:rsidR="00D211AD" w:rsidRPr="00D211AD" w:rsidRDefault="00D211AD" w:rsidP="00D211AD">
      <w:pPr>
        <w:pStyle w:val="NormalWeb"/>
        <w:spacing w:line="360" w:lineRule="auto"/>
        <w:jc w:val="both"/>
        <w:rPr>
          <w:rFonts w:ascii="Arial" w:hAnsi="Arial" w:cs="Arial"/>
          <w:sz w:val="22"/>
          <w:szCs w:val="22"/>
        </w:rPr>
      </w:pPr>
      <w:r w:rsidRPr="00D211AD">
        <w:rPr>
          <w:rFonts w:ascii="Arial" w:hAnsi="Arial" w:cs="Arial"/>
          <w:sz w:val="22"/>
          <w:szCs w:val="22"/>
        </w:rPr>
        <w:t>Hughes, S., Shaw, S.E., Greenhalgh, T. and Rosen, R. (</w:t>
      </w:r>
      <w:proofErr w:type="gramStart"/>
      <w:r w:rsidRPr="00D211AD">
        <w:rPr>
          <w:rFonts w:ascii="Arial" w:hAnsi="Arial" w:cs="Arial"/>
          <w:sz w:val="22"/>
          <w:szCs w:val="22"/>
        </w:rPr>
        <w:t>2023) ‘</w:t>
      </w:r>
      <w:proofErr w:type="gramEnd"/>
      <w:r w:rsidRPr="00D211AD">
        <w:rPr>
          <w:rFonts w:ascii="Arial" w:hAnsi="Arial" w:cs="Arial"/>
          <w:sz w:val="22"/>
          <w:szCs w:val="22"/>
        </w:rPr>
        <w:t xml:space="preserve">The impact of remote patient monitoring on healthcare delivery and system efficiency’, </w:t>
      </w:r>
      <w:r w:rsidRPr="00D211AD">
        <w:rPr>
          <w:rStyle w:val="Emphasis"/>
          <w:rFonts w:ascii="Arial" w:hAnsi="Arial" w:cs="Arial"/>
          <w:sz w:val="22"/>
          <w:szCs w:val="22"/>
        </w:rPr>
        <w:t>Journal of Medical Internet Research</w:t>
      </w:r>
      <w:r w:rsidRPr="00D211AD">
        <w:rPr>
          <w:rFonts w:ascii="Arial" w:hAnsi="Arial" w:cs="Arial"/>
          <w:sz w:val="22"/>
          <w:szCs w:val="22"/>
        </w:rPr>
        <w:t>, 25, e44215.</w:t>
      </w:r>
    </w:p>
    <w:p w14:paraId="1DF2D991" w14:textId="77777777" w:rsidR="00D211AD" w:rsidRPr="00044730" w:rsidRDefault="00D211AD" w:rsidP="00044730">
      <w:pPr>
        <w:pStyle w:val="NormalWeb"/>
        <w:spacing w:line="360" w:lineRule="auto"/>
        <w:jc w:val="both"/>
        <w:rPr>
          <w:rFonts w:ascii="Arial" w:hAnsi="Arial" w:cs="Arial"/>
          <w:sz w:val="22"/>
          <w:szCs w:val="22"/>
        </w:rPr>
      </w:pPr>
      <w:r w:rsidRPr="00044730">
        <w:rPr>
          <w:rFonts w:ascii="Arial" w:hAnsi="Arial" w:cs="Arial"/>
          <w:sz w:val="22"/>
          <w:szCs w:val="22"/>
        </w:rPr>
        <w:t>Leong, S., Balaam, M., Fitzpatrick, G. and Briggs, P. (</w:t>
      </w:r>
      <w:proofErr w:type="gramStart"/>
      <w:r w:rsidRPr="00044730">
        <w:rPr>
          <w:rFonts w:ascii="Arial" w:hAnsi="Arial" w:cs="Arial"/>
          <w:sz w:val="22"/>
          <w:szCs w:val="22"/>
        </w:rPr>
        <w:t>2023) ‘</w:t>
      </w:r>
      <w:proofErr w:type="gramEnd"/>
      <w:r w:rsidRPr="00044730">
        <w:rPr>
          <w:rFonts w:ascii="Arial" w:hAnsi="Arial" w:cs="Arial"/>
          <w:sz w:val="22"/>
          <w:szCs w:val="22"/>
        </w:rPr>
        <w:t xml:space="preserve">Digital health technologies and the transformation of healthcare delivery: Lessons from remote monitoring </w:t>
      </w:r>
      <w:proofErr w:type="spellStart"/>
      <w:r w:rsidRPr="00044730">
        <w:rPr>
          <w:rFonts w:ascii="Arial" w:hAnsi="Arial" w:cs="Arial"/>
          <w:sz w:val="22"/>
          <w:szCs w:val="22"/>
        </w:rPr>
        <w:t>programmes</w:t>
      </w:r>
      <w:proofErr w:type="spellEnd"/>
      <w:r w:rsidRPr="00044730">
        <w:rPr>
          <w:rFonts w:ascii="Arial" w:hAnsi="Arial" w:cs="Arial"/>
          <w:sz w:val="22"/>
          <w:szCs w:val="22"/>
        </w:rPr>
        <w:t xml:space="preserve">’, </w:t>
      </w:r>
      <w:r w:rsidRPr="00044730">
        <w:rPr>
          <w:rStyle w:val="Emphasis"/>
          <w:rFonts w:ascii="Arial" w:hAnsi="Arial" w:cs="Arial"/>
          <w:sz w:val="22"/>
          <w:szCs w:val="22"/>
        </w:rPr>
        <w:t>Health Policy and Technology</w:t>
      </w:r>
      <w:r w:rsidRPr="00044730">
        <w:rPr>
          <w:rFonts w:ascii="Arial" w:hAnsi="Arial" w:cs="Arial"/>
          <w:sz w:val="22"/>
          <w:szCs w:val="22"/>
        </w:rPr>
        <w:t>, 12(2), pp. 100743.</w:t>
      </w:r>
    </w:p>
    <w:p w14:paraId="1DF2D992" w14:textId="77777777" w:rsidR="00D211AD" w:rsidRPr="00044730" w:rsidRDefault="00D211AD" w:rsidP="00044730">
      <w:pPr>
        <w:pStyle w:val="NormalWeb"/>
        <w:spacing w:line="360" w:lineRule="auto"/>
        <w:jc w:val="both"/>
        <w:rPr>
          <w:rFonts w:ascii="Arial" w:hAnsi="Arial" w:cs="Arial"/>
          <w:sz w:val="22"/>
          <w:szCs w:val="22"/>
        </w:rPr>
      </w:pPr>
      <w:r w:rsidRPr="00044730">
        <w:rPr>
          <w:rFonts w:ascii="Arial" w:hAnsi="Arial" w:cs="Arial"/>
          <w:sz w:val="22"/>
          <w:szCs w:val="22"/>
        </w:rPr>
        <w:t xml:space="preserve">Nembhard, I.M. and Edmondson, A.C. (2022) ‘Psychological safety and learning </w:t>
      </w:r>
      <w:proofErr w:type="spellStart"/>
      <w:r w:rsidRPr="00044730">
        <w:rPr>
          <w:rFonts w:ascii="Arial" w:hAnsi="Arial" w:cs="Arial"/>
          <w:sz w:val="22"/>
          <w:szCs w:val="22"/>
        </w:rPr>
        <w:t>behaviour</w:t>
      </w:r>
      <w:proofErr w:type="spellEnd"/>
      <w:r w:rsidRPr="00044730">
        <w:rPr>
          <w:rFonts w:ascii="Arial" w:hAnsi="Arial" w:cs="Arial"/>
          <w:sz w:val="22"/>
          <w:szCs w:val="22"/>
        </w:rPr>
        <w:t xml:space="preserve"> in healthcare teams’, </w:t>
      </w:r>
      <w:r w:rsidRPr="00044730">
        <w:rPr>
          <w:rStyle w:val="Emphasis"/>
          <w:rFonts w:ascii="Arial" w:hAnsi="Arial" w:cs="Arial"/>
          <w:sz w:val="22"/>
          <w:szCs w:val="22"/>
        </w:rPr>
        <w:t>Annual Review of Organizational Psychology and Organizational Behavior</w:t>
      </w:r>
      <w:r w:rsidRPr="00044730">
        <w:rPr>
          <w:rFonts w:ascii="Arial" w:hAnsi="Arial" w:cs="Arial"/>
          <w:sz w:val="22"/>
          <w:szCs w:val="22"/>
        </w:rPr>
        <w:t>, 9, pp. 23–43.</w:t>
      </w:r>
    </w:p>
    <w:p w14:paraId="1DF2D993" w14:textId="77777777" w:rsidR="00D211AD" w:rsidRPr="00044730" w:rsidRDefault="00D211AD" w:rsidP="00044730">
      <w:pPr>
        <w:pStyle w:val="NormalWeb"/>
        <w:spacing w:line="360" w:lineRule="auto"/>
        <w:jc w:val="both"/>
        <w:rPr>
          <w:rFonts w:ascii="Arial" w:hAnsi="Arial" w:cs="Arial"/>
          <w:sz w:val="22"/>
          <w:szCs w:val="22"/>
        </w:rPr>
      </w:pPr>
      <w:r w:rsidRPr="00044730">
        <w:rPr>
          <w:rFonts w:ascii="Arial" w:hAnsi="Arial" w:cs="Arial"/>
          <w:sz w:val="22"/>
          <w:szCs w:val="22"/>
        </w:rPr>
        <w:t xml:space="preserve">Robert, G., Bate, P. and Fulop, N. (2022) ‘The role of innovation in improving health and social care services’, </w:t>
      </w:r>
      <w:r w:rsidRPr="00044730">
        <w:rPr>
          <w:rStyle w:val="Emphasis"/>
          <w:rFonts w:ascii="Arial" w:hAnsi="Arial" w:cs="Arial"/>
          <w:sz w:val="22"/>
          <w:szCs w:val="22"/>
        </w:rPr>
        <w:t>BMJ Leader</w:t>
      </w:r>
      <w:r w:rsidRPr="00044730">
        <w:rPr>
          <w:rFonts w:ascii="Arial" w:hAnsi="Arial" w:cs="Arial"/>
          <w:sz w:val="22"/>
          <w:szCs w:val="22"/>
        </w:rPr>
        <w:t>, 6(3), pp. 159–163.</w:t>
      </w:r>
    </w:p>
    <w:p w14:paraId="1DF2D994" w14:textId="77777777" w:rsidR="00D211AD" w:rsidRPr="00044730" w:rsidRDefault="00D211AD" w:rsidP="00044730">
      <w:pPr>
        <w:pStyle w:val="NormalWeb"/>
        <w:spacing w:line="360" w:lineRule="auto"/>
        <w:jc w:val="both"/>
        <w:rPr>
          <w:rFonts w:ascii="Arial" w:hAnsi="Arial" w:cs="Arial"/>
          <w:sz w:val="22"/>
          <w:szCs w:val="22"/>
        </w:rPr>
      </w:pPr>
      <w:proofErr w:type="spellStart"/>
      <w:r w:rsidRPr="00044730">
        <w:rPr>
          <w:rFonts w:ascii="Arial" w:hAnsi="Arial" w:cs="Arial"/>
          <w:sz w:val="22"/>
          <w:szCs w:val="22"/>
        </w:rPr>
        <w:lastRenderedPageBreak/>
        <w:t>Spanakis</w:t>
      </w:r>
      <w:proofErr w:type="spellEnd"/>
      <w:r w:rsidRPr="00044730">
        <w:rPr>
          <w:rFonts w:ascii="Arial" w:hAnsi="Arial" w:cs="Arial"/>
          <w:sz w:val="22"/>
          <w:szCs w:val="22"/>
        </w:rPr>
        <w:t xml:space="preserve">, P., Peckham, E., Mathers, A., Shiers, D. and Gilbody, S. (2022) ‘The digital divide: Amplifying health inequalities for people with severe mental illness in the time of COVID-19’, </w:t>
      </w:r>
      <w:r w:rsidRPr="00044730">
        <w:rPr>
          <w:rStyle w:val="Emphasis"/>
          <w:rFonts w:ascii="Arial" w:hAnsi="Arial" w:cs="Arial"/>
          <w:sz w:val="22"/>
          <w:szCs w:val="22"/>
        </w:rPr>
        <w:t>The British Journal of Psychiatry</w:t>
      </w:r>
      <w:r w:rsidRPr="00044730">
        <w:rPr>
          <w:rFonts w:ascii="Arial" w:hAnsi="Arial" w:cs="Arial"/>
          <w:sz w:val="22"/>
          <w:szCs w:val="22"/>
        </w:rPr>
        <w:t>, 221(4), pp. 529–531.</w:t>
      </w:r>
    </w:p>
    <w:p w14:paraId="1DF2D995" w14:textId="77777777" w:rsidR="00D211AD" w:rsidRPr="00044730" w:rsidRDefault="00D211AD" w:rsidP="00044730">
      <w:pPr>
        <w:pStyle w:val="NormalWeb"/>
        <w:spacing w:line="360" w:lineRule="auto"/>
        <w:jc w:val="both"/>
        <w:rPr>
          <w:rFonts w:ascii="Arial" w:hAnsi="Arial" w:cs="Arial"/>
          <w:sz w:val="22"/>
          <w:szCs w:val="22"/>
        </w:rPr>
      </w:pPr>
      <w:r w:rsidRPr="00044730">
        <w:rPr>
          <w:rFonts w:ascii="Arial" w:hAnsi="Arial" w:cs="Arial"/>
          <w:sz w:val="22"/>
          <w:szCs w:val="22"/>
        </w:rPr>
        <w:t xml:space="preserve">Thapa, D., Gyawali, S. and Kalauni, B. (2023) ‘Transformational and distributed leadership in UK healthcare </w:t>
      </w:r>
      <w:proofErr w:type="spellStart"/>
      <w:r w:rsidRPr="00044730">
        <w:rPr>
          <w:rFonts w:ascii="Arial" w:hAnsi="Arial" w:cs="Arial"/>
          <w:sz w:val="22"/>
          <w:szCs w:val="22"/>
        </w:rPr>
        <w:t>organisations</w:t>
      </w:r>
      <w:proofErr w:type="spellEnd"/>
      <w:r w:rsidRPr="00044730">
        <w:rPr>
          <w:rFonts w:ascii="Arial" w:hAnsi="Arial" w:cs="Arial"/>
          <w:sz w:val="22"/>
          <w:szCs w:val="22"/>
        </w:rPr>
        <w:t xml:space="preserve">: Impacts on innovation and service improvement’, </w:t>
      </w:r>
      <w:r w:rsidRPr="00044730">
        <w:rPr>
          <w:rStyle w:val="Emphasis"/>
          <w:rFonts w:ascii="Arial" w:hAnsi="Arial" w:cs="Arial"/>
          <w:sz w:val="22"/>
          <w:szCs w:val="22"/>
        </w:rPr>
        <w:t>Leadership in Health Services</w:t>
      </w:r>
      <w:r w:rsidRPr="00044730">
        <w:rPr>
          <w:rFonts w:ascii="Arial" w:hAnsi="Arial" w:cs="Arial"/>
          <w:sz w:val="22"/>
          <w:szCs w:val="22"/>
        </w:rPr>
        <w:t>, 36(2), pp. 145–157.</w:t>
      </w:r>
    </w:p>
    <w:p w14:paraId="1DF2D996" w14:textId="77777777" w:rsidR="00D211AD" w:rsidRPr="00D211AD" w:rsidRDefault="00D211AD" w:rsidP="00D211AD">
      <w:pPr>
        <w:pStyle w:val="NormalWeb"/>
        <w:spacing w:line="360" w:lineRule="auto"/>
        <w:jc w:val="both"/>
        <w:rPr>
          <w:rFonts w:ascii="Arial" w:hAnsi="Arial" w:cs="Arial"/>
          <w:sz w:val="22"/>
          <w:szCs w:val="22"/>
        </w:rPr>
      </w:pPr>
      <w:proofErr w:type="spellStart"/>
      <w:r w:rsidRPr="00D211AD">
        <w:rPr>
          <w:rFonts w:ascii="Arial" w:hAnsi="Arial" w:cs="Arial"/>
          <w:sz w:val="22"/>
          <w:szCs w:val="22"/>
        </w:rPr>
        <w:t>Vindrola-Padros</w:t>
      </w:r>
      <w:proofErr w:type="spellEnd"/>
      <w:r w:rsidRPr="00D211AD">
        <w:rPr>
          <w:rFonts w:ascii="Arial" w:hAnsi="Arial" w:cs="Arial"/>
          <w:sz w:val="22"/>
          <w:szCs w:val="22"/>
        </w:rPr>
        <w:t xml:space="preserve">, C., Sidhu, M.S., Georghiou, T., </w:t>
      </w:r>
      <w:proofErr w:type="spellStart"/>
      <w:r w:rsidRPr="00D211AD">
        <w:rPr>
          <w:rFonts w:ascii="Arial" w:hAnsi="Arial" w:cs="Arial"/>
          <w:sz w:val="22"/>
          <w:szCs w:val="22"/>
        </w:rPr>
        <w:t>Sherlaw</w:t>
      </w:r>
      <w:proofErr w:type="spellEnd"/>
      <w:r w:rsidRPr="00D211AD">
        <w:rPr>
          <w:rFonts w:ascii="Arial" w:hAnsi="Arial" w:cs="Arial"/>
          <w:sz w:val="22"/>
          <w:szCs w:val="22"/>
        </w:rPr>
        <w:t xml:space="preserve">-Johnson, C., Singh, K.E., Tomini, S.M. and Fulop, N.J. (2022) ‘The implementation of remote home monitoring models during the COVID-19 pandemic in England’, </w:t>
      </w:r>
      <w:r w:rsidRPr="00D211AD">
        <w:rPr>
          <w:rStyle w:val="Emphasis"/>
          <w:rFonts w:ascii="Arial" w:hAnsi="Arial" w:cs="Arial"/>
          <w:sz w:val="22"/>
          <w:szCs w:val="22"/>
        </w:rPr>
        <w:t>The Lancet Digital Health</w:t>
      </w:r>
      <w:r w:rsidRPr="00D211AD">
        <w:rPr>
          <w:rFonts w:ascii="Arial" w:hAnsi="Arial" w:cs="Arial"/>
          <w:sz w:val="22"/>
          <w:szCs w:val="22"/>
        </w:rPr>
        <w:t>, 4(5), pp. e295–e303.</w:t>
      </w:r>
    </w:p>
    <w:p w14:paraId="1DF2D997" w14:textId="77777777" w:rsidR="00D211AD" w:rsidRPr="00044730" w:rsidRDefault="00D211AD" w:rsidP="00044730">
      <w:pPr>
        <w:pStyle w:val="NormalWeb"/>
        <w:spacing w:line="360" w:lineRule="auto"/>
        <w:jc w:val="both"/>
        <w:rPr>
          <w:rFonts w:ascii="Arial" w:hAnsi="Arial" w:cs="Arial"/>
          <w:sz w:val="22"/>
          <w:szCs w:val="22"/>
        </w:rPr>
      </w:pPr>
      <w:r w:rsidRPr="00044730">
        <w:rPr>
          <w:rFonts w:ascii="Arial" w:hAnsi="Arial" w:cs="Arial"/>
          <w:sz w:val="22"/>
          <w:szCs w:val="22"/>
        </w:rPr>
        <w:t xml:space="preserve">Watts, G. (2020) ‘COVID-19 and the digital divide in the UK’, </w:t>
      </w:r>
      <w:r w:rsidRPr="00044730">
        <w:rPr>
          <w:rStyle w:val="Emphasis"/>
          <w:rFonts w:ascii="Arial" w:hAnsi="Arial" w:cs="Arial"/>
          <w:sz w:val="22"/>
          <w:szCs w:val="22"/>
        </w:rPr>
        <w:t>The Lancet Digital Health</w:t>
      </w:r>
      <w:r w:rsidRPr="00044730">
        <w:rPr>
          <w:rFonts w:ascii="Arial" w:hAnsi="Arial" w:cs="Arial"/>
          <w:sz w:val="22"/>
          <w:szCs w:val="22"/>
        </w:rPr>
        <w:t>, 2(8), pp. e395–e396.</w:t>
      </w:r>
    </w:p>
    <w:p w14:paraId="1DF2D998" w14:textId="77777777" w:rsidR="00D211AD" w:rsidRPr="00044730" w:rsidRDefault="00D211AD" w:rsidP="00044730">
      <w:pPr>
        <w:pStyle w:val="NormalWeb"/>
        <w:spacing w:line="360" w:lineRule="auto"/>
        <w:jc w:val="both"/>
        <w:rPr>
          <w:rFonts w:ascii="Arial" w:hAnsi="Arial" w:cs="Arial"/>
          <w:sz w:val="22"/>
          <w:szCs w:val="22"/>
        </w:rPr>
      </w:pPr>
      <w:r w:rsidRPr="00044730">
        <w:rPr>
          <w:rFonts w:ascii="Arial" w:hAnsi="Arial" w:cs="Arial"/>
          <w:sz w:val="22"/>
          <w:szCs w:val="22"/>
        </w:rPr>
        <w:t xml:space="preserve">West, M., Eckert, R., Collins, B. and Chowla, R. (2022) </w:t>
      </w:r>
      <w:r w:rsidRPr="00044730">
        <w:rPr>
          <w:rStyle w:val="Emphasis"/>
          <w:rFonts w:ascii="Arial" w:hAnsi="Arial" w:cs="Arial"/>
          <w:sz w:val="22"/>
          <w:szCs w:val="22"/>
        </w:rPr>
        <w:t xml:space="preserve">Leading improvement in healthcare: Transforming </w:t>
      </w:r>
      <w:proofErr w:type="spellStart"/>
      <w:r w:rsidRPr="00044730">
        <w:rPr>
          <w:rStyle w:val="Emphasis"/>
          <w:rFonts w:ascii="Arial" w:hAnsi="Arial" w:cs="Arial"/>
          <w:sz w:val="22"/>
          <w:szCs w:val="22"/>
        </w:rPr>
        <w:t>organisations</w:t>
      </w:r>
      <w:proofErr w:type="spellEnd"/>
      <w:r w:rsidRPr="00044730">
        <w:rPr>
          <w:rStyle w:val="Emphasis"/>
          <w:rFonts w:ascii="Arial" w:hAnsi="Arial" w:cs="Arial"/>
          <w:sz w:val="22"/>
          <w:szCs w:val="22"/>
        </w:rPr>
        <w:t xml:space="preserve"> using the NHS leadership framework</w:t>
      </w:r>
      <w:r w:rsidRPr="00044730">
        <w:rPr>
          <w:rFonts w:ascii="Arial" w:hAnsi="Arial" w:cs="Arial"/>
          <w:sz w:val="22"/>
          <w:szCs w:val="22"/>
        </w:rPr>
        <w:t xml:space="preserve">, 2nd </w:t>
      </w:r>
      <w:proofErr w:type="spellStart"/>
      <w:r w:rsidRPr="00044730">
        <w:rPr>
          <w:rFonts w:ascii="Arial" w:hAnsi="Arial" w:cs="Arial"/>
          <w:sz w:val="22"/>
          <w:szCs w:val="22"/>
        </w:rPr>
        <w:t>edn</w:t>
      </w:r>
      <w:proofErr w:type="spellEnd"/>
      <w:r w:rsidRPr="00044730">
        <w:rPr>
          <w:rFonts w:ascii="Arial" w:hAnsi="Arial" w:cs="Arial"/>
          <w:sz w:val="22"/>
          <w:szCs w:val="22"/>
        </w:rPr>
        <w:t>. London: Radcliffe Publishing.</w:t>
      </w:r>
    </w:p>
    <w:sectPr w:rsidR="00D211AD" w:rsidRPr="00044730" w:rsidSect="00AD75C0">
      <w:footerReference w:type="default" r:id="rId16"/>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8A837" w14:textId="77777777" w:rsidR="007743B0" w:rsidRDefault="007743B0" w:rsidP="00AD75C0">
      <w:pPr>
        <w:spacing w:after="0" w:line="240" w:lineRule="auto"/>
      </w:pPr>
      <w:r>
        <w:separator/>
      </w:r>
    </w:p>
  </w:endnote>
  <w:endnote w:type="continuationSeparator" w:id="0">
    <w:p w14:paraId="3E6B5F53" w14:textId="77777777" w:rsidR="007743B0" w:rsidRDefault="007743B0" w:rsidP="00AD7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1121032"/>
      <w:docPartObj>
        <w:docPartGallery w:val="Page Numbers (Bottom of Page)"/>
        <w:docPartUnique/>
      </w:docPartObj>
    </w:sdtPr>
    <w:sdtEndPr>
      <w:rPr>
        <w:noProof/>
      </w:rPr>
    </w:sdtEndPr>
    <w:sdtContent>
      <w:p w14:paraId="1DF2D9A3" w14:textId="77777777" w:rsidR="00AD75C0" w:rsidRDefault="00AD75C0">
        <w:pPr>
          <w:pStyle w:val="Footer"/>
          <w:jc w:val="right"/>
        </w:pPr>
        <w:r>
          <w:fldChar w:fldCharType="begin"/>
        </w:r>
        <w:r>
          <w:instrText xml:space="preserve"> PAGE   \* MERGEFORMAT </w:instrText>
        </w:r>
        <w:r>
          <w:fldChar w:fldCharType="separate"/>
        </w:r>
        <w:r w:rsidR="00D211AD">
          <w:rPr>
            <w:noProof/>
          </w:rPr>
          <w:t>14</w:t>
        </w:r>
        <w:r>
          <w:rPr>
            <w:noProof/>
          </w:rPr>
          <w:fldChar w:fldCharType="end"/>
        </w:r>
      </w:p>
    </w:sdtContent>
  </w:sdt>
  <w:p w14:paraId="1DF2D9A4" w14:textId="77777777" w:rsidR="00AD75C0" w:rsidRDefault="00AD7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E92BEC" w14:textId="77777777" w:rsidR="007743B0" w:rsidRDefault="007743B0" w:rsidP="00AD75C0">
      <w:pPr>
        <w:spacing w:after="0" w:line="240" w:lineRule="auto"/>
      </w:pPr>
      <w:r>
        <w:separator/>
      </w:r>
    </w:p>
  </w:footnote>
  <w:footnote w:type="continuationSeparator" w:id="0">
    <w:p w14:paraId="3F45C1AA" w14:textId="77777777" w:rsidR="007743B0" w:rsidRDefault="007743B0" w:rsidP="00AD75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B81E24"/>
    <w:multiLevelType w:val="hybridMultilevel"/>
    <w:tmpl w:val="D368F3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3264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75C0"/>
    <w:rsid w:val="00044730"/>
    <w:rsid w:val="00141809"/>
    <w:rsid w:val="001F283E"/>
    <w:rsid w:val="002A7A52"/>
    <w:rsid w:val="003D3F86"/>
    <w:rsid w:val="004406A9"/>
    <w:rsid w:val="004F2951"/>
    <w:rsid w:val="005112BA"/>
    <w:rsid w:val="00552527"/>
    <w:rsid w:val="00633CBF"/>
    <w:rsid w:val="006D7E53"/>
    <w:rsid w:val="006F1DBB"/>
    <w:rsid w:val="007743B0"/>
    <w:rsid w:val="007F3688"/>
    <w:rsid w:val="008E73BE"/>
    <w:rsid w:val="009272B4"/>
    <w:rsid w:val="0095047F"/>
    <w:rsid w:val="009635CF"/>
    <w:rsid w:val="009E5842"/>
    <w:rsid w:val="009F384C"/>
    <w:rsid w:val="00AD75C0"/>
    <w:rsid w:val="00B50CA3"/>
    <w:rsid w:val="00BB0F1A"/>
    <w:rsid w:val="00CA46AE"/>
    <w:rsid w:val="00D17160"/>
    <w:rsid w:val="00D211AD"/>
    <w:rsid w:val="00E52F7F"/>
    <w:rsid w:val="00EC3D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2D8FA"/>
  <w15:chartTrackingRefBased/>
  <w15:docId w15:val="{39AF4B8B-EE68-4C13-8F0D-5B974DEE9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75C0"/>
    <w:pPr>
      <w:ind w:left="720"/>
      <w:contextualSpacing/>
    </w:pPr>
  </w:style>
  <w:style w:type="paragraph" w:styleId="Header">
    <w:name w:val="header"/>
    <w:basedOn w:val="Normal"/>
    <w:link w:val="HeaderChar"/>
    <w:uiPriority w:val="99"/>
    <w:unhideWhenUsed/>
    <w:rsid w:val="00AD75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75C0"/>
  </w:style>
  <w:style w:type="paragraph" w:styleId="Footer">
    <w:name w:val="footer"/>
    <w:basedOn w:val="Normal"/>
    <w:link w:val="FooterChar"/>
    <w:uiPriority w:val="99"/>
    <w:unhideWhenUsed/>
    <w:rsid w:val="00AD75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75C0"/>
  </w:style>
  <w:style w:type="table" w:styleId="TableGrid">
    <w:name w:val="Table Grid"/>
    <w:basedOn w:val="TableNormal"/>
    <w:uiPriority w:val="39"/>
    <w:rsid w:val="000447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4473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447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131198">
      <w:bodyDiv w:val="1"/>
      <w:marLeft w:val="0"/>
      <w:marRight w:val="0"/>
      <w:marTop w:val="0"/>
      <w:marBottom w:val="0"/>
      <w:divBdr>
        <w:top w:val="none" w:sz="0" w:space="0" w:color="auto"/>
        <w:left w:val="none" w:sz="0" w:space="0" w:color="auto"/>
        <w:bottom w:val="none" w:sz="0" w:space="0" w:color="auto"/>
        <w:right w:val="none" w:sz="0" w:space="0" w:color="auto"/>
      </w:divBdr>
    </w:div>
    <w:div w:id="756903870">
      <w:bodyDiv w:val="1"/>
      <w:marLeft w:val="0"/>
      <w:marRight w:val="0"/>
      <w:marTop w:val="0"/>
      <w:marBottom w:val="0"/>
      <w:divBdr>
        <w:top w:val="none" w:sz="0" w:space="0" w:color="auto"/>
        <w:left w:val="none" w:sz="0" w:space="0" w:color="auto"/>
        <w:bottom w:val="none" w:sz="0" w:space="0" w:color="auto"/>
        <w:right w:val="none" w:sz="0" w:space="0" w:color="auto"/>
      </w:divBdr>
    </w:div>
    <w:div w:id="816073989">
      <w:bodyDiv w:val="1"/>
      <w:marLeft w:val="0"/>
      <w:marRight w:val="0"/>
      <w:marTop w:val="0"/>
      <w:marBottom w:val="0"/>
      <w:divBdr>
        <w:top w:val="none" w:sz="0" w:space="0" w:color="auto"/>
        <w:left w:val="none" w:sz="0" w:space="0" w:color="auto"/>
        <w:bottom w:val="none" w:sz="0" w:space="0" w:color="auto"/>
        <w:right w:val="none" w:sz="0" w:space="0" w:color="auto"/>
      </w:divBdr>
    </w:div>
    <w:div w:id="883519326">
      <w:bodyDiv w:val="1"/>
      <w:marLeft w:val="0"/>
      <w:marRight w:val="0"/>
      <w:marTop w:val="0"/>
      <w:marBottom w:val="0"/>
      <w:divBdr>
        <w:top w:val="none" w:sz="0" w:space="0" w:color="auto"/>
        <w:left w:val="none" w:sz="0" w:space="0" w:color="auto"/>
        <w:bottom w:val="none" w:sz="0" w:space="0" w:color="auto"/>
        <w:right w:val="none" w:sz="0" w:space="0" w:color="auto"/>
      </w:divBdr>
    </w:div>
    <w:div w:id="947665966">
      <w:bodyDiv w:val="1"/>
      <w:marLeft w:val="0"/>
      <w:marRight w:val="0"/>
      <w:marTop w:val="0"/>
      <w:marBottom w:val="0"/>
      <w:divBdr>
        <w:top w:val="none" w:sz="0" w:space="0" w:color="auto"/>
        <w:left w:val="none" w:sz="0" w:space="0" w:color="auto"/>
        <w:bottom w:val="none" w:sz="0" w:space="0" w:color="auto"/>
        <w:right w:val="none" w:sz="0" w:space="0" w:color="auto"/>
      </w:divBdr>
    </w:div>
    <w:div w:id="984236787">
      <w:bodyDiv w:val="1"/>
      <w:marLeft w:val="0"/>
      <w:marRight w:val="0"/>
      <w:marTop w:val="0"/>
      <w:marBottom w:val="0"/>
      <w:divBdr>
        <w:top w:val="none" w:sz="0" w:space="0" w:color="auto"/>
        <w:left w:val="none" w:sz="0" w:space="0" w:color="auto"/>
        <w:bottom w:val="none" w:sz="0" w:space="0" w:color="auto"/>
        <w:right w:val="none" w:sz="0" w:space="0" w:color="auto"/>
      </w:divBdr>
    </w:div>
    <w:div w:id="1028020284">
      <w:bodyDiv w:val="1"/>
      <w:marLeft w:val="0"/>
      <w:marRight w:val="0"/>
      <w:marTop w:val="0"/>
      <w:marBottom w:val="0"/>
      <w:divBdr>
        <w:top w:val="none" w:sz="0" w:space="0" w:color="auto"/>
        <w:left w:val="none" w:sz="0" w:space="0" w:color="auto"/>
        <w:bottom w:val="none" w:sz="0" w:space="0" w:color="auto"/>
        <w:right w:val="none" w:sz="0" w:space="0" w:color="auto"/>
      </w:divBdr>
    </w:div>
    <w:div w:id="1132554686">
      <w:bodyDiv w:val="1"/>
      <w:marLeft w:val="0"/>
      <w:marRight w:val="0"/>
      <w:marTop w:val="0"/>
      <w:marBottom w:val="0"/>
      <w:divBdr>
        <w:top w:val="none" w:sz="0" w:space="0" w:color="auto"/>
        <w:left w:val="none" w:sz="0" w:space="0" w:color="auto"/>
        <w:bottom w:val="none" w:sz="0" w:space="0" w:color="auto"/>
        <w:right w:val="none" w:sz="0" w:space="0" w:color="auto"/>
      </w:divBdr>
    </w:div>
    <w:div w:id="1272055381">
      <w:bodyDiv w:val="1"/>
      <w:marLeft w:val="0"/>
      <w:marRight w:val="0"/>
      <w:marTop w:val="0"/>
      <w:marBottom w:val="0"/>
      <w:divBdr>
        <w:top w:val="none" w:sz="0" w:space="0" w:color="auto"/>
        <w:left w:val="none" w:sz="0" w:space="0" w:color="auto"/>
        <w:bottom w:val="none" w:sz="0" w:space="0" w:color="auto"/>
        <w:right w:val="none" w:sz="0" w:space="0" w:color="auto"/>
      </w:divBdr>
    </w:div>
    <w:div w:id="1307852742">
      <w:bodyDiv w:val="1"/>
      <w:marLeft w:val="0"/>
      <w:marRight w:val="0"/>
      <w:marTop w:val="0"/>
      <w:marBottom w:val="0"/>
      <w:divBdr>
        <w:top w:val="none" w:sz="0" w:space="0" w:color="auto"/>
        <w:left w:val="none" w:sz="0" w:space="0" w:color="auto"/>
        <w:bottom w:val="none" w:sz="0" w:space="0" w:color="auto"/>
        <w:right w:val="none" w:sz="0" w:space="0" w:color="auto"/>
      </w:divBdr>
    </w:div>
    <w:div w:id="1446346663">
      <w:bodyDiv w:val="1"/>
      <w:marLeft w:val="0"/>
      <w:marRight w:val="0"/>
      <w:marTop w:val="0"/>
      <w:marBottom w:val="0"/>
      <w:divBdr>
        <w:top w:val="none" w:sz="0" w:space="0" w:color="auto"/>
        <w:left w:val="none" w:sz="0" w:space="0" w:color="auto"/>
        <w:bottom w:val="none" w:sz="0" w:space="0" w:color="auto"/>
        <w:right w:val="none" w:sz="0" w:space="0" w:color="auto"/>
      </w:divBdr>
    </w:div>
    <w:div w:id="1453283864">
      <w:bodyDiv w:val="1"/>
      <w:marLeft w:val="0"/>
      <w:marRight w:val="0"/>
      <w:marTop w:val="0"/>
      <w:marBottom w:val="0"/>
      <w:divBdr>
        <w:top w:val="none" w:sz="0" w:space="0" w:color="auto"/>
        <w:left w:val="none" w:sz="0" w:space="0" w:color="auto"/>
        <w:bottom w:val="none" w:sz="0" w:space="0" w:color="auto"/>
        <w:right w:val="none" w:sz="0" w:space="0" w:color="auto"/>
      </w:divBdr>
    </w:div>
    <w:div w:id="1510482179">
      <w:bodyDiv w:val="1"/>
      <w:marLeft w:val="0"/>
      <w:marRight w:val="0"/>
      <w:marTop w:val="0"/>
      <w:marBottom w:val="0"/>
      <w:divBdr>
        <w:top w:val="none" w:sz="0" w:space="0" w:color="auto"/>
        <w:left w:val="none" w:sz="0" w:space="0" w:color="auto"/>
        <w:bottom w:val="none" w:sz="0" w:space="0" w:color="auto"/>
        <w:right w:val="none" w:sz="0" w:space="0" w:color="auto"/>
      </w:divBdr>
    </w:div>
    <w:div w:id="1513687302">
      <w:bodyDiv w:val="1"/>
      <w:marLeft w:val="0"/>
      <w:marRight w:val="0"/>
      <w:marTop w:val="0"/>
      <w:marBottom w:val="0"/>
      <w:divBdr>
        <w:top w:val="none" w:sz="0" w:space="0" w:color="auto"/>
        <w:left w:val="none" w:sz="0" w:space="0" w:color="auto"/>
        <w:bottom w:val="none" w:sz="0" w:space="0" w:color="auto"/>
        <w:right w:val="none" w:sz="0" w:space="0" w:color="auto"/>
      </w:divBdr>
    </w:div>
    <w:div w:id="1726641895">
      <w:bodyDiv w:val="1"/>
      <w:marLeft w:val="0"/>
      <w:marRight w:val="0"/>
      <w:marTop w:val="0"/>
      <w:marBottom w:val="0"/>
      <w:divBdr>
        <w:top w:val="none" w:sz="0" w:space="0" w:color="auto"/>
        <w:left w:val="none" w:sz="0" w:space="0" w:color="auto"/>
        <w:bottom w:val="none" w:sz="0" w:space="0" w:color="auto"/>
        <w:right w:val="none" w:sz="0" w:space="0" w:color="auto"/>
      </w:divBdr>
    </w:div>
    <w:div w:id="1740245596">
      <w:bodyDiv w:val="1"/>
      <w:marLeft w:val="0"/>
      <w:marRight w:val="0"/>
      <w:marTop w:val="0"/>
      <w:marBottom w:val="0"/>
      <w:divBdr>
        <w:top w:val="none" w:sz="0" w:space="0" w:color="auto"/>
        <w:left w:val="none" w:sz="0" w:space="0" w:color="auto"/>
        <w:bottom w:val="none" w:sz="0" w:space="0" w:color="auto"/>
        <w:right w:val="none" w:sz="0" w:space="0" w:color="auto"/>
      </w:divBdr>
    </w:div>
    <w:div w:id="1819613461">
      <w:bodyDiv w:val="1"/>
      <w:marLeft w:val="0"/>
      <w:marRight w:val="0"/>
      <w:marTop w:val="0"/>
      <w:marBottom w:val="0"/>
      <w:divBdr>
        <w:top w:val="none" w:sz="0" w:space="0" w:color="auto"/>
        <w:left w:val="none" w:sz="0" w:space="0" w:color="auto"/>
        <w:bottom w:val="none" w:sz="0" w:space="0" w:color="auto"/>
        <w:right w:val="none" w:sz="0" w:space="0" w:color="auto"/>
      </w:divBdr>
    </w:div>
    <w:div w:id="1866871290">
      <w:bodyDiv w:val="1"/>
      <w:marLeft w:val="0"/>
      <w:marRight w:val="0"/>
      <w:marTop w:val="0"/>
      <w:marBottom w:val="0"/>
      <w:divBdr>
        <w:top w:val="none" w:sz="0" w:space="0" w:color="auto"/>
        <w:left w:val="none" w:sz="0" w:space="0" w:color="auto"/>
        <w:bottom w:val="none" w:sz="0" w:space="0" w:color="auto"/>
        <w:right w:val="none" w:sz="0" w:space="0" w:color="auto"/>
      </w:divBdr>
    </w:div>
    <w:div w:id="1939634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oleObject" Target="embeddings/oleObject3.bin"/><Relationship Id="rId10" Type="http://schemas.openxmlformats.org/officeDocument/2006/relationships/oleObject" Target="embeddings/oleObject2.bin"/><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1562</TotalTime>
  <Pages>14</Pages>
  <Words>3042</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Rabia Ahmed</cp:lastModifiedBy>
  <cp:revision>15</cp:revision>
  <dcterms:created xsi:type="dcterms:W3CDTF">2026-03-17T16:20:00Z</dcterms:created>
  <dcterms:modified xsi:type="dcterms:W3CDTF">2026-03-20T09:39:00Z</dcterms:modified>
</cp:coreProperties>
</file>